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32"/>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00" w:lineRule="exact"/>
        <w:rPr>
          <w:sz w:val="24"/>
          <w:szCs w:val="24"/>
          <w:color w:val="auto"/>
        </w:rPr>
      </w:pPr>
    </w:p>
    <w:p>
      <w:pPr>
        <w:spacing w:after="0" w:line="200" w:lineRule="exact"/>
        <w:rPr>
          <w:sz w:val="24"/>
          <w:szCs w:val="24"/>
          <w:color w:val="auto"/>
        </w:rPr>
      </w:pPr>
    </w:p>
    <w:p>
      <w:pPr>
        <w:spacing w:after="0" w:line="225" w:lineRule="exact"/>
        <w:rPr>
          <w:sz w:val="24"/>
          <w:szCs w:val="24"/>
          <w:color w:val="auto"/>
        </w:rPr>
      </w:pPr>
    </w:p>
    <w:p>
      <w:pPr>
        <w:jc w:val="center"/>
        <w:ind w:right="-1152"/>
        <w:spacing w:after="0"/>
        <w:rPr>
          <w:sz w:val="20"/>
          <w:szCs w:val="20"/>
          <w:color w:val="auto"/>
        </w:rPr>
      </w:pPr>
      <w:r>
        <w:rPr>
          <w:rFonts w:ascii="Arial" w:cs="Arial" w:eastAsia="Arial" w:hAnsi="Arial"/>
          <w:sz w:val="25"/>
          <w:szCs w:val="25"/>
          <w:b w:val="1"/>
          <w:bCs w:val="1"/>
          <w:color w:val="auto"/>
        </w:rPr>
        <w:t>SECURITIES AND EXCHANGE COMMISSION</w:t>
      </w:r>
    </w:p>
    <w:p>
      <w:pPr>
        <w:spacing w:after="0" w:line="73" w:lineRule="exact"/>
        <w:rPr>
          <w:sz w:val="24"/>
          <w:szCs w:val="24"/>
          <w:color w:val="auto"/>
        </w:rPr>
      </w:pPr>
    </w:p>
    <w:p>
      <w:pPr>
        <w:ind w:left="4332"/>
        <w:spacing w:after="0"/>
        <w:rPr>
          <w:sz w:val="20"/>
          <w:szCs w:val="20"/>
          <w:color w:val="auto"/>
        </w:rPr>
      </w:pPr>
      <w:r>
        <w:rPr>
          <w:rFonts w:ascii="Arial" w:cs="Arial" w:eastAsia="Arial" w:hAnsi="Arial"/>
          <w:sz w:val="22"/>
          <w:szCs w:val="22"/>
          <w:b w:val="1"/>
          <w:bCs w:val="1"/>
          <w:color w:val="auto"/>
        </w:rPr>
        <w:t>WASHINGTON, D.C. 20549</w:t>
      </w:r>
    </w:p>
    <w:p>
      <w:pPr>
        <w:spacing w:after="0" w:line="57" w:lineRule="exact"/>
        <w:rPr>
          <w:sz w:val="24"/>
          <w:szCs w:val="24"/>
          <w:color w:val="auto"/>
        </w:rPr>
      </w:pPr>
    </w:p>
    <w:p>
      <w:pPr>
        <w:jc w:val="center"/>
        <w:ind w:right="-1152"/>
        <w:spacing w:after="0"/>
        <w:rPr>
          <w:sz w:val="20"/>
          <w:szCs w:val="20"/>
          <w:color w:val="auto"/>
        </w:rPr>
      </w:pPr>
      <w:r>
        <w:rPr>
          <w:rFonts w:ascii="Arial" w:cs="Arial" w:eastAsia="Arial" w:hAnsi="Arial"/>
          <w:sz w:val="32"/>
          <w:szCs w:val="32"/>
          <w:b w:val="1"/>
          <w:bCs w:val="1"/>
          <w:color w:val="auto"/>
        </w:rPr>
        <w:t>SCHEDULE 14A</w:t>
      </w:r>
    </w:p>
    <w:p>
      <w:pPr>
        <w:spacing w:after="0" w:line="78" w:lineRule="exact"/>
        <w:rPr>
          <w:sz w:val="24"/>
          <w:szCs w:val="24"/>
          <w:color w:val="auto"/>
        </w:rPr>
      </w:pPr>
    </w:p>
    <w:p>
      <w:pPr>
        <w:jc w:val="center"/>
        <w:ind w:right="-1152"/>
        <w:spacing w:after="0"/>
        <w:rPr>
          <w:sz w:val="20"/>
          <w:szCs w:val="20"/>
          <w:color w:val="auto"/>
        </w:rPr>
      </w:pPr>
      <w:r>
        <w:rPr>
          <w:rFonts w:ascii="Arial" w:cs="Arial" w:eastAsia="Arial" w:hAnsi="Arial"/>
          <w:sz w:val="22"/>
          <w:szCs w:val="22"/>
          <w:b w:val="1"/>
          <w:bCs w:val="1"/>
          <w:color w:val="auto"/>
        </w:rPr>
        <w:t>(Rule 14a-101)</w:t>
      </w:r>
    </w:p>
    <w:p>
      <w:pPr>
        <w:spacing w:after="0" w:line="71" w:lineRule="exact"/>
        <w:rPr>
          <w:sz w:val="24"/>
          <w:szCs w:val="24"/>
          <w:color w:val="auto"/>
        </w:rPr>
      </w:pPr>
    </w:p>
    <w:p>
      <w:pPr>
        <w:jc w:val="center"/>
        <w:ind w:right="-1152"/>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71" w:lineRule="exact"/>
        <w:rPr>
          <w:sz w:val="24"/>
          <w:szCs w:val="24"/>
          <w:color w:val="auto"/>
        </w:rPr>
      </w:pPr>
    </w:p>
    <w:p>
      <w:pPr>
        <w:jc w:val="center"/>
        <w:ind w:right="-1152"/>
        <w:spacing w:after="0"/>
        <w:rPr>
          <w:sz w:val="20"/>
          <w:szCs w:val="20"/>
          <w:color w:val="auto"/>
        </w:rPr>
      </w:pPr>
      <w:r>
        <w:rPr>
          <w:rFonts w:ascii="Arial" w:cs="Arial" w:eastAsia="Arial" w:hAnsi="Arial"/>
          <w:sz w:val="22"/>
          <w:szCs w:val="22"/>
          <w:b w:val="1"/>
          <w:bCs w:val="1"/>
          <w:color w:val="auto"/>
        </w:rPr>
        <w:t>SCHEDULE 14A INFORMATION</w:t>
      </w:r>
    </w:p>
    <w:p>
      <w:pPr>
        <w:spacing w:after="0" w:line="71" w:lineRule="exact"/>
        <w:rPr>
          <w:sz w:val="24"/>
          <w:szCs w:val="24"/>
          <w:color w:val="auto"/>
        </w:rPr>
      </w:pPr>
    </w:p>
    <w:p>
      <w:pPr>
        <w:jc w:val="center"/>
        <w:ind w:right="-1152"/>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71" w:lineRule="exact"/>
        <w:rPr>
          <w:sz w:val="24"/>
          <w:szCs w:val="24"/>
          <w:color w:val="auto"/>
        </w:rPr>
      </w:pPr>
    </w:p>
    <w:p>
      <w:pPr>
        <w:jc w:val="center"/>
        <w:ind w:right="-1152"/>
        <w:spacing w:after="0"/>
        <w:rPr>
          <w:sz w:val="20"/>
          <w:szCs w:val="20"/>
          <w:color w:val="auto"/>
        </w:rPr>
      </w:pPr>
      <w:r>
        <w:rPr>
          <w:rFonts w:ascii="Arial" w:cs="Arial" w:eastAsia="Arial" w:hAnsi="Arial"/>
          <w:sz w:val="22"/>
          <w:szCs w:val="22"/>
          <w:b w:val="1"/>
          <w:bCs w:val="1"/>
          <w:color w:val="auto"/>
        </w:rPr>
        <w:t>Securities Exchange Act of 1934</w:t>
      </w:r>
    </w:p>
    <w:p>
      <w:pPr>
        <w:spacing w:after="0" w:line="240" w:lineRule="exact"/>
        <w:rPr>
          <w:sz w:val="24"/>
          <w:szCs w:val="24"/>
          <w:color w:val="auto"/>
        </w:rPr>
      </w:pPr>
    </w:p>
    <w:p>
      <w:pPr>
        <w:ind w:left="32"/>
        <w:spacing w:after="0" w:line="207" w:lineRule="exact"/>
        <w:tabs>
          <w:tab w:leader="none" w:pos="3751"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312" w:lineRule="exact"/>
        <w:rPr>
          <w:sz w:val="24"/>
          <w:szCs w:val="24"/>
          <w:color w:val="auto"/>
        </w:rPr>
      </w:pPr>
    </w:p>
    <w:p>
      <w:pPr>
        <w:ind w:left="32"/>
        <w:spacing w:after="0"/>
        <w:rPr>
          <w:sz w:val="20"/>
          <w:szCs w:val="20"/>
          <w:color w:val="auto"/>
        </w:rPr>
      </w:pPr>
      <w:r>
        <w:rPr>
          <w:rFonts w:ascii="Arial" w:cs="Arial" w:eastAsia="Arial" w:hAnsi="Arial"/>
          <w:sz w:val="18"/>
          <w:szCs w:val="18"/>
          <w:color w:val="auto"/>
        </w:rPr>
        <w:t>Check the appropriate box:</w:t>
      </w:r>
    </w:p>
    <w:p>
      <w:pPr>
        <w:spacing w:after="0" w:line="347" w:lineRule="exact"/>
        <w:rPr>
          <w:sz w:val="24"/>
          <w:szCs w:val="24"/>
          <w:color w:val="auto"/>
        </w:rPr>
      </w:pPr>
    </w:p>
    <w:p>
      <w:pPr>
        <w:ind w:left="552" w:hanging="343"/>
        <w:spacing w:after="0"/>
        <w:tabs>
          <w:tab w:leader="none" w:pos="552"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86" w:lineRule="exact"/>
        <w:rPr>
          <w:sz w:val="24"/>
          <w:szCs w:val="24"/>
          <w:color w:val="auto"/>
        </w:rPr>
      </w:pPr>
    </w:p>
    <w:p>
      <w:pPr>
        <w:ind w:left="552" w:hanging="343"/>
        <w:spacing w:after="0"/>
        <w:tabs>
          <w:tab w:leader="none" w:pos="552" w:val="left"/>
        </w:tabs>
        <w:numPr>
          <w:ilvl w:val="0"/>
          <w:numId w:val="2"/>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94" w:lineRule="exact"/>
        <w:rPr>
          <w:rFonts w:ascii="MS PGothic" w:cs="MS PGothic" w:eastAsia="MS PGothic" w:hAnsi="MS PGothic"/>
          <w:sz w:val="18"/>
          <w:szCs w:val="18"/>
          <w:color w:val="auto"/>
        </w:rPr>
      </w:pPr>
    </w:p>
    <w:p>
      <w:pPr>
        <w:ind w:left="552" w:hanging="343"/>
        <w:spacing w:after="0"/>
        <w:tabs>
          <w:tab w:leader="none" w:pos="552"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90" w:lineRule="exact"/>
        <w:rPr>
          <w:rFonts w:ascii="MS PGothic" w:cs="MS PGothic" w:eastAsia="MS PGothic" w:hAnsi="MS PGothic"/>
          <w:sz w:val="18"/>
          <w:szCs w:val="18"/>
          <w:color w:val="auto"/>
        </w:rPr>
      </w:pPr>
    </w:p>
    <w:p>
      <w:pPr>
        <w:ind w:left="552" w:hanging="343"/>
        <w:spacing w:after="0"/>
        <w:tabs>
          <w:tab w:leader="none" w:pos="552"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90" w:lineRule="exact"/>
        <w:rPr>
          <w:rFonts w:ascii="MS PGothic" w:cs="MS PGothic" w:eastAsia="MS PGothic" w:hAnsi="MS PGothic"/>
          <w:sz w:val="18"/>
          <w:szCs w:val="18"/>
          <w:color w:val="auto"/>
        </w:rPr>
      </w:pPr>
    </w:p>
    <w:p>
      <w:pPr>
        <w:ind w:left="552" w:hanging="343"/>
        <w:spacing w:after="0"/>
        <w:tabs>
          <w:tab w:leader="none" w:pos="552"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200" w:lineRule="exact"/>
        <w:rPr>
          <w:sz w:val="24"/>
          <w:szCs w:val="24"/>
          <w:color w:val="auto"/>
        </w:rPr>
      </w:pPr>
    </w:p>
    <w:p>
      <w:pPr>
        <w:spacing w:after="0" w:line="219" w:lineRule="exact"/>
        <w:rPr>
          <w:sz w:val="24"/>
          <w:szCs w:val="24"/>
          <w:color w:val="auto"/>
        </w:rPr>
      </w:pPr>
    </w:p>
    <w:p>
      <w:pPr>
        <w:jc w:val="center"/>
        <w:ind w:right="-1152"/>
        <w:spacing w:after="0"/>
        <w:rPr>
          <w:sz w:val="20"/>
          <w:szCs w:val="20"/>
          <w:color w:val="auto"/>
        </w:rPr>
      </w:pPr>
      <w:r>
        <w:rPr>
          <w:rFonts w:ascii="Arial" w:cs="Arial" w:eastAsia="Arial" w:hAnsi="Arial"/>
          <w:sz w:val="25"/>
          <w:szCs w:val="25"/>
          <w:b w:val="1"/>
          <w:bCs w:val="1"/>
          <w:color w:val="auto"/>
        </w:rPr>
        <w:t>AGNC Investment Corp.</w:t>
      </w:r>
    </w:p>
    <w:p>
      <w:pPr>
        <w:spacing w:after="0" w:line="82" w:lineRule="exact"/>
        <w:rPr>
          <w:sz w:val="24"/>
          <w:szCs w:val="24"/>
          <w:color w:val="auto"/>
        </w:rPr>
      </w:pPr>
    </w:p>
    <w:p>
      <w:pPr>
        <w:ind w:left="3832"/>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200" w:lineRule="exact"/>
        <w:rPr>
          <w:sz w:val="24"/>
          <w:szCs w:val="24"/>
          <w:color w:val="auto"/>
        </w:rPr>
      </w:pPr>
    </w:p>
    <w:p>
      <w:pPr>
        <w:spacing w:after="0" w:line="245" w:lineRule="exact"/>
        <w:rPr>
          <w:sz w:val="24"/>
          <w:szCs w:val="24"/>
          <w:color w:val="auto"/>
        </w:rPr>
      </w:pPr>
    </w:p>
    <w:p>
      <w:pPr>
        <w:ind w:left="392"/>
        <w:spacing w:after="0"/>
        <w:rPr>
          <w:sz w:val="20"/>
          <w:szCs w:val="20"/>
          <w:color w:val="auto"/>
        </w:rPr>
      </w:pPr>
      <w:r>
        <w:rPr>
          <w:rFonts w:ascii="Arial" w:cs="Arial" w:eastAsia="Arial" w:hAnsi="Arial"/>
          <w:sz w:val="18"/>
          <w:szCs w:val="18"/>
          <w:color w:val="auto"/>
        </w:rPr>
        <w:t>Payment of Filing Fee (Check the appropriate box):</w:t>
      </w:r>
    </w:p>
    <w:p>
      <w:pPr>
        <w:spacing w:after="0" w:line="90" w:lineRule="exact"/>
        <w:rPr>
          <w:sz w:val="24"/>
          <w:szCs w:val="24"/>
          <w:color w:val="auto"/>
        </w:rPr>
      </w:pPr>
    </w:p>
    <w:p>
      <w:pPr>
        <w:ind w:left="392" w:hanging="392"/>
        <w:spacing w:after="0"/>
        <w:tabs>
          <w:tab w:leader="none" w:pos="392"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90" w:lineRule="exact"/>
        <w:rPr>
          <w:rFonts w:ascii="MS PGothic" w:cs="MS PGothic" w:eastAsia="MS PGothic" w:hAnsi="MS PGothic"/>
          <w:sz w:val="18"/>
          <w:szCs w:val="18"/>
          <w:color w:val="auto"/>
        </w:rPr>
      </w:pPr>
    </w:p>
    <w:p>
      <w:pPr>
        <w:ind w:left="392" w:hanging="378"/>
        <w:spacing w:after="0"/>
        <w:tabs>
          <w:tab w:leader="none" w:pos="392" w:val="left"/>
        </w:tabs>
        <w:numPr>
          <w:ilvl w:val="1"/>
          <w:numId w:val="3"/>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76" w:lineRule="exact"/>
        <w:rPr>
          <w:rFonts w:ascii="MS PGothic" w:cs="MS PGothic" w:eastAsia="MS PGothic" w:hAnsi="MS PGothic"/>
          <w:sz w:val="18"/>
          <w:szCs w:val="18"/>
          <w:color w:val="auto"/>
        </w:rPr>
      </w:pPr>
    </w:p>
    <w:p>
      <w:pPr>
        <w:ind w:left="392" w:hanging="378"/>
        <w:spacing w:after="0"/>
        <w:tabs>
          <w:tab w:leader="none" w:pos="392" w:val="left"/>
        </w:tabs>
        <w:numPr>
          <w:ilvl w:val="1"/>
          <w:numId w:val="3"/>
        </w:numPr>
        <w:rPr>
          <w:rFonts w:ascii="MS PGothic" w:cs="MS PGothic" w:eastAsia="MS PGothic" w:hAnsi="MS PGothic"/>
          <w:sz w:val="17"/>
          <w:szCs w:val="17"/>
          <w:color w:val="auto"/>
        </w:rPr>
      </w:pPr>
      <w:r>
        <w:rPr>
          <w:rFonts w:ascii="Arial" w:cs="Arial" w:eastAsia="Arial" w:hAnsi="Arial"/>
          <w:sz w:val="17"/>
          <w:szCs w:val="17"/>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12700</wp:posOffset>
            </wp:positionH>
            <wp:positionV relativeFrom="paragraph">
              <wp:posOffset>798195</wp:posOffset>
            </wp:positionV>
            <wp:extent cx="7157720" cy="425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0171"/>
          </w:cols>
          <w:pgMar w:left="288" w:top="216" w:right="1440" w:bottom="1440" w:gutter="0" w:footer="0" w:header="0"/>
        </w:sectPr>
      </w:pPr>
    </w:p>
    <w:bookmarkStart w:id="1" w:name="page2"/>
    <w:bookmarkEnd w:id="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1496695</wp:posOffset>
            </wp:positionH>
            <wp:positionV relativeFrom="paragraph">
              <wp:posOffset>309245</wp:posOffset>
            </wp:positionV>
            <wp:extent cx="4157345" cy="12598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157345" cy="1259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59"/>
        <w:spacing w:after="0"/>
        <w:rPr>
          <w:sz w:val="20"/>
          <w:szCs w:val="20"/>
          <w:color w:val="auto"/>
        </w:rPr>
      </w:pPr>
      <w:r>
        <w:rPr>
          <w:rFonts w:ascii="Arial" w:cs="Arial" w:eastAsia="Arial" w:hAnsi="Arial"/>
          <w:sz w:val="22"/>
          <w:szCs w:val="22"/>
          <w:b w:val="1"/>
          <w:bCs w:val="1"/>
          <w:color w:val="407CCA"/>
        </w:rPr>
        <w:t>AGNC INVESTMENT CORP.</w:t>
      </w:r>
    </w:p>
    <w:p>
      <w:pPr>
        <w:jc w:val="center"/>
        <w:ind w:right="-59"/>
        <w:spacing w:after="0" w:line="204" w:lineRule="auto"/>
        <w:rPr>
          <w:sz w:val="20"/>
          <w:szCs w:val="20"/>
          <w:color w:val="auto"/>
        </w:rPr>
      </w:pPr>
      <w:r>
        <w:rPr>
          <w:rFonts w:ascii="Arial" w:cs="Arial" w:eastAsia="Arial" w:hAnsi="Arial"/>
          <w:sz w:val="22"/>
          <w:szCs w:val="22"/>
          <w:b w:val="1"/>
          <w:bCs w:val="1"/>
          <w:color w:val="407CCA"/>
        </w:rPr>
        <w:t>NOTICE OF 2023 ANNUAL MEETING OF</w:t>
      </w:r>
    </w:p>
    <w:p>
      <w:pPr>
        <w:spacing w:after="0" w:line="1" w:lineRule="exact"/>
        <w:rPr>
          <w:sz w:val="20"/>
          <w:szCs w:val="20"/>
          <w:color w:val="auto"/>
        </w:rPr>
      </w:pPr>
    </w:p>
    <w:p>
      <w:pPr>
        <w:jc w:val="center"/>
        <w:ind w:right="-59"/>
        <w:spacing w:after="0"/>
        <w:rPr>
          <w:sz w:val="20"/>
          <w:szCs w:val="20"/>
          <w:color w:val="auto"/>
        </w:rPr>
      </w:pPr>
      <w:r>
        <w:rPr>
          <w:rFonts w:ascii="Arial" w:cs="Arial" w:eastAsia="Arial" w:hAnsi="Arial"/>
          <w:sz w:val="21"/>
          <w:szCs w:val="21"/>
          <w:b w:val="1"/>
          <w:bCs w:val="1"/>
          <w:color w:val="407CCA"/>
        </w:rPr>
        <w:t>STOCKHOLDERS TO BE HELD ON APRIL 20, 2023</w:t>
      </w:r>
    </w:p>
    <w:p>
      <w:pPr>
        <w:sectPr>
          <w:pgSz w:w="11900" w:h="16838" w:orient="portrait"/>
          <w:cols w:equalWidth="0" w:num="1">
            <w:col w:w="11180"/>
          </w:cols>
          <w:pgMar w:left="320" w:top="108" w:right="399" w:bottom="1440" w:gutter="0" w:footer="0" w:header="0"/>
        </w:sectPr>
      </w:pPr>
    </w:p>
    <w:p>
      <w:pPr>
        <w:spacing w:after="0" w:line="230"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DATE AND TIME:</w:t>
      </w:r>
    </w:p>
    <w:p>
      <w:pPr>
        <w:spacing w:after="0" w:line="20" w:lineRule="exact"/>
        <w:rPr>
          <w:sz w:val="20"/>
          <w:szCs w:val="20"/>
          <w:color w:val="auto"/>
        </w:rPr>
      </w:pPr>
      <w:r>
        <w:rPr>
          <w:sz w:val="20"/>
          <w:szCs w:val="20"/>
          <w:color w:val="auto"/>
        </w:rPr>
        <w:br w:type="column"/>
      </w:r>
    </w:p>
    <w:p>
      <w:pPr>
        <w:spacing w:after="0" w:line="214" w:lineRule="exact"/>
        <w:rPr>
          <w:sz w:val="20"/>
          <w:szCs w:val="20"/>
          <w:color w:val="auto"/>
        </w:rPr>
      </w:pPr>
    </w:p>
    <w:p>
      <w:pPr>
        <w:spacing w:after="0"/>
        <w:rPr>
          <w:sz w:val="20"/>
          <w:szCs w:val="20"/>
          <w:color w:val="auto"/>
        </w:rPr>
      </w:pPr>
      <w:r>
        <w:rPr>
          <w:rFonts w:ascii="Arial" w:cs="Arial" w:eastAsia="Arial" w:hAnsi="Arial"/>
          <w:sz w:val="16"/>
          <w:szCs w:val="16"/>
          <w:color w:val="auto"/>
        </w:rPr>
        <w:t>Thursday, April 20, 2023, at 9:00 a.m., Eastern Time</w:t>
      </w:r>
    </w:p>
    <w:p>
      <w:pPr>
        <w:spacing w:after="0" w:line="108" w:lineRule="exact"/>
        <w:rPr>
          <w:sz w:val="20"/>
          <w:szCs w:val="20"/>
          <w:color w:val="auto"/>
        </w:rPr>
      </w:pPr>
    </w:p>
    <w:p>
      <w:pPr>
        <w:sectPr>
          <w:pgSz w:w="11900" w:h="16838" w:orient="portrait"/>
          <w:cols w:equalWidth="0" w:num="2">
            <w:col w:w="1960" w:space="720"/>
            <w:col w:w="8500"/>
          </w:cols>
          <w:pgMar w:left="320" w:top="108" w:right="399" w:bottom="1440" w:gutter="0" w:footer="0" w:header="0"/>
          <w:type w:val="continuous"/>
        </w:sectPr>
      </w:pPr>
    </w:p>
    <w:p>
      <w:pPr>
        <w:ind w:left="20"/>
        <w:spacing w:after="0"/>
        <w:rPr>
          <w:sz w:val="20"/>
          <w:szCs w:val="20"/>
          <w:color w:val="auto"/>
        </w:rPr>
      </w:pPr>
      <w:r>
        <w:rPr>
          <w:rFonts w:ascii="Arial" w:cs="Arial" w:eastAsia="Arial" w:hAnsi="Arial"/>
          <w:sz w:val="18"/>
          <w:szCs w:val="18"/>
          <w:b w:val="1"/>
          <w:bCs w:val="1"/>
          <w:color w:val="auto"/>
        </w:rPr>
        <w:t>WHERE:</w:t>
      </w:r>
    </w:p>
    <w:p>
      <w:pPr>
        <w:spacing w:after="0" w:line="20" w:lineRule="exact"/>
        <w:rPr>
          <w:sz w:val="20"/>
          <w:szCs w:val="20"/>
          <w:color w:val="auto"/>
        </w:rPr>
      </w:pPr>
      <w:r>
        <w:rPr>
          <w:sz w:val="20"/>
          <w:szCs w:val="20"/>
          <w:color w:val="auto"/>
        </w:rPr>
        <w:br w:type="column"/>
      </w:r>
    </w:p>
    <w:p>
      <w:pPr>
        <w:ind w:right="2800"/>
        <w:spacing w:after="0" w:line="235" w:lineRule="auto"/>
        <w:rPr>
          <w:sz w:val="20"/>
          <w:szCs w:val="20"/>
          <w:color w:val="auto"/>
        </w:rPr>
      </w:pPr>
      <w:r>
        <w:rPr>
          <w:rFonts w:ascii="Arial" w:cs="Arial" w:eastAsia="Arial" w:hAnsi="Arial"/>
          <w:sz w:val="18"/>
          <w:szCs w:val="18"/>
          <w:color w:val="auto"/>
        </w:rPr>
        <w:t>The Annual Meeting will be held in a virtual format. The virtual meeting site is www.virtualshareholdermeeting.com/AGNC2023.</w:t>
      </w:r>
    </w:p>
    <w:p>
      <w:pPr>
        <w:spacing w:after="0" w:line="77" w:lineRule="exact"/>
        <w:rPr>
          <w:sz w:val="20"/>
          <w:szCs w:val="20"/>
          <w:color w:val="auto"/>
        </w:rPr>
      </w:pPr>
    </w:p>
    <w:p>
      <w:pPr>
        <w:sectPr>
          <w:pgSz w:w="11900" w:h="16838" w:orient="portrait"/>
          <w:cols w:equalWidth="0" w:num="2">
            <w:col w:w="1960" w:space="720"/>
            <w:col w:w="8500"/>
          </w:cols>
          <w:pgMar w:left="320" w:top="108" w:right="399" w:bottom="1440" w:gutter="0" w:footer="0" w:header="0"/>
          <w:type w:val="continuous"/>
        </w:sectPr>
      </w:pPr>
    </w:p>
    <w:p>
      <w:pPr>
        <w:ind w:left="20"/>
        <w:spacing w:after="0"/>
        <w:rPr>
          <w:sz w:val="20"/>
          <w:szCs w:val="20"/>
          <w:color w:val="auto"/>
        </w:rPr>
      </w:pPr>
      <w:r>
        <w:rPr>
          <w:rFonts w:ascii="Arial" w:cs="Arial" w:eastAsia="Arial" w:hAnsi="Arial"/>
          <w:sz w:val="17"/>
          <w:szCs w:val="17"/>
          <w:b w:val="1"/>
          <w:bCs w:val="1"/>
          <w:color w:val="auto"/>
        </w:rPr>
        <w:t>ITEMS OF BUSINESS:</w:t>
      </w:r>
    </w:p>
    <w:p>
      <w:pPr>
        <w:spacing w:after="0" w:line="20" w:lineRule="exact"/>
        <w:rPr>
          <w:sz w:val="20"/>
          <w:szCs w:val="20"/>
          <w:color w:val="auto"/>
        </w:rPr>
      </w:pPr>
      <w:r>
        <w:rPr>
          <w:sz w:val="20"/>
          <w:szCs w:val="20"/>
          <w:color w:val="auto"/>
        </w:rPr>
        <w:br w:type="column"/>
      </w:r>
    </w:p>
    <w:p>
      <w:pPr>
        <w:ind w:right="140" w:hanging="539"/>
        <w:spacing w:after="0" w:line="235" w:lineRule="auto"/>
        <w:rPr>
          <w:sz w:val="20"/>
          <w:szCs w:val="20"/>
          <w:color w:val="auto"/>
        </w:rPr>
      </w:pPr>
      <w:r>
        <w:rPr>
          <w:rFonts w:ascii="Arial" w:cs="Arial" w:eastAsia="Arial" w:hAnsi="Arial"/>
          <w:sz w:val="18"/>
          <w:szCs w:val="18"/>
          <w:color w:val="auto"/>
        </w:rPr>
        <w:t>1)</w:t>
      </w:r>
      <w:r>
        <w:rPr>
          <w:sz w:val="20"/>
          <w:szCs w:val="20"/>
          <w:color w:val="auto"/>
        </w:rPr>
        <w:t xml:space="preserve"> </w:t>
      </w:r>
      <w:r>
        <w:rPr>
          <w:rFonts w:ascii="Arial" w:cs="Arial" w:eastAsia="Arial" w:hAnsi="Arial"/>
          <w:sz w:val="18"/>
          <w:szCs w:val="18"/>
          <w:color w:val="auto"/>
        </w:rPr>
        <w:t>To elect the Board of Directors, with each director serving a one-year term and until his or her successor is elected and qualified;</w:t>
      </w:r>
    </w:p>
    <w:p>
      <w:pPr>
        <w:spacing w:after="0" w:line="81" w:lineRule="exact"/>
        <w:rPr>
          <w:sz w:val="20"/>
          <w:szCs w:val="20"/>
          <w:color w:val="auto"/>
        </w:rPr>
      </w:pPr>
    </w:p>
    <w:p>
      <w:pPr>
        <w:sectPr>
          <w:pgSz w:w="11900" w:h="16838" w:orient="portrait"/>
          <w:cols w:equalWidth="0" w:num="2">
            <w:col w:w="2660" w:space="720"/>
            <w:col w:w="7800"/>
          </w:cols>
          <w:pgMar w:left="320" w:top="108" w:right="399" w:bottom="1440" w:gutter="0" w:footer="0" w:header="0"/>
          <w:type w:val="continuous"/>
        </w:sectPr>
      </w:pPr>
    </w:p>
    <w:p>
      <w:pPr>
        <w:ind w:left="2840"/>
        <w:spacing w:after="0"/>
        <w:tabs>
          <w:tab w:leader="none" w:pos="3360" w:val="left"/>
        </w:tabs>
        <w:rPr>
          <w:sz w:val="20"/>
          <w:szCs w:val="20"/>
          <w:color w:val="auto"/>
        </w:rPr>
      </w:pPr>
      <w:r>
        <w:rPr>
          <w:rFonts w:ascii="Arial" w:cs="Arial" w:eastAsia="Arial" w:hAnsi="Arial"/>
          <w:sz w:val="18"/>
          <w:szCs w:val="18"/>
          <w:color w:val="auto"/>
        </w:rPr>
        <w:t>2)</w:t>
      </w:r>
      <w:r>
        <w:rPr>
          <w:sz w:val="20"/>
          <w:szCs w:val="20"/>
          <w:color w:val="auto"/>
        </w:rPr>
        <w:tab/>
      </w:r>
      <w:r>
        <w:rPr>
          <w:rFonts w:ascii="Arial" w:cs="Arial" w:eastAsia="Arial" w:hAnsi="Arial"/>
          <w:sz w:val="18"/>
          <w:szCs w:val="18"/>
          <w:color w:val="auto"/>
        </w:rPr>
        <w:t>To approve an advisory resolution on executive compensation;</w:t>
      </w:r>
    </w:p>
    <w:p>
      <w:pPr>
        <w:spacing w:after="0" w:line="90" w:lineRule="exact"/>
        <w:rPr>
          <w:sz w:val="20"/>
          <w:szCs w:val="20"/>
          <w:color w:val="auto"/>
        </w:rPr>
      </w:pPr>
    </w:p>
    <w:p>
      <w:pPr>
        <w:ind w:left="2840"/>
        <w:spacing w:after="0"/>
        <w:tabs>
          <w:tab w:leader="none" w:pos="3360" w:val="left"/>
        </w:tabs>
        <w:rPr>
          <w:sz w:val="20"/>
          <w:szCs w:val="20"/>
          <w:color w:val="auto"/>
        </w:rPr>
      </w:pPr>
      <w:r>
        <w:rPr>
          <w:rFonts w:ascii="Arial" w:cs="Arial" w:eastAsia="Arial" w:hAnsi="Arial"/>
          <w:sz w:val="16"/>
          <w:szCs w:val="16"/>
          <w:color w:val="auto"/>
        </w:rPr>
        <w:t>3)</w:t>
      </w:r>
      <w:r>
        <w:rPr>
          <w:sz w:val="20"/>
          <w:szCs w:val="20"/>
          <w:color w:val="auto"/>
        </w:rPr>
        <w:tab/>
      </w:r>
      <w:r>
        <w:rPr>
          <w:rFonts w:ascii="Arial" w:cs="Arial" w:eastAsia="Arial" w:hAnsi="Arial"/>
          <w:sz w:val="16"/>
          <w:szCs w:val="16"/>
          <w:color w:val="auto"/>
        </w:rPr>
        <w:t>To conduct an advisory vote on the frequency of future advisory votes on executive compensation;</w:t>
      </w:r>
    </w:p>
    <w:p>
      <w:pPr>
        <w:spacing w:after="0" w:line="154" w:lineRule="exact"/>
        <w:rPr>
          <w:sz w:val="20"/>
          <w:szCs w:val="20"/>
          <w:color w:val="auto"/>
        </w:rPr>
      </w:pPr>
    </w:p>
    <w:p>
      <w:pPr>
        <w:ind w:left="3380" w:right="620" w:hanging="539"/>
        <w:spacing w:after="0" w:line="235" w:lineRule="auto"/>
        <w:tabs>
          <w:tab w:leader="none" w:pos="3360" w:val="left"/>
        </w:tabs>
        <w:rPr>
          <w:sz w:val="20"/>
          <w:szCs w:val="20"/>
          <w:color w:val="auto"/>
        </w:rPr>
      </w:pPr>
      <w:r>
        <w:rPr>
          <w:rFonts w:ascii="Arial" w:cs="Arial" w:eastAsia="Arial" w:hAnsi="Arial"/>
          <w:sz w:val="18"/>
          <w:szCs w:val="18"/>
          <w:color w:val="auto"/>
        </w:rPr>
        <w:t>4)</w:t>
      </w:r>
      <w:r>
        <w:rPr>
          <w:sz w:val="20"/>
          <w:szCs w:val="20"/>
          <w:color w:val="auto"/>
        </w:rPr>
        <w:tab/>
      </w:r>
      <w:r>
        <w:rPr>
          <w:rFonts w:ascii="Arial" w:cs="Arial" w:eastAsia="Arial" w:hAnsi="Arial"/>
          <w:sz w:val="18"/>
          <w:szCs w:val="18"/>
          <w:color w:val="auto"/>
        </w:rPr>
        <w:t>To consider and vote upon the ratification of the appointment of Ernst &amp; Young LLP to serve as our independent public accountant for the year ending December 31, 2023;</w:t>
      </w:r>
    </w:p>
    <w:p>
      <w:pPr>
        <w:spacing w:after="0" w:line="81" w:lineRule="exact"/>
        <w:rPr>
          <w:sz w:val="20"/>
          <w:szCs w:val="20"/>
          <w:color w:val="auto"/>
        </w:rPr>
      </w:pPr>
    </w:p>
    <w:p>
      <w:pPr>
        <w:ind w:left="3380" w:right="420" w:hanging="539"/>
        <w:spacing w:after="0" w:line="272" w:lineRule="auto"/>
        <w:tabs>
          <w:tab w:leader="none" w:pos="3360" w:val="left"/>
        </w:tabs>
        <w:rPr>
          <w:sz w:val="20"/>
          <w:szCs w:val="20"/>
          <w:color w:val="auto"/>
        </w:rPr>
      </w:pPr>
      <w:r>
        <w:rPr>
          <w:rFonts w:ascii="Arial" w:cs="Arial" w:eastAsia="Arial" w:hAnsi="Arial"/>
          <w:sz w:val="16"/>
          <w:szCs w:val="16"/>
          <w:color w:val="auto"/>
        </w:rPr>
        <w:t>5)</w:t>
      </w:r>
      <w:r>
        <w:rPr>
          <w:sz w:val="20"/>
          <w:szCs w:val="20"/>
          <w:color w:val="auto"/>
        </w:rPr>
        <w:tab/>
      </w:r>
      <w:r>
        <w:rPr>
          <w:rFonts w:ascii="Arial" w:cs="Arial" w:eastAsia="Arial" w:hAnsi="Arial"/>
          <w:sz w:val="16"/>
          <w:szCs w:val="16"/>
          <w:color w:val="auto"/>
        </w:rPr>
        <w:t>To consider and vote upon amendments to our Amended and Restated Certificate of Incorporation (the “Certificate of Incorporation”) eliminating supermajority voting requirements for stockholders to:</w:t>
      </w:r>
    </w:p>
    <w:p>
      <w:pPr>
        <w:spacing w:after="0" w:line="1" w:lineRule="exact"/>
        <w:rPr>
          <w:sz w:val="20"/>
          <w:szCs w:val="20"/>
          <w:color w:val="auto"/>
        </w:rPr>
      </w:pPr>
    </w:p>
    <w:p>
      <w:pPr>
        <w:ind w:left="3700"/>
        <w:spacing w:after="0"/>
        <w:tabs>
          <w:tab w:leader="none" w:pos="4000" w:val="left"/>
        </w:tabs>
        <w:rPr>
          <w:sz w:val="20"/>
          <w:szCs w:val="20"/>
          <w:color w:val="auto"/>
        </w:rPr>
      </w:pPr>
      <w:r>
        <w:rPr>
          <w:rFonts w:ascii="Arial" w:cs="Arial" w:eastAsia="Arial" w:hAnsi="Arial"/>
          <w:sz w:val="18"/>
          <w:szCs w:val="18"/>
          <w:color w:val="auto"/>
        </w:rPr>
        <w:t>A.</w:t>
      </w:r>
      <w:r>
        <w:rPr>
          <w:sz w:val="20"/>
          <w:szCs w:val="20"/>
          <w:color w:val="auto"/>
        </w:rPr>
        <w:tab/>
      </w:r>
      <w:r>
        <w:rPr>
          <w:rFonts w:ascii="Arial" w:cs="Arial" w:eastAsia="Arial" w:hAnsi="Arial"/>
          <w:sz w:val="16"/>
          <w:szCs w:val="16"/>
          <w:color w:val="auto"/>
        </w:rPr>
        <w:t>amend certain provisions of our Certificate of Incorporation;</w:t>
      </w:r>
    </w:p>
    <w:p>
      <w:pPr>
        <w:spacing w:after="0" w:line="23" w:lineRule="exact"/>
        <w:rPr>
          <w:sz w:val="20"/>
          <w:szCs w:val="20"/>
          <w:color w:val="auto"/>
        </w:rPr>
      </w:pPr>
    </w:p>
    <w:p>
      <w:pPr>
        <w:ind w:left="3700"/>
        <w:spacing w:after="0"/>
        <w:rPr>
          <w:sz w:val="20"/>
          <w:szCs w:val="20"/>
          <w:color w:val="auto"/>
        </w:rPr>
      </w:pPr>
      <w:r>
        <w:rPr>
          <w:rFonts w:ascii="Arial" w:cs="Arial" w:eastAsia="Arial" w:hAnsi="Arial"/>
          <w:sz w:val="18"/>
          <w:szCs w:val="18"/>
          <w:color w:val="auto"/>
        </w:rPr>
        <w:t>B. amend our Fourth Amended and Restated Bylaws (“Bylaws”); and</w:t>
      </w:r>
    </w:p>
    <w:p>
      <w:pPr>
        <w:spacing w:after="0" w:line="23" w:lineRule="exact"/>
        <w:rPr>
          <w:sz w:val="20"/>
          <w:szCs w:val="20"/>
          <w:color w:val="auto"/>
        </w:rPr>
      </w:pPr>
    </w:p>
    <w:p>
      <w:pPr>
        <w:ind w:left="3700"/>
        <w:spacing w:after="0"/>
        <w:rPr>
          <w:sz w:val="20"/>
          <w:szCs w:val="20"/>
          <w:color w:val="auto"/>
        </w:rPr>
      </w:pPr>
      <w:r>
        <w:rPr>
          <w:rFonts w:ascii="Arial" w:cs="Arial" w:eastAsia="Arial" w:hAnsi="Arial"/>
          <w:sz w:val="18"/>
          <w:szCs w:val="18"/>
          <w:color w:val="auto"/>
        </w:rPr>
        <w:t>C. remove directors; and</w:t>
      </w:r>
    </w:p>
    <w:p>
      <w:pPr>
        <w:spacing w:after="0" w:line="184" w:lineRule="exact"/>
        <w:rPr>
          <w:sz w:val="20"/>
          <w:szCs w:val="20"/>
          <w:color w:val="auto"/>
        </w:rPr>
      </w:pPr>
    </w:p>
    <w:p>
      <w:pPr>
        <w:ind w:left="3380" w:right="780" w:hanging="539"/>
        <w:spacing w:after="0" w:line="235" w:lineRule="auto"/>
        <w:tabs>
          <w:tab w:leader="none" w:pos="3360" w:val="left"/>
        </w:tabs>
        <w:rPr>
          <w:sz w:val="20"/>
          <w:szCs w:val="20"/>
          <w:color w:val="auto"/>
        </w:rPr>
      </w:pPr>
      <w:r>
        <w:rPr>
          <w:rFonts w:ascii="Arial" w:cs="Arial" w:eastAsia="Arial" w:hAnsi="Arial"/>
          <w:sz w:val="18"/>
          <w:szCs w:val="18"/>
          <w:color w:val="auto"/>
        </w:rPr>
        <w:t>6)</w:t>
      </w:r>
      <w:r>
        <w:rPr>
          <w:sz w:val="20"/>
          <w:szCs w:val="20"/>
          <w:color w:val="auto"/>
        </w:rPr>
        <w:tab/>
      </w:r>
      <w:r>
        <w:rPr>
          <w:rFonts w:ascii="Arial" w:cs="Arial" w:eastAsia="Arial" w:hAnsi="Arial"/>
          <w:sz w:val="18"/>
          <w:szCs w:val="18"/>
          <w:color w:val="auto"/>
        </w:rPr>
        <w:t>To transact such other business as may properly come before the meeting or any postponement or adjournment thereof.</w:t>
      </w:r>
    </w:p>
    <w:p>
      <w:pPr>
        <w:spacing w:after="0" w:line="81"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Stockholders will have an opportunity to submit questions in advance of and during the meeting.</w:t>
      </w:r>
    </w:p>
    <w:p>
      <w:pPr>
        <w:sectPr>
          <w:pgSz w:w="11900" w:h="16838" w:orient="portrait"/>
          <w:cols w:equalWidth="0" w:num="1">
            <w:col w:w="11180"/>
          </w:cols>
          <w:pgMar w:left="320" w:top="108" w:right="399" w:bottom="1440" w:gutter="0" w:footer="0" w:header="0"/>
          <w:type w:val="continuous"/>
        </w:sectPr>
      </w:pPr>
    </w:p>
    <w:p>
      <w:pPr>
        <w:spacing w:after="0" w:line="8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WHO CAN VOTE:</w:t>
      </w:r>
    </w:p>
    <w:p>
      <w:pPr>
        <w:spacing w:after="0" w:line="20" w:lineRule="exact"/>
        <w:rPr>
          <w:sz w:val="20"/>
          <w:szCs w:val="20"/>
          <w:color w:val="auto"/>
        </w:rPr>
      </w:pPr>
      <w:r>
        <w:rPr>
          <w:sz w:val="20"/>
          <w:szCs w:val="20"/>
          <w:color w:val="auto"/>
        </w:rPr>
        <w:br w:type="column"/>
      </w:r>
    </w:p>
    <w:p>
      <w:pPr>
        <w:spacing w:after="0" w:line="70" w:lineRule="exact"/>
        <w:rPr>
          <w:sz w:val="20"/>
          <w:szCs w:val="20"/>
          <w:color w:val="auto"/>
        </w:rPr>
      </w:pPr>
    </w:p>
    <w:p>
      <w:pPr>
        <w:ind w:right="60"/>
        <w:spacing w:after="0" w:line="258" w:lineRule="auto"/>
        <w:rPr>
          <w:sz w:val="20"/>
          <w:szCs w:val="20"/>
          <w:color w:val="auto"/>
        </w:rPr>
      </w:pPr>
      <w:r>
        <w:rPr>
          <w:rFonts w:ascii="Arial" w:cs="Arial" w:eastAsia="Arial" w:hAnsi="Arial"/>
          <w:sz w:val="17"/>
          <w:szCs w:val="17"/>
          <w:color w:val="auto"/>
        </w:rPr>
        <w:t>You are entitled to notice of, and to vote at, the Annual Meeting and any postponement or adjournment of the Annual Meeting if you were a common stockholder of record at the close of business on February 24, 2023.</w:t>
      </w:r>
    </w:p>
    <w:p>
      <w:pPr>
        <w:spacing w:after="0" w:line="62" w:lineRule="exact"/>
        <w:rPr>
          <w:sz w:val="20"/>
          <w:szCs w:val="20"/>
          <w:color w:val="auto"/>
        </w:rPr>
      </w:pPr>
    </w:p>
    <w:p>
      <w:pPr>
        <w:sectPr>
          <w:pgSz w:w="11900" w:h="16838" w:orient="portrait"/>
          <w:cols w:equalWidth="0" w:num="2">
            <w:col w:w="1960" w:space="720"/>
            <w:col w:w="8500"/>
          </w:cols>
          <w:pgMar w:left="320" w:top="108" w:right="399" w:bottom="1440" w:gutter="0" w:footer="0" w:header="0"/>
          <w:type w:val="continuous"/>
        </w:sectPr>
      </w:pPr>
    </w:p>
    <w:p>
      <w:pPr>
        <w:ind w:left="20"/>
        <w:spacing w:after="0"/>
        <w:rPr>
          <w:sz w:val="20"/>
          <w:szCs w:val="20"/>
          <w:color w:val="auto"/>
        </w:rPr>
      </w:pPr>
      <w:r>
        <w:rPr>
          <w:rFonts w:ascii="Arial" w:cs="Arial" w:eastAsia="Arial" w:hAnsi="Arial"/>
          <w:sz w:val="18"/>
          <w:szCs w:val="18"/>
          <w:b w:val="1"/>
          <w:bCs w:val="1"/>
          <w:color w:val="auto"/>
        </w:rPr>
        <w:t>MEETING DETAILS:</w:t>
      </w:r>
    </w:p>
    <w:p>
      <w:pPr>
        <w:spacing w:after="0" w:line="20" w:lineRule="exact"/>
        <w:rPr>
          <w:sz w:val="20"/>
          <w:szCs w:val="20"/>
          <w:color w:val="auto"/>
        </w:rPr>
      </w:pPr>
      <w:r>
        <w:rPr>
          <w:sz w:val="20"/>
          <w:szCs w:val="20"/>
          <w:color w:val="auto"/>
        </w:rPr>
        <w:br w:type="column"/>
      </w:r>
    </w:p>
    <w:p>
      <w:pPr>
        <w:spacing w:after="0" w:line="264" w:lineRule="auto"/>
        <w:rPr>
          <w:sz w:val="20"/>
          <w:szCs w:val="20"/>
          <w:color w:val="auto"/>
        </w:rPr>
      </w:pPr>
      <w:r>
        <w:rPr>
          <w:rFonts w:ascii="Arial" w:cs="Arial" w:eastAsia="Arial" w:hAnsi="Arial"/>
          <w:sz w:val="16"/>
          <w:szCs w:val="16"/>
          <w:color w:val="auto"/>
        </w:rPr>
        <w:t>Attendance at the meeting is limited to holders of common stock as of the close of business on February 24, 2023. For details regarding our virtual annual meeting, including how to attend and how to submit questions, see Questions 14</w:t>
      </w:r>
    </w:p>
    <w:p>
      <w:pPr>
        <w:spacing w:after="0" w:line="1" w:lineRule="exact"/>
        <w:rPr>
          <w:sz w:val="20"/>
          <w:szCs w:val="20"/>
          <w:color w:val="auto"/>
        </w:rPr>
      </w:pPr>
    </w:p>
    <w:p>
      <w:pPr>
        <w:sectPr>
          <w:pgSz w:w="11900" w:h="16838" w:orient="portrait"/>
          <w:cols w:equalWidth="0" w:num="2">
            <w:col w:w="1960" w:space="720"/>
            <w:col w:w="8500"/>
          </w:cols>
          <w:pgMar w:left="320" w:top="108" w:right="399" w:bottom="1440" w:gutter="0" w:footer="0" w:header="0"/>
          <w:type w:val="continuous"/>
        </w:sectPr>
      </w:pPr>
    </w:p>
    <w:p>
      <w:pPr>
        <w:ind w:left="2680"/>
        <w:spacing w:after="0"/>
        <w:rPr>
          <w:sz w:val="20"/>
          <w:szCs w:val="20"/>
          <w:color w:val="auto"/>
        </w:rPr>
      </w:pPr>
      <w:r>
        <w:rPr>
          <w:rFonts w:ascii="Arial" w:cs="Arial" w:eastAsia="Arial" w:hAnsi="Arial"/>
          <w:sz w:val="16"/>
          <w:szCs w:val="16"/>
          <w:color w:val="auto"/>
        </w:rPr>
        <w:t>and 15 of “Questions and Answers About the 2023 Annual Meeting and Voting” in this proxy statement.</w:t>
      </w:r>
    </w:p>
    <w:p>
      <w:pPr>
        <w:sectPr>
          <w:pgSz w:w="11900" w:h="16838" w:orient="portrait"/>
          <w:cols w:equalWidth="0" w:num="1">
            <w:col w:w="11180"/>
          </w:cols>
          <w:pgMar w:left="320" w:top="108" w:right="399" w:bottom="1440" w:gutter="0" w:footer="0" w:header="0"/>
          <w:type w:val="continuous"/>
        </w:sectPr>
      </w:pPr>
    </w:p>
    <w:p>
      <w:pPr>
        <w:spacing w:after="0" w:line="68"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DATE OF DISTRIBUTION:</w:t>
      </w:r>
    </w:p>
    <w:p>
      <w:pPr>
        <w:spacing w:after="0" w:line="20" w:lineRule="exact"/>
        <w:rPr>
          <w:sz w:val="20"/>
          <w:szCs w:val="20"/>
          <w:color w:val="auto"/>
        </w:rPr>
      </w:pPr>
      <w:r>
        <w:rPr>
          <w:sz w:val="20"/>
          <w:szCs w:val="20"/>
          <w:color w:val="auto"/>
        </w:rPr>
        <w:br w:type="column"/>
      </w:r>
    </w:p>
    <w:p>
      <w:pPr>
        <w:spacing w:after="0" w:line="52" w:lineRule="exact"/>
        <w:rPr>
          <w:sz w:val="20"/>
          <w:szCs w:val="20"/>
          <w:color w:val="auto"/>
        </w:rPr>
      </w:pPr>
    </w:p>
    <w:p>
      <w:pPr>
        <w:spacing w:after="0"/>
        <w:rPr>
          <w:sz w:val="20"/>
          <w:szCs w:val="20"/>
          <w:color w:val="auto"/>
        </w:rPr>
      </w:pPr>
      <w:r>
        <w:rPr>
          <w:rFonts w:ascii="Arial" w:cs="Arial" w:eastAsia="Arial" w:hAnsi="Arial"/>
          <w:sz w:val="16"/>
          <w:szCs w:val="16"/>
          <w:color w:val="auto"/>
        </w:rPr>
        <w:t>This notice, the proxy statement, the accompanying proxy card, and our annual report to stockholders, which includes</w:t>
      </w:r>
    </w:p>
    <w:p>
      <w:pPr>
        <w:spacing w:after="0" w:line="45" w:lineRule="exact"/>
        <w:rPr>
          <w:sz w:val="20"/>
          <w:szCs w:val="20"/>
          <w:color w:val="auto"/>
        </w:rPr>
      </w:pPr>
    </w:p>
    <w:p>
      <w:pPr>
        <w:sectPr>
          <w:pgSz w:w="11900" w:h="16838" w:orient="portrait"/>
          <w:cols w:equalWidth="0" w:num="2">
            <w:col w:w="2240" w:space="440"/>
            <w:col w:w="8500"/>
          </w:cols>
          <w:pgMar w:left="320" w:top="108" w:right="399" w:bottom="1440" w:gutter="0" w:footer="0" w:header="0"/>
          <w:type w:val="continuous"/>
        </w:sectPr>
      </w:pPr>
    </w:p>
    <w:p>
      <w:pPr>
        <w:ind w:left="2680" w:right="320"/>
        <w:spacing w:after="0" w:line="211" w:lineRule="auto"/>
        <w:rPr>
          <w:sz w:val="20"/>
          <w:szCs w:val="20"/>
          <w:color w:val="auto"/>
        </w:rPr>
      </w:pPr>
      <w:r>
        <w:rPr>
          <w:rFonts w:ascii="Arial" w:cs="Arial" w:eastAsia="Arial" w:hAnsi="Arial"/>
          <w:sz w:val="18"/>
          <w:szCs w:val="18"/>
          <w:color w:val="auto"/>
        </w:rPr>
        <w:t>our annual report on Form 10-K with audited financial statements for the year ended December 31, 2022, are first being sent to our common stockholders on or about March , 2023.</w:t>
      </w:r>
    </w:p>
    <w:p>
      <w:pPr>
        <w:spacing w:after="0" w:line="349" w:lineRule="exact"/>
        <w:rPr>
          <w:sz w:val="20"/>
          <w:szCs w:val="20"/>
          <w:color w:val="auto"/>
        </w:rPr>
      </w:pPr>
    </w:p>
    <w:p>
      <w:pPr>
        <w:ind w:left="6420"/>
        <w:spacing w:after="0"/>
        <w:rPr>
          <w:sz w:val="20"/>
          <w:szCs w:val="20"/>
          <w:color w:val="auto"/>
        </w:rPr>
      </w:pPr>
      <w:r>
        <w:rPr>
          <w:rFonts w:ascii="Arial" w:cs="Arial" w:eastAsia="Arial" w:hAnsi="Arial"/>
          <w:sz w:val="18"/>
          <w:szCs w:val="18"/>
          <w:color w:val="auto"/>
        </w:rPr>
        <w:t>BY ORDER OF THE BOARD OF</w:t>
      </w:r>
    </w:p>
    <w:p>
      <w:pPr>
        <w:ind w:left="6400"/>
        <w:spacing w:after="0" w:line="203" w:lineRule="auto"/>
        <w:rPr>
          <w:sz w:val="20"/>
          <w:szCs w:val="20"/>
          <w:color w:val="auto"/>
        </w:rPr>
      </w:pPr>
      <w:r>
        <w:rPr>
          <w:rFonts w:ascii="Arial" w:cs="Arial" w:eastAsia="Arial" w:hAnsi="Arial"/>
          <w:sz w:val="18"/>
          <w:szCs w:val="18"/>
          <w:color w:val="auto"/>
        </w:rPr>
        <w:t>DIRECTORS,</w:t>
      </w:r>
    </w:p>
    <w:p>
      <w:pPr>
        <w:ind w:left="6400"/>
        <w:spacing w:after="0" w:line="219" w:lineRule="auto"/>
        <w:rPr>
          <w:sz w:val="20"/>
          <w:szCs w:val="20"/>
          <w:color w:val="auto"/>
        </w:rPr>
      </w:pPr>
      <w:r>
        <w:rPr>
          <w:rFonts w:ascii="Arial" w:cs="Arial" w:eastAsia="Arial" w:hAnsi="Arial"/>
          <w:sz w:val="18"/>
          <w:szCs w:val="18"/>
          <w:color w:val="auto"/>
        </w:rPr>
        <w:t>Kenneth L. Pollack</w:t>
      </w:r>
    </w:p>
    <w:p>
      <w:pPr>
        <w:spacing w:after="0" w:line="1" w:lineRule="exact"/>
        <w:rPr>
          <w:sz w:val="20"/>
          <w:szCs w:val="20"/>
          <w:color w:val="auto"/>
        </w:rPr>
      </w:pPr>
    </w:p>
    <w:p>
      <w:pPr>
        <w:ind w:left="6400"/>
        <w:spacing w:after="0"/>
        <w:rPr>
          <w:sz w:val="20"/>
          <w:szCs w:val="20"/>
          <w:color w:val="auto"/>
        </w:rPr>
      </w:pPr>
      <w:r>
        <w:rPr>
          <w:rFonts w:ascii="Arial" w:cs="Arial" w:eastAsia="Arial" w:hAnsi="Arial"/>
          <w:sz w:val="18"/>
          <w:szCs w:val="18"/>
          <w:i w:val="1"/>
          <w:iCs w:val="1"/>
          <w:color w:val="auto"/>
        </w:rPr>
        <w:t>Executive Vice President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99060</wp:posOffset>
            </wp:positionH>
            <wp:positionV relativeFrom="paragraph">
              <wp:posOffset>158750</wp:posOffset>
            </wp:positionV>
            <wp:extent cx="6934835" cy="6858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934835" cy="685800"/>
                    </a:xfrm>
                    <a:prstGeom prst="rect">
                      <a:avLst/>
                    </a:prstGeom>
                    <a:noFill/>
                  </pic:spPr>
                </pic:pic>
              </a:graphicData>
            </a:graphic>
          </wp:anchor>
        </w:drawing>
      </w:r>
    </w:p>
    <w:p>
      <w:pPr>
        <w:spacing w:after="0" w:line="268"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jc w:val="center"/>
        <w:ind w:right="-59"/>
        <w:spacing w:after="0"/>
        <w:rPr>
          <w:sz w:val="20"/>
          <w:szCs w:val="20"/>
          <w:color w:val="auto"/>
        </w:rPr>
      </w:pPr>
      <w:r>
        <w:rPr>
          <w:rFonts w:ascii="Arial" w:cs="Arial" w:eastAsia="Arial" w:hAnsi="Arial"/>
          <w:sz w:val="18"/>
          <w:szCs w:val="18"/>
          <w:b w:val="1"/>
          <w:bCs w:val="1"/>
          <w:color w:val="407CCA"/>
        </w:rPr>
        <w:t>ANNUAL MEETING OF STOCKHOLDERS TO BE HELD ON APRIL 20, 2023</w:t>
      </w:r>
    </w:p>
    <w:p>
      <w:pPr>
        <w:spacing w:after="0" w:line="74" w:lineRule="exact"/>
        <w:rPr>
          <w:sz w:val="20"/>
          <w:szCs w:val="20"/>
          <w:color w:val="auto"/>
        </w:rPr>
      </w:pPr>
    </w:p>
    <w:p>
      <w:pPr>
        <w:ind w:left="440" w:right="1180"/>
        <w:spacing w:after="0" w:line="258" w:lineRule="auto"/>
        <w:rPr>
          <w:sz w:val="20"/>
          <w:szCs w:val="20"/>
          <w:color w:val="auto"/>
        </w:rPr>
      </w:pPr>
      <w:r>
        <w:rPr>
          <w:rFonts w:ascii="Arial" w:cs="Arial" w:eastAsia="Arial" w:hAnsi="Arial"/>
          <w:sz w:val="17"/>
          <w:szCs w:val="17"/>
          <w:color w:val="407CCA"/>
        </w:rPr>
        <w:t>This proxy statement and our annual report to stockholders, which includes our annual report on Form 10-K for the fiscal year ended December 31, 2022, are available free of charge on the internet at www.AGNC.com/2023proxymaterials</w:t>
      </w:r>
      <w:r>
        <w:rPr>
          <w:rFonts w:ascii="Arial" w:cs="Arial" w:eastAsia="Arial" w:hAnsi="Arial"/>
          <w:sz w:val="17"/>
          <w:szCs w:val="17"/>
          <w:i w:val="1"/>
          <w:iCs w:val="1"/>
          <w:color w:val="407CCA"/>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612775</wp:posOffset>
            </wp:positionV>
            <wp:extent cx="7157720" cy="425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type w:val="continuous"/>
        </w:sectPr>
      </w:pPr>
    </w:p>
    <w:bookmarkStart w:id="2" w:name="page3"/>
    <w:bookmarkEnd w:id="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407CCA"/>
        </w:rPr>
        <w:t>PROXY SUMMARY</w:t>
      </w:r>
    </w:p>
    <w:p>
      <w:pPr>
        <w:spacing w:after="0" w:line="179"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407CCA"/>
        </w:rPr>
        <w:t>Items to Be Voted</w:t>
      </w: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310"/>
        </w:trPr>
        <w:tc>
          <w:tcPr>
            <w:tcW w:w="7820" w:type="dxa"/>
            <w:vAlign w:val="bottom"/>
            <w:shd w:val="clear" w:color="auto" w:fill="407CCA"/>
          </w:tcPr>
          <w:p>
            <w:pPr>
              <w:ind w:left="140"/>
              <w:spacing w:after="0"/>
              <w:rPr>
                <w:sz w:val="20"/>
                <w:szCs w:val="20"/>
                <w:color w:val="auto"/>
              </w:rPr>
            </w:pPr>
            <w:r>
              <w:rPr>
                <w:rFonts w:ascii="Arial" w:cs="Arial" w:eastAsia="Arial" w:hAnsi="Arial"/>
                <w:sz w:val="22"/>
                <w:szCs w:val="22"/>
                <w:b w:val="1"/>
                <w:bCs w:val="1"/>
                <w:color w:val="F2F4F9"/>
              </w:rPr>
              <w:t>Proposal</w:t>
            </w:r>
          </w:p>
        </w:tc>
        <w:tc>
          <w:tcPr>
            <w:tcW w:w="2200" w:type="dxa"/>
            <w:vAlign w:val="bottom"/>
            <w:shd w:val="clear" w:color="auto" w:fill="407CCA"/>
          </w:tcPr>
          <w:p>
            <w:pPr>
              <w:jc w:val="center"/>
              <w:spacing w:after="0"/>
              <w:rPr>
                <w:sz w:val="20"/>
                <w:szCs w:val="20"/>
                <w:color w:val="auto"/>
              </w:rPr>
            </w:pPr>
            <w:r>
              <w:rPr>
                <w:rFonts w:ascii="Arial" w:cs="Arial" w:eastAsia="Arial" w:hAnsi="Arial"/>
                <w:sz w:val="22"/>
                <w:szCs w:val="22"/>
                <w:b w:val="1"/>
                <w:bCs w:val="1"/>
                <w:color w:val="F2F4F9"/>
                <w:w w:val="91"/>
              </w:rPr>
              <w:t>Board</w:t>
            </w:r>
          </w:p>
        </w:tc>
        <w:tc>
          <w:tcPr>
            <w:tcW w:w="1220" w:type="dxa"/>
            <w:vAlign w:val="bottom"/>
            <w:vMerge w:val="restart"/>
            <w:shd w:val="clear" w:color="auto" w:fill="407CCA"/>
          </w:tcPr>
          <w:p>
            <w:pPr>
              <w:jc w:val="center"/>
              <w:ind w:right="32"/>
              <w:spacing w:after="0"/>
              <w:rPr>
                <w:sz w:val="20"/>
                <w:szCs w:val="20"/>
                <w:color w:val="auto"/>
              </w:rPr>
            </w:pPr>
            <w:r>
              <w:rPr>
                <w:rFonts w:ascii="Arial" w:cs="Arial" w:eastAsia="Arial" w:hAnsi="Arial"/>
                <w:sz w:val="22"/>
                <w:szCs w:val="22"/>
                <w:b w:val="1"/>
                <w:bCs w:val="1"/>
                <w:color w:val="F2F4F9"/>
                <w:w w:val="83"/>
              </w:rPr>
              <w:t>Page</w:t>
            </w:r>
          </w:p>
        </w:tc>
        <w:tc>
          <w:tcPr>
            <w:tcW w:w="0" w:type="dxa"/>
            <w:vAlign w:val="bottom"/>
          </w:tcPr>
          <w:p>
            <w:pPr>
              <w:spacing w:after="0"/>
              <w:rPr>
                <w:sz w:val="1"/>
                <w:szCs w:val="1"/>
                <w:color w:val="auto"/>
              </w:rPr>
            </w:pPr>
          </w:p>
        </w:tc>
      </w:tr>
      <w:tr>
        <w:trPr>
          <w:trHeight w:val="172"/>
        </w:trPr>
        <w:tc>
          <w:tcPr>
            <w:tcW w:w="7820" w:type="dxa"/>
            <w:vAlign w:val="bottom"/>
            <w:shd w:val="clear" w:color="auto" w:fill="407CCA"/>
          </w:tcPr>
          <w:p>
            <w:pPr>
              <w:spacing w:after="0"/>
              <w:rPr>
                <w:sz w:val="14"/>
                <w:szCs w:val="14"/>
                <w:color w:val="auto"/>
              </w:rPr>
            </w:pPr>
          </w:p>
        </w:tc>
        <w:tc>
          <w:tcPr>
            <w:tcW w:w="2200" w:type="dxa"/>
            <w:vAlign w:val="bottom"/>
            <w:vMerge w:val="restart"/>
            <w:shd w:val="clear" w:color="auto" w:fill="407CCA"/>
          </w:tcPr>
          <w:p>
            <w:pPr>
              <w:jc w:val="center"/>
              <w:spacing w:after="0"/>
              <w:rPr>
                <w:sz w:val="20"/>
                <w:szCs w:val="20"/>
                <w:color w:val="auto"/>
              </w:rPr>
            </w:pPr>
            <w:r>
              <w:rPr>
                <w:rFonts w:ascii="Arial" w:cs="Arial" w:eastAsia="Arial" w:hAnsi="Arial"/>
                <w:sz w:val="22"/>
                <w:szCs w:val="22"/>
                <w:b w:val="1"/>
                <w:bCs w:val="1"/>
                <w:color w:val="F2F4F9"/>
                <w:w w:val="87"/>
              </w:rPr>
              <w:t>Recommendation</w:t>
            </w:r>
          </w:p>
        </w:tc>
        <w:tc>
          <w:tcPr>
            <w:tcW w:w="1220" w:type="dxa"/>
            <w:vAlign w:val="bottom"/>
            <w:vMerge w:val="continue"/>
            <w:shd w:val="clear" w:color="auto" w:fill="407CCA"/>
          </w:tcPr>
          <w:p>
            <w:pPr>
              <w:spacing w:after="0"/>
              <w:rPr>
                <w:sz w:val="14"/>
                <w:szCs w:val="14"/>
                <w:color w:val="auto"/>
              </w:rPr>
            </w:pPr>
          </w:p>
        </w:tc>
        <w:tc>
          <w:tcPr>
            <w:tcW w:w="0" w:type="dxa"/>
            <w:vAlign w:val="bottom"/>
          </w:tcPr>
          <w:p>
            <w:pPr>
              <w:spacing w:after="0"/>
              <w:rPr>
                <w:sz w:val="1"/>
                <w:szCs w:val="1"/>
                <w:color w:val="auto"/>
              </w:rPr>
            </w:pPr>
          </w:p>
        </w:tc>
      </w:tr>
      <w:tr>
        <w:trPr>
          <w:trHeight w:val="125"/>
        </w:trPr>
        <w:tc>
          <w:tcPr>
            <w:tcW w:w="7820" w:type="dxa"/>
            <w:vAlign w:val="bottom"/>
            <w:shd w:val="clear" w:color="auto" w:fill="407CCA"/>
          </w:tcPr>
          <w:p>
            <w:pPr>
              <w:spacing w:after="0"/>
              <w:rPr>
                <w:sz w:val="10"/>
                <w:szCs w:val="10"/>
                <w:color w:val="auto"/>
              </w:rPr>
            </w:pPr>
          </w:p>
        </w:tc>
        <w:tc>
          <w:tcPr>
            <w:tcW w:w="2200" w:type="dxa"/>
            <w:vAlign w:val="bottom"/>
            <w:vMerge w:val="continue"/>
            <w:shd w:val="clear" w:color="auto" w:fill="407CCA"/>
          </w:tcPr>
          <w:p>
            <w:pPr>
              <w:spacing w:after="0"/>
              <w:rPr>
                <w:sz w:val="10"/>
                <w:szCs w:val="10"/>
                <w:color w:val="auto"/>
              </w:rPr>
            </w:pPr>
          </w:p>
        </w:tc>
        <w:tc>
          <w:tcPr>
            <w:tcW w:w="1220" w:type="dxa"/>
            <w:vAlign w:val="bottom"/>
            <w:shd w:val="clear" w:color="auto" w:fill="407CCA"/>
          </w:tcPr>
          <w:p>
            <w:pPr>
              <w:spacing w:after="0"/>
              <w:rPr>
                <w:sz w:val="10"/>
                <w:szCs w:val="10"/>
                <w:color w:val="auto"/>
              </w:rPr>
            </w:pPr>
          </w:p>
        </w:tc>
        <w:tc>
          <w:tcPr>
            <w:tcW w:w="0" w:type="dxa"/>
            <w:vAlign w:val="bottom"/>
          </w:tcPr>
          <w:p>
            <w:pPr>
              <w:spacing w:after="0"/>
              <w:rPr>
                <w:sz w:val="1"/>
                <w:szCs w:val="1"/>
                <w:color w:val="auto"/>
              </w:rPr>
            </w:pPr>
          </w:p>
        </w:tc>
      </w:tr>
      <w:tr>
        <w:trPr>
          <w:trHeight w:val="293"/>
        </w:trPr>
        <w:tc>
          <w:tcPr>
            <w:tcW w:w="7820" w:type="dxa"/>
            <w:vAlign w:val="bottom"/>
          </w:tcPr>
          <w:p>
            <w:pPr>
              <w:ind w:left="20"/>
              <w:spacing w:after="0"/>
              <w:rPr>
                <w:sz w:val="20"/>
                <w:szCs w:val="20"/>
                <w:color w:val="auto"/>
              </w:rPr>
            </w:pPr>
            <w:r>
              <w:rPr>
                <w:rFonts w:ascii="Arial" w:cs="Arial" w:eastAsia="Arial" w:hAnsi="Arial"/>
                <w:sz w:val="22"/>
                <w:szCs w:val="22"/>
                <w:b w:val="1"/>
                <w:bCs w:val="1"/>
                <w:color w:val="auto"/>
              </w:rPr>
              <w:t xml:space="preserve">Proposal 1: </w:t>
            </w:r>
            <w:r>
              <w:rPr>
                <w:rFonts w:ascii="Arial" w:cs="Arial" w:eastAsia="Arial" w:hAnsi="Arial"/>
                <w:sz w:val="22"/>
                <w:szCs w:val="22"/>
                <w:color w:val="auto"/>
              </w:rPr>
              <w:t>Election of Directors</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11</w:t>
            </w:r>
          </w:p>
        </w:tc>
        <w:tc>
          <w:tcPr>
            <w:tcW w:w="0" w:type="dxa"/>
            <w:vAlign w:val="bottom"/>
          </w:tcPr>
          <w:p>
            <w:pPr>
              <w:spacing w:after="0"/>
              <w:rPr>
                <w:sz w:val="1"/>
                <w:szCs w:val="1"/>
                <w:color w:val="auto"/>
              </w:rPr>
            </w:pPr>
          </w:p>
        </w:tc>
      </w:tr>
      <w:tr>
        <w:trPr>
          <w:trHeight w:val="365"/>
        </w:trPr>
        <w:tc>
          <w:tcPr>
            <w:tcW w:w="7820" w:type="dxa"/>
            <w:vAlign w:val="bottom"/>
          </w:tcPr>
          <w:p>
            <w:pPr>
              <w:ind w:left="20"/>
              <w:spacing w:after="0"/>
              <w:rPr>
                <w:sz w:val="20"/>
                <w:szCs w:val="20"/>
                <w:color w:val="auto"/>
              </w:rPr>
            </w:pPr>
            <w:r>
              <w:rPr>
                <w:rFonts w:ascii="Arial" w:cs="Arial" w:eastAsia="Arial" w:hAnsi="Arial"/>
                <w:sz w:val="22"/>
                <w:szCs w:val="22"/>
                <w:b w:val="1"/>
                <w:bCs w:val="1"/>
                <w:color w:val="auto"/>
              </w:rPr>
              <w:t xml:space="preserve">Proposal 2: </w:t>
            </w:r>
            <w:r>
              <w:rPr>
                <w:rFonts w:ascii="Arial" w:cs="Arial" w:eastAsia="Arial" w:hAnsi="Arial"/>
                <w:sz w:val="22"/>
                <w:szCs w:val="22"/>
                <w:color w:val="auto"/>
              </w:rPr>
              <w:t>Advisory Resolution to Approve Executive Compensation</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16</w:t>
            </w:r>
          </w:p>
        </w:tc>
        <w:tc>
          <w:tcPr>
            <w:tcW w:w="0" w:type="dxa"/>
            <w:vAlign w:val="bottom"/>
          </w:tcPr>
          <w:p>
            <w:pPr>
              <w:spacing w:after="0"/>
              <w:rPr>
                <w:sz w:val="1"/>
                <w:szCs w:val="1"/>
                <w:color w:val="auto"/>
              </w:rPr>
            </w:pPr>
          </w:p>
        </w:tc>
      </w:tr>
      <w:tr>
        <w:trPr>
          <w:trHeight w:val="279"/>
        </w:trPr>
        <w:tc>
          <w:tcPr>
            <w:tcW w:w="7820" w:type="dxa"/>
            <w:vAlign w:val="bottom"/>
          </w:tcPr>
          <w:p>
            <w:pPr>
              <w:ind w:left="20"/>
              <w:spacing w:after="0"/>
              <w:rPr>
                <w:sz w:val="20"/>
                <w:szCs w:val="20"/>
                <w:color w:val="auto"/>
              </w:rPr>
            </w:pPr>
            <w:r>
              <w:rPr>
                <w:rFonts w:ascii="Arial" w:cs="Arial" w:eastAsia="Arial" w:hAnsi="Arial"/>
                <w:sz w:val="22"/>
                <w:szCs w:val="22"/>
                <w:b w:val="1"/>
                <w:bCs w:val="1"/>
                <w:color w:val="auto"/>
                <w:w w:val="95"/>
              </w:rPr>
              <w:t xml:space="preserve">Proposal 3: </w:t>
            </w:r>
            <w:r>
              <w:rPr>
                <w:rFonts w:ascii="Arial" w:cs="Arial" w:eastAsia="Arial" w:hAnsi="Arial"/>
                <w:sz w:val="22"/>
                <w:szCs w:val="22"/>
                <w:color w:val="auto"/>
                <w:w w:val="95"/>
              </w:rPr>
              <w:t>Advisory Vote on the Frequency of Future Advisory Votes on Executive</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EVERY YEAR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17</w:t>
            </w:r>
          </w:p>
        </w:tc>
        <w:tc>
          <w:tcPr>
            <w:tcW w:w="0" w:type="dxa"/>
            <w:vAlign w:val="bottom"/>
          </w:tcPr>
          <w:p>
            <w:pPr>
              <w:spacing w:after="0"/>
              <w:rPr>
                <w:sz w:val="1"/>
                <w:szCs w:val="1"/>
                <w:color w:val="auto"/>
              </w:rPr>
            </w:pPr>
          </w:p>
        </w:tc>
      </w:tr>
      <w:tr>
        <w:trPr>
          <w:trHeight w:val="274"/>
        </w:trPr>
        <w:tc>
          <w:tcPr>
            <w:tcW w:w="7820" w:type="dxa"/>
            <w:vAlign w:val="bottom"/>
          </w:tcPr>
          <w:p>
            <w:pPr>
              <w:ind w:left="20"/>
              <w:spacing w:after="0"/>
              <w:rPr>
                <w:sz w:val="20"/>
                <w:szCs w:val="20"/>
                <w:color w:val="auto"/>
              </w:rPr>
            </w:pPr>
            <w:r>
              <w:rPr>
                <w:rFonts w:ascii="Arial" w:cs="Arial" w:eastAsia="Arial" w:hAnsi="Arial"/>
                <w:sz w:val="22"/>
                <w:szCs w:val="22"/>
                <w:color w:val="auto"/>
              </w:rPr>
              <w:t>Compensation</w:t>
            </w:r>
          </w:p>
        </w:tc>
        <w:tc>
          <w:tcPr>
            <w:tcW w:w="220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78"/>
        </w:trPr>
        <w:tc>
          <w:tcPr>
            <w:tcW w:w="7820" w:type="dxa"/>
            <w:vAlign w:val="bottom"/>
          </w:tcPr>
          <w:p>
            <w:pPr>
              <w:ind w:left="20"/>
              <w:spacing w:after="0"/>
              <w:rPr>
                <w:sz w:val="20"/>
                <w:szCs w:val="20"/>
                <w:color w:val="auto"/>
              </w:rPr>
            </w:pPr>
            <w:r>
              <w:rPr>
                <w:rFonts w:ascii="Arial" w:cs="Arial" w:eastAsia="Arial" w:hAnsi="Arial"/>
                <w:sz w:val="22"/>
                <w:szCs w:val="22"/>
                <w:b w:val="1"/>
                <w:bCs w:val="1"/>
                <w:color w:val="auto"/>
              </w:rPr>
              <w:t xml:space="preserve">Proposal 4: </w:t>
            </w:r>
            <w:r>
              <w:rPr>
                <w:rFonts w:ascii="Arial" w:cs="Arial" w:eastAsia="Arial" w:hAnsi="Arial"/>
                <w:sz w:val="22"/>
                <w:szCs w:val="22"/>
                <w:color w:val="auto"/>
              </w:rPr>
              <w:t>Ratification of Appointment of Independent Public Accountant</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18</w:t>
            </w:r>
          </w:p>
        </w:tc>
        <w:tc>
          <w:tcPr>
            <w:tcW w:w="0" w:type="dxa"/>
            <w:vAlign w:val="bottom"/>
          </w:tcPr>
          <w:p>
            <w:pPr>
              <w:spacing w:after="0"/>
              <w:rPr>
                <w:sz w:val="1"/>
                <w:szCs w:val="1"/>
                <w:color w:val="auto"/>
              </w:rPr>
            </w:pPr>
          </w:p>
        </w:tc>
      </w:tr>
      <w:tr>
        <w:trPr>
          <w:trHeight w:val="320"/>
        </w:trPr>
        <w:tc>
          <w:tcPr>
            <w:tcW w:w="7820" w:type="dxa"/>
            <w:vAlign w:val="bottom"/>
          </w:tcPr>
          <w:p>
            <w:pPr>
              <w:ind w:left="20"/>
              <w:spacing w:after="0"/>
              <w:rPr>
                <w:sz w:val="20"/>
                <w:szCs w:val="20"/>
                <w:color w:val="auto"/>
              </w:rPr>
            </w:pPr>
            <w:r>
              <w:rPr>
                <w:rFonts w:ascii="Arial" w:cs="Arial" w:eastAsia="Arial" w:hAnsi="Arial"/>
                <w:sz w:val="22"/>
                <w:szCs w:val="22"/>
                <w:b w:val="1"/>
                <w:bCs w:val="1"/>
                <w:color w:val="auto"/>
                <w:w w:val="93"/>
              </w:rPr>
              <w:t xml:space="preserve">Proposal 5: </w:t>
            </w:r>
            <w:r>
              <w:rPr>
                <w:rFonts w:ascii="Arial" w:cs="Arial" w:eastAsia="Arial" w:hAnsi="Arial"/>
                <w:sz w:val="22"/>
                <w:szCs w:val="22"/>
                <w:color w:val="auto"/>
                <w:w w:val="93"/>
              </w:rPr>
              <w:t>Amendments to our Certificate of Incorporation eliminating supermajority</w:t>
            </w:r>
          </w:p>
        </w:tc>
        <w:tc>
          <w:tcPr>
            <w:tcW w:w="22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7820" w:type="dxa"/>
            <w:vAlign w:val="bottom"/>
          </w:tcPr>
          <w:p>
            <w:pPr>
              <w:ind w:left="20"/>
              <w:spacing w:after="0"/>
              <w:rPr>
                <w:sz w:val="20"/>
                <w:szCs w:val="20"/>
                <w:color w:val="auto"/>
              </w:rPr>
            </w:pPr>
            <w:r>
              <w:rPr>
                <w:rFonts w:ascii="Arial" w:cs="Arial" w:eastAsia="Arial" w:hAnsi="Arial"/>
                <w:sz w:val="22"/>
                <w:szCs w:val="22"/>
                <w:color w:val="auto"/>
              </w:rPr>
              <w:t>voting requirements</w:t>
            </w:r>
          </w:p>
        </w:tc>
        <w:tc>
          <w:tcPr>
            <w:tcW w:w="2200" w:type="dxa"/>
            <w:vAlign w:val="bottom"/>
            <w:vMerge w:val="restart"/>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4"/>
        </w:trPr>
        <w:tc>
          <w:tcPr>
            <w:tcW w:w="7820" w:type="dxa"/>
            <w:vAlign w:val="bottom"/>
          </w:tcPr>
          <w:p>
            <w:pPr>
              <w:ind w:left="360"/>
              <w:spacing w:after="0"/>
              <w:rPr>
                <w:sz w:val="20"/>
                <w:szCs w:val="20"/>
                <w:color w:val="auto"/>
              </w:rPr>
            </w:pPr>
            <w:r>
              <w:rPr>
                <w:rFonts w:ascii="Arial" w:cs="Arial" w:eastAsia="Arial" w:hAnsi="Arial"/>
                <w:sz w:val="22"/>
                <w:szCs w:val="22"/>
                <w:color w:val="auto"/>
              </w:rPr>
              <w:t>A. Amendments to certain provisions of our Certificate of Incorporation</w:t>
            </w:r>
          </w:p>
        </w:tc>
        <w:tc>
          <w:tcPr>
            <w:tcW w:w="2200" w:type="dxa"/>
            <w:vAlign w:val="bottom"/>
            <w:vMerge w:val="continue"/>
          </w:tcPr>
          <w:p>
            <w:pPr>
              <w:spacing w:after="0"/>
              <w:rPr>
                <w:sz w:val="22"/>
                <w:szCs w:val="22"/>
                <w:color w:val="auto"/>
              </w:rPr>
            </w:pP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21</w:t>
            </w:r>
          </w:p>
        </w:tc>
        <w:tc>
          <w:tcPr>
            <w:tcW w:w="0" w:type="dxa"/>
            <w:vAlign w:val="bottom"/>
          </w:tcPr>
          <w:p>
            <w:pPr>
              <w:spacing w:after="0"/>
              <w:rPr>
                <w:sz w:val="1"/>
                <w:szCs w:val="1"/>
                <w:color w:val="auto"/>
              </w:rPr>
            </w:pPr>
          </w:p>
        </w:tc>
      </w:tr>
      <w:tr>
        <w:trPr>
          <w:trHeight w:val="270"/>
        </w:trPr>
        <w:tc>
          <w:tcPr>
            <w:tcW w:w="7820" w:type="dxa"/>
            <w:vAlign w:val="bottom"/>
          </w:tcPr>
          <w:p>
            <w:pPr>
              <w:ind w:left="360"/>
              <w:spacing w:after="0"/>
              <w:rPr>
                <w:sz w:val="20"/>
                <w:szCs w:val="20"/>
                <w:color w:val="auto"/>
              </w:rPr>
            </w:pPr>
            <w:r>
              <w:rPr>
                <w:rFonts w:ascii="Arial" w:cs="Arial" w:eastAsia="Arial" w:hAnsi="Arial"/>
                <w:sz w:val="22"/>
                <w:szCs w:val="22"/>
                <w:color w:val="auto"/>
              </w:rPr>
              <w:t>B. Amendments to our Bylaws</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21</w:t>
            </w:r>
          </w:p>
        </w:tc>
        <w:tc>
          <w:tcPr>
            <w:tcW w:w="0" w:type="dxa"/>
            <w:vAlign w:val="bottom"/>
          </w:tcPr>
          <w:p>
            <w:pPr>
              <w:spacing w:after="0"/>
              <w:rPr>
                <w:sz w:val="1"/>
                <w:szCs w:val="1"/>
                <w:color w:val="auto"/>
              </w:rPr>
            </w:pPr>
          </w:p>
        </w:tc>
      </w:tr>
      <w:tr>
        <w:trPr>
          <w:trHeight w:val="280"/>
        </w:trPr>
        <w:tc>
          <w:tcPr>
            <w:tcW w:w="7820" w:type="dxa"/>
            <w:vAlign w:val="bottom"/>
          </w:tcPr>
          <w:p>
            <w:pPr>
              <w:ind w:left="360"/>
              <w:spacing w:after="0"/>
              <w:rPr>
                <w:sz w:val="20"/>
                <w:szCs w:val="20"/>
                <w:color w:val="auto"/>
              </w:rPr>
            </w:pPr>
            <w:r>
              <w:rPr>
                <w:rFonts w:ascii="Arial" w:cs="Arial" w:eastAsia="Arial" w:hAnsi="Arial"/>
                <w:sz w:val="22"/>
                <w:szCs w:val="22"/>
                <w:color w:val="auto"/>
              </w:rPr>
              <w:t>C. Removal of directors</w:t>
            </w:r>
          </w:p>
        </w:tc>
        <w:tc>
          <w:tcPr>
            <w:tcW w:w="2200" w:type="dxa"/>
            <w:vAlign w:val="bottom"/>
          </w:tcPr>
          <w:p>
            <w:pPr>
              <w:jc w:val="center"/>
              <w:spacing w:after="0"/>
              <w:rPr>
                <w:sz w:val="20"/>
                <w:szCs w:val="20"/>
                <w:color w:val="auto"/>
              </w:rPr>
            </w:pPr>
            <w:r>
              <w:rPr>
                <w:rFonts w:ascii="Arial" w:cs="Arial" w:eastAsia="Arial" w:hAnsi="Arial"/>
                <w:sz w:val="22"/>
                <w:szCs w:val="22"/>
                <w:b w:val="1"/>
                <w:bCs w:val="1"/>
                <w:color w:val="0AA04F"/>
                <w:w w:val="98"/>
              </w:rPr>
              <w:t>FOR</w:t>
            </w:r>
          </w:p>
        </w:tc>
        <w:tc>
          <w:tcPr>
            <w:tcW w:w="1220" w:type="dxa"/>
            <w:vAlign w:val="bottom"/>
          </w:tcPr>
          <w:p>
            <w:pPr>
              <w:jc w:val="center"/>
              <w:ind w:right="32"/>
              <w:spacing w:after="0"/>
              <w:rPr>
                <w:sz w:val="20"/>
                <w:szCs w:val="20"/>
                <w:color w:val="auto"/>
              </w:rPr>
            </w:pPr>
            <w:r>
              <w:rPr>
                <w:rFonts w:ascii="Arial" w:cs="Arial" w:eastAsia="Arial" w:hAnsi="Arial"/>
                <w:sz w:val="22"/>
                <w:szCs w:val="22"/>
                <w:color w:val="auto"/>
                <w:w w:val="81"/>
              </w:rPr>
              <w:t>22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0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407CCA"/>
        </w:rPr>
        <w:t>How to Vote Your Shares</w:t>
      </w:r>
    </w:p>
    <w:p>
      <w:pPr>
        <w:ind w:right="40"/>
        <w:spacing w:after="0" w:line="237" w:lineRule="auto"/>
        <w:rPr>
          <w:sz w:val="20"/>
          <w:szCs w:val="20"/>
          <w:color w:val="auto"/>
        </w:rPr>
      </w:pPr>
      <w:r>
        <w:rPr>
          <w:rFonts w:ascii="Arial" w:cs="Arial" w:eastAsia="Arial" w:hAnsi="Arial"/>
          <w:sz w:val="16"/>
          <w:szCs w:val="16"/>
          <w:color w:val="auto"/>
        </w:rPr>
        <w:t>Your vote is important, and we urge you to cast your vote as soon as possible. You may vote through the internet, by telephone, by mailing your completed proxy card (or voting instruction form, if you hold your shares through a broker, bank, or other nominee), or online during the virtual 2023 Annual Meeting</w:t>
      </w:r>
    </w:p>
    <w:p>
      <w:pPr>
        <w:spacing w:after="0" w:line="1" w:lineRule="exact"/>
        <w:rPr>
          <w:sz w:val="20"/>
          <w:szCs w:val="20"/>
          <w:color w:val="auto"/>
        </w:rPr>
      </w:pPr>
    </w:p>
    <w:p>
      <w:pPr>
        <w:ind w:right="500"/>
        <w:spacing w:after="0" w:line="226" w:lineRule="auto"/>
        <w:rPr>
          <w:sz w:val="20"/>
          <w:szCs w:val="20"/>
          <w:color w:val="auto"/>
        </w:rPr>
      </w:pPr>
      <w:r>
        <w:rPr>
          <w:rFonts w:ascii="Arial" w:cs="Arial" w:eastAsia="Arial" w:hAnsi="Arial"/>
          <w:sz w:val="18"/>
          <w:szCs w:val="18"/>
          <w:color w:val="auto"/>
        </w:rPr>
        <w:t>(the “Annual Meeting”). See “Questions and Answers About the 2023 Annual Meeting and Voting” on page 59 of this proxy statement for additional information regarding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120015</wp:posOffset>
            </wp:positionV>
            <wp:extent cx="6172200" cy="15773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172200" cy="1577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407CCA"/>
        </w:rPr>
        <w:t>How to Participate in the Meeting</w:t>
      </w:r>
    </w:p>
    <w:p>
      <w:pPr>
        <w:spacing w:after="0" w:line="192" w:lineRule="exact"/>
        <w:rPr>
          <w:sz w:val="20"/>
          <w:szCs w:val="20"/>
          <w:color w:val="auto"/>
        </w:rPr>
      </w:pPr>
    </w:p>
    <w:p>
      <w:pPr>
        <w:ind w:right="200"/>
        <w:spacing w:after="0" w:line="241" w:lineRule="auto"/>
        <w:rPr>
          <w:sz w:val="20"/>
          <w:szCs w:val="20"/>
          <w:color w:val="auto"/>
        </w:rPr>
      </w:pPr>
      <w:r>
        <w:rPr>
          <w:rFonts w:ascii="Arial" w:cs="Arial" w:eastAsia="Arial" w:hAnsi="Arial"/>
          <w:sz w:val="16"/>
          <w:szCs w:val="16"/>
          <w:color w:val="auto"/>
        </w:rPr>
        <w:t>Our Annual Meeting will be held in a virtual format. There will be no physical location for the Annual Meeting, and you will not be able to attend in person. As described in additional detail in this proxy summary and in the “Questions and Answers About the 2023 Annual Meeting and Voting” section beginning on page 59, we believe we are taking meaningful steps to facilitate the attendance and participation of our stockholders at the Annual Meeting,</w:t>
      </w:r>
    </w:p>
    <w:p>
      <w:pPr>
        <w:spacing w:after="0" w:line="2" w:lineRule="exact"/>
        <w:rPr>
          <w:sz w:val="20"/>
          <w:szCs w:val="20"/>
          <w:color w:val="auto"/>
        </w:rPr>
      </w:pPr>
    </w:p>
    <w:p>
      <w:pPr>
        <w:ind w:right="80"/>
        <w:spacing w:after="0" w:line="234" w:lineRule="auto"/>
        <w:rPr>
          <w:sz w:val="20"/>
          <w:szCs w:val="20"/>
          <w:color w:val="auto"/>
        </w:rPr>
      </w:pPr>
      <w:r>
        <w:rPr>
          <w:rFonts w:ascii="Arial" w:cs="Arial" w:eastAsia="Arial" w:hAnsi="Arial"/>
          <w:sz w:val="16"/>
          <w:szCs w:val="16"/>
          <w:color w:val="auto"/>
        </w:rPr>
        <w:t>including by providing support for technical assistance during the meeting, allowing stockholders to submit questions in advance of and during the meeting, and addressing as many stockholder questions at the meeting as time allows. If you are an eligible stockholder, you may attend the meeting virtually by visiting www.virtualshareholdermeeting.com/AGNC2023 and logging in using the 16-digit control number printed on your notice, proxy card,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voting instruction form, or in the email sending you the proxy statement.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794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4"/>
          <w:szCs w:val="14"/>
          <w:color w:val="407CCA"/>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3" w:name="page4"/>
    <w:bookmarkEnd w:id="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59"/>
        <w:spacing w:after="0"/>
        <w:rPr>
          <w:sz w:val="20"/>
          <w:szCs w:val="20"/>
          <w:color w:val="auto"/>
        </w:rPr>
      </w:pPr>
      <w:r>
        <w:rPr>
          <w:rFonts w:ascii="Arial" w:cs="Arial" w:eastAsia="Arial" w:hAnsi="Arial"/>
          <w:sz w:val="22"/>
          <w:szCs w:val="22"/>
          <w:b w:val="1"/>
          <w:bCs w:val="1"/>
          <w:color w:val="407CCA"/>
        </w:rPr>
        <w:t>AGNC INVESTMENT CORP. AT A GLANCE</w:t>
      </w:r>
    </w:p>
    <w:p>
      <w:pPr>
        <w:spacing w:after="0" w:line="192" w:lineRule="exact"/>
        <w:rPr>
          <w:sz w:val="20"/>
          <w:szCs w:val="20"/>
          <w:color w:val="auto"/>
        </w:rPr>
      </w:pPr>
    </w:p>
    <w:p>
      <w:pPr>
        <w:ind w:right="240" w:firstLine="648"/>
        <w:spacing w:after="0" w:line="235" w:lineRule="auto"/>
        <w:rPr>
          <w:sz w:val="20"/>
          <w:szCs w:val="20"/>
          <w:color w:val="auto"/>
        </w:rPr>
      </w:pPr>
      <w:r>
        <w:rPr>
          <w:rFonts w:ascii="Arial" w:cs="Arial" w:eastAsia="Arial" w:hAnsi="Arial"/>
          <w:sz w:val="18"/>
          <w:szCs w:val="18"/>
          <w:color w:val="auto"/>
        </w:rPr>
        <w:t>AGNC Investment Corp. (“AGNC,” the “Company,” “we,” “our,” and “us”) is a leading provider of private capital to the U.S. housing market, enhancing liquidity in the residential real estate mortgage markets and, in turn, facilitating home ownership in the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690880</wp:posOffset>
            </wp:positionH>
            <wp:positionV relativeFrom="paragraph">
              <wp:posOffset>-16510</wp:posOffset>
            </wp:positionV>
            <wp:extent cx="5760720" cy="32143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760720" cy="321437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3617595</wp:posOffset>
            </wp:positionV>
            <wp:extent cx="5400675"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4006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80"/>
        <w:spacing w:after="0"/>
        <w:tabs>
          <w:tab w:leader="none" w:pos="320" w:val="left"/>
        </w:tabs>
        <w:rPr>
          <w:sz w:val="20"/>
          <w:szCs w:val="20"/>
          <w:color w:val="auto"/>
        </w:rPr>
      </w:pPr>
      <w:r>
        <w:rPr>
          <w:rFonts w:ascii="Arial" w:cs="Arial" w:eastAsia="Arial" w:hAnsi="Arial"/>
          <w:sz w:val="14"/>
          <w:szCs w:val="14"/>
          <w:color w:val="auto"/>
        </w:rPr>
        <w:t>1.</w:t>
      </w:r>
      <w:r>
        <w:rPr>
          <w:sz w:val="20"/>
          <w:szCs w:val="20"/>
          <w:color w:val="auto"/>
        </w:rPr>
        <w:tab/>
      </w:r>
      <w:r>
        <w:rPr>
          <w:rFonts w:ascii="Arial" w:cs="Arial" w:eastAsia="Arial" w:hAnsi="Arial"/>
          <w:sz w:val="12"/>
          <w:szCs w:val="12"/>
          <w:color w:val="auto"/>
        </w:rPr>
        <w:t>Data as of December 31, 2022.</w:t>
      </w:r>
    </w:p>
    <w:p>
      <w:pPr>
        <w:spacing w:after="0" w:line="200" w:lineRule="exact"/>
        <w:rPr>
          <w:sz w:val="20"/>
          <w:szCs w:val="20"/>
          <w:color w:val="auto"/>
        </w:rPr>
      </w:pPr>
    </w:p>
    <w:p>
      <w:pPr>
        <w:spacing w:after="0" w:line="23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From our May 2008 IPO through December 31, 2022, AGNC has declared $12 billion in common stock dividends, or $45.76 per common share,</w:t>
      </w:r>
    </w:p>
    <w:p>
      <w:pPr>
        <w:spacing w:after="0" w:line="21" w:lineRule="exact"/>
        <w:rPr>
          <w:sz w:val="20"/>
          <w:szCs w:val="20"/>
          <w:color w:val="auto"/>
        </w:rPr>
      </w:pPr>
    </w:p>
    <w:p>
      <w:pPr>
        <w:spacing w:after="0" w:line="226" w:lineRule="auto"/>
        <w:rPr>
          <w:sz w:val="20"/>
          <w:szCs w:val="20"/>
          <w:color w:val="auto"/>
        </w:rPr>
      </w:pPr>
      <w:r>
        <w:rPr>
          <w:rFonts w:ascii="Arial" w:cs="Arial" w:eastAsia="Arial" w:hAnsi="Arial"/>
          <w:sz w:val="18"/>
          <w:szCs w:val="18"/>
          <w:color w:val="auto"/>
        </w:rPr>
        <w:t>and has generated an annualized total stock return of 10.1%, compared to 3.5% for the Bloomberg Mortgage REIT Index, 5.4% for the S&amp;P 500 Financials Index, and 4.2% for the S&amp;P 500 Real Estate Index.</w:t>
      </w:r>
    </w:p>
    <w:p>
      <w:pPr>
        <w:spacing w:after="0" w:line="200" w:lineRule="exact"/>
        <w:rPr>
          <w:sz w:val="20"/>
          <w:szCs w:val="20"/>
          <w:color w:val="auto"/>
        </w:rPr>
      </w:pPr>
    </w:p>
    <w:p>
      <w:pPr>
        <w:spacing w:after="0" w:line="375"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00"/>
          </w:cols>
          <w:pgMar w:left="320" w:top="108" w:right="379" w:bottom="1440" w:gutter="0" w:footer="0" w:header="0"/>
        </w:sectPr>
      </w:pPr>
    </w:p>
    <w:bookmarkStart w:id="4" w:name="page5"/>
    <w:bookmarkEnd w:id="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84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36830</wp:posOffset>
            </wp:positionV>
            <wp:extent cx="7132320" cy="42602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426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340" w:hanging="251"/>
        <w:spacing w:after="0" w:line="253" w:lineRule="auto"/>
        <w:tabs>
          <w:tab w:leader="none" w:pos="346" w:val="left"/>
        </w:tabs>
        <w:numPr>
          <w:ilvl w:val="0"/>
          <w:numId w:val="4"/>
        </w:numPr>
        <w:rPr>
          <w:rFonts w:ascii="Arial" w:cs="Arial" w:eastAsia="Arial" w:hAnsi="Arial"/>
          <w:sz w:val="14"/>
          <w:szCs w:val="14"/>
          <w:color w:val="auto"/>
        </w:rPr>
      </w:pPr>
      <w:r>
        <w:rPr>
          <w:rFonts w:ascii="Arial" w:cs="Arial" w:eastAsia="Arial" w:hAnsi="Arial"/>
          <w:sz w:val="14"/>
          <w:szCs w:val="14"/>
          <w:color w:val="auto"/>
        </w:rPr>
        <w:t>Total stock return is measured from AGNC's IPO through December 31, 2022. Total stock return over a period includes price appreciation and dividend reinvestment; dividends are assumed to be reinvested at the closing price of the security on the ex-dividend date. Source: Bloomberg.</w:t>
      </w: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Qualified Leadership</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Management Team</w:t>
      </w:r>
    </w:p>
    <w:p>
      <w:pPr>
        <w:spacing w:after="0" w:line="212" w:lineRule="exact"/>
        <w:rPr>
          <w:sz w:val="20"/>
          <w:szCs w:val="20"/>
          <w:color w:val="auto"/>
        </w:rPr>
      </w:pPr>
    </w:p>
    <w:p>
      <w:pPr>
        <w:ind w:right="20" w:firstLine="648"/>
        <w:spacing w:after="0" w:line="280" w:lineRule="auto"/>
        <w:rPr>
          <w:sz w:val="20"/>
          <w:szCs w:val="20"/>
          <w:color w:val="auto"/>
        </w:rPr>
      </w:pPr>
      <w:r>
        <w:rPr>
          <w:rFonts w:ascii="Arial" w:cs="Arial" w:eastAsia="Arial" w:hAnsi="Arial"/>
          <w:sz w:val="16"/>
          <w:szCs w:val="16"/>
          <w:color w:val="auto"/>
        </w:rPr>
        <w:t>The AGNC management team is led by Peter Federico, our President and Chief Executive Officer, and Christopher Kuehl, our Executive Vice President and Chief Investment Officer. Following our successful leadership transition in July 2021, Gary Kain, previously our Chief Executive Officer and</w:t>
      </w:r>
    </w:p>
    <w:p>
      <w:pPr>
        <w:ind w:right="180"/>
        <w:spacing w:after="0" w:line="257" w:lineRule="auto"/>
        <w:rPr>
          <w:sz w:val="20"/>
          <w:szCs w:val="20"/>
          <w:color w:val="auto"/>
        </w:rPr>
      </w:pPr>
      <w:r>
        <w:rPr>
          <w:rFonts w:ascii="Arial" w:cs="Arial" w:eastAsia="Arial" w:hAnsi="Arial"/>
          <w:sz w:val="17"/>
          <w:szCs w:val="17"/>
          <w:color w:val="auto"/>
        </w:rPr>
        <w:t xml:space="preserve">Chief Investment Officer, now serves as Executive Chair of our Board of Directors (the </w:t>
      </w:r>
      <w:r>
        <w:rPr>
          <w:rFonts w:ascii="Arial" w:cs="Arial" w:eastAsia="Arial" w:hAnsi="Arial"/>
          <w:sz w:val="20"/>
          <w:szCs w:val="20"/>
          <w:color w:val="auto"/>
        </w:rPr>
        <w:t>“</w:t>
      </w:r>
      <w:r>
        <w:rPr>
          <w:rFonts w:ascii="Arial" w:cs="Arial" w:eastAsia="Arial" w:hAnsi="Arial"/>
          <w:sz w:val="17"/>
          <w:szCs w:val="17"/>
          <w:color w:val="auto"/>
        </w:rPr>
        <w:t>Board”). Messrs. Federico, Kuehl, and Kain collectively have over 90 years of experience investing in MBS and have worked together at AGNC for the last 12 years. Messrs. Federico, Kuehl, and Kain, together with the other members of our management team, possess a broad mix of mortgage investment expertise and experience.</w:t>
      </w:r>
    </w:p>
    <w:p>
      <w:pPr>
        <w:spacing w:after="0" w:line="175"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Board of Directors</w:t>
      </w:r>
    </w:p>
    <w:p>
      <w:pPr>
        <w:spacing w:after="0" w:line="223" w:lineRule="exact"/>
        <w:rPr>
          <w:sz w:val="20"/>
          <w:szCs w:val="20"/>
          <w:color w:val="auto"/>
        </w:rPr>
      </w:pPr>
    </w:p>
    <w:p>
      <w:pPr>
        <w:jc w:val="center"/>
        <w:ind w:right="200"/>
        <w:spacing w:after="0"/>
        <w:rPr>
          <w:sz w:val="20"/>
          <w:szCs w:val="20"/>
          <w:color w:val="auto"/>
        </w:rPr>
      </w:pPr>
      <w:r>
        <w:rPr>
          <w:rFonts w:ascii="Arial" w:cs="Arial" w:eastAsia="Arial" w:hAnsi="Arial"/>
          <w:sz w:val="18"/>
          <w:szCs w:val="18"/>
          <w:color w:val="auto"/>
        </w:rPr>
        <w:t>AGNC’s Board is currently comprised of nine members, including seven independent directors, whose diverse range of experience and</w:t>
      </w:r>
    </w:p>
    <w:p>
      <w:pPr>
        <w:jc w:val="center"/>
        <w:ind w:right="240"/>
        <w:spacing w:after="0"/>
        <w:rPr>
          <w:sz w:val="20"/>
          <w:szCs w:val="20"/>
          <w:color w:val="auto"/>
        </w:rPr>
      </w:pPr>
      <w:r>
        <w:rPr>
          <w:rFonts w:ascii="Arial" w:cs="Arial" w:eastAsia="Arial" w:hAnsi="Arial"/>
          <w:sz w:val="16"/>
          <w:szCs w:val="16"/>
          <w:color w:val="auto"/>
        </w:rPr>
        <w:t>backgrounds makes them highly qualified to oversee our strategy, operations, and risk management. As part of its annual process, the Compensation and</w:t>
      </w:r>
    </w:p>
    <w:p>
      <w:pPr>
        <w:spacing w:after="0"/>
        <w:rPr>
          <w:sz w:val="20"/>
          <w:szCs w:val="20"/>
          <w:color w:val="auto"/>
        </w:rPr>
      </w:pPr>
      <w:r>
        <w:rPr>
          <w:rFonts w:ascii="Arial" w:cs="Arial" w:eastAsia="Arial" w:hAnsi="Arial"/>
          <w:sz w:val="16"/>
          <w:szCs w:val="16"/>
          <w:color w:val="auto"/>
        </w:rPr>
        <w:t xml:space="preserve">Corporate Governance Committee of the Board (the </w:t>
      </w:r>
      <w:r>
        <w:rPr>
          <w:rFonts w:ascii="Arial" w:cs="Arial" w:eastAsia="Arial" w:hAnsi="Arial"/>
          <w:sz w:val="19"/>
          <w:szCs w:val="19"/>
          <w:color w:val="auto"/>
        </w:rPr>
        <w:t>“</w:t>
      </w:r>
      <w:r>
        <w:rPr>
          <w:rFonts w:ascii="Arial" w:cs="Arial" w:eastAsia="Arial" w:hAnsi="Arial"/>
          <w:sz w:val="16"/>
          <w:szCs w:val="16"/>
          <w:color w:val="auto"/>
        </w:rPr>
        <w:t>Compensation Committee”) evaluates our Board’s backgrounds, skill sets, experience, and diversity</w:t>
      </w:r>
    </w:p>
    <w:p>
      <w:pPr>
        <w:spacing w:after="0" w:line="3" w:lineRule="exact"/>
        <w:rPr>
          <w:sz w:val="20"/>
          <w:szCs w:val="20"/>
          <w:color w:val="auto"/>
        </w:rPr>
      </w:pPr>
    </w:p>
    <w:p>
      <w:pPr>
        <w:ind w:right="280"/>
        <w:spacing w:after="0" w:line="226" w:lineRule="auto"/>
        <w:rPr>
          <w:sz w:val="20"/>
          <w:szCs w:val="20"/>
          <w:color w:val="auto"/>
        </w:rPr>
      </w:pPr>
      <w:r>
        <w:rPr>
          <w:rFonts w:ascii="Arial" w:cs="Arial" w:eastAsia="Arial" w:hAnsi="Arial"/>
          <w:sz w:val="18"/>
          <w:szCs w:val="18"/>
          <w:color w:val="auto"/>
        </w:rPr>
        <w:t>to ensure they align with the Company’s go-forward strategy. Prue Larocca serves as the Lead Independent Director and the Board’s Vice Chair. Further discussion of the responsibilities of Ms. Larocca and Mr. Kain are on page 1 under “Board Leadership Structure.”</w:t>
      </w:r>
    </w:p>
    <w:p>
      <w:pPr>
        <w:spacing w:after="0" w:line="332" w:lineRule="exact"/>
        <w:rPr>
          <w:sz w:val="20"/>
          <w:szCs w:val="20"/>
          <w:color w:val="auto"/>
        </w:rPr>
      </w:pPr>
    </w:p>
    <w:p>
      <w:pPr>
        <w:ind w:left="7940"/>
        <w:spacing w:after="0"/>
        <w:tabs>
          <w:tab w:leader="none" w:pos="1108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4"/>
          <w:szCs w:val="14"/>
          <w:color w:val="407CCA"/>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5" w:name="page6"/>
    <w:bookmarkEnd w:id="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407CCA"/>
        </w:rPr>
        <w:t>Director Nominees</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5360" w:type="dxa"/>
            <w:vAlign w:val="bottom"/>
            <w:tcBorders>
              <w:top w:val="single" w:sz="8" w:color="auto"/>
            </w:tcBorders>
          </w:tcPr>
          <w:p>
            <w:pPr>
              <w:spacing w:after="0"/>
              <w:rPr>
                <w:sz w:val="14"/>
                <w:szCs w:val="14"/>
                <w:color w:val="auto"/>
              </w:rPr>
            </w:pPr>
          </w:p>
        </w:tc>
        <w:tc>
          <w:tcPr>
            <w:tcW w:w="1700" w:type="dxa"/>
            <w:vAlign w:val="bottom"/>
            <w:tcBorders>
              <w:top w:val="single" w:sz="8" w:color="auto"/>
            </w:tcBorders>
          </w:tcPr>
          <w:p>
            <w:pPr>
              <w:spacing w:after="0"/>
              <w:rPr>
                <w:sz w:val="14"/>
                <w:szCs w:val="14"/>
                <w:color w:val="auto"/>
              </w:rPr>
            </w:pPr>
          </w:p>
        </w:tc>
        <w:tc>
          <w:tcPr>
            <w:tcW w:w="1000" w:type="dxa"/>
            <w:vAlign w:val="bottom"/>
            <w:tcBorders>
              <w:top w:val="single" w:sz="8" w:color="auto"/>
            </w:tcBorders>
          </w:tcPr>
          <w:p>
            <w:pPr>
              <w:spacing w:after="0"/>
              <w:rPr>
                <w:sz w:val="14"/>
                <w:szCs w:val="14"/>
                <w:color w:val="auto"/>
              </w:rPr>
            </w:pPr>
          </w:p>
        </w:tc>
        <w:tc>
          <w:tcPr>
            <w:tcW w:w="820" w:type="dxa"/>
            <w:vAlign w:val="bottom"/>
            <w:tcBorders>
              <w:top w:val="single" w:sz="8" w:color="auto"/>
              <w:bottom w:val="single" w:sz="8" w:color="auto"/>
            </w:tcBorders>
          </w:tcPr>
          <w:p>
            <w:pPr>
              <w:spacing w:after="0"/>
              <w:rPr>
                <w:sz w:val="14"/>
                <w:szCs w:val="14"/>
                <w:color w:val="auto"/>
              </w:rPr>
            </w:pPr>
          </w:p>
        </w:tc>
        <w:tc>
          <w:tcPr>
            <w:tcW w:w="2360" w:type="dxa"/>
            <w:vAlign w:val="bottom"/>
            <w:tcBorders>
              <w:top w:val="single" w:sz="8" w:color="auto"/>
              <w:bottom w:val="single" w:sz="8" w:color="auto"/>
            </w:tcBorders>
            <w:gridSpan w:val="2"/>
          </w:tcPr>
          <w:p>
            <w:pPr>
              <w:ind w:left="460"/>
              <w:spacing w:after="0"/>
              <w:rPr>
                <w:sz w:val="20"/>
                <w:szCs w:val="20"/>
                <w:color w:val="auto"/>
              </w:rPr>
            </w:pPr>
            <w:r>
              <w:rPr>
                <w:rFonts w:ascii="Arial" w:cs="Arial" w:eastAsia="Arial" w:hAnsi="Arial"/>
                <w:sz w:val="13"/>
                <w:szCs w:val="13"/>
                <w:b w:val="1"/>
                <w:bCs w:val="1"/>
                <w:color w:val="auto"/>
              </w:rPr>
              <w:t>Committee</w:t>
            </w:r>
          </w:p>
        </w:tc>
        <w:tc>
          <w:tcPr>
            <w:tcW w:w="0" w:type="dxa"/>
            <w:vAlign w:val="bottom"/>
          </w:tcPr>
          <w:p>
            <w:pPr>
              <w:spacing w:after="0"/>
              <w:rPr>
                <w:sz w:val="1"/>
                <w:szCs w:val="1"/>
                <w:color w:val="auto"/>
              </w:rPr>
            </w:pPr>
          </w:p>
        </w:tc>
      </w:tr>
      <w:tr>
        <w:trPr>
          <w:trHeight w:val="117"/>
        </w:trPr>
        <w:tc>
          <w:tcPr>
            <w:tcW w:w="5360" w:type="dxa"/>
            <w:vAlign w:val="bottom"/>
            <w:vMerge w:val="restart"/>
          </w:tcPr>
          <w:p>
            <w:pPr>
              <w:ind w:left="120"/>
              <w:spacing w:after="0"/>
              <w:rPr>
                <w:sz w:val="20"/>
                <w:szCs w:val="20"/>
                <w:color w:val="auto"/>
              </w:rPr>
            </w:pPr>
            <w:r>
              <w:rPr>
                <w:rFonts w:ascii="Arial" w:cs="Arial" w:eastAsia="Arial" w:hAnsi="Arial"/>
                <w:sz w:val="18"/>
                <w:szCs w:val="18"/>
                <w:b w:val="1"/>
                <w:bCs w:val="1"/>
                <w:color w:val="auto"/>
              </w:rPr>
              <w:t>Name</w:t>
            </w:r>
          </w:p>
        </w:tc>
        <w:tc>
          <w:tcPr>
            <w:tcW w:w="170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640" w:type="dxa"/>
            <w:vAlign w:val="bottom"/>
          </w:tcPr>
          <w:p>
            <w:pPr>
              <w:jc w:val="center"/>
              <w:spacing w:after="0" w:line="118" w:lineRule="exact"/>
              <w:rPr>
                <w:sz w:val="20"/>
                <w:szCs w:val="20"/>
                <w:color w:val="auto"/>
              </w:rPr>
            </w:pPr>
            <w:r>
              <w:rPr>
                <w:rFonts w:ascii="Arial" w:cs="Arial" w:eastAsia="Arial" w:hAnsi="Arial"/>
                <w:sz w:val="13"/>
                <w:szCs w:val="13"/>
                <w:b w:val="1"/>
                <w:bCs w:val="1"/>
                <w:color w:val="auto"/>
                <w:w w:val="89"/>
              </w:rPr>
              <w:t>Compensation &amp;</w:t>
            </w:r>
          </w:p>
        </w:tc>
        <w:tc>
          <w:tcPr>
            <w:tcW w:w="0" w:type="dxa"/>
            <w:vAlign w:val="bottom"/>
          </w:tcPr>
          <w:p>
            <w:pPr>
              <w:spacing w:after="0"/>
              <w:rPr>
                <w:sz w:val="1"/>
                <w:szCs w:val="1"/>
                <w:color w:val="auto"/>
              </w:rPr>
            </w:pPr>
          </w:p>
        </w:tc>
      </w:tr>
      <w:tr>
        <w:trPr>
          <w:trHeight w:val="203"/>
        </w:trPr>
        <w:tc>
          <w:tcPr>
            <w:tcW w:w="5360" w:type="dxa"/>
            <w:vAlign w:val="bottom"/>
            <w:vMerge w:val="continue"/>
          </w:tcPr>
          <w:p>
            <w:pPr>
              <w:spacing w:after="0"/>
              <w:rPr>
                <w:sz w:val="17"/>
                <w:szCs w:val="17"/>
                <w:color w:val="auto"/>
              </w:rPr>
            </w:pPr>
          </w:p>
        </w:tc>
        <w:tc>
          <w:tcPr>
            <w:tcW w:w="1700" w:type="dxa"/>
            <w:vAlign w:val="bottom"/>
          </w:tcPr>
          <w:p>
            <w:pPr>
              <w:jc w:val="center"/>
              <w:ind w:left="493"/>
              <w:spacing w:after="0"/>
              <w:rPr>
                <w:sz w:val="20"/>
                <w:szCs w:val="20"/>
                <w:color w:val="auto"/>
              </w:rPr>
            </w:pPr>
            <w:r>
              <w:rPr>
                <w:rFonts w:ascii="Arial" w:cs="Arial" w:eastAsia="Arial" w:hAnsi="Arial"/>
                <w:sz w:val="13"/>
                <w:szCs w:val="13"/>
                <w:b w:val="1"/>
                <w:bCs w:val="1"/>
                <w:color w:val="auto"/>
                <w:w w:val="86"/>
              </w:rPr>
              <w:t>Director Since</w:t>
            </w:r>
          </w:p>
        </w:tc>
        <w:tc>
          <w:tcPr>
            <w:tcW w:w="1000" w:type="dxa"/>
            <w:vAlign w:val="bottom"/>
          </w:tcPr>
          <w:p>
            <w:pPr>
              <w:jc w:val="center"/>
              <w:spacing w:after="0"/>
              <w:rPr>
                <w:sz w:val="20"/>
                <w:szCs w:val="20"/>
                <w:color w:val="auto"/>
              </w:rPr>
            </w:pPr>
            <w:r>
              <w:rPr>
                <w:rFonts w:ascii="Arial" w:cs="Arial" w:eastAsia="Arial" w:hAnsi="Arial"/>
                <w:sz w:val="13"/>
                <w:szCs w:val="13"/>
                <w:b w:val="1"/>
                <w:bCs w:val="1"/>
                <w:color w:val="auto"/>
                <w:w w:val="87"/>
              </w:rPr>
              <w:t>Independent</w:t>
            </w:r>
          </w:p>
        </w:tc>
        <w:tc>
          <w:tcPr>
            <w:tcW w:w="820" w:type="dxa"/>
            <w:vAlign w:val="bottom"/>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720" w:type="dxa"/>
            <w:vAlign w:val="bottom"/>
          </w:tcPr>
          <w:p>
            <w:pPr>
              <w:jc w:val="center"/>
              <w:spacing w:after="0"/>
              <w:rPr>
                <w:sz w:val="20"/>
                <w:szCs w:val="20"/>
                <w:color w:val="auto"/>
              </w:rPr>
            </w:pPr>
            <w:r>
              <w:rPr>
                <w:rFonts w:ascii="Arial" w:cs="Arial" w:eastAsia="Arial" w:hAnsi="Arial"/>
                <w:sz w:val="13"/>
                <w:szCs w:val="13"/>
                <w:b w:val="1"/>
                <w:bCs w:val="1"/>
                <w:color w:val="auto"/>
                <w:w w:val="96"/>
              </w:rPr>
              <w:t>Audit</w:t>
            </w:r>
          </w:p>
        </w:tc>
        <w:tc>
          <w:tcPr>
            <w:tcW w:w="1640" w:type="dxa"/>
            <w:vAlign w:val="bottom"/>
          </w:tcPr>
          <w:p>
            <w:pPr>
              <w:jc w:val="center"/>
              <w:spacing w:after="0"/>
              <w:rPr>
                <w:sz w:val="20"/>
                <w:szCs w:val="20"/>
                <w:color w:val="auto"/>
              </w:rPr>
            </w:pPr>
            <w:r>
              <w:rPr>
                <w:rFonts w:ascii="Arial" w:cs="Arial" w:eastAsia="Arial" w:hAnsi="Arial"/>
                <w:sz w:val="13"/>
                <w:szCs w:val="13"/>
                <w:b w:val="1"/>
                <w:bCs w:val="1"/>
                <w:color w:val="auto"/>
                <w:w w:val="87"/>
              </w:rPr>
              <w:t>Corporate Governance</w:t>
            </w:r>
          </w:p>
        </w:tc>
        <w:tc>
          <w:tcPr>
            <w:tcW w:w="0" w:type="dxa"/>
            <w:vAlign w:val="bottom"/>
          </w:tcPr>
          <w:p>
            <w:pPr>
              <w:spacing w:after="0"/>
              <w:rPr>
                <w:sz w:val="1"/>
                <w:szCs w:val="1"/>
                <w:color w:val="auto"/>
              </w:rPr>
            </w:pPr>
          </w:p>
        </w:tc>
      </w:tr>
      <w:tr>
        <w:trPr>
          <w:trHeight w:val="330"/>
        </w:trPr>
        <w:tc>
          <w:tcPr>
            <w:tcW w:w="5360" w:type="dxa"/>
            <w:vAlign w:val="bottom"/>
          </w:tcPr>
          <w:p>
            <w:pPr>
              <w:ind w:left="180"/>
              <w:spacing w:after="0"/>
              <w:rPr>
                <w:sz w:val="20"/>
                <w:szCs w:val="20"/>
                <w:color w:val="auto"/>
              </w:rPr>
            </w:pPr>
            <w:r>
              <w:rPr>
                <w:rFonts w:ascii="Arial" w:cs="Arial" w:eastAsia="Arial" w:hAnsi="Arial"/>
                <w:sz w:val="18"/>
                <w:szCs w:val="18"/>
                <w:color w:val="auto"/>
              </w:rPr>
              <w:t>Donna J. Blank</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2018</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5360" w:type="dxa"/>
            <w:vAlign w:val="bottom"/>
          </w:tcPr>
          <w:p>
            <w:pPr>
              <w:ind w:left="180"/>
              <w:spacing w:after="0"/>
              <w:rPr>
                <w:sz w:val="20"/>
                <w:szCs w:val="20"/>
                <w:color w:val="auto"/>
              </w:rPr>
            </w:pPr>
            <w:r>
              <w:rPr>
                <w:rFonts w:ascii="Arial" w:cs="Arial" w:eastAsia="Arial" w:hAnsi="Arial"/>
                <w:sz w:val="18"/>
                <w:szCs w:val="18"/>
                <w:color w:val="auto"/>
              </w:rPr>
              <w:t>Morris A. Davis</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2008</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4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372"/>
        </w:trPr>
        <w:tc>
          <w:tcPr>
            <w:tcW w:w="5360" w:type="dxa"/>
            <w:vAlign w:val="bottom"/>
          </w:tcPr>
          <w:p>
            <w:pPr>
              <w:ind w:left="180"/>
              <w:spacing w:after="0"/>
              <w:rPr>
                <w:sz w:val="20"/>
                <w:szCs w:val="20"/>
                <w:color w:val="auto"/>
              </w:rPr>
            </w:pPr>
            <w:r>
              <w:rPr>
                <w:rFonts w:ascii="Arial" w:cs="Arial" w:eastAsia="Arial" w:hAnsi="Arial"/>
                <w:sz w:val="18"/>
                <w:szCs w:val="18"/>
                <w:color w:val="auto"/>
              </w:rPr>
              <w:t xml:space="preserve">Peter J. Federico </w:t>
            </w:r>
            <w:r>
              <w:rPr>
                <w:rFonts w:ascii="Arial" w:cs="Arial" w:eastAsia="Arial" w:hAnsi="Arial"/>
                <w:sz w:val="18"/>
                <w:szCs w:val="18"/>
                <w:i w:val="1"/>
                <w:iCs w:val="1"/>
                <w:color w:val="407CCA"/>
              </w:rPr>
              <w:t>(Chief Executive Officer)</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2021</w:t>
            </w:r>
          </w:p>
        </w:tc>
        <w:tc>
          <w:tcPr>
            <w:tcW w:w="10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5360" w:type="dxa"/>
            <w:vAlign w:val="bottom"/>
          </w:tcPr>
          <w:p>
            <w:pPr>
              <w:ind w:left="180"/>
              <w:spacing w:after="0"/>
              <w:rPr>
                <w:sz w:val="20"/>
                <w:szCs w:val="20"/>
                <w:color w:val="auto"/>
              </w:rPr>
            </w:pPr>
            <w:r>
              <w:rPr>
                <w:rFonts w:ascii="Arial" w:cs="Arial" w:eastAsia="Arial" w:hAnsi="Arial"/>
                <w:sz w:val="18"/>
                <w:szCs w:val="18"/>
                <w:color w:val="auto"/>
              </w:rPr>
              <w:t>John D. Fisk</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2019</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4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391"/>
        </w:trPr>
        <w:tc>
          <w:tcPr>
            <w:tcW w:w="5360" w:type="dxa"/>
            <w:vAlign w:val="bottom"/>
          </w:tcPr>
          <w:p>
            <w:pPr>
              <w:ind w:left="180"/>
              <w:spacing w:after="0"/>
              <w:rPr>
                <w:sz w:val="20"/>
                <w:szCs w:val="20"/>
                <w:color w:val="auto"/>
              </w:rPr>
            </w:pPr>
            <w:r>
              <w:rPr>
                <w:rFonts w:ascii="Arial" w:cs="Arial" w:eastAsia="Arial" w:hAnsi="Arial"/>
                <w:sz w:val="18"/>
                <w:szCs w:val="18"/>
                <w:color w:val="auto"/>
              </w:rPr>
              <w:t>Andrew A. Johnson, Jr.</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2021</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spacing w:after="0"/>
              <w:rPr>
                <w:sz w:val="24"/>
                <w:szCs w:val="24"/>
                <w:color w:val="auto"/>
              </w:rPr>
            </w:pPr>
          </w:p>
        </w:tc>
        <w:tc>
          <w:tcPr>
            <w:tcW w:w="7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5360" w:type="dxa"/>
            <w:vAlign w:val="bottom"/>
          </w:tcPr>
          <w:p>
            <w:pPr>
              <w:ind w:left="180"/>
              <w:spacing w:after="0"/>
              <w:rPr>
                <w:sz w:val="20"/>
                <w:szCs w:val="20"/>
                <w:color w:val="auto"/>
              </w:rPr>
            </w:pPr>
            <w:r>
              <w:rPr>
                <w:rFonts w:ascii="Arial" w:cs="Arial" w:eastAsia="Arial" w:hAnsi="Arial"/>
                <w:sz w:val="18"/>
                <w:szCs w:val="18"/>
                <w:color w:val="auto"/>
              </w:rPr>
              <w:t xml:space="preserve">Gary D. Kain </w:t>
            </w:r>
            <w:r>
              <w:rPr>
                <w:rFonts w:ascii="Arial" w:cs="Arial" w:eastAsia="Arial" w:hAnsi="Arial"/>
                <w:sz w:val="18"/>
                <w:szCs w:val="18"/>
                <w:i w:val="1"/>
                <w:iCs w:val="1"/>
                <w:color w:val="407CCA"/>
              </w:rPr>
              <w:t>(Executive Chair)</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2016</w:t>
            </w:r>
          </w:p>
        </w:tc>
        <w:tc>
          <w:tcPr>
            <w:tcW w:w="1000" w:type="dxa"/>
            <w:vAlign w:val="bottom"/>
          </w:tcPr>
          <w:p>
            <w:pPr>
              <w:spacing w:after="0"/>
              <w:rPr>
                <w:sz w:val="24"/>
                <w:szCs w:val="24"/>
                <w:color w:val="auto"/>
              </w:rPr>
            </w:pPr>
          </w:p>
        </w:tc>
        <w:tc>
          <w:tcPr>
            <w:tcW w:w="8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72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360" w:type="dxa"/>
            <w:vAlign w:val="bottom"/>
          </w:tcPr>
          <w:p>
            <w:pPr>
              <w:ind w:left="180"/>
              <w:spacing w:after="0"/>
              <w:rPr>
                <w:sz w:val="20"/>
                <w:szCs w:val="20"/>
                <w:color w:val="auto"/>
              </w:rPr>
            </w:pPr>
            <w:r>
              <w:rPr>
                <w:rFonts w:ascii="Arial" w:cs="Arial" w:eastAsia="Arial" w:hAnsi="Arial"/>
                <w:sz w:val="18"/>
                <w:szCs w:val="18"/>
                <w:color w:val="auto"/>
              </w:rPr>
              <w:t xml:space="preserve">Prue B. Larocca </w:t>
            </w:r>
            <w:r>
              <w:rPr>
                <w:rFonts w:ascii="Arial" w:cs="Arial" w:eastAsia="Arial" w:hAnsi="Arial"/>
                <w:sz w:val="18"/>
                <w:szCs w:val="18"/>
                <w:i w:val="1"/>
                <w:iCs w:val="1"/>
                <w:color w:val="407CCA"/>
              </w:rPr>
              <w:t>(Lead Independent Director and Vice Chair)</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2013</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7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4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310"/>
        </w:trPr>
        <w:tc>
          <w:tcPr>
            <w:tcW w:w="5360" w:type="dxa"/>
            <w:vAlign w:val="bottom"/>
          </w:tcPr>
          <w:p>
            <w:pPr>
              <w:ind w:left="180"/>
              <w:spacing w:after="0"/>
              <w:rPr>
                <w:sz w:val="20"/>
                <w:szCs w:val="20"/>
                <w:color w:val="auto"/>
              </w:rPr>
            </w:pPr>
            <w:r>
              <w:rPr>
                <w:rFonts w:ascii="Arial" w:cs="Arial" w:eastAsia="Arial" w:hAnsi="Arial"/>
                <w:sz w:val="18"/>
                <w:szCs w:val="18"/>
                <w:color w:val="auto"/>
              </w:rPr>
              <w:t>Paul E. Mullings</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2016</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4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392"/>
        </w:trPr>
        <w:tc>
          <w:tcPr>
            <w:tcW w:w="5360" w:type="dxa"/>
            <w:vAlign w:val="bottom"/>
          </w:tcPr>
          <w:p>
            <w:pPr>
              <w:ind w:left="180"/>
              <w:spacing w:after="0"/>
              <w:rPr>
                <w:sz w:val="20"/>
                <w:szCs w:val="20"/>
                <w:color w:val="auto"/>
              </w:rPr>
            </w:pPr>
            <w:r>
              <w:rPr>
                <w:rFonts w:ascii="Arial" w:cs="Arial" w:eastAsia="Arial" w:hAnsi="Arial"/>
                <w:sz w:val="18"/>
                <w:szCs w:val="18"/>
                <w:color w:val="auto"/>
              </w:rPr>
              <w:t>Frances R. Spark</w:t>
            </w:r>
          </w:p>
        </w:tc>
        <w:tc>
          <w:tcPr>
            <w:tcW w:w="1700" w:type="dxa"/>
            <w:vAlign w:val="bottom"/>
          </w:tcPr>
          <w:p>
            <w:pPr>
              <w:jc w:val="center"/>
              <w:ind w:left="493"/>
              <w:spacing w:after="0"/>
              <w:rPr>
                <w:sz w:val="20"/>
                <w:szCs w:val="20"/>
                <w:color w:val="auto"/>
              </w:rPr>
            </w:pPr>
            <w:r>
              <w:rPr>
                <w:rFonts w:ascii="Arial" w:cs="Arial" w:eastAsia="Arial" w:hAnsi="Arial"/>
                <w:sz w:val="18"/>
                <w:szCs w:val="18"/>
                <w:color w:val="auto"/>
                <w:w w:val="89"/>
              </w:rPr>
              <w:t>2019</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820" w:type="dxa"/>
            <w:vAlign w:val="bottom"/>
          </w:tcPr>
          <w:p>
            <w:pPr>
              <w:spacing w:after="0"/>
              <w:rPr>
                <w:sz w:val="24"/>
                <w:szCs w:val="24"/>
                <w:color w:val="auto"/>
              </w:rPr>
            </w:pPr>
          </w:p>
        </w:tc>
        <w:tc>
          <w:tcPr>
            <w:tcW w:w="7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1"/>
        </w:trPr>
        <w:tc>
          <w:tcPr>
            <w:tcW w:w="5360" w:type="dxa"/>
            <w:vAlign w:val="bottom"/>
            <w:tcBorders>
              <w:bottom w:val="single" w:sz="8" w:color="auto"/>
            </w:tcBorders>
          </w:tcPr>
          <w:p>
            <w:pPr>
              <w:spacing w:after="0"/>
              <w:rPr>
                <w:sz w:val="5"/>
                <w:szCs w:val="5"/>
                <w:color w:val="auto"/>
              </w:rPr>
            </w:pPr>
          </w:p>
        </w:tc>
        <w:tc>
          <w:tcPr>
            <w:tcW w:w="1700" w:type="dxa"/>
            <w:vAlign w:val="bottom"/>
            <w:tcBorders>
              <w:bottom w:val="single" w:sz="8" w:color="auto"/>
            </w:tcBorders>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820" w:type="dxa"/>
            <w:vAlign w:val="bottom"/>
            <w:tcBorders>
              <w:bottom w:val="single" w:sz="8" w:color="auto"/>
            </w:tcBorders>
          </w:tcPr>
          <w:p>
            <w:pPr>
              <w:spacing w:after="0"/>
              <w:rPr>
                <w:sz w:val="5"/>
                <w:szCs w:val="5"/>
                <w:color w:val="auto"/>
              </w:rPr>
            </w:pPr>
          </w:p>
        </w:tc>
        <w:tc>
          <w:tcPr>
            <w:tcW w:w="720" w:type="dxa"/>
            <w:vAlign w:val="bottom"/>
            <w:tcBorders>
              <w:bottom w:val="single" w:sz="8" w:color="auto"/>
            </w:tcBorders>
          </w:tcPr>
          <w:p>
            <w:pPr>
              <w:spacing w:after="0"/>
              <w:rPr>
                <w:sz w:val="5"/>
                <w:szCs w:val="5"/>
                <w:color w:val="auto"/>
              </w:rPr>
            </w:pPr>
          </w:p>
        </w:tc>
        <w:tc>
          <w:tcPr>
            <w:tcW w:w="164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334010</wp:posOffset>
            </wp:positionV>
            <wp:extent cx="6172200" cy="256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172200" cy="256286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3317240</wp:posOffset>
            </wp:positionV>
            <wp:extent cx="540067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540067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80"/>
        <w:spacing w:after="0"/>
        <w:tabs>
          <w:tab w:leader="none" w:pos="320" w:val="left"/>
        </w:tabs>
        <w:rPr>
          <w:sz w:val="20"/>
          <w:szCs w:val="20"/>
          <w:color w:val="auto"/>
        </w:rPr>
      </w:pPr>
      <w:r>
        <w:rPr>
          <w:rFonts w:ascii="Arial" w:cs="Arial" w:eastAsia="Arial" w:hAnsi="Arial"/>
          <w:sz w:val="14"/>
          <w:szCs w:val="14"/>
          <w:color w:val="auto"/>
        </w:rPr>
        <w:t>1.</w:t>
      </w:r>
      <w:r>
        <w:rPr>
          <w:sz w:val="20"/>
          <w:szCs w:val="20"/>
          <w:color w:val="auto"/>
        </w:rPr>
        <w:tab/>
      </w:r>
      <w:r>
        <w:rPr>
          <w:rFonts w:ascii="Arial" w:cs="Arial" w:eastAsia="Arial" w:hAnsi="Arial"/>
          <w:sz w:val="13"/>
          <w:szCs w:val="13"/>
          <w:color w:val="auto"/>
        </w:rPr>
        <w:t>Metrics as of February 24, 2023.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iv</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6" w:name="page7"/>
    <w:bookmarkEnd w:id="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485140</wp:posOffset>
            </wp:positionH>
            <wp:positionV relativeFrom="paragraph">
              <wp:posOffset>1152525</wp:posOffset>
            </wp:positionV>
            <wp:extent cx="6172200" cy="58293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172200" cy="5829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 Engagement</w:t>
      </w:r>
    </w:p>
    <w:p>
      <w:pPr>
        <w:spacing w:after="0" w:line="81" w:lineRule="exact"/>
        <w:rPr>
          <w:sz w:val="20"/>
          <w:szCs w:val="20"/>
          <w:color w:val="auto"/>
        </w:rPr>
      </w:pPr>
    </w:p>
    <w:p>
      <w:pPr>
        <w:ind w:right="20" w:firstLine="648"/>
        <w:spacing w:after="0" w:line="248" w:lineRule="auto"/>
        <w:rPr>
          <w:sz w:val="20"/>
          <w:szCs w:val="20"/>
          <w:color w:val="auto"/>
        </w:rPr>
      </w:pPr>
      <w:r>
        <w:rPr>
          <w:rFonts w:ascii="Arial" w:cs="Arial" w:eastAsia="Arial" w:hAnsi="Arial"/>
          <w:sz w:val="16"/>
          <w:szCs w:val="16"/>
          <w:color w:val="auto"/>
        </w:rPr>
        <w:t>We actively engage with and value the opinions of our stockholders, which have influenced the evolution of our compensation program, corporate governance practices, and sustainability and human capital management efforts. We value regular engagement with our stockholders, including through our</w:t>
      </w:r>
    </w:p>
    <w:p>
      <w:pPr>
        <w:ind w:right="20"/>
        <w:spacing w:after="0" w:line="234" w:lineRule="auto"/>
        <w:rPr>
          <w:sz w:val="20"/>
          <w:szCs w:val="20"/>
          <w:color w:val="auto"/>
        </w:rPr>
      </w:pPr>
      <w:r>
        <w:rPr>
          <w:rFonts w:ascii="Arial" w:cs="Arial" w:eastAsia="Arial" w:hAnsi="Arial"/>
          <w:sz w:val="16"/>
          <w:szCs w:val="16"/>
          <w:color w:val="auto"/>
        </w:rPr>
        <w:t>quarterly earnings calls, investor conferences, Fall and Spring engagement campaigns, and outreach through our Investor Relations department. We engaged in a robust outreach program in 2022, contacting each of our top 50 institutional stockholders (which represent 81% of our common stock owned by institutions) and the two largest proxy advisory firms for the opportunity to engage on any aspect of our business of interest to them, including corporate</w:t>
      </w:r>
    </w:p>
    <w:p>
      <w:pPr>
        <w:spacing w:after="0" w:line="2" w:lineRule="exact"/>
        <w:rPr>
          <w:sz w:val="20"/>
          <w:szCs w:val="20"/>
          <w:color w:val="auto"/>
        </w:rPr>
      </w:pPr>
    </w:p>
    <w:p>
      <w:pPr>
        <w:spacing w:after="0"/>
        <w:rPr>
          <w:sz w:val="20"/>
          <w:szCs w:val="20"/>
          <w:color w:val="auto"/>
        </w:rPr>
      </w:pPr>
      <w:r>
        <w:rPr>
          <w:rFonts w:ascii="Arial" w:cs="Arial" w:eastAsia="Arial" w:hAnsi="Arial"/>
          <w:sz w:val="17"/>
          <w:szCs w:val="17"/>
          <w:color w:val="auto"/>
        </w:rPr>
        <w:t>governance and sustainability practices. Most investors we contacted declined our meeting request, noting that there was no need to engage this</w:t>
      </w:r>
    </w:p>
    <w:p>
      <w:pPr>
        <w:sectPr>
          <w:pgSz w:w="11900" w:h="16838" w:orient="portrait"/>
          <w:cols w:equalWidth="0" w:num="1">
            <w:col w:w="11220"/>
          </w:cols>
          <w:pgMar w:left="320" w:top="108" w:right="359" w:bottom="1440" w:gutter="0" w:footer="0" w:header="0"/>
        </w:sectPr>
      </w:pPr>
    </w:p>
    <w:p>
      <w:pPr>
        <w:spacing w:after="0" w:line="338" w:lineRule="exact"/>
        <w:rPr>
          <w:sz w:val="20"/>
          <w:szCs w:val="20"/>
          <w:color w:val="auto"/>
        </w:rPr>
      </w:pPr>
    </w:p>
    <w:p>
      <w:pPr>
        <w:ind w:left="794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7" w:name="page8"/>
    <w:bookmarkEnd w:id="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63" w:lineRule="exact"/>
        <w:rPr>
          <w:sz w:val="20"/>
          <w:szCs w:val="20"/>
          <w:color w:val="auto"/>
        </w:rPr>
      </w:pPr>
    </w:p>
    <w:p>
      <w:pPr>
        <w:ind w:right="40"/>
        <w:spacing w:after="0" w:line="241" w:lineRule="auto"/>
        <w:rPr>
          <w:sz w:val="20"/>
          <w:szCs w:val="20"/>
          <w:color w:val="auto"/>
        </w:rPr>
      </w:pPr>
      <w:r>
        <w:rPr>
          <w:rFonts w:ascii="Arial" w:cs="Arial" w:eastAsia="Arial" w:hAnsi="Arial"/>
          <w:sz w:val="16"/>
          <w:szCs w:val="16"/>
          <w:color w:val="auto"/>
        </w:rPr>
        <w:t>year and expressing general support for our governance and compensation practices. We participated in 11 investor conferences, including retail network calls hosted by research analysts, held over 125 meetings and calls with institutional investors, and responded to over 360 letters, emails, and calls from retail investors. In both 2020 and 2021, we were awarded the Gold Investor CARE Award by Nareit, honoring our excellence in communicating effectively</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and efficiently with our investors.</w:t>
      </w:r>
    </w:p>
    <w:p>
      <w:pPr>
        <w:spacing w:after="0" w:line="196"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At our 2022 Annual Meeting, we proposed amendments to our Certificate of Incorporation to eliminate supermajority voting requirements in order to afford greater accountability to the will of a majority of our stockholders. While these proposals received overwhelming support from stockholders</w:t>
      </w:r>
    </w:p>
    <w:p>
      <w:pPr>
        <w:ind w:right="380"/>
        <w:spacing w:after="0" w:line="218" w:lineRule="auto"/>
        <w:rPr>
          <w:sz w:val="20"/>
          <w:szCs w:val="20"/>
          <w:color w:val="auto"/>
        </w:rPr>
      </w:pPr>
      <w:r>
        <w:rPr>
          <w:rFonts w:ascii="Arial" w:cs="Arial" w:eastAsia="Arial" w:hAnsi="Arial"/>
          <w:sz w:val="18"/>
          <w:szCs w:val="18"/>
          <w:color w:val="auto"/>
        </w:rPr>
        <w:t>voting at the meeting, the necessary vote required in our Certificate of Incorporation to approve them was not reached, and the proposals were not approved. We are re-proposing these amendments this year and will again, directly and through our agent, seek to engage with stockholders and solicit sufficient voter turnout to approve these amendments.</w:t>
      </w:r>
    </w:p>
    <w:p>
      <w:pPr>
        <w:spacing w:after="0" w:line="203" w:lineRule="exact"/>
        <w:rPr>
          <w:sz w:val="20"/>
          <w:szCs w:val="20"/>
          <w:color w:val="auto"/>
        </w:rPr>
      </w:pPr>
    </w:p>
    <w:p>
      <w:pPr>
        <w:ind w:right="120" w:firstLine="648"/>
        <w:spacing w:after="0" w:line="241" w:lineRule="auto"/>
        <w:rPr>
          <w:sz w:val="20"/>
          <w:szCs w:val="20"/>
          <w:color w:val="auto"/>
        </w:rPr>
      </w:pPr>
      <w:r>
        <w:rPr>
          <w:rFonts w:ascii="Arial" w:cs="Arial" w:eastAsia="Arial" w:hAnsi="Arial"/>
          <w:sz w:val="16"/>
          <w:szCs w:val="16"/>
          <w:color w:val="auto"/>
        </w:rPr>
        <w:t>Feedback from investors and other stakeholders was an important consideration in the expansion of our ESG efforts in 2022. In September, we published our second annual ESG report, which again included disclosures consistent with the recommendations of the Sustainability Accounting Standards Board (“SASB”). In addition, we expanded our report to include the Task Force on Climate-related Financial Disclosures (“TCFD”) framework</w:t>
      </w:r>
    </w:p>
    <w:p>
      <w:pPr>
        <w:spacing w:after="0" w:line="2" w:lineRule="exact"/>
        <w:rPr>
          <w:sz w:val="20"/>
          <w:szCs w:val="20"/>
          <w:color w:val="auto"/>
        </w:rPr>
      </w:pPr>
    </w:p>
    <w:p>
      <w:pPr>
        <w:ind w:right="520"/>
        <w:spacing w:after="0" w:line="226" w:lineRule="auto"/>
        <w:rPr>
          <w:sz w:val="20"/>
          <w:szCs w:val="20"/>
          <w:color w:val="auto"/>
        </w:rPr>
      </w:pPr>
      <w:r>
        <w:rPr>
          <w:rFonts w:ascii="Arial" w:cs="Arial" w:eastAsia="Arial" w:hAnsi="Arial"/>
          <w:sz w:val="18"/>
          <w:szCs w:val="18"/>
          <w:color w:val="auto"/>
        </w:rPr>
        <w:t>and also disclosed Scope 1 and Scope 2 greenhouse gas emissions (“GHG”) and energy consumption data. In 2022, we purchased carbon offsets and renewable energy certificates to offset the entirety of our 2021 Scope 1 and Scope 2 emissions, respectively.</w:t>
      </w:r>
    </w:p>
    <w:p>
      <w:pPr>
        <w:spacing w:after="0" w:line="211"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Executive Compensation Program Overview, Philosophy and Structure, and Evolution</w:t>
      </w:r>
    </w:p>
    <w:p>
      <w:pPr>
        <w:spacing w:after="0" w:line="256" w:lineRule="exact"/>
        <w:rPr>
          <w:sz w:val="20"/>
          <w:szCs w:val="20"/>
          <w:color w:val="auto"/>
        </w:rPr>
      </w:pPr>
    </w:p>
    <w:p>
      <w:pPr>
        <w:ind w:right="340" w:firstLine="648"/>
        <w:spacing w:after="0" w:line="238" w:lineRule="auto"/>
        <w:rPr>
          <w:sz w:val="20"/>
          <w:szCs w:val="20"/>
          <w:color w:val="auto"/>
        </w:rPr>
      </w:pPr>
      <w:r>
        <w:rPr>
          <w:rFonts w:ascii="Arial" w:cs="Arial" w:eastAsia="Arial" w:hAnsi="Arial"/>
          <w:sz w:val="16"/>
          <w:szCs w:val="16"/>
          <w:color w:val="auto"/>
        </w:rPr>
        <w:t>Our Compensation Committee has implemented a compensation program that links pay with performance, aligns executive objectives and incentives with our stockholders’ interests, and promotes operating efficiency. In addition, we believe our compensation program is competitive given AGNC’s size, scale, business, and management structure, promotes retention of our employees, and is well governed and transparent. All AGNC employees, including our named executive officers (“NEOs”), receive a combination of base salary, short-term incentives in the form of an annual cash</w:t>
      </w:r>
    </w:p>
    <w:p>
      <w:pPr>
        <w:spacing w:after="0" w:line="2" w:lineRule="exact"/>
        <w:rPr>
          <w:sz w:val="20"/>
          <w:szCs w:val="20"/>
          <w:color w:val="auto"/>
        </w:rPr>
      </w:pPr>
    </w:p>
    <w:p>
      <w:pPr>
        <w:ind w:right="140"/>
        <w:spacing w:after="0" w:line="226" w:lineRule="auto"/>
        <w:rPr>
          <w:sz w:val="20"/>
          <w:szCs w:val="20"/>
          <w:color w:val="auto"/>
        </w:rPr>
      </w:pPr>
      <w:r>
        <w:rPr>
          <w:rFonts w:ascii="Arial" w:cs="Arial" w:eastAsia="Arial" w:hAnsi="Arial"/>
          <w:sz w:val="18"/>
          <w:szCs w:val="18"/>
          <w:color w:val="auto"/>
        </w:rPr>
        <w:t>bonus opportunity, and long-term incentives (“LTI”) in the form of restricted stock units (“RSUs”). The long-term equity incentives awarded to our NEOs and other senior-level employees consist of a combination of performance-based RSUs and time-based RSUs.</w:t>
      </w:r>
    </w:p>
    <w:p>
      <w:pPr>
        <w:spacing w:after="0" w:line="161" w:lineRule="exact"/>
        <w:rPr>
          <w:sz w:val="20"/>
          <w:szCs w:val="20"/>
          <w:color w:val="auto"/>
        </w:rPr>
      </w:pPr>
    </w:p>
    <w:p>
      <w:pPr>
        <w:ind w:right="60" w:firstLine="648"/>
        <w:spacing w:after="0" w:line="255" w:lineRule="auto"/>
        <w:rPr>
          <w:sz w:val="20"/>
          <w:szCs w:val="20"/>
          <w:color w:val="auto"/>
        </w:rPr>
      </w:pPr>
      <w:r>
        <w:rPr>
          <w:rFonts w:ascii="Arial" w:cs="Arial" w:eastAsia="Arial" w:hAnsi="Arial"/>
          <w:sz w:val="17"/>
          <w:szCs w:val="17"/>
          <w:color w:val="auto"/>
        </w:rPr>
        <w:t>As part of its ongoing evaluation of our compensation practices and in response to feedback we heard from stockholders during our prior outreach efforts, the Compensation Committee has made a number of meaningful changes to our compensation program and the corporate scorecard (“Corporate Scorecard”) used to evaluate performance since the compensation program was first implemented in 2016. Those changes included ensuring that a substantial portion of our NEOs’ total target compensation is allocated to long-term equity, simplifying the annual Corporate Scorecard to increase reliance on financial performance and better align to our strategic objectives, and improving disclosure to provide greater context for our compensation programs. In 2022, each of our NEOs received at least 40% of their target compensation in the form of LTI awards, and 67% of the target value of our NEOs’ annual LTI awards granted in 2022 vest based on company performance over a three-year period.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vi</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8" w:name="page9"/>
    <w:bookmarkEnd w:id="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00" w:lineRule="exact"/>
        <w:rPr>
          <w:sz w:val="20"/>
          <w:szCs w:val="20"/>
          <w:color w:val="auto"/>
        </w:rPr>
      </w:pP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280"/>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500" w:type="dxa"/>
            <w:vAlign w:val="bottom"/>
            <w:gridSpan w:val="10"/>
          </w:tcPr>
          <w:p>
            <w:pPr>
              <w:ind w:left="80"/>
              <w:spacing w:after="0"/>
              <w:rPr>
                <w:sz w:val="20"/>
                <w:szCs w:val="20"/>
                <w:color w:val="auto"/>
              </w:rPr>
            </w:pPr>
            <w:r>
              <w:rPr>
                <w:rFonts w:ascii="Arial" w:cs="Arial" w:eastAsia="Arial" w:hAnsi="Arial"/>
                <w:sz w:val="22"/>
                <w:szCs w:val="22"/>
                <w:b w:val="1"/>
                <w:bCs w:val="1"/>
                <w:color w:val="407CCA"/>
              </w:rPr>
              <w:t>TABLE OF CONTENTS</w:t>
            </w: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4"/>
        </w:trPr>
        <w:tc>
          <w:tcPr>
            <w:tcW w:w="80" w:type="dxa"/>
            <w:vAlign w:val="bottom"/>
          </w:tcPr>
          <w:p>
            <w:pPr>
              <w:spacing w:after="0"/>
              <w:rPr>
                <w:sz w:val="24"/>
                <w:szCs w:val="24"/>
                <w:color w:val="auto"/>
              </w:rPr>
            </w:pPr>
          </w:p>
        </w:tc>
        <w:tc>
          <w:tcPr>
            <w:tcW w:w="10800" w:type="dxa"/>
            <w:vAlign w:val="bottom"/>
            <w:gridSpan w:val="36"/>
          </w:tcPr>
          <w:p>
            <w:pPr>
              <w:ind w:left="100"/>
              <w:spacing w:after="0"/>
              <w:rPr>
                <w:sz w:val="20"/>
                <w:szCs w:val="20"/>
                <w:color w:val="auto"/>
              </w:rPr>
            </w:pPr>
            <w:r>
              <w:rPr>
                <w:rFonts w:ascii="Arial" w:cs="Arial" w:eastAsia="Arial" w:hAnsi="Arial"/>
                <w:sz w:val="18"/>
                <w:szCs w:val="18"/>
                <w:b w:val="1"/>
                <w:bCs w:val="1"/>
                <w:color w:val="0000FF"/>
              </w:rPr>
              <w:t>Proxy Summary</w:t>
            </w:r>
          </w:p>
        </w:tc>
        <w:tc>
          <w:tcPr>
            <w:tcW w:w="360" w:type="dxa"/>
            <w:vAlign w:val="bottom"/>
            <w:gridSpan w:val="2"/>
          </w:tcPr>
          <w:p>
            <w:pPr>
              <w:jc w:val="center"/>
              <w:ind w:left="71"/>
              <w:spacing w:after="0"/>
              <w:rPr>
                <w:sz w:val="20"/>
                <w:szCs w:val="20"/>
                <w:color w:val="auto"/>
              </w:rPr>
            </w:pPr>
            <w:r>
              <w:rPr>
                <w:rFonts w:ascii="Arial" w:cs="Arial" w:eastAsia="Arial" w:hAnsi="Arial"/>
                <w:sz w:val="18"/>
                <w:szCs w:val="18"/>
                <w:color w:val="auto"/>
                <w:w w:val="98"/>
              </w:rPr>
              <w:t>i</w:t>
            </w:r>
          </w:p>
        </w:tc>
        <w:tc>
          <w:tcPr>
            <w:tcW w:w="0" w:type="dxa"/>
            <w:vAlign w:val="bottom"/>
          </w:tcPr>
          <w:p>
            <w:pPr>
              <w:spacing w:after="0"/>
              <w:rPr>
                <w:sz w:val="1"/>
                <w:szCs w:val="1"/>
                <w:color w:val="auto"/>
              </w:rPr>
            </w:pPr>
          </w:p>
        </w:tc>
      </w:tr>
      <w:tr>
        <w:trPr>
          <w:trHeight w:val="21"/>
        </w:trPr>
        <w:tc>
          <w:tcPr>
            <w:tcW w:w="80" w:type="dxa"/>
            <w:vAlign w:val="bottom"/>
          </w:tcPr>
          <w:p>
            <w:pPr>
              <w:spacing w:after="0" w:line="20" w:lineRule="exact"/>
              <w:rPr>
                <w:sz w:val="1"/>
                <w:szCs w:val="1"/>
                <w:color w:val="auto"/>
              </w:rPr>
            </w:pPr>
          </w:p>
        </w:tc>
        <w:tc>
          <w:tcPr>
            <w:tcW w:w="34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360" w:type="dxa"/>
            <w:vAlign w:val="bottom"/>
            <w:tcBorders>
              <w:top w:val="single" w:sz="8" w:color="0000FF"/>
              <w:bottom w:val="single" w:sz="8" w:color="407CCA"/>
            </w:tcBorders>
          </w:tcPr>
          <w:p>
            <w:pPr>
              <w:spacing w:after="0" w:line="20" w:lineRule="exact"/>
              <w:rPr>
                <w:sz w:val="1"/>
                <w:szCs w:val="1"/>
                <w:color w:val="auto"/>
              </w:rPr>
            </w:pPr>
          </w:p>
        </w:tc>
        <w:tc>
          <w:tcPr>
            <w:tcW w:w="62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300" w:type="dxa"/>
            <w:vAlign w:val="bottom"/>
            <w:tcBorders>
              <w:bottom w:val="single" w:sz="8" w:color="407CCA"/>
            </w:tcBorders>
          </w:tcPr>
          <w:p>
            <w:pPr>
              <w:spacing w:after="0" w:line="20" w:lineRule="exact"/>
              <w:rPr>
                <w:sz w:val="1"/>
                <w:szCs w:val="1"/>
                <w:color w:val="auto"/>
              </w:rPr>
            </w:pPr>
          </w:p>
        </w:tc>
        <w:tc>
          <w:tcPr>
            <w:tcW w:w="140" w:type="dxa"/>
            <w:vAlign w:val="bottom"/>
            <w:tcBorders>
              <w:bottom w:val="single" w:sz="8" w:color="407CCA"/>
            </w:tcBorders>
          </w:tcPr>
          <w:p>
            <w:pPr>
              <w:spacing w:after="0" w:line="20" w:lineRule="exact"/>
              <w:rPr>
                <w:sz w:val="1"/>
                <w:szCs w:val="1"/>
                <w:color w:val="auto"/>
              </w:rPr>
            </w:pPr>
          </w:p>
        </w:tc>
        <w:tc>
          <w:tcPr>
            <w:tcW w:w="36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4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4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6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200" w:type="dxa"/>
            <w:vAlign w:val="bottom"/>
            <w:tcBorders>
              <w:bottom w:val="single" w:sz="8" w:color="407CCA"/>
            </w:tcBorders>
          </w:tcPr>
          <w:p>
            <w:pPr>
              <w:spacing w:after="0" w:line="20" w:lineRule="exact"/>
              <w:rPr>
                <w:sz w:val="1"/>
                <w:szCs w:val="1"/>
                <w:color w:val="auto"/>
              </w:rPr>
            </w:pPr>
          </w:p>
        </w:tc>
        <w:tc>
          <w:tcPr>
            <w:tcW w:w="200" w:type="dxa"/>
            <w:vAlign w:val="bottom"/>
            <w:tcBorders>
              <w:bottom w:val="single" w:sz="8" w:color="407CCA"/>
            </w:tcBorders>
          </w:tcPr>
          <w:p>
            <w:pPr>
              <w:spacing w:after="0" w:line="20" w:lineRule="exact"/>
              <w:rPr>
                <w:sz w:val="1"/>
                <w:szCs w:val="1"/>
                <w:color w:val="auto"/>
              </w:rPr>
            </w:pPr>
          </w:p>
        </w:tc>
        <w:tc>
          <w:tcPr>
            <w:tcW w:w="140" w:type="dxa"/>
            <w:vAlign w:val="bottom"/>
            <w:tcBorders>
              <w:bottom w:val="single" w:sz="8" w:color="407CCA"/>
            </w:tcBorders>
          </w:tcPr>
          <w:p>
            <w:pPr>
              <w:spacing w:after="0" w:line="20" w:lineRule="exact"/>
              <w:rPr>
                <w:sz w:val="1"/>
                <w:szCs w:val="1"/>
                <w:color w:val="auto"/>
              </w:rPr>
            </w:pPr>
          </w:p>
        </w:tc>
        <w:tc>
          <w:tcPr>
            <w:tcW w:w="8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300" w:type="dxa"/>
            <w:vAlign w:val="bottom"/>
            <w:tcBorders>
              <w:bottom w:val="single" w:sz="8" w:color="407CCA"/>
            </w:tcBorders>
          </w:tcPr>
          <w:p>
            <w:pPr>
              <w:spacing w:after="0" w:line="20" w:lineRule="exact"/>
              <w:rPr>
                <w:sz w:val="1"/>
                <w:szCs w:val="1"/>
                <w:color w:val="auto"/>
              </w:rPr>
            </w:pPr>
          </w:p>
        </w:tc>
        <w:tc>
          <w:tcPr>
            <w:tcW w:w="50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70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340" w:type="dxa"/>
            <w:vAlign w:val="bottom"/>
            <w:tcBorders>
              <w:bottom w:val="single" w:sz="8" w:color="407CCA"/>
            </w:tcBorders>
          </w:tcPr>
          <w:p>
            <w:pPr>
              <w:spacing w:after="0" w:line="20" w:lineRule="exact"/>
              <w:rPr>
                <w:sz w:val="1"/>
                <w:szCs w:val="1"/>
                <w:color w:val="auto"/>
              </w:rPr>
            </w:pPr>
          </w:p>
        </w:tc>
        <w:tc>
          <w:tcPr>
            <w:tcW w:w="440" w:type="dxa"/>
            <w:vAlign w:val="bottom"/>
            <w:tcBorders>
              <w:bottom w:val="single" w:sz="8" w:color="407CCA"/>
            </w:tcBorders>
          </w:tcPr>
          <w:p>
            <w:pPr>
              <w:spacing w:after="0" w:line="20" w:lineRule="exact"/>
              <w:rPr>
                <w:sz w:val="1"/>
                <w:szCs w:val="1"/>
                <w:color w:val="auto"/>
              </w:rPr>
            </w:pPr>
          </w:p>
        </w:tc>
        <w:tc>
          <w:tcPr>
            <w:tcW w:w="1760" w:type="dxa"/>
            <w:vAlign w:val="bottom"/>
            <w:tcBorders>
              <w:bottom w:val="single" w:sz="8" w:color="407CCA"/>
            </w:tcBorders>
          </w:tcPr>
          <w:p>
            <w:pPr>
              <w:spacing w:after="0" w:line="20" w:lineRule="exact"/>
              <w:rPr>
                <w:sz w:val="1"/>
                <w:szCs w:val="1"/>
                <w:color w:val="auto"/>
              </w:rPr>
            </w:pPr>
          </w:p>
        </w:tc>
        <w:tc>
          <w:tcPr>
            <w:tcW w:w="200" w:type="dxa"/>
            <w:vAlign w:val="bottom"/>
            <w:tcBorders>
              <w:bottom w:val="single" w:sz="8" w:color="407CCA"/>
            </w:tcBorders>
          </w:tcPr>
          <w:p>
            <w:pPr>
              <w:spacing w:after="0" w:line="20" w:lineRule="exact"/>
              <w:rPr>
                <w:sz w:val="1"/>
                <w:szCs w:val="1"/>
                <w:color w:val="auto"/>
              </w:rPr>
            </w:pPr>
          </w:p>
        </w:tc>
        <w:tc>
          <w:tcPr>
            <w:tcW w:w="500" w:type="dxa"/>
            <w:vAlign w:val="bottom"/>
            <w:tcBorders>
              <w:bottom w:val="single" w:sz="8" w:color="407CCA"/>
            </w:tcBorders>
          </w:tcPr>
          <w:p>
            <w:pPr>
              <w:spacing w:after="0" w:line="20" w:lineRule="exact"/>
              <w:rPr>
                <w:sz w:val="1"/>
                <w:szCs w:val="1"/>
                <w:color w:val="auto"/>
              </w:rPr>
            </w:pPr>
          </w:p>
        </w:tc>
        <w:tc>
          <w:tcPr>
            <w:tcW w:w="1000" w:type="dxa"/>
            <w:vAlign w:val="bottom"/>
            <w:tcBorders>
              <w:bottom w:val="single" w:sz="8" w:color="407CCA"/>
            </w:tcBorders>
          </w:tcPr>
          <w:p>
            <w:pPr>
              <w:spacing w:after="0" w:line="20" w:lineRule="exact"/>
              <w:rPr>
                <w:sz w:val="1"/>
                <w:szCs w:val="1"/>
                <w:color w:val="auto"/>
              </w:rPr>
            </w:pPr>
          </w:p>
        </w:tc>
        <w:tc>
          <w:tcPr>
            <w:tcW w:w="880" w:type="dxa"/>
            <w:vAlign w:val="bottom"/>
            <w:tcBorders>
              <w:bottom w:val="single" w:sz="8" w:color="407CCA"/>
            </w:tcBorders>
          </w:tcPr>
          <w:p>
            <w:pPr>
              <w:spacing w:after="0" w:line="20" w:lineRule="exact"/>
              <w:rPr>
                <w:sz w:val="1"/>
                <w:szCs w:val="1"/>
                <w:color w:val="auto"/>
              </w:rPr>
            </w:pPr>
          </w:p>
        </w:tc>
        <w:tc>
          <w:tcPr>
            <w:tcW w:w="500" w:type="dxa"/>
            <w:vAlign w:val="bottom"/>
            <w:tcBorders>
              <w:bottom w:val="single" w:sz="8" w:color="407CCA"/>
            </w:tcBorders>
          </w:tcPr>
          <w:p>
            <w:pPr>
              <w:spacing w:after="0" w:line="20" w:lineRule="exact"/>
              <w:rPr>
                <w:sz w:val="1"/>
                <w:szCs w:val="1"/>
                <w:color w:val="auto"/>
              </w:rPr>
            </w:pPr>
          </w:p>
        </w:tc>
        <w:tc>
          <w:tcPr>
            <w:tcW w:w="300" w:type="dxa"/>
            <w:vAlign w:val="bottom"/>
            <w:tcBorders>
              <w:bottom w:val="single" w:sz="8" w:color="407CCA"/>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91"/>
        </w:trPr>
        <w:tc>
          <w:tcPr>
            <w:tcW w:w="80" w:type="dxa"/>
            <w:vAlign w:val="bottom"/>
          </w:tcPr>
          <w:p>
            <w:pPr>
              <w:spacing w:after="0"/>
              <w:rPr>
                <w:sz w:val="24"/>
                <w:szCs w:val="24"/>
                <w:color w:val="auto"/>
              </w:rPr>
            </w:pPr>
          </w:p>
        </w:tc>
        <w:tc>
          <w:tcPr>
            <w:tcW w:w="2560" w:type="dxa"/>
            <w:vAlign w:val="bottom"/>
            <w:tcBorders>
              <w:bottom w:val="single" w:sz="8" w:color="0000FF"/>
            </w:tcBorders>
            <w:gridSpan w:val="13"/>
          </w:tcPr>
          <w:p>
            <w:pPr>
              <w:ind w:left="100"/>
              <w:spacing w:after="0"/>
              <w:rPr>
                <w:sz w:val="20"/>
                <w:szCs w:val="20"/>
                <w:color w:val="auto"/>
              </w:rPr>
            </w:pPr>
            <w:r>
              <w:rPr>
                <w:rFonts w:ascii="Arial" w:cs="Arial" w:eastAsia="Arial" w:hAnsi="Arial"/>
                <w:sz w:val="18"/>
                <w:szCs w:val="18"/>
                <w:b w:val="1"/>
                <w:bCs w:val="1"/>
                <w:color w:val="0000FF"/>
                <w:w w:val="91"/>
              </w:rPr>
              <w:t>Board and Governance Matters</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960" w:type="dxa"/>
            <w:vAlign w:val="bottom"/>
            <w:tcBorders>
              <w:bottom w:val="single" w:sz="8" w:color="0000FF"/>
            </w:tcBorders>
            <w:gridSpan w:val="12"/>
          </w:tcPr>
          <w:p>
            <w:pPr>
              <w:spacing w:after="0"/>
              <w:rPr>
                <w:sz w:val="20"/>
                <w:szCs w:val="20"/>
                <w:color w:val="auto"/>
              </w:rPr>
            </w:pPr>
            <w:r>
              <w:rPr>
                <w:rFonts w:ascii="Arial" w:cs="Arial" w:eastAsia="Arial" w:hAnsi="Arial"/>
                <w:sz w:val="18"/>
                <w:szCs w:val="18"/>
                <w:color w:val="0000FF"/>
                <w:w w:val="88"/>
              </w:rPr>
              <w:t>Board Leadership Structure</w:t>
            </w: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620" w:type="dxa"/>
            <w:vAlign w:val="bottom"/>
            <w:tcBorders>
              <w:bottom w:val="single" w:sz="8" w:color="0000FF"/>
            </w:tcBorders>
            <w:gridSpan w:val="7"/>
          </w:tcPr>
          <w:p>
            <w:pPr>
              <w:spacing w:after="0"/>
              <w:rPr>
                <w:sz w:val="20"/>
                <w:szCs w:val="20"/>
                <w:color w:val="auto"/>
              </w:rPr>
            </w:pPr>
            <w:r>
              <w:rPr>
                <w:rFonts w:ascii="Arial" w:cs="Arial" w:eastAsia="Arial" w:hAnsi="Arial"/>
                <w:sz w:val="18"/>
                <w:szCs w:val="18"/>
                <w:color w:val="0000FF"/>
                <w:w w:val="87"/>
              </w:rPr>
              <w:t>Corporate Governance</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gridSpan w:val="2"/>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2</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Committees of the Board of Directors</w:t>
            </w:r>
          </w:p>
        </w:tc>
        <w:tc>
          <w:tcPr>
            <w:tcW w:w="300" w:type="dxa"/>
            <w:vAlign w:val="bottom"/>
          </w:tcPr>
          <w:p>
            <w:pPr>
              <w:jc w:val="right"/>
              <w:spacing w:after="0"/>
              <w:rPr>
                <w:sz w:val="20"/>
                <w:szCs w:val="20"/>
                <w:color w:val="auto"/>
              </w:rPr>
            </w:pPr>
            <w:r>
              <w:rPr>
                <w:rFonts w:ascii="Arial" w:cs="Arial" w:eastAsia="Arial" w:hAnsi="Arial"/>
                <w:sz w:val="18"/>
                <w:szCs w:val="18"/>
                <w:color w:val="auto"/>
              </w:rPr>
              <w:t>3</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280" w:type="dxa"/>
            <w:vAlign w:val="bottom"/>
            <w:tcBorders>
              <w:top w:val="single" w:sz="8" w:color="0000FF"/>
              <w:bottom w:val="single" w:sz="8" w:color="0000FF"/>
            </w:tcBorders>
            <w:gridSpan w:val="16"/>
          </w:tcPr>
          <w:p>
            <w:pPr>
              <w:spacing w:after="0" w:line="196" w:lineRule="exact"/>
              <w:rPr>
                <w:sz w:val="20"/>
                <w:szCs w:val="20"/>
                <w:color w:val="auto"/>
              </w:rPr>
            </w:pPr>
            <w:r>
              <w:rPr>
                <w:rFonts w:ascii="Arial" w:cs="Arial" w:eastAsia="Arial" w:hAnsi="Arial"/>
                <w:sz w:val="18"/>
                <w:szCs w:val="18"/>
                <w:color w:val="0000FF"/>
                <w:w w:val="89"/>
              </w:rPr>
              <w:t>Board and Committee Meetings</w:t>
            </w:r>
          </w:p>
        </w:tc>
        <w:tc>
          <w:tcPr>
            <w:tcW w:w="200" w:type="dxa"/>
            <w:vAlign w:val="bottom"/>
            <w:tcBorders>
              <w:top w:val="single" w:sz="8" w:color="0000FF"/>
              <w:bottom w:val="single" w:sz="8" w:color="0000FF"/>
            </w:tcBorders>
          </w:tcPr>
          <w:p>
            <w:pPr>
              <w:spacing w:after="0"/>
              <w:rPr>
                <w:sz w:val="18"/>
                <w:szCs w:val="18"/>
                <w:color w:val="auto"/>
              </w:rPr>
            </w:pPr>
          </w:p>
        </w:tc>
        <w:tc>
          <w:tcPr>
            <w:tcW w:w="140" w:type="dxa"/>
            <w:vAlign w:val="bottom"/>
            <w:tcBorders>
              <w:top w:val="single" w:sz="8" w:color="0000FF"/>
              <w:bottom w:val="single" w:sz="8" w:color="0000FF"/>
            </w:tcBorders>
          </w:tcPr>
          <w:p>
            <w:pPr>
              <w:spacing w:after="0"/>
              <w:rPr>
                <w:sz w:val="18"/>
                <w:szCs w:val="18"/>
                <w:color w:val="auto"/>
              </w:rPr>
            </w:pPr>
          </w:p>
        </w:tc>
        <w:tc>
          <w:tcPr>
            <w:tcW w:w="80" w:type="dxa"/>
            <w:vAlign w:val="bottom"/>
            <w:tcBorders>
              <w:top w:val="single" w:sz="8" w:color="0000FF"/>
              <w:bottom w:val="single" w:sz="8" w:color="0000FF"/>
            </w:tcBorders>
          </w:tcPr>
          <w:p>
            <w:pPr>
              <w:spacing w:after="0"/>
              <w:rPr>
                <w:sz w:val="18"/>
                <w:szCs w:val="18"/>
                <w:color w:val="auto"/>
              </w:rPr>
            </w:pPr>
          </w:p>
        </w:tc>
        <w:tc>
          <w:tcPr>
            <w:tcW w:w="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7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4</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80" w:type="dxa"/>
            <w:vAlign w:val="bottom"/>
            <w:tcBorders>
              <w:bottom w:val="single" w:sz="8" w:color="0000FF"/>
            </w:tcBorders>
            <w:gridSpan w:val="15"/>
          </w:tcPr>
          <w:p>
            <w:pPr>
              <w:spacing w:after="0"/>
              <w:rPr>
                <w:sz w:val="20"/>
                <w:szCs w:val="20"/>
                <w:color w:val="auto"/>
              </w:rPr>
            </w:pPr>
            <w:r>
              <w:rPr>
                <w:rFonts w:ascii="Arial" w:cs="Arial" w:eastAsia="Arial" w:hAnsi="Arial"/>
                <w:sz w:val="18"/>
                <w:szCs w:val="18"/>
                <w:color w:val="0000FF"/>
                <w:w w:val="89"/>
              </w:rPr>
              <w:t>Director Nomination Process</w:t>
            </w:r>
          </w:p>
        </w:tc>
        <w:tc>
          <w:tcPr>
            <w:tcW w:w="7980" w:type="dxa"/>
            <w:vAlign w:val="bottom"/>
            <w:gridSpan w:val="18"/>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4</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0"/>
        </w:trPr>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980" w:type="dxa"/>
            <w:vAlign w:val="bottom"/>
            <w:tcBorders>
              <w:bottom w:val="single" w:sz="8" w:color="0000FF"/>
            </w:tcBorders>
            <w:gridSpan w:val="13"/>
          </w:tcPr>
          <w:p>
            <w:pPr>
              <w:spacing w:after="0"/>
              <w:rPr>
                <w:sz w:val="20"/>
                <w:szCs w:val="20"/>
                <w:color w:val="auto"/>
              </w:rPr>
            </w:pPr>
            <w:r>
              <w:rPr>
                <w:rFonts w:ascii="Arial" w:cs="Arial" w:eastAsia="Arial" w:hAnsi="Arial"/>
                <w:sz w:val="18"/>
                <w:szCs w:val="18"/>
                <w:color w:val="0000FF"/>
                <w:w w:val="91"/>
              </w:rPr>
              <w:t>Board Membership Criteria</w:t>
            </w:r>
          </w:p>
        </w:tc>
        <w:tc>
          <w:tcPr>
            <w:tcW w:w="8080" w:type="dxa"/>
            <w:vAlign w:val="bottom"/>
            <w:gridSpan w:val="20"/>
          </w:tcPr>
          <w:p>
            <w:pPr>
              <w:spacing w:after="0"/>
              <w:rPr>
                <w:sz w:val="21"/>
                <w:szCs w:val="21"/>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4</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3"/>
        </w:trPr>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620" w:type="dxa"/>
            <w:vAlign w:val="bottom"/>
            <w:tcBorders>
              <w:bottom w:val="single" w:sz="8" w:color="0000FF"/>
            </w:tcBorders>
            <w:gridSpan w:val="18"/>
          </w:tcPr>
          <w:p>
            <w:pPr>
              <w:spacing w:after="0"/>
              <w:rPr>
                <w:sz w:val="20"/>
                <w:szCs w:val="20"/>
                <w:color w:val="auto"/>
              </w:rPr>
            </w:pPr>
            <w:r>
              <w:rPr>
                <w:rFonts w:ascii="Arial" w:cs="Arial" w:eastAsia="Arial" w:hAnsi="Arial"/>
                <w:sz w:val="18"/>
                <w:szCs w:val="18"/>
                <w:color w:val="0000FF"/>
                <w:w w:val="89"/>
              </w:rPr>
              <w:t>Oversight of Strategy and Key Risks</w:t>
            </w:r>
          </w:p>
        </w:tc>
        <w:tc>
          <w:tcPr>
            <w:tcW w:w="120" w:type="dxa"/>
            <w:vAlign w:val="bottom"/>
            <w:gridSpan w:val="2"/>
          </w:tcPr>
          <w:p>
            <w:pPr>
              <w:spacing w:after="0"/>
              <w:rPr>
                <w:sz w:val="19"/>
                <w:szCs w:val="19"/>
                <w:color w:val="auto"/>
              </w:rPr>
            </w:pPr>
          </w:p>
        </w:tc>
        <w:tc>
          <w:tcPr>
            <w:tcW w:w="3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480" w:type="dxa"/>
            <w:vAlign w:val="bottom"/>
            <w:tcBorders>
              <w:bottom w:val="single" w:sz="8" w:color="0000FF"/>
            </w:tcBorders>
            <w:gridSpan w:val="17"/>
          </w:tcPr>
          <w:p>
            <w:pPr>
              <w:spacing w:after="0"/>
              <w:rPr>
                <w:sz w:val="20"/>
                <w:szCs w:val="20"/>
                <w:color w:val="auto"/>
              </w:rPr>
            </w:pPr>
            <w:r>
              <w:rPr>
                <w:rFonts w:ascii="Arial" w:cs="Arial" w:eastAsia="Arial" w:hAnsi="Arial"/>
                <w:sz w:val="18"/>
                <w:szCs w:val="18"/>
                <w:color w:val="0000FF"/>
                <w:w w:val="89"/>
              </w:rPr>
              <w:t>ESG and Corporate Responsibility</w:t>
            </w:r>
          </w:p>
        </w:tc>
        <w:tc>
          <w:tcPr>
            <w:tcW w:w="260" w:type="dxa"/>
            <w:vAlign w:val="bottom"/>
            <w:gridSpan w:val="3"/>
          </w:tcPr>
          <w:p>
            <w:pPr>
              <w:spacing w:after="0"/>
              <w:rPr>
                <w:sz w:val="20"/>
                <w:szCs w:val="20"/>
                <w:color w:val="auto"/>
              </w:rPr>
            </w:pPr>
          </w:p>
        </w:tc>
        <w:tc>
          <w:tcPr>
            <w:tcW w:w="3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7</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Director Compensation</w:t>
            </w:r>
          </w:p>
        </w:tc>
        <w:tc>
          <w:tcPr>
            <w:tcW w:w="300" w:type="dxa"/>
            <w:vAlign w:val="bottom"/>
          </w:tcPr>
          <w:p>
            <w:pPr>
              <w:jc w:val="right"/>
              <w:spacing w:after="0"/>
              <w:rPr>
                <w:sz w:val="20"/>
                <w:szCs w:val="20"/>
                <w:color w:val="auto"/>
              </w:rPr>
            </w:pPr>
            <w:r>
              <w:rPr>
                <w:rFonts w:ascii="Arial" w:cs="Arial" w:eastAsia="Arial" w:hAnsi="Arial"/>
                <w:sz w:val="18"/>
                <w:szCs w:val="18"/>
                <w:color w:val="auto"/>
              </w:rPr>
              <w:t>7</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Borders>
              <w:right w:val="single" w:sz="8" w:color="0000FF"/>
            </w:tcBorders>
          </w:tcPr>
          <w:p>
            <w:pPr>
              <w:spacing w:after="0" w:line="20" w:lineRule="exact"/>
              <w:rPr>
                <w:sz w:val="1"/>
                <w:szCs w:val="1"/>
                <w:color w:val="auto"/>
              </w:rPr>
            </w:pPr>
          </w:p>
        </w:tc>
        <w:tc>
          <w:tcPr>
            <w:tcW w:w="660" w:type="dxa"/>
            <w:vAlign w:val="bottom"/>
            <w:gridSpan w:val="2"/>
            <w:shd w:val="clear" w:color="auto" w:fill="0000FF"/>
          </w:tcPr>
          <w:p>
            <w:pPr>
              <w:spacing w:after="0" w:line="20" w:lineRule="exact"/>
              <w:rPr>
                <w:sz w:val="1"/>
                <w:szCs w:val="1"/>
                <w:color w:val="auto"/>
              </w:rPr>
            </w:pPr>
          </w:p>
        </w:tc>
        <w:tc>
          <w:tcPr>
            <w:tcW w:w="30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80" w:type="dxa"/>
            <w:vAlign w:val="bottom"/>
            <w:gridSpan w:val="2"/>
            <w:shd w:val="clear" w:color="auto" w:fill="0000FF"/>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gridSpan w:val="6"/>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Stock Ownership Guidelines</w:t>
            </w:r>
          </w:p>
        </w:tc>
        <w:tc>
          <w:tcPr>
            <w:tcW w:w="300" w:type="dxa"/>
            <w:vAlign w:val="bottom"/>
          </w:tcPr>
          <w:p>
            <w:pPr>
              <w:jc w:val="right"/>
              <w:spacing w:after="0"/>
              <w:rPr>
                <w:sz w:val="20"/>
                <w:szCs w:val="20"/>
                <w:color w:val="auto"/>
              </w:rPr>
            </w:pPr>
            <w:r>
              <w:rPr>
                <w:rFonts w:ascii="Arial" w:cs="Arial" w:eastAsia="Arial" w:hAnsi="Arial"/>
                <w:sz w:val="18"/>
                <w:szCs w:val="18"/>
                <w:color w:val="auto"/>
              </w:rPr>
              <w:t>8</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3"/>
        </w:trPr>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980" w:type="dxa"/>
            <w:vAlign w:val="bottom"/>
            <w:tcBorders>
              <w:top w:val="single" w:sz="8" w:color="0000FF"/>
              <w:bottom w:val="single" w:sz="8" w:color="0000FF"/>
            </w:tcBorders>
            <w:gridSpan w:val="13"/>
          </w:tcPr>
          <w:p>
            <w:pPr>
              <w:spacing w:after="0"/>
              <w:rPr>
                <w:sz w:val="20"/>
                <w:szCs w:val="20"/>
                <w:color w:val="auto"/>
              </w:rPr>
            </w:pPr>
            <w:r>
              <w:rPr>
                <w:rFonts w:ascii="Arial" w:cs="Arial" w:eastAsia="Arial" w:hAnsi="Arial"/>
                <w:sz w:val="18"/>
                <w:szCs w:val="18"/>
                <w:color w:val="0000FF"/>
                <w:w w:val="90"/>
              </w:rPr>
              <w:t>Director Resignation Policy</w:t>
            </w:r>
          </w:p>
        </w:tc>
        <w:tc>
          <w:tcPr>
            <w:tcW w:w="60" w:type="dxa"/>
            <w:vAlign w:val="bottom"/>
            <w:tcBorders>
              <w:top w:val="single" w:sz="8" w:color="0000FF"/>
              <w:bottom w:val="single" w:sz="8" w:color="0000FF"/>
            </w:tcBorders>
          </w:tcPr>
          <w:p>
            <w:pPr>
              <w:spacing w:after="0"/>
              <w:rPr>
                <w:sz w:val="19"/>
                <w:szCs w:val="19"/>
                <w:color w:val="auto"/>
              </w:rPr>
            </w:pPr>
          </w:p>
        </w:tc>
        <w:tc>
          <w:tcPr>
            <w:tcW w:w="700" w:type="dxa"/>
            <w:vAlign w:val="bottom"/>
            <w:gridSpan w:val="6"/>
          </w:tcPr>
          <w:p>
            <w:pPr>
              <w:spacing w:after="0"/>
              <w:rPr>
                <w:sz w:val="19"/>
                <w:szCs w:val="19"/>
                <w:color w:val="auto"/>
              </w:rPr>
            </w:pPr>
          </w:p>
        </w:tc>
        <w:tc>
          <w:tcPr>
            <w:tcW w:w="3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9</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040" w:type="dxa"/>
            <w:vAlign w:val="bottom"/>
            <w:tcBorders>
              <w:bottom w:val="single" w:sz="8" w:color="0000FF"/>
            </w:tcBorders>
            <w:gridSpan w:val="21"/>
          </w:tcPr>
          <w:p>
            <w:pPr>
              <w:spacing w:after="0"/>
              <w:rPr>
                <w:sz w:val="20"/>
                <w:szCs w:val="20"/>
                <w:color w:val="auto"/>
              </w:rPr>
            </w:pPr>
            <w:r>
              <w:rPr>
                <w:rFonts w:ascii="Arial" w:cs="Arial" w:eastAsia="Arial" w:hAnsi="Arial"/>
                <w:sz w:val="18"/>
                <w:szCs w:val="18"/>
                <w:color w:val="0000FF"/>
                <w:w w:val="88"/>
              </w:rPr>
              <w:t>Certain Transactions with Related Persons</w:t>
            </w:r>
          </w:p>
        </w:tc>
        <w:tc>
          <w:tcPr>
            <w:tcW w:w="7020" w:type="dxa"/>
            <w:vAlign w:val="bottom"/>
            <w:gridSpan w:val="12"/>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9</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0"/>
        </w:trPr>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Compensation Committee Interlocks and Insider Participation</w:t>
            </w:r>
          </w:p>
        </w:tc>
        <w:tc>
          <w:tcPr>
            <w:tcW w:w="300" w:type="dxa"/>
            <w:vAlign w:val="bottom"/>
          </w:tcPr>
          <w:p>
            <w:pPr>
              <w:jc w:val="right"/>
              <w:spacing w:after="0"/>
              <w:rPr>
                <w:sz w:val="20"/>
                <w:szCs w:val="20"/>
                <w:color w:val="auto"/>
              </w:rPr>
            </w:pPr>
            <w:r>
              <w:rPr>
                <w:rFonts w:ascii="Arial" w:cs="Arial" w:eastAsia="Arial" w:hAnsi="Arial"/>
                <w:sz w:val="18"/>
                <w:szCs w:val="18"/>
                <w:color w:val="auto"/>
              </w:rPr>
              <w:t>10</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4"/>
        </w:trPr>
        <w:tc>
          <w:tcPr>
            <w:tcW w:w="80" w:type="dxa"/>
            <w:vAlign w:val="bottom"/>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6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36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0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6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8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50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700" w:type="dxa"/>
            <w:vAlign w:val="bottom"/>
            <w:tcBorders>
              <w:top w:val="single" w:sz="8" w:color="0000FF"/>
              <w:bottom w:val="single" w:sz="8" w:color="407CCA"/>
            </w:tcBorders>
          </w:tcPr>
          <w:p>
            <w:pPr>
              <w:spacing w:after="0"/>
              <w:rPr>
                <w:sz w:val="2"/>
                <w:szCs w:val="2"/>
                <w:color w:val="auto"/>
              </w:rPr>
            </w:pPr>
          </w:p>
        </w:tc>
        <w:tc>
          <w:tcPr>
            <w:tcW w:w="180" w:type="dxa"/>
            <w:vAlign w:val="bottom"/>
            <w:tcBorders>
              <w:top w:val="single" w:sz="8" w:color="0000FF"/>
              <w:bottom w:val="single" w:sz="8" w:color="407CCA"/>
            </w:tcBorders>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76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100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1"/>
        </w:trPr>
        <w:tc>
          <w:tcPr>
            <w:tcW w:w="80" w:type="dxa"/>
            <w:vAlign w:val="bottom"/>
          </w:tcPr>
          <w:p>
            <w:pPr>
              <w:spacing w:after="0"/>
              <w:rPr>
                <w:sz w:val="24"/>
                <w:szCs w:val="24"/>
                <w:color w:val="auto"/>
              </w:rPr>
            </w:pPr>
          </w:p>
        </w:tc>
        <w:tc>
          <w:tcPr>
            <w:tcW w:w="2600" w:type="dxa"/>
            <w:vAlign w:val="bottom"/>
            <w:tcBorders>
              <w:bottom w:val="single" w:sz="8" w:color="0000FF"/>
            </w:tcBorders>
            <w:gridSpan w:val="14"/>
          </w:tcPr>
          <w:p>
            <w:pPr>
              <w:ind w:left="100"/>
              <w:spacing w:after="0"/>
              <w:rPr>
                <w:sz w:val="20"/>
                <w:szCs w:val="20"/>
                <w:color w:val="auto"/>
              </w:rPr>
            </w:pPr>
            <w:r>
              <w:rPr>
                <w:rFonts w:ascii="Arial" w:cs="Arial" w:eastAsia="Arial" w:hAnsi="Arial"/>
                <w:sz w:val="18"/>
                <w:szCs w:val="18"/>
                <w:b w:val="1"/>
                <w:bCs w:val="1"/>
                <w:color w:val="0000FF"/>
                <w:w w:val="88"/>
              </w:rPr>
              <w:t>Proposal 1: Election of Directors</w:t>
            </w:r>
          </w:p>
        </w:tc>
        <w:tc>
          <w:tcPr>
            <w:tcW w:w="880" w:type="dxa"/>
            <w:vAlign w:val="bottom"/>
            <w:gridSpan w:val="9"/>
          </w:tcPr>
          <w:p>
            <w:pPr>
              <w:spacing w:after="0"/>
              <w:rPr>
                <w:sz w:val="24"/>
                <w:szCs w:val="24"/>
                <w:color w:val="auto"/>
              </w:rPr>
            </w:pPr>
          </w:p>
        </w:tc>
        <w:tc>
          <w:tcPr>
            <w:tcW w:w="800" w:type="dxa"/>
            <w:vAlign w:val="bottom"/>
            <w:gridSpan w:val="2"/>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520" w:type="dxa"/>
            <w:vAlign w:val="bottom"/>
            <w:gridSpan w:val="2"/>
          </w:tcPr>
          <w:p>
            <w:pPr>
              <w:spacing w:after="0"/>
              <w:rPr>
                <w:sz w:val="24"/>
                <w:szCs w:val="24"/>
                <w:color w:val="auto"/>
              </w:rPr>
            </w:pP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6"/>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4260" w:type="dxa"/>
            <w:vAlign w:val="bottom"/>
            <w:tcBorders>
              <w:bottom w:val="single" w:sz="8" w:color="0000FF"/>
            </w:tcBorders>
            <w:gridSpan w:val="24"/>
          </w:tcPr>
          <w:p>
            <w:pPr>
              <w:spacing w:after="0"/>
              <w:rPr>
                <w:sz w:val="20"/>
                <w:szCs w:val="20"/>
                <w:color w:val="auto"/>
              </w:rPr>
            </w:pPr>
            <w:r>
              <w:rPr>
                <w:rFonts w:ascii="Arial" w:cs="Arial" w:eastAsia="Arial" w:hAnsi="Arial"/>
                <w:sz w:val="18"/>
                <w:szCs w:val="18"/>
                <w:color w:val="0000FF"/>
                <w:w w:val="90"/>
              </w:rPr>
              <w:t>Summary of our Board’s Industry and Functional Expertise</w:t>
            </w:r>
          </w:p>
        </w:tc>
        <w:tc>
          <w:tcPr>
            <w:tcW w:w="520" w:type="dxa"/>
            <w:vAlign w:val="bottom"/>
            <w:gridSpan w:val="2"/>
          </w:tcPr>
          <w:p>
            <w:pPr>
              <w:spacing w:after="0"/>
              <w:rPr>
                <w:sz w:val="20"/>
                <w:szCs w:val="20"/>
                <w:color w:val="auto"/>
              </w:rPr>
            </w:pPr>
          </w:p>
        </w:tc>
        <w:tc>
          <w:tcPr>
            <w:tcW w:w="44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11</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7"/>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560" w:type="dxa"/>
            <w:vAlign w:val="bottom"/>
            <w:tcBorders>
              <w:bottom w:val="single" w:sz="8" w:color="0000FF"/>
            </w:tcBorders>
            <w:gridSpan w:val="23"/>
          </w:tcPr>
          <w:p>
            <w:pPr>
              <w:spacing w:after="0"/>
              <w:rPr>
                <w:sz w:val="20"/>
                <w:szCs w:val="20"/>
                <w:color w:val="auto"/>
              </w:rPr>
            </w:pPr>
            <w:r>
              <w:rPr>
                <w:rFonts w:ascii="Arial" w:cs="Arial" w:eastAsia="Arial" w:hAnsi="Arial"/>
                <w:sz w:val="18"/>
                <w:szCs w:val="18"/>
                <w:color w:val="0000FF"/>
                <w:w w:val="91"/>
              </w:rPr>
              <w:t>Director Nominee Biographies and Qualifications</w:t>
            </w:r>
          </w:p>
        </w:tc>
        <w:tc>
          <w:tcPr>
            <w:tcW w:w="1220" w:type="dxa"/>
            <w:vAlign w:val="bottom"/>
            <w:gridSpan w:val="3"/>
          </w:tcPr>
          <w:p>
            <w:pPr>
              <w:spacing w:after="0"/>
              <w:rPr>
                <w:sz w:val="20"/>
                <w:szCs w:val="20"/>
                <w:color w:val="auto"/>
              </w:rPr>
            </w:pPr>
          </w:p>
        </w:tc>
        <w:tc>
          <w:tcPr>
            <w:tcW w:w="44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11</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6"/>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540" w:type="dxa"/>
            <w:vAlign w:val="bottom"/>
            <w:tcBorders>
              <w:bottom w:val="single" w:sz="8" w:color="0000FF"/>
            </w:tcBorders>
            <w:gridSpan w:val="22"/>
          </w:tcPr>
          <w:p>
            <w:pPr>
              <w:spacing w:after="0"/>
              <w:rPr>
                <w:sz w:val="20"/>
                <w:szCs w:val="20"/>
                <w:color w:val="auto"/>
              </w:rPr>
            </w:pPr>
            <w:r>
              <w:rPr>
                <w:rFonts w:ascii="Arial" w:cs="Arial" w:eastAsia="Arial" w:hAnsi="Arial"/>
                <w:sz w:val="18"/>
                <w:szCs w:val="18"/>
                <w:color w:val="0000FF"/>
                <w:w w:val="89"/>
              </w:rPr>
              <w:t>Conclusion and Recommendation; Vote Required</w:t>
            </w:r>
          </w:p>
        </w:tc>
        <w:tc>
          <w:tcPr>
            <w:tcW w:w="1240" w:type="dxa"/>
            <w:vAlign w:val="bottom"/>
            <w:gridSpan w:val="4"/>
          </w:tcPr>
          <w:p>
            <w:pPr>
              <w:spacing w:after="0"/>
              <w:rPr>
                <w:sz w:val="20"/>
                <w:szCs w:val="20"/>
                <w:color w:val="auto"/>
              </w:rPr>
            </w:pPr>
          </w:p>
        </w:tc>
        <w:tc>
          <w:tcPr>
            <w:tcW w:w="44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15</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8"/>
        </w:trPr>
        <w:tc>
          <w:tcPr>
            <w:tcW w:w="80" w:type="dxa"/>
            <w:vAlign w:val="bottom"/>
          </w:tcPr>
          <w:p>
            <w:pPr>
              <w:spacing w:after="0"/>
              <w:rPr>
                <w:sz w:val="4"/>
                <w:szCs w:val="4"/>
                <w:color w:val="auto"/>
              </w:rPr>
            </w:pPr>
          </w:p>
        </w:tc>
        <w:tc>
          <w:tcPr>
            <w:tcW w:w="34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60" w:type="dxa"/>
            <w:vAlign w:val="bottom"/>
            <w:tcBorders>
              <w:bottom w:val="single" w:sz="8" w:color="407CCA"/>
            </w:tcBorders>
          </w:tcPr>
          <w:p>
            <w:pPr>
              <w:spacing w:after="0"/>
              <w:rPr>
                <w:sz w:val="4"/>
                <w:szCs w:val="4"/>
                <w:color w:val="auto"/>
              </w:rPr>
            </w:pPr>
          </w:p>
        </w:tc>
        <w:tc>
          <w:tcPr>
            <w:tcW w:w="62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36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6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8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700" w:type="dxa"/>
            <w:vAlign w:val="bottom"/>
            <w:tcBorders>
              <w:bottom w:val="single" w:sz="8" w:color="407CCA"/>
            </w:tcBorders>
          </w:tcPr>
          <w:p>
            <w:pPr>
              <w:spacing w:after="0"/>
              <w:rPr>
                <w:sz w:val="4"/>
                <w:szCs w:val="4"/>
                <w:color w:val="auto"/>
              </w:rPr>
            </w:pPr>
          </w:p>
        </w:tc>
        <w:tc>
          <w:tcPr>
            <w:tcW w:w="180" w:type="dxa"/>
            <w:vAlign w:val="bottom"/>
            <w:tcBorders>
              <w:bottom w:val="single" w:sz="8" w:color="407CCA"/>
            </w:tcBorders>
          </w:tcPr>
          <w:p>
            <w:pPr>
              <w:spacing w:after="0"/>
              <w:rPr>
                <w:sz w:val="4"/>
                <w:szCs w:val="4"/>
                <w:color w:val="auto"/>
              </w:rPr>
            </w:pPr>
          </w:p>
        </w:tc>
        <w:tc>
          <w:tcPr>
            <w:tcW w:w="340" w:type="dxa"/>
            <w:vAlign w:val="bottom"/>
            <w:tcBorders>
              <w:bottom w:val="single" w:sz="8" w:color="407CCA"/>
            </w:tcBorders>
          </w:tcPr>
          <w:p>
            <w:pPr>
              <w:spacing w:after="0"/>
              <w:rPr>
                <w:sz w:val="4"/>
                <w:szCs w:val="4"/>
                <w:color w:val="auto"/>
              </w:rPr>
            </w:pPr>
          </w:p>
        </w:tc>
        <w:tc>
          <w:tcPr>
            <w:tcW w:w="440" w:type="dxa"/>
            <w:vAlign w:val="bottom"/>
            <w:tcBorders>
              <w:bottom w:val="single" w:sz="8" w:color="407CCA"/>
            </w:tcBorders>
          </w:tcPr>
          <w:p>
            <w:pPr>
              <w:spacing w:after="0"/>
              <w:rPr>
                <w:sz w:val="4"/>
                <w:szCs w:val="4"/>
                <w:color w:val="auto"/>
              </w:rPr>
            </w:pPr>
          </w:p>
        </w:tc>
        <w:tc>
          <w:tcPr>
            <w:tcW w:w="176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88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90"/>
        </w:trPr>
        <w:tc>
          <w:tcPr>
            <w:tcW w:w="80" w:type="dxa"/>
            <w:vAlign w:val="bottom"/>
          </w:tcPr>
          <w:p>
            <w:pPr>
              <w:spacing w:after="0"/>
              <w:rPr>
                <w:sz w:val="24"/>
                <w:szCs w:val="24"/>
                <w:color w:val="auto"/>
              </w:rPr>
            </w:pPr>
          </w:p>
        </w:tc>
        <w:tc>
          <w:tcPr>
            <w:tcW w:w="5520" w:type="dxa"/>
            <w:vAlign w:val="bottom"/>
            <w:tcBorders>
              <w:bottom w:val="single" w:sz="8" w:color="0000FF"/>
            </w:tcBorders>
            <w:gridSpan w:val="29"/>
          </w:tcPr>
          <w:p>
            <w:pPr>
              <w:ind w:left="140"/>
              <w:spacing w:after="0"/>
              <w:rPr>
                <w:sz w:val="20"/>
                <w:szCs w:val="20"/>
                <w:color w:val="auto"/>
              </w:rPr>
            </w:pPr>
            <w:r>
              <w:rPr>
                <w:rFonts w:ascii="Arial" w:cs="Arial" w:eastAsia="Arial" w:hAnsi="Arial"/>
                <w:sz w:val="18"/>
                <w:szCs w:val="18"/>
                <w:b w:val="1"/>
                <w:bCs w:val="1"/>
                <w:color w:val="0000FF"/>
                <w:w w:val="89"/>
              </w:rPr>
              <w:t>Proposal 2: Advisory Resolution to Approve Executive Compensation</w:t>
            </w: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5"/>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Borders>
              <w:bottom w:val="single" w:sz="8" w:color="0000FF"/>
            </w:tcBorders>
            <w:gridSpan w:val="5"/>
          </w:tcPr>
          <w:p>
            <w:pPr>
              <w:spacing w:after="0"/>
              <w:rPr>
                <w:sz w:val="20"/>
                <w:szCs w:val="20"/>
                <w:color w:val="auto"/>
              </w:rPr>
            </w:pPr>
            <w:r>
              <w:rPr>
                <w:rFonts w:ascii="Arial" w:cs="Arial" w:eastAsia="Arial" w:hAnsi="Arial"/>
                <w:sz w:val="18"/>
                <w:szCs w:val="18"/>
                <w:color w:val="0000FF"/>
                <w:w w:val="90"/>
              </w:rPr>
              <w:t>General Information</w:t>
            </w:r>
          </w:p>
        </w:tc>
        <w:tc>
          <w:tcPr>
            <w:tcW w:w="20" w:type="dxa"/>
            <w:vAlign w:val="bottom"/>
          </w:tcPr>
          <w:p>
            <w:pPr>
              <w:spacing w:after="0"/>
              <w:rPr>
                <w:sz w:val="24"/>
                <w:szCs w:val="24"/>
                <w:color w:val="auto"/>
              </w:rPr>
            </w:pPr>
          </w:p>
        </w:tc>
        <w:tc>
          <w:tcPr>
            <w:tcW w:w="320" w:type="dxa"/>
            <w:vAlign w:val="bottom"/>
            <w:gridSpan w:val="3"/>
          </w:tcPr>
          <w:p>
            <w:pPr>
              <w:spacing w:after="0"/>
              <w:rPr>
                <w:sz w:val="24"/>
                <w:szCs w:val="24"/>
                <w:color w:val="auto"/>
              </w:rPr>
            </w:pPr>
          </w:p>
        </w:tc>
        <w:tc>
          <w:tcPr>
            <w:tcW w:w="940" w:type="dxa"/>
            <w:vAlign w:val="bottom"/>
            <w:gridSpan w:val="11"/>
          </w:tcPr>
          <w:p>
            <w:pPr>
              <w:spacing w:after="0"/>
              <w:rPr>
                <w:sz w:val="24"/>
                <w:szCs w:val="24"/>
                <w:color w:val="auto"/>
              </w:rPr>
            </w:pPr>
          </w:p>
        </w:tc>
        <w:tc>
          <w:tcPr>
            <w:tcW w:w="2480" w:type="dxa"/>
            <w:vAlign w:val="bottom"/>
            <w:gridSpan w:val="7"/>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540" w:type="dxa"/>
            <w:vAlign w:val="bottom"/>
            <w:tcBorders>
              <w:bottom w:val="single" w:sz="8" w:color="0000FF"/>
            </w:tcBorders>
            <w:gridSpan w:val="22"/>
          </w:tcPr>
          <w:p>
            <w:pPr>
              <w:spacing w:after="0"/>
              <w:rPr>
                <w:sz w:val="20"/>
                <w:szCs w:val="20"/>
                <w:color w:val="auto"/>
              </w:rPr>
            </w:pPr>
            <w:r>
              <w:rPr>
                <w:rFonts w:ascii="Arial" w:cs="Arial" w:eastAsia="Arial" w:hAnsi="Arial"/>
                <w:sz w:val="18"/>
                <w:szCs w:val="18"/>
                <w:color w:val="0000FF"/>
                <w:w w:val="89"/>
              </w:rPr>
              <w:t>Conclusion and Recommendation; Vote Required</w:t>
            </w:r>
          </w:p>
        </w:tc>
        <w:tc>
          <w:tcPr>
            <w:tcW w:w="1680" w:type="dxa"/>
            <w:vAlign w:val="bottom"/>
            <w:gridSpan w:val="5"/>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16</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80" w:type="dxa"/>
            <w:vAlign w:val="bottom"/>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62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70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76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100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0"/>
        </w:trPr>
        <w:tc>
          <w:tcPr>
            <w:tcW w:w="80" w:type="dxa"/>
            <w:vAlign w:val="bottom"/>
          </w:tcPr>
          <w:p>
            <w:pPr>
              <w:spacing w:after="0"/>
              <w:rPr>
                <w:sz w:val="24"/>
                <w:szCs w:val="24"/>
                <w:color w:val="auto"/>
              </w:rPr>
            </w:pPr>
          </w:p>
        </w:tc>
        <w:tc>
          <w:tcPr>
            <w:tcW w:w="7720" w:type="dxa"/>
            <w:vAlign w:val="bottom"/>
            <w:tcBorders>
              <w:bottom w:val="single" w:sz="8" w:color="0000FF"/>
            </w:tcBorders>
            <w:gridSpan w:val="31"/>
          </w:tcPr>
          <w:p>
            <w:pPr>
              <w:ind w:left="140"/>
              <w:spacing w:after="0"/>
              <w:rPr>
                <w:sz w:val="20"/>
                <w:szCs w:val="20"/>
                <w:color w:val="auto"/>
              </w:rPr>
            </w:pPr>
            <w:r>
              <w:rPr>
                <w:rFonts w:ascii="Arial" w:cs="Arial" w:eastAsia="Arial" w:hAnsi="Arial"/>
                <w:sz w:val="18"/>
                <w:szCs w:val="18"/>
                <w:b w:val="1"/>
                <w:bCs w:val="1"/>
                <w:color w:val="0000FF"/>
                <w:w w:val="89"/>
              </w:rPr>
              <w:t>Proposal 3: Advisory Vote on the Frequency of Future Advisory Votes on Executive Compensation</w:t>
            </w: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17</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5"/>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60" w:type="dxa"/>
            <w:vAlign w:val="bottom"/>
            <w:tcBorders>
              <w:bottom w:val="single" w:sz="8" w:color="0000FF"/>
            </w:tcBorders>
            <w:gridSpan w:val="5"/>
          </w:tcPr>
          <w:p>
            <w:pPr>
              <w:spacing w:after="0"/>
              <w:rPr>
                <w:sz w:val="20"/>
                <w:szCs w:val="20"/>
                <w:color w:val="auto"/>
              </w:rPr>
            </w:pPr>
            <w:r>
              <w:rPr>
                <w:rFonts w:ascii="Arial" w:cs="Arial" w:eastAsia="Arial" w:hAnsi="Arial"/>
                <w:sz w:val="18"/>
                <w:szCs w:val="18"/>
                <w:color w:val="0000FF"/>
                <w:w w:val="90"/>
              </w:rPr>
              <w:t>General Information</w:t>
            </w:r>
          </w:p>
        </w:tc>
        <w:tc>
          <w:tcPr>
            <w:tcW w:w="20" w:type="dxa"/>
            <w:vAlign w:val="bottom"/>
          </w:tcPr>
          <w:p>
            <w:pPr>
              <w:spacing w:after="0"/>
              <w:rPr>
                <w:sz w:val="24"/>
                <w:szCs w:val="24"/>
                <w:color w:val="auto"/>
              </w:rPr>
            </w:pPr>
          </w:p>
        </w:tc>
        <w:tc>
          <w:tcPr>
            <w:tcW w:w="320" w:type="dxa"/>
            <w:vAlign w:val="bottom"/>
            <w:gridSpan w:val="3"/>
          </w:tcPr>
          <w:p>
            <w:pPr>
              <w:spacing w:after="0"/>
              <w:rPr>
                <w:sz w:val="24"/>
                <w:szCs w:val="24"/>
                <w:color w:val="auto"/>
              </w:rPr>
            </w:pPr>
          </w:p>
        </w:tc>
        <w:tc>
          <w:tcPr>
            <w:tcW w:w="940" w:type="dxa"/>
            <w:vAlign w:val="bottom"/>
            <w:gridSpan w:val="11"/>
          </w:tcPr>
          <w:p>
            <w:pPr>
              <w:spacing w:after="0"/>
              <w:rPr>
                <w:sz w:val="24"/>
                <w:szCs w:val="24"/>
                <w:color w:val="auto"/>
              </w:rPr>
            </w:pPr>
          </w:p>
        </w:tc>
        <w:tc>
          <w:tcPr>
            <w:tcW w:w="2480" w:type="dxa"/>
            <w:vAlign w:val="bottom"/>
            <w:gridSpan w:val="7"/>
          </w:tcPr>
          <w:p>
            <w:pPr>
              <w:spacing w:after="0"/>
              <w:rPr>
                <w:sz w:val="24"/>
                <w:szCs w:val="24"/>
                <w:color w:val="auto"/>
              </w:rPr>
            </w:pPr>
          </w:p>
        </w:tc>
        <w:tc>
          <w:tcPr>
            <w:tcW w:w="1960" w:type="dxa"/>
            <w:vAlign w:val="bottom"/>
            <w:gridSpan w:val="2"/>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17</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Conclusion and Recommendation; Vote Required</w:t>
            </w:r>
          </w:p>
        </w:tc>
        <w:tc>
          <w:tcPr>
            <w:tcW w:w="300" w:type="dxa"/>
            <w:vAlign w:val="bottom"/>
          </w:tcPr>
          <w:p>
            <w:pPr>
              <w:jc w:val="right"/>
              <w:spacing w:after="0"/>
              <w:rPr>
                <w:sz w:val="20"/>
                <w:szCs w:val="20"/>
                <w:color w:val="auto"/>
              </w:rPr>
            </w:pPr>
            <w:r>
              <w:rPr>
                <w:rFonts w:ascii="Arial" w:cs="Arial" w:eastAsia="Arial" w:hAnsi="Arial"/>
                <w:sz w:val="18"/>
                <w:szCs w:val="18"/>
                <w:color w:val="auto"/>
              </w:rPr>
              <w:t>17</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80" w:type="dxa"/>
            <w:vAlign w:val="bottom"/>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6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36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0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6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8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500" w:type="dxa"/>
            <w:vAlign w:val="bottom"/>
            <w:tcBorders>
              <w:top w:val="single" w:sz="8" w:color="0000FF"/>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70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76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100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0"/>
        </w:trPr>
        <w:tc>
          <w:tcPr>
            <w:tcW w:w="80" w:type="dxa"/>
            <w:vAlign w:val="bottom"/>
          </w:tcPr>
          <w:p>
            <w:pPr>
              <w:spacing w:after="0"/>
              <w:rPr>
                <w:sz w:val="24"/>
                <w:szCs w:val="24"/>
                <w:color w:val="auto"/>
              </w:rPr>
            </w:pPr>
          </w:p>
        </w:tc>
        <w:tc>
          <w:tcPr>
            <w:tcW w:w="5960" w:type="dxa"/>
            <w:vAlign w:val="bottom"/>
            <w:tcBorders>
              <w:bottom w:val="single" w:sz="8" w:color="0000FF"/>
            </w:tcBorders>
            <w:gridSpan w:val="30"/>
          </w:tcPr>
          <w:p>
            <w:pPr>
              <w:ind w:left="140"/>
              <w:spacing w:after="0"/>
              <w:rPr>
                <w:sz w:val="20"/>
                <w:szCs w:val="20"/>
                <w:color w:val="auto"/>
              </w:rPr>
            </w:pPr>
            <w:r>
              <w:rPr>
                <w:rFonts w:ascii="Arial" w:cs="Arial" w:eastAsia="Arial" w:hAnsi="Arial"/>
                <w:sz w:val="18"/>
                <w:szCs w:val="18"/>
                <w:b w:val="1"/>
                <w:bCs w:val="1"/>
                <w:color w:val="0000FF"/>
                <w:w w:val="91"/>
              </w:rPr>
              <w:t>Proposal 4: Ratification of Appointment of Independent Public Accountant</w:t>
            </w:r>
          </w:p>
        </w:tc>
        <w:tc>
          <w:tcPr>
            <w:tcW w:w="1960" w:type="dxa"/>
            <w:vAlign w:val="bottom"/>
            <w:gridSpan w:val="2"/>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5"/>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740" w:type="dxa"/>
            <w:vAlign w:val="bottom"/>
            <w:tcBorders>
              <w:bottom w:val="single" w:sz="8" w:color="0000FF"/>
            </w:tcBorders>
            <w:gridSpan w:val="20"/>
          </w:tcPr>
          <w:p>
            <w:pPr>
              <w:spacing w:after="0"/>
              <w:rPr>
                <w:sz w:val="20"/>
                <w:szCs w:val="20"/>
                <w:color w:val="auto"/>
              </w:rPr>
            </w:pPr>
            <w:r>
              <w:rPr>
                <w:rFonts w:ascii="Arial" w:cs="Arial" w:eastAsia="Arial" w:hAnsi="Arial"/>
                <w:sz w:val="18"/>
                <w:szCs w:val="18"/>
                <w:color w:val="0000FF"/>
                <w:w w:val="88"/>
              </w:rPr>
              <w:t>Independent Public Accountant’s Fees</w:t>
            </w:r>
          </w:p>
        </w:tc>
        <w:tc>
          <w:tcPr>
            <w:tcW w:w="4440" w:type="dxa"/>
            <w:vAlign w:val="bottom"/>
            <w:gridSpan w:val="9"/>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80" w:type="dxa"/>
            <w:vAlign w:val="bottom"/>
            <w:tcBorders>
              <w:bottom w:val="single" w:sz="8" w:color="0000FF"/>
            </w:tcBorders>
            <w:gridSpan w:val="6"/>
          </w:tcPr>
          <w:p>
            <w:pPr>
              <w:spacing w:after="0"/>
              <w:rPr>
                <w:sz w:val="20"/>
                <w:szCs w:val="20"/>
                <w:color w:val="auto"/>
              </w:rPr>
            </w:pPr>
            <w:r>
              <w:rPr>
                <w:rFonts w:ascii="Arial" w:cs="Arial" w:eastAsia="Arial" w:hAnsi="Arial"/>
                <w:sz w:val="18"/>
                <w:szCs w:val="18"/>
                <w:color w:val="0000FF"/>
                <w:w w:val="92"/>
              </w:rPr>
              <w:t>Pre-Approval Policy</w:t>
            </w:r>
          </w:p>
        </w:tc>
        <w:tc>
          <w:tcPr>
            <w:tcW w:w="8580" w:type="dxa"/>
            <w:vAlign w:val="bottom"/>
            <w:gridSpan w:val="27"/>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Conclusion and Recommendation; Vote Required</w:t>
            </w:r>
          </w:p>
        </w:tc>
        <w:tc>
          <w:tcPr>
            <w:tcW w:w="300" w:type="dxa"/>
            <w:vAlign w:val="bottom"/>
          </w:tcPr>
          <w:p>
            <w:pPr>
              <w:jc w:val="right"/>
              <w:spacing w:after="0"/>
              <w:rPr>
                <w:sz w:val="20"/>
                <w:szCs w:val="20"/>
                <w:color w:val="auto"/>
              </w:rPr>
            </w:pPr>
            <w:r>
              <w:rPr>
                <w:rFonts w:ascii="Arial" w:cs="Arial" w:eastAsia="Arial" w:hAnsi="Arial"/>
                <w:sz w:val="18"/>
                <w:szCs w:val="18"/>
                <w:color w:val="auto"/>
              </w:rPr>
              <w:t>19</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4"/>
        </w:trPr>
        <w:tc>
          <w:tcPr>
            <w:tcW w:w="80" w:type="dxa"/>
            <w:vAlign w:val="bottom"/>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6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36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0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6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8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500" w:type="dxa"/>
            <w:vAlign w:val="bottom"/>
            <w:tcBorders>
              <w:top w:val="single" w:sz="8" w:color="0000FF"/>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70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76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100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0"/>
        </w:trPr>
        <w:tc>
          <w:tcPr>
            <w:tcW w:w="80" w:type="dxa"/>
            <w:vAlign w:val="bottom"/>
          </w:tcPr>
          <w:p>
            <w:pPr>
              <w:spacing w:after="0"/>
              <w:rPr>
                <w:sz w:val="24"/>
                <w:szCs w:val="24"/>
                <w:color w:val="auto"/>
              </w:rPr>
            </w:pPr>
          </w:p>
        </w:tc>
        <w:tc>
          <w:tcPr>
            <w:tcW w:w="2540" w:type="dxa"/>
            <w:vAlign w:val="bottom"/>
            <w:tcBorders>
              <w:bottom w:val="single" w:sz="8" w:color="0000FF"/>
            </w:tcBorders>
            <w:gridSpan w:val="12"/>
          </w:tcPr>
          <w:p>
            <w:pPr>
              <w:ind w:left="100"/>
              <w:spacing w:after="0"/>
              <w:rPr>
                <w:sz w:val="20"/>
                <w:szCs w:val="20"/>
                <w:color w:val="auto"/>
              </w:rPr>
            </w:pPr>
            <w:r>
              <w:rPr>
                <w:rFonts w:ascii="Arial" w:cs="Arial" w:eastAsia="Arial" w:hAnsi="Arial"/>
                <w:sz w:val="18"/>
                <w:szCs w:val="18"/>
                <w:b w:val="1"/>
                <w:bCs w:val="1"/>
                <w:color w:val="0000FF"/>
                <w:w w:val="92"/>
              </w:rPr>
              <w:t>Report of the Audit Committee</w:t>
            </w:r>
          </w:p>
        </w:tc>
        <w:tc>
          <w:tcPr>
            <w:tcW w:w="5380" w:type="dxa"/>
            <w:vAlign w:val="bottom"/>
            <w:gridSpan w:val="20"/>
          </w:tcPr>
          <w:p>
            <w:pPr>
              <w:spacing w:after="0"/>
              <w:rPr>
                <w:sz w:val="24"/>
                <w:szCs w:val="24"/>
                <w:color w:val="auto"/>
              </w:rPr>
            </w:pPr>
          </w:p>
        </w:tc>
        <w:tc>
          <w:tcPr>
            <w:tcW w:w="5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20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
        </w:trPr>
        <w:tc>
          <w:tcPr>
            <w:tcW w:w="80" w:type="dxa"/>
            <w:vAlign w:val="bottom"/>
          </w:tcPr>
          <w:p>
            <w:pPr>
              <w:spacing w:after="0"/>
              <w:rPr>
                <w:sz w:val="4"/>
                <w:szCs w:val="4"/>
                <w:color w:val="auto"/>
              </w:rPr>
            </w:pPr>
          </w:p>
        </w:tc>
        <w:tc>
          <w:tcPr>
            <w:tcW w:w="34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60" w:type="dxa"/>
            <w:vAlign w:val="bottom"/>
            <w:tcBorders>
              <w:bottom w:val="single" w:sz="8" w:color="407CCA"/>
            </w:tcBorders>
          </w:tcPr>
          <w:p>
            <w:pPr>
              <w:spacing w:after="0"/>
              <w:rPr>
                <w:sz w:val="4"/>
                <w:szCs w:val="4"/>
                <w:color w:val="auto"/>
              </w:rPr>
            </w:pPr>
          </w:p>
        </w:tc>
        <w:tc>
          <w:tcPr>
            <w:tcW w:w="62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36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6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140" w:type="dxa"/>
            <w:vAlign w:val="bottom"/>
            <w:tcBorders>
              <w:bottom w:val="single" w:sz="8" w:color="407CCA"/>
            </w:tcBorders>
          </w:tcPr>
          <w:p>
            <w:pPr>
              <w:spacing w:after="0"/>
              <w:rPr>
                <w:sz w:val="4"/>
                <w:szCs w:val="4"/>
                <w:color w:val="auto"/>
              </w:rPr>
            </w:pPr>
          </w:p>
        </w:tc>
        <w:tc>
          <w:tcPr>
            <w:tcW w:w="8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700" w:type="dxa"/>
            <w:vAlign w:val="bottom"/>
            <w:tcBorders>
              <w:bottom w:val="single" w:sz="8" w:color="407CCA"/>
            </w:tcBorders>
          </w:tcPr>
          <w:p>
            <w:pPr>
              <w:spacing w:after="0"/>
              <w:rPr>
                <w:sz w:val="4"/>
                <w:szCs w:val="4"/>
                <w:color w:val="auto"/>
              </w:rPr>
            </w:pPr>
          </w:p>
        </w:tc>
        <w:tc>
          <w:tcPr>
            <w:tcW w:w="180" w:type="dxa"/>
            <w:vAlign w:val="bottom"/>
            <w:tcBorders>
              <w:bottom w:val="single" w:sz="8" w:color="407CCA"/>
            </w:tcBorders>
          </w:tcPr>
          <w:p>
            <w:pPr>
              <w:spacing w:after="0"/>
              <w:rPr>
                <w:sz w:val="4"/>
                <w:szCs w:val="4"/>
                <w:color w:val="auto"/>
              </w:rPr>
            </w:pPr>
          </w:p>
        </w:tc>
        <w:tc>
          <w:tcPr>
            <w:tcW w:w="340" w:type="dxa"/>
            <w:vAlign w:val="bottom"/>
            <w:tcBorders>
              <w:bottom w:val="single" w:sz="8" w:color="407CCA"/>
            </w:tcBorders>
          </w:tcPr>
          <w:p>
            <w:pPr>
              <w:spacing w:after="0"/>
              <w:rPr>
                <w:sz w:val="4"/>
                <w:szCs w:val="4"/>
                <w:color w:val="auto"/>
              </w:rPr>
            </w:pPr>
          </w:p>
        </w:tc>
        <w:tc>
          <w:tcPr>
            <w:tcW w:w="440" w:type="dxa"/>
            <w:vAlign w:val="bottom"/>
            <w:tcBorders>
              <w:bottom w:val="single" w:sz="8" w:color="407CCA"/>
            </w:tcBorders>
          </w:tcPr>
          <w:p>
            <w:pPr>
              <w:spacing w:after="0"/>
              <w:rPr>
                <w:sz w:val="4"/>
                <w:szCs w:val="4"/>
                <w:color w:val="auto"/>
              </w:rPr>
            </w:pPr>
          </w:p>
        </w:tc>
        <w:tc>
          <w:tcPr>
            <w:tcW w:w="1760" w:type="dxa"/>
            <w:vAlign w:val="bottom"/>
            <w:tcBorders>
              <w:bottom w:val="single" w:sz="8" w:color="407CCA"/>
            </w:tcBorders>
          </w:tcPr>
          <w:p>
            <w:pPr>
              <w:spacing w:after="0"/>
              <w:rPr>
                <w:sz w:val="4"/>
                <w:szCs w:val="4"/>
                <w:color w:val="auto"/>
              </w:rPr>
            </w:pPr>
          </w:p>
        </w:tc>
        <w:tc>
          <w:tcPr>
            <w:tcW w:w="20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880" w:type="dxa"/>
            <w:vAlign w:val="bottom"/>
            <w:tcBorders>
              <w:bottom w:val="single" w:sz="8" w:color="407CCA"/>
            </w:tcBorders>
          </w:tcPr>
          <w:p>
            <w:pPr>
              <w:spacing w:after="0"/>
              <w:rPr>
                <w:sz w:val="4"/>
                <w:szCs w:val="4"/>
                <w:color w:val="auto"/>
              </w:rPr>
            </w:pPr>
          </w:p>
        </w:tc>
        <w:tc>
          <w:tcPr>
            <w:tcW w:w="500" w:type="dxa"/>
            <w:vAlign w:val="bottom"/>
            <w:tcBorders>
              <w:bottom w:val="single" w:sz="8" w:color="407CCA"/>
            </w:tcBorders>
          </w:tcPr>
          <w:p>
            <w:pPr>
              <w:spacing w:after="0"/>
              <w:rPr>
                <w:sz w:val="4"/>
                <w:szCs w:val="4"/>
                <w:color w:val="auto"/>
              </w:rPr>
            </w:pPr>
          </w:p>
        </w:tc>
        <w:tc>
          <w:tcPr>
            <w:tcW w:w="300" w:type="dxa"/>
            <w:vAlign w:val="bottom"/>
            <w:tcBorders>
              <w:bottom w:val="single" w:sz="8" w:color="407CCA"/>
            </w:tcBorders>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90"/>
        </w:trPr>
        <w:tc>
          <w:tcPr>
            <w:tcW w:w="80" w:type="dxa"/>
            <w:vAlign w:val="bottom"/>
          </w:tcPr>
          <w:p>
            <w:pPr>
              <w:spacing w:after="0"/>
              <w:rPr>
                <w:sz w:val="24"/>
                <w:szCs w:val="24"/>
                <w:color w:val="auto"/>
              </w:rPr>
            </w:pPr>
          </w:p>
        </w:tc>
        <w:tc>
          <w:tcPr>
            <w:tcW w:w="10800" w:type="dxa"/>
            <w:vAlign w:val="bottom"/>
            <w:gridSpan w:val="36"/>
          </w:tcPr>
          <w:p>
            <w:pPr>
              <w:ind w:left="140"/>
              <w:spacing w:after="0"/>
              <w:rPr>
                <w:sz w:val="20"/>
                <w:szCs w:val="20"/>
                <w:color w:val="auto"/>
              </w:rPr>
            </w:pPr>
            <w:r>
              <w:rPr>
                <w:rFonts w:ascii="Arial" w:cs="Arial" w:eastAsia="Arial" w:hAnsi="Arial"/>
                <w:sz w:val="18"/>
                <w:szCs w:val="18"/>
                <w:b w:val="1"/>
                <w:bCs w:val="1"/>
                <w:color w:val="0000FF"/>
                <w:w w:val="95"/>
              </w:rPr>
              <w:t>Proposal 5: Approval of Amendments to Our Amended and Restated Certificate of Incorporation Eliminating Supermajority Voting</w:t>
            </w:r>
          </w:p>
        </w:tc>
        <w:tc>
          <w:tcPr>
            <w:tcW w:w="300" w:type="dxa"/>
            <w:vAlign w:val="bottom"/>
            <w:vMerge w:val="restart"/>
          </w:tcPr>
          <w:p>
            <w:pPr>
              <w:jc w:val="right"/>
              <w:spacing w:after="0"/>
              <w:rPr>
                <w:sz w:val="20"/>
                <w:szCs w:val="20"/>
                <w:color w:val="auto"/>
              </w:rPr>
            </w:pPr>
            <w:r>
              <w:rPr>
                <w:rFonts w:ascii="Arial" w:cs="Arial" w:eastAsia="Arial" w:hAnsi="Arial"/>
                <w:sz w:val="18"/>
                <w:szCs w:val="18"/>
                <w:color w:val="auto"/>
              </w:rPr>
              <w:t>21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5"/>
        </w:trPr>
        <w:tc>
          <w:tcPr>
            <w:tcW w:w="80" w:type="dxa"/>
            <w:vAlign w:val="bottom"/>
          </w:tcPr>
          <w:p>
            <w:pPr>
              <w:spacing w:after="0"/>
              <w:rPr>
                <w:sz w:val="13"/>
                <w:szCs w:val="13"/>
                <w:color w:val="auto"/>
              </w:rPr>
            </w:pPr>
          </w:p>
        </w:tc>
        <w:tc>
          <w:tcPr>
            <w:tcW w:w="340" w:type="dxa"/>
            <w:vAlign w:val="bottom"/>
            <w:tcBorders>
              <w:top w:val="single" w:sz="8" w:color="0000FF"/>
              <w:bottom w:val="single" w:sz="8" w:color="0000FF"/>
            </w:tcBorders>
          </w:tcPr>
          <w:p>
            <w:pPr>
              <w:spacing w:after="0"/>
              <w:rPr>
                <w:sz w:val="13"/>
                <w:szCs w:val="13"/>
                <w:color w:val="auto"/>
              </w:rPr>
            </w:pPr>
          </w:p>
        </w:tc>
        <w:tc>
          <w:tcPr>
            <w:tcW w:w="1060" w:type="dxa"/>
            <w:vAlign w:val="bottom"/>
            <w:tcBorders>
              <w:top w:val="single" w:sz="8" w:color="0000FF"/>
              <w:bottom w:val="single" w:sz="8" w:color="0000FF"/>
            </w:tcBorders>
            <w:gridSpan w:val="4"/>
          </w:tcPr>
          <w:p>
            <w:pPr>
              <w:spacing w:after="0" w:line="142" w:lineRule="exact"/>
              <w:rPr>
                <w:sz w:val="20"/>
                <w:szCs w:val="20"/>
                <w:color w:val="auto"/>
              </w:rPr>
            </w:pPr>
            <w:r>
              <w:rPr>
                <w:rFonts w:ascii="Arial" w:cs="Arial" w:eastAsia="Arial" w:hAnsi="Arial"/>
                <w:sz w:val="16"/>
                <w:szCs w:val="16"/>
                <w:b w:val="1"/>
                <w:bCs w:val="1"/>
                <w:color w:val="0000FF"/>
                <w:w w:val="97"/>
              </w:rPr>
              <w:t>Requirements</w:t>
            </w:r>
          </w:p>
        </w:tc>
        <w:tc>
          <w:tcPr>
            <w:tcW w:w="300" w:type="dxa"/>
            <w:vAlign w:val="bottom"/>
            <w:tcBorders>
              <w:top w:val="single" w:sz="8" w:color="0000FF"/>
              <w:bottom w:val="single" w:sz="8" w:color="0000FF"/>
            </w:tcBorders>
          </w:tcPr>
          <w:p>
            <w:pPr>
              <w:spacing w:after="0"/>
              <w:rPr>
                <w:sz w:val="13"/>
                <w:szCs w:val="13"/>
                <w:color w:val="auto"/>
              </w:rPr>
            </w:pPr>
          </w:p>
        </w:tc>
        <w:tc>
          <w:tcPr>
            <w:tcW w:w="140" w:type="dxa"/>
            <w:vAlign w:val="bottom"/>
            <w:tcBorders>
              <w:top w:val="single" w:sz="8" w:color="0000FF"/>
              <w:bottom w:val="single" w:sz="8" w:color="0000FF"/>
            </w:tcBorders>
          </w:tcPr>
          <w:p>
            <w:pPr>
              <w:spacing w:after="0"/>
              <w:rPr>
                <w:sz w:val="13"/>
                <w:szCs w:val="13"/>
                <w:color w:val="auto"/>
              </w:rPr>
            </w:pPr>
          </w:p>
        </w:tc>
        <w:tc>
          <w:tcPr>
            <w:tcW w:w="6080" w:type="dxa"/>
            <w:vAlign w:val="bottom"/>
            <w:tcBorders>
              <w:top w:val="single" w:sz="8" w:color="0000FF"/>
              <w:bottom w:val="single" w:sz="8" w:color="0000FF"/>
            </w:tcBorders>
            <w:gridSpan w:val="25"/>
          </w:tcPr>
          <w:p>
            <w:pPr>
              <w:spacing w:after="0"/>
              <w:rPr>
                <w:sz w:val="13"/>
                <w:szCs w:val="13"/>
                <w:color w:val="auto"/>
              </w:rPr>
            </w:pPr>
          </w:p>
        </w:tc>
        <w:tc>
          <w:tcPr>
            <w:tcW w:w="500" w:type="dxa"/>
            <w:vAlign w:val="bottom"/>
            <w:tcBorders>
              <w:top w:val="single" w:sz="8" w:color="0000FF"/>
              <w:bottom w:val="single" w:sz="8" w:color="0000FF"/>
            </w:tcBorders>
          </w:tcPr>
          <w:p>
            <w:pPr>
              <w:spacing w:after="0"/>
              <w:rPr>
                <w:sz w:val="13"/>
                <w:szCs w:val="13"/>
                <w:color w:val="auto"/>
              </w:rPr>
            </w:pPr>
          </w:p>
        </w:tc>
        <w:tc>
          <w:tcPr>
            <w:tcW w:w="1000" w:type="dxa"/>
            <w:vAlign w:val="bottom"/>
            <w:tcBorders>
              <w:top w:val="single" w:sz="8" w:color="0000FF"/>
              <w:bottom w:val="single" w:sz="8" w:color="0000FF"/>
            </w:tcBorders>
          </w:tcPr>
          <w:p>
            <w:pPr>
              <w:spacing w:after="0"/>
              <w:rPr>
                <w:sz w:val="13"/>
                <w:szCs w:val="13"/>
                <w:color w:val="auto"/>
              </w:rPr>
            </w:pPr>
          </w:p>
        </w:tc>
        <w:tc>
          <w:tcPr>
            <w:tcW w:w="880" w:type="dxa"/>
            <w:vAlign w:val="bottom"/>
            <w:tcBorders>
              <w:top w:val="single" w:sz="8" w:color="0000FF"/>
              <w:bottom w:val="single" w:sz="8" w:color="0000FF"/>
            </w:tcBorders>
          </w:tcPr>
          <w:p>
            <w:pPr>
              <w:spacing w:after="0"/>
              <w:rPr>
                <w:sz w:val="13"/>
                <w:szCs w:val="13"/>
                <w:color w:val="auto"/>
              </w:rPr>
            </w:pPr>
          </w:p>
        </w:tc>
        <w:tc>
          <w:tcPr>
            <w:tcW w:w="500" w:type="dxa"/>
            <w:vAlign w:val="bottom"/>
          </w:tcPr>
          <w:p>
            <w:pPr>
              <w:spacing w:after="0"/>
              <w:rPr>
                <w:sz w:val="13"/>
                <w:szCs w:val="13"/>
                <w:color w:val="auto"/>
              </w:rPr>
            </w:pPr>
          </w:p>
        </w:tc>
        <w:tc>
          <w:tcPr>
            <w:tcW w:w="300" w:type="dxa"/>
            <w:vAlign w:val="bottom"/>
            <w:vMerge w:val="continue"/>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7"/>
        </w:trPr>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0460" w:type="dxa"/>
            <w:vAlign w:val="bottom"/>
            <w:gridSpan w:val="35"/>
          </w:tcPr>
          <w:p>
            <w:pPr>
              <w:ind w:left="40"/>
              <w:spacing w:after="0"/>
              <w:rPr>
                <w:sz w:val="20"/>
                <w:szCs w:val="20"/>
                <w:color w:val="auto"/>
              </w:rPr>
            </w:pPr>
            <w:r>
              <w:rPr>
                <w:rFonts w:ascii="Arial" w:cs="Arial" w:eastAsia="Arial" w:hAnsi="Arial"/>
                <w:sz w:val="18"/>
                <w:szCs w:val="18"/>
                <w:color w:val="0000FF"/>
              </w:rPr>
              <w:t>General Information</w:t>
            </w:r>
          </w:p>
        </w:tc>
        <w:tc>
          <w:tcPr>
            <w:tcW w:w="300" w:type="dxa"/>
            <w:vAlign w:val="bottom"/>
          </w:tcPr>
          <w:p>
            <w:pPr>
              <w:jc w:val="right"/>
              <w:spacing w:after="0"/>
              <w:rPr>
                <w:sz w:val="20"/>
                <w:szCs w:val="20"/>
                <w:color w:val="auto"/>
              </w:rPr>
            </w:pPr>
            <w:r>
              <w:rPr>
                <w:rFonts w:ascii="Arial" w:cs="Arial" w:eastAsia="Arial" w:hAnsi="Arial"/>
                <w:sz w:val="18"/>
                <w:szCs w:val="18"/>
                <w:color w:val="auto"/>
              </w:rPr>
              <w:t>21</w:t>
            </w: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Borders>
              <w:right w:val="single" w:sz="8" w:color="0000FF"/>
            </w:tcBorders>
            <w:shd w:val="clear" w:color="auto" w:fill="0000FF"/>
          </w:tcPr>
          <w:p>
            <w:pPr>
              <w:spacing w:after="0" w:line="20" w:lineRule="exact"/>
              <w:rPr>
                <w:sz w:val="1"/>
                <w:szCs w:val="1"/>
                <w:color w:val="auto"/>
              </w:rPr>
            </w:pPr>
          </w:p>
        </w:tc>
        <w:tc>
          <w:tcPr>
            <w:tcW w:w="960" w:type="dxa"/>
            <w:vAlign w:val="bottom"/>
            <w:gridSpan w:val="3"/>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6080" w:type="dxa"/>
            <w:vAlign w:val="bottom"/>
            <w:gridSpan w:val="25"/>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Proposal 5A: Amendment to Eliminate the Supermajority Voting Standard for Certain Amendments to Our Certificate of</w:t>
            </w:r>
          </w:p>
        </w:tc>
        <w:tc>
          <w:tcPr>
            <w:tcW w:w="300" w:type="dxa"/>
            <w:vAlign w:val="bottom"/>
            <w:vMerge w:val="restart"/>
          </w:tcPr>
          <w:p>
            <w:pPr>
              <w:jc w:val="right"/>
              <w:spacing w:after="0"/>
              <w:rPr>
                <w:sz w:val="20"/>
                <w:szCs w:val="20"/>
                <w:color w:val="auto"/>
              </w:rPr>
            </w:pPr>
            <w:r>
              <w:rPr>
                <w:rFonts w:ascii="Arial" w:cs="Arial" w:eastAsia="Arial" w:hAnsi="Arial"/>
                <w:sz w:val="18"/>
                <w:szCs w:val="18"/>
                <w:color w:val="auto"/>
              </w:rPr>
              <w:t>21</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55"/>
        </w:trPr>
        <w:tc>
          <w:tcPr>
            <w:tcW w:w="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960" w:type="dxa"/>
            <w:vAlign w:val="bottom"/>
            <w:tcBorders>
              <w:top w:val="single" w:sz="8" w:color="0000FF"/>
              <w:bottom w:val="single" w:sz="8" w:color="0000FF"/>
            </w:tcBorders>
            <w:gridSpan w:val="3"/>
          </w:tcPr>
          <w:p>
            <w:pPr>
              <w:spacing w:after="0" w:line="142" w:lineRule="exact"/>
              <w:rPr>
                <w:sz w:val="20"/>
                <w:szCs w:val="20"/>
                <w:color w:val="auto"/>
              </w:rPr>
            </w:pPr>
            <w:r>
              <w:rPr>
                <w:rFonts w:ascii="Arial" w:cs="Arial" w:eastAsia="Arial" w:hAnsi="Arial"/>
                <w:sz w:val="16"/>
                <w:szCs w:val="16"/>
                <w:color w:val="0000FF"/>
              </w:rPr>
              <w:t>Incorporation</w:t>
            </w:r>
          </w:p>
        </w:tc>
        <w:tc>
          <w:tcPr>
            <w:tcW w:w="6220" w:type="dxa"/>
            <w:vAlign w:val="bottom"/>
            <w:tcBorders>
              <w:top w:val="single" w:sz="8" w:color="0000FF"/>
              <w:bottom w:val="single" w:sz="8" w:color="0000FF"/>
            </w:tcBorders>
            <w:gridSpan w:val="26"/>
          </w:tcPr>
          <w:p>
            <w:pPr>
              <w:spacing w:after="0"/>
              <w:rPr>
                <w:sz w:val="13"/>
                <w:szCs w:val="13"/>
                <w:color w:val="auto"/>
              </w:rPr>
            </w:pPr>
          </w:p>
        </w:tc>
        <w:tc>
          <w:tcPr>
            <w:tcW w:w="500" w:type="dxa"/>
            <w:vAlign w:val="bottom"/>
            <w:tcBorders>
              <w:top w:val="single" w:sz="8" w:color="0000FF"/>
              <w:bottom w:val="single" w:sz="8" w:color="0000FF"/>
            </w:tcBorders>
          </w:tcPr>
          <w:p>
            <w:pPr>
              <w:spacing w:after="0"/>
              <w:rPr>
                <w:sz w:val="13"/>
                <w:szCs w:val="13"/>
                <w:color w:val="auto"/>
              </w:rPr>
            </w:pPr>
          </w:p>
        </w:tc>
        <w:tc>
          <w:tcPr>
            <w:tcW w:w="1000" w:type="dxa"/>
            <w:vAlign w:val="bottom"/>
            <w:tcBorders>
              <w:top w:val="single" w:sz="8" w:color="0000FF"/>
              <w:bottom w:val="single" w:sz="8" w:color="0000FF"/>
            </w:tcBorders>
          </w:tcPr>
          <w:p>
            <w:pPr>
              <w:spacing w:after="0"/>
              <w:rPr>
                <w:sz w:val="13"/>
                <w:szCs w:val="13"/>
                <w:color w:val="auto"/>
              </w:rPr>
            </w:pPr>
          </w:p>
        </w:tc>
        <w:tc>
          <w:tcPr>
            <w:tcW w:w="1380" w:type="dxa"/>
            <w:vAlign w:val="bottom"/>
            <w:gridSpan w:val="2"/>
          </w:tcPr>
          <w:p>
            <w:pPr>
              <w:spacing w:after="0"/>
              <w:rPr>
                <w:sz w:val="13"/>
                <w:szCs w:val="13"/>
                <w:color w:val="auto"/>
              </w:rPr>
            </w:pPr>
          </w:p>
        </w:tc>
        <w:tc>
          <w:tcPr>
            <w:tcW w:w="300" w:type="dxa"/>
            <w:vAlign w:val="bottom"/>
            <w:vMerge w:val="continue"/>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7680" w:type="dxa"/>
            <w:vAlign w:val="bottom"/>
            <w:tcBorders>
              <w:bottom w:val="single" w:sz="8" w:color="0000FF"/>
            </w:tcBorders>
            <w:gridSpan w:val="30"/>
          </w:tcPr>
          <w:p>
            <w:pPr>
              <w:spacing w:after="0"/>
              <w:rPr>
                <w:sz w:val="20"/>
                <w:szCs w:val="20"/>
                <w:color w:val="auto"/>
              </w:rPr>
            </w:pPr>
            <w:r>
              <w:rPr>
                <w:rFonts w:ascii="Arial" w:cs="Arial" w:eastAsia="Arial" w:hAnsi="Arial"/>
                <w:sz w:val="18"/>
                <w:szCs w:val="18"/>
                <w:color w:val="0000FF"/>
                <w:w w:val="91"/>
              </w:rPr>
              <w:t>Proposal 5B: Amendment to Eliminate the Supermajority Voting Standard for Amendments to Our Bylaws</w:t>
            </w:r>
          </w:p>
        </w:tc>
        <w:tc>
          <w:tcPr>
            <w:tcW w:w="2380" w:type="dxa"/>
            <w:vAlign w:val="bottom"/>
            <w:gridSpan w:val="3"/>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21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60" w:type="dxa"/>
            <w:vAlign w:val="bottom"/>
            <w:gridSpan w:val="33"/>
          </w:tcPr>
          <w:p>
            <w:pPr>
              <w:spacing w:after="0"/>
              <w:rPr>
                <w:sz w:val="20"/>
                <w:szCs w:val="20"/>
                <w:color w:val="auto"/>
              </w:rPr>
            </w:pPr>
            <w:r>
              <w:rPr>
                <w:rFonts w:ascii="Arial" w:cs="Arial" w:eastAsia="Arial" w:hAnsi="Arial"/>
                <w:sz w:val="18"/>
                <w:szCs w:val="18"/>
                <w:color w:val="0000FF"/>
              </w:rPr>
              <w:t>Proposal 5C: Amendment to Eliminate the Supermajority Voting Standard for Removal of Directors</w:t>
            </w:r>
          </w:p>
        </w:tc>
        <w:tc>
          <w:tcPr>
            <w:tcW w:w="300" w:type="dxa"/>
            <w:vAlign w:val="bottom"/>
          </w:tcPr>
          <w:p>
            <w:pPr>
              <w:jc w:val="right"/>
              <w:spacing w:after="0"/>
              <w:rPr>
                <w:sz w:val="20"/>
                <w:szCs w:val="20"/>
                <w:color w:val="auto"/>
              </w:rPr>
            </w:pPr>
            <w:r>
              <w:rPr>
                <w:rFonts w:ascii="Arial" w:cs="Arial" w:eastAsia="Arial" w:hAnsi="Arial"/>
                <w:sz w:val="18"/>
                <w:szCs w:val="18"/>
                <w:color w:val="auto"/>
              </w:rPr>
              <w:t>22</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8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7180" w:type="dxa"/>
            <w:vAlign w:val="bottom"/>
            <w:tcBorders>
              <w:top w:val="single" w:sz="8" w:color="0000FF"/>
            </w:tcBorders>
            <w:gridSpan w:val="29"/>
          </w:tcPr>
          <w:p>
            <w:pPr>
              <w:spacing w:after="0"/>
              <w:rPr>
                <w:sz w:val="20"/>
                <w:szCs w:val="20"/>
                <w:color w:val="auto"/>
              </w:rPr>
            </w:pPr>
            <w:r>
              <w:rPr>
                <w:rFonts w:ascii="Arial" w:cs="Arial" w:eastAsia="Arial" w:hAnsi="Arial"/>
                <w:sz w:val="18"/>
                <w:szCs w:val="18"/>
                <w:color w:val="0000FF"/>
              </w:rPr>
              <w:t>Conclusion and Recommendation; Vote Required</w:t>
            </w:r>
          </w:p>
        </w:tc>
        <w:tc>
          <w:tcPr>
            <w:tcW w:w="2880" w:type="dxa"/>
            <w:vAlign w:val="bottom"/>
            <w:gridSpan w:val="4"/>
          </w:tcPr>
          <w:p>
            <w:pPr>
              <w:spacing w:after="0"/>
              <w:rPr>
                <w:sz w:val="22"/>
                <w:szCs w:val="22"/>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22</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4"/>
        </w:trPr>
        <w:tc>
          <w:tcPr>
            <w:tcW w:w="80" w:type="dxa"/>
            <w:vAlign w:val="bottom"/>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360" w:type="dxa"/>
            <w:vAlign w:val="bottom"/>
            <w:tcBorders>
              <w:bottom w:val="single" w:sz="8" w:color="407CCA"/>
            </w:tcBorders>
          </w:tcPr>
          <w:p>
            <w:pPr>
              <w:spacing w:after="0"/>
              <w:rPr>
                <w:sz w:val="2"/>
                <w:szCs w:val="2"/>
                <w:color w:val="auto"/>
              </w:rPr>
            </w:pPr>
          </w:p>
        </w:tc>
        <w:tc>
          <w:tcPr>
            <w:tcW w:w="6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36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100" w:type="dxa"/>
            <w:vAlign w:val="bottom"/>
            <w:tcBorders>
              <w:top w:val="single" w:sz="8" w:color="0000FF"/>
              <w:bottom w:val="single" w:sz="8" w:color="407CCA"/>
            </w:tcBorders>
          </w:tcPr>
          <w:p>
            <w:pPr>
              <w:spacing w:after="0"/>
              <w:rPr>
                <w:sz w:val="2"/>
                <w:szCs w:val="2"/>
                <w:color w:val="auto"/>
              </w:rPr>
            </w:pPr>
          </w:p>
        </w:tc>
        <w:tc>
          <w:tcPr>
            <w:tcW w:w="20" w:type="dxa"/>
            <w:vAlign w:val="bottom"/>
            <w:tcBorders>
              <w:top w:val="single" w:sz="8" w:color="0000FF"/>
              <w:bottom w:val="single" w:sz="8" w:color="407CCA"/>
            </w:tcBorders>
          </w:tcPr>
          <w:p>
            <w:pPr>
              <w:spacing w:after="0"/>
              <w:rPr>
                <w:sz w:val="2"/>
                <w:szCs w:val="2"/>
                <w:color w:val="auto"/>
              </w:rPr>
            </w:pPr>
          </w:p>
        </w:tc>
        <w:tc>
          <w:tcPr>
            <w:tcW w:w="6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200" w:type="dxa"/>
            <w:vAlign w:val="bottom"/>
            <w:tcBorders>
              <w:top w:val="single" w:sz="8" w:color="0000FF"/>
              <w:bottom w:val="single" w:sz="8" w:color="407CCA"/>
            </w:tcBorders>
          </w:tcPr>
          <w:p>
            <w:pPr>
              <w:spacing w:after="0"/>
              <w:rPr>
                <w:sz w:val="2"/>
                <w:szCs w:val="2"/>
                <w:color w:val="auto"/>
              </w:rPr>
            </w:pPr>
          </w:p>
        </w:tc>
        <w:tc>
          <w:tcPr>
            <w:tcW w:w="140" w:type="dxa"/>
            <w:vAlign w:val="bottom"/>
            <w:tcBorders>
              <w:top w:val="single" w:sz="8" w:color="0000FF"/>
              <w:bottom w:val="single" w:sz="8" w:color="407CCA"/>
            </w:tcBorders>
          </w:tcPr>
          <w:p>
            <w:pPr>
              <w:spacing w:after="0"/>
              <w:rPr>
                <w:sz w:val="2"/>
                <w:szCs w:val="2"/>
                <w:color w:val="auto"/>
              </w:rPr>
            </w:pPr>
          </w:p>
        </w:tc>
        <w:tc>
          <w:tcPr>
            <w:tcW w:w="80" w:type="dxa"/>
            <w:vAlign w:val="bottom"/>
            <w:tcBorders>
              <w:top w:val="single" w:sz="8" w:color="0000FF"/>
              <w:bottom w:val="single" w:sz="8" w:color="407CCA"/>
            </w:tcBorders>
          </w:tcPr>
          <w:p>
            <w:pPr>
              <w:spacing w:after="0"/>
              <w:rPr>
                <w:sz w:val="2"/>
                <w:szCs w:val="2"/>
                <w:color w:val="auto"/>
              </w:rPr>
            </w:pPr>
          </w:p>
        </w:tc>
        <w:tc>
          <w:tcPr>
            <w:tcW w:w="40" w:type="dxa"/>
            <w:vAlign w:val="bottom"/>
            <w:tcBorders>
              <w:top w:val="single" w:sz="8" w:color="0000FF"/>
              <w:bottom w:val="single" w:sz="8" w:color="407CCA"/>
            </w:tcBorders>
          </w:tcPr>
          <w:p>
            <w:pPr>
              <w:spacing w:after="0"/>
              <w:rPr>
                <w:sz w:val="2"/>
                <w:szCs w:val="2"/>
                <w:color w:val="auto"/>
              </w:rPr>
            </w:pPr>
          </w:p>
        </w:tc>
        <w:tc>
          <w:tcPr>
            <w:tcW w:w="300" w:type="dxa"/>
            <w:vAlign w:val="bottom"/>
            <w:tcBorders>
              <w:top w:val="single" w:sz="8" w:color="0000FF"/>
              <w:bottom w:val="single" w:sz="8" w:color="407CCA"/>
            </w:tcBorders>
          </w:tcPr>
          <w:p>
            <w:pPr>
              <w:spacing w:after="0"/>
              <w:rPr>
                <w:sz w:val="2"/>
                <w:szCs w:val="2"/>
                <w:color w:val="auto"/>
              </w:rPr>
            </w:pPr>
          </w:p>
        </w:tc>
        <w:tc>
          <w:tcPr>
            <w:tcW w:w="500" w:type="dxa"/>
            <w:vAlign w:val="bottom"/>
            <w:tcBorders>
              <w:top w:val="single" w:sz="8" w:color="0000FF"/>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70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34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760" w:type="dxa"/>
            <w:vAlign w:val="bottom"/>
            <w:tcBorders>
              <w:bottom w:val="single" w:sz="8" w:color="407CCA"/>
            </w:tcBorders>
          </w:tcPr>
          <w:p>
            <w:pPr>
              <w:spacing w:after="0"/>
              <w:rPr>
                <w:sz w:val="2"/>
                <w:szCs w:val="2"/>
                <w:color w:val="auto"/>
              </w:rPr>
            </w:pPr>
          </w:p>
        </w:tc>
        <w:tc>
          <w:tcPr>
            <w:tcW w:w="20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100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500" w:type="dxa"/>
            <w:vAlign w:val="bottom"/>
            <w:tcBorders>
              <w:bottom w:val="single" w:sz="8" w:color="407CCA"/>
            </w:tcBorders>
          </w:tcPr>
          <w:p>
            <w:pPr>
              <w:spacing w:after="0"/>
              <w:rPr>
                <w:sz w:val="2"/>
                <w:szCs w:val="2"/>
                <w:color w:val="auto"/>
              </w:rPr>
            </w:pPr>
          </w:p>
        </w:tc>
        <w:tc>
          <w:tcPr>
            <w:tcW w:w="300" w:type="dxa"/>
            <w:vAlign w:val="bottom"/>
            <w:tcBorders>
              <w:bottom w:val="single" w:sz="8" w:color="407CCA"/>
            </w:tcBorders>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616"/>
        </w:trPr>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3080" w:type="dxa"/>
            <w:vAlign w:val="bottom"/>
            <w:gridSpan w:val="5"/>
          </w:tcPr>
          <w:p>
            <w:pPr>
              <w:ind w:left="140"/>
              <w:spacing w:after="0"/>
              <w:rPr>
                <w:sz w:val="20"/>
                <w:szCs w:val="20"/>
                <w:color w:val="auto"/>
              </w:rPr>
            </w:pPr>
            <w:r>
              <w:rPr>
                <w:rFonts w:ascii="Arial" w:cs="Arial" w:eastAsia="Arial" w:hAnsi="Arial"/>
                <w:sz w:val="14"/>
                <w:szCs w:val="14"/>
                <w:color w:val="407CCA"/>
                <w:w w:val="97"/>
              </w:rPr>
              <w:t xml:space="preserve">AGNC INVESTMENT CORP. - </w:t>
            </w:r>
            <w:r>
              <w:rPr>
                <w:rFonts w:ascii="Arial" w:cs="Arial" w:eastAsia="Arial" w:hAnsi="Arial"/>
                <w:sz w:val="14"/>
                <w:szCs w:val="14"/>
                <w:i w:val="1"/>
                <w:iCs w:val="1"/>
                <w:color w:val="407CCA"/>
                <w:w w:val="97"/>
              </w:rPr>
              <w:t>Proxy Statement</w:t>
            </w:r>
          </w:p>
        </w:tc>
        <w:tc>
          <w:tcPr>
            <w:tcW w:w="360" w:type="dxa"/>
            <w:vAlign w:val="bottom"/>
            <w:gridSpan w:val="2"/>
          </w:tcPr>
          <w:p>
            <w:pPr>
              <w:jc w:val="center"/>
              <w:ind w:left="91"/>
              <w:spacing w:after="0"/>
              <w:rPr>
                <w:sz w:val="20"/>
                <w:szCs w:val="20"/>
                <w:color w:val="auto"/>
              </w:rPr>
            </w:pPr>
            <w:r>
              <w:rPr>
                <w:rFonts w:ascii="Arial" w:cs="Arial" w:eastAsia="Arial" w:hAnsi="Arial"/>
                <w:sz w:val="14"/>
                <w:szCs w:val="14"/>
                <w:color w:val="407CCA"/>
              </w:rPr>
              <w:t>vii</w:t>
            </w:r>
          </w:p>
        </w:tc>
        <w:tc>
          <w:tcPr>
            <w:tcW w:w="0" w:type="dxa"/>
            <w:vAlign w:val="bottom"/>
          </w:tcPr>
          <w:p>
            <w:pPr>
              <w:spacing w:after="0"/>
              <w:rPr>
                <w:sz w:val="1"/>
                <w:szCs w:val="1"/>
                <w:color w:val="auto"/>
              </w:rPr>
            </w:pPr>
          </w:p>
        </w:tc>
      </w:tr>
      <w:tr>
        <w:trPr>
          <w:trHeight w:val="235"/>
        </w:trPr>
        <w:tc>
          <w:tcPr>
            <w:tcW w:w="80" w:type="dxa"/>
            <w:vAlign w:val="bottom"/>
            <w:tcBorders>
              <w:bottom w:val="single" w:sz="8" w:color="9A9A9A"/>
            </w:tcBorders>
          </w:tcPr>
          <w:p>
            <w:pPr>
              <w:spacing w:after="0"/>
              <w:rPr>
                <w:sz w:val="20"/>
                <w:szCs w:val="20"/>
                <w:color w:val="auto"/>
              </w:rPr>
            </w:pPr>
          </w:p>
        </w:tc>
        <w:tc>
          <w:tcPr>
            <w:tcW w:w="34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360" w:type="dxa"/>
            <w:vAlign w:val="bottom"/>
            <w:tcBorders>
              <w:bottom w:val="single" w:sz="8" w:color="9A9A9A"/>
            </w:tcBorders>
          </w:tcPr>
          <w:p>
            <w:pPr>
              <w:spacing w:after="0"/>
              <w:rPr>
                <w:sz w:val="20"/>
                <w:szCs w:val="20"/>
                <w:color w:val="auto"/>
              </w:rPr>
            </w:pPr>
          </w:p>
        </w:tc>
        <w:tc>
          <w:tcPr>
            <w:tcW w:w="62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300" w:type="dxa"/>
            <w:vAlign w:val="bottom"/>
            <w:tcBorders>
              <w:bottom w:val="single" w:sz="8" w:color="9A9A9A"/>
            </w:tcBorders>
          </w:tcPr>
          <w:p>
            <w:pPr>
              <w:spacing w:after="0"/>
              <w:rPr>
                <w:sz w:val="20"/>
                <w:szCs w:val="20"/>
                <w:color w:val="auto"/>
              </w:rPr>
            </w:pPr>
          </w:p>
        </w:tc>
        <w:tc>
          <w:tcPr>
            <w:tcW w:w="140" w:type="dxa"/>
            <w:vAlign w:val="bottom"/>
            <w:tcBorders>
              <w:bottom w:val="single" w:sz="8" w:color="9A9A9A"/>
            </w:tcBorders>
          </w:tcPr>
          <w:p>
            <w:pPr>
              <w:spacing w:after="0"/>
              <w:rPr>
                <w:sz w:val="20"/>
                <w:szCs w:val="20"/>
                <w:color w:val="auto"/>
              </w:rPr>
            </w:pPr>
          </w:p>
        </w:tc>
        <w:tc>
          <w:tcPr>
            <w:tcW w:w="360" w:type="dxa"/>
            <w:vAlign w:val="bottom"/>
            <w:tcBorders>
              <w:bottom w:val="single" w:sz="8" w:color="9A9A9A"/>
            </w:tcBorders>
          </w:tcPr>
          <w:p>
            <w:pPr>
              <w:spacing w:after="0"/>
              <w:rPr>
                <w:sz w:val="20"/>
                <w:szCs w:val="20"/>
                <w:color w:val="auto"/>
              </w:rPr>
            </w:pPr>
          </w:p>
        </w:tc>
        <w:tc>
          <w:tcPr>
            <w:tcW w:w="20" w:type="dxa"/>
            <w:vAlign w:val="bottom"/>
            <w:tcBorders>
              <w:bottom w:val="single" w:sz="8" w:color="9A9A9A"/>
            </w:tcBorders>
          </w:tcPr>
          <w:p>
            <w:pPr>
              <w:spacing w:after="0"/>
              <w:rPr>
                <w:sz w:val="20"/>
                <w:szCs w:val="20"/>
                <w:color w:val="auto"/>
              </w:rPr>
            </w:pPr>
          </w:p>
        </w:tc>
        <w:tc>
          <w:tcPr>
            <w:tcW w:w="14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140" w:type="dxa"/>
            <w:vAlign w:val="bottom"/>
            <w:tcBorders>
              <w:bottom w:val="single" w:sz="8" w:color="9A9A9A"/>
            </w:tcBorders>
          </w:tcPr>
          <w:p>
            <w:pPr>
              <w:spacing w:after="0"/>
              <w:rPr>
                <w:sz w:val="20"/>
                <w:szCs w:val="20"/>
                <w:color w:val="auto"/>
              </w:rPr>
            </w:pPr>
          </w:p>
        </w:tc>
        <w:tc>
          <w:tcPr>
            <w:tcW w:w="2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100" w:type="dxa"/>
            <w:vAlign w:val="bottom"/>
            <w:tcBorders>
              <w:bottom w:val="single" w:sz="8" w:color="9A9A9A"/>
            </w:tcBorders>
          </w:tcPr>
          <w:p>
            <w:pPr>
              <w:spacing w:after="0"/>
              <w:rPr>
                <w:sz w:val="20"/>
                <w:szCs w:val="20"/>
                <w:color w:val="auto"/>
              </w:rPr>
            </w:pPr>
          </w:p>
        </w:tc>
        <w:tc>
          <w:tcPr>
            <w:tcW w:w="20" w:type="dxa"/>
            <w:vAlign w:val="bottom"/>
            <w:tcBorders>
              <w:bottom w:val="single" w:sz="8" w:color="9A9A9A"/>
            </w:tcBorders>
          </w:tcPr>
          <w:p>
            <w:pPr>
              <w:spacing w:after="0"/>
              <w:rPr>
                <w:sz w:val="20"/>
                <w:szCs w:val="20"/>
                <w:color w:val="auto"/>
              </w:rPr>
            </w:pPr>
          </w:p>
        </w:tc>
        <w:tc>
          <w:tcPr>
            <w:tcW w:w="6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200" w:type="dxa"/>
            <w:vAlign w:val="bottom"/>
            <w:tcBorders>
              <w:bottom w:val="single" w:sz="8" w:color="9A9A9A"/>
            </w:tcBorders>
          </w:tcPr>
          <w:p>
            <w:pPr>
              <w:spacing w:after="0"/>
              <w:rPr>
                <w:sz w:val="20"/>
                <w:szCs w:val="20"/>
                <w:color w:val="auto"/>
              </w:rPr>
            </w:pPr>
          </w:p>
        </w:tc>
        <w:tc>
          <w:tcPr>
            <w:tcW w:w="200" w:type="dxa"/>
            <w:vAlign w:val="bottom"/>
            <w:tcBorders>
              <w:bottom w:val="single" w:sz="8" w:color="9A9A9A"/>
            </w:tcBorders>
          </w:tcPr>
          <w:p>
            <w:pPr>
              <w:spacing w:after="0"/>
              <w:rPr>
                <w:sz w:val="20"/>
                <w:szCs w:val="20"/>
                <w:color w:val="auto"/>
              </w:rPr>
            </w:pPr>
          </w:p>
        </w:tc>
        <w:tc>
          <w:tcPr>
            <w:tcW w:w="140" w:type="dxa"/>
            <w:vAlign w:val="bottom"/>
            <w:tcBorders>
              <w:bottom w:val="single" w:sz="8" w:color="9A9A9A"/>
            </w:tcBorders>
          </w:tcPr>
          <w:p>
            <w:pPr>
              <w:spacing w:after="0"/>
              <w:rPr>
                <w:sz w:val="20"/>
                <w:szCs w:val="20"/>
                <w:color w:val="auto"/>
              </w:rPr>
            </w:pPr>
          </w:p>
        </w:tc>
        <w:tc>
          <w:tcPr>
            <w:tcW w:w="80" w:type="dxa"/>
            <w:vAlign w:val="bottom"/>
            <w:tcBorders>
              <w:bottom w:val="single" w:sz="8" w:color="9A9A9A"/>
            </w:tcBorders>
          </w:tcPr>
          <w:p>
            <w:pPr>
              <w:spacing w:after="0"/>
              <w:rPr>
                <w:sz w:val="20"/>
                <w:szCs w:val="20"/>
                <w:color w:val="auto"/>
              </w:rPr>
            </w:pPr>
          </w:p>
        </w:tc>
        <w:tc>
          <w:tcPr>
            <w:tcW w:w="40" w:type="dxa"/>
            <w:vAlign w:val="bottom"/>
            <w:tcBorders>
              <w:bottom w:val="single" w:sz="8" w:color="9A9A9A"/>
            </w:tcBorders>
          </w:tcPr>
          <w:p>
            <w:pPr>
              <w:spacing w:after="0"/>
              <w:rPr>
                <w:sz w:val="20"/>
                <w:szCs w:val="20"/>
                <w:color w:val="auto"/>
              </w:rPr>
            </w:pPr>
          </w:p>
        </w:tc>
        <w:tc>
          <w:tcPr>
            <w:tcW w:w="300" w:type="dxa"/>
            <w:vAlign w:val="bottom"/>
            <w:tcBorders>
              <w:bottom w:val="single" w:sz="8" w:color="9A9A9A"/>
            </w:tcBorders>
          </w:tcPr>
          <w:p>
            <w:pPr>
              <w:spacing w:after="0"/>
              <w:rPr>
                <w:sz w:val="20"/>
                <w:szCs w:val="20"/>
                <w:color w:val="auto"/>
              </w:rPr>
            </w:pPr>
          </w:p>
        </w:tc>
        <w:tc>
          <w:tcPr>
            <w:tcW w:w="500" w:type="dxa"/>
            <w:vAlign w:val="bottom"/>
            <w:tcBorders>
              <w:bottom w:val="single" w:sz="8" w:color="9A9A9A"/>
            </w:tcBorders>
          </w:tcPr>
          <w:p>
            <w:pPr>
              <w:spacing w:after="0"/>
              <w:rPr>
                <w:sz w:val="20"/>
                <w:szCs w:val="20"/>
                <w:color w:val="auto"/>
              </w:rPr>
            </w:pPr>
          </w:p>
        </w:tc>
        <w:tc>
          <w:tcPr>
            <w:tcW w:w="20" w:type="dxa"/>
            <w:vAlign w:val="bottom"/>
            <w:tcBorders>
              <w:bottom w:val="single" w:sz="8" w:color="9A9A9A"/>
            </w:tcBorders>
          </w:tcPr>
          <w:p>
            <w:pPr>
              <w:spacing w:after="0"/>
              <w:rPr>
                <w:sz w:val="20"/>
                <w:szCs w:val="20"/>
                <w:color w:val="auto"/>
              </w:rPr>
            </w:pPr>
          </w:p>
        </w:tc>
        <w:tc>
          <w:tcPr>
            <w:tcW w:w="700" w:type="dxa"/>
            <w:vAlign w:val="bottom"/>
            <w:tcBorders>
              <w:bottom w:val="single" w:sz="8" w:color="9A9A9A"/>
            </w:tcBorders>
          </w:tcPr>
          <w:p>
            <w:pPr>
              <w:spacing w:after="0"/>
              <w:rPr>
                <w:sz w:val="20"/>
                <w:szCs w:val="20"/>
                <w:color w:val="auto"/>
              </w:rPr>
            </w:pPr>
          </w:p>
        </w:tc>
        <w:tc>
          <w:tcPr>
            <w:tcW w:w="180" w:type="dxa"/>
            <w:vAlign w:val="bottom"/>
            <w:tcBorders>
              <w:bottom w:val="single" w:sz="8" w:color="9A9A9A"/>
            </w:tcBorders>
          </w:tcPr>
          <w:p>
            <w:pPr>
              <w:spacing w:after="0"/>
              <w:rPr>
                <w:sz w:val="20"/>
                <w:szCs w:val="20"/>
                <w:color w:val="auto"/>
              </w:rPr>
            </w:pPr>
          </w:p>
        </w:tc>
        <w:tc>
          <w:tcPr>
            <w:tcW w:w="340" w:type="dxa"/>
            <w:vAlign w:val="bottom"/>
            <w:tcBorders>
              <w:bottom w:val="single" w:sz="8" w:color="9A9A9A"/>
            </w:tcBorders>
          </w:tcPr>
          <w:p>
            <w:pPr>
              <w:spacing w:after="0"/>
              <w:rPr>
                <w:sz w:val="20"/>
                <w:szCs w:val="20"/>
                <w:color w:val="auto"/>
              </w:rPr>
            </w:pPr>
          </w:p>
        </w:tc>
        <w:tc>
          <w:tcPr>
            <w:tcW w:w="440" w:type="dxa"/>
            <w:vAlign w:val="bottom"/>
            <w:tcBorders>
              <w:bottom w:val="single" w:sz="8" w:color="9A9A9A"/>
            </w:tcBorders>
          </w:tcPr>
          <w:p>
            <w:pPr>
              <w:spacing w:after="0"/>
              <w:rPr>
                <w:sz w:val="20"/>
                <w:szCs w:val="20"/>
                <w:color w:val="auto"/>
              </w:rPr>
            </w:pPr>
          </w:p>
        </w:tc>
        <w:tc>
          <w:tcPr>
            <w:tcW w:w="1760" w:type="dxa"/>
            <w:vAlign w:val="bottom"/>
            <w:tcBorders>
              <w:bottom w:val="single" w:sz="8" w:color="9A9A9A"/>
            </w:tcBorders>
          </w:tcPr>
          <w:p>
            <w:pPr>
              <w:spacing w:after="0"/>
              <w:rPr>
                <w:sz w:val="20"/>
                <w:szCs w:val="20"/>
                <w:color w:val="auto"/>
              </w:rPr>
            </w:pPr>
          </w:p>
        </w:tc>
        <w:tc>
          <w:tcPr>
            <w:tcW w:w="200" w:type="dxa"/>
            <w:vAlign w:val="bottom"/>
            <w:tcBorders>
              <w:bottom w:val="single" w:sz="8" w:color="9A9A9A"/>
            </w:tcBorders>
          </w:tcPr>
          <w:p>
            <w:pPr>
              <w:spacing w:after="0"/>
              <w:rPr>
                <w:sz w:val="20"/>
                <w:szCs w:val="20"/>
                <w:color w:val="auto"/>
              </w:rPr>
            </w:pPr>
          </w:p>
        </w:tc>
        <w:tc>
          <w:tcPr>
            <w:tcW w:w="500" w:type="dxa"/>
            <w:vAlign w:val="bottom"/>
            <w:tcBorders>
              <w:bottom w:val="single" w:sz="8" w:color="9A9A9A"/>
            </w:tcBorders>
          </w:tcPr>
          <w:p>
            <w:pPr>
              <w:spacing w:after="0"/>
              <w:rPr>
                <w:sz w:val="20"/>
                <w:szCs w:val="20"/>
                <w:color w:val="auto"/>
              </w:rPr>
            </w:pPr>
          </w:p>
        </w:tc>
        <w:tc>
          <w:tcPr>
            <w:tcW w:w="1000" w:type="dxa"/>
            <w:vAlign w:val="bottom"/>
            <w:tcBorders>
              <w:bottom w:val="single" w:sz="8" w:color="9A9A9A"/>
            </w:tcBorders>
          </w:tcPr>
          <w:p>
            <w:pPr>
              <w:spacing w:after="0"/>
              <w:rPr>
                <w:sz w:val="20"/>
                <w:szCs w:val="20"/>
                <w:color w:val="auto"/>
              </w:rPr>
            </w:pPr>
          </w:p>
        </w:tc>
        <w:tc>
          <w:tcPr>
            <w:tcW w:w="880" w:type="dxa"/>
            <w:vAlign w:val="bottom"/>
            <w:tcBorders>
              <w:bottom w:val="single" w:sz="8" w:color="9A9A9A"/>
            </w:tcBorders>
          </w:tcPr>
          <w:p>
            <w:pPr>
              <w:spacing w:after="0"/>
              <w:rPr>
                <w:sz w:val="20"/>
                <w:szCs w:val="20"/>
                <w:color w:val="auto"/>
              </w:rPr>
            </w:pPr>
          </w:p>
        </w:tc>
        <w:tc>
          <w:tcPr>
            <w:tcW w:w="500" w:type="dxa"/>
            <w:vAlign w:val="bottom"/>
            <w:tcBorders>
              <w:bottom w:val="single" w:sz="8" w:color="9A9A9A"/>
            </w:tcBorders>
          </w:tcPr>
          <w:p>
            <w:pPr>
              <w:spacing w:after="0"/>
              <w:rPr>
                <w:sz w:val="20"/>
                <w:szCs w:val="20"/>
                <w:color w:val="auto"/>
              </w:rPr>
            </w:pPr>
          </w:p>
        </w:tc>
        <w:tc>
          <w:tcPr>
            <w:tcW w:w="300" w:type="dxa"/>
            <w:vAlign w:val="bottom"/>
            <w:tcBorders>
              <w:bottom w:val="single" w:sz="8" w:color="9A9A9A"/>
            </w:tcBorders>
          </w:tcPr>
          <w:p>
            <w:pPr>
              <w:spacing w:after="0"/>
              <w:rPr>
                <w:sz w:val="20"/>
                <w:szCs w:val="20"/>
                <w:color w:val="auto"/>
              </w:rPr>
            </w:pPr>
          </w:p>
        </w:tc>
        <w:tc>
          <w:tcPr>
            <w:tcW w:w="60" w:type="dxa"/>
            <w:vAlign w:val="bottom"/>
            <w:tcBorders>
              <w:bottom w:val="single" w:sz="8" w:color="9A9A9A"/>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7115810</wp:posOffset>
            </wp:positionH>
            <wp:positionV relativeFrom="paragraph">
              <wp:posOffset>-29210</wp:posOffset>
            </wp:positionV>
            <wp:extent cx="33655" cy="425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9" w:name="page10"/>
    <w:bookmarkEnd w:id="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47625</wp:posOffset>
            </wp:positionH>
            <wp:positionV relativeFrom="paragraph">
              <wp:posOffset>591820</wp:posOffset>
            </wp:positionV>
            <wp:extent cx="7054850"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05485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tbl>
      <w:tblPr>
        <w:tblLayout w:type="fixed"/>
        <w:tblInd w:w="80" w:type="dxa"/>
        <w:tblCellMar>
          <w:top w:w="0" w:type="dxa"/>
          <w:left w:w="0" w:type="dxa"/>
          <w:bottom w:w="0" w:type="dxa"/>
          <w:right w:w="0" w:type="dxa"/>
        </w:tblCellMar>
      </w:tblPr>
      <w:tr>
        <w:trPr>
          <w:trHeight w:val="227"/>
        </w:trPr>
        <w:tc>
          <w:tcPr>
            <w:tcW w:w="2600" w:type="dxa"/>
            <w:vAlign w:val="bottom"/>
            <w:tcBorders>
              <w:bottom w:val="single" w:sz="8" w:color="0000FF"/>
            </w:tcBorders>
            <w:gridSpan w:val="7"/>
          </w:tcPr>
          <w:p>
            <w:pPr>
              <w:ind w:left="100"/>
              <w:spacing w:after="0"/>
              <w:rPr>
                <w:sz w:val="20"/>
                <w:szCs w:val="20"/>
                <w:color w:val="auto"/>
              </w:rPr>
            </w:pPr>
            <w:r>
              <w:rPr>
                <w:rFonts w:ascii="Arial" w:cs="Arial" w:eastAsia="Arial" w:hAnsi="Arial"/>
                <w:sz w:val="18"/>
                <w:szCs w:val="18"/>
                <w:b w:val="1"/>
                <w:bCs w:val="1"/>
                <w:color w:val="0000FF"/>
                <w:w w:val="90"/>
              </w:rPr>
              <w:t>Executive Officers of Registrant</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45"/>
        </w:trPr>
        <w:tc>
          <w:tcPr>
            <w:tcW w:w="740" w:type="dxa"/>
            <w:vAlign w:val="bottom"/>
          </w:tcPr>
          <w:p>
            <w:pPr>
              <w:spacing w:after="0"/>
              <w:rPr>
                <w:sz w:val="24"/>
                <w:szCs w:val="24"/>
                <w:color w:val="auto"/>
              </w:rPr>
            </w:pPr>
          </w:p>
        </w:tc>
        <w:tc>
          <w:tcPr>
            <w:tcW w:w="2220" w:type="dxa"/>
            <w:vAlign w:val="bottom"/>
            <w:tcBorders>
              <w:bottom w:val="single" w:sz="8" w:color="0000FF"/>
            </w:tcBorders>
            <w:gridSpan w:val="9"/>
          </w:tcPr>
          <w:p>
            <w:pPr>
              <w:spacing w:after="0"/>
              <w:rPr>
                <w:sz w:val="20"/>
                <w:szCs w:val="20"/>
                <w:color w:val="auto"/>
              </w:rPr>
            </w:pPr>
            <w:r>
              <w:rPr>
                <w:rFonts w:ascii="Arial" w:cs="Arial" w:eastAsia="Arial" w:hAnsi="Arial"/>
                <w:sz w:val="18"/>
                <w:szCs w:val="18"/>
                <w:color w:val="0000FF"/>
                <w:w w:val="93"/>
              </w:rPr>
              <w:t>Executive Officer Biographies</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48"/>
        </w:trPr>
        <w:tc>
          <w:tcPr>
            <w:tcW w:w="740" w:type="dxa"/>
            <w:vAlign w:val="bottom"/>
            <w:tcBorders>
              <w:bottom w:val="single" w:sz="8" w:color="407CCA"/>
            </w:tcBorders>
          </w:tcPr>
          <w:p>
            <w:pPr>
              <w:spacing w:after="0"/>
              <w:rPr>
                <w:sz w:val="4"/>
                <w:szCs w:val="4"/>
                <w:color w:val="auto"/>
              </w:rPr>
            </w:pPr>
          </w:p>
        </w:tc>
        <w:tc>
          <w:tcPr>
            <w:tcW w:w="240" w:type="dxa"/>
            <w:vAlign w:val="bottom"/>
            <w:tcBorders>
              <w:bottom w:val="single" w:sz="8" w:color="407CCA"/>
            </w:tcBorders>
          </w:tcPr>
          <w:p>
            <w:pPr>
              <w:spacing w:after="0"/>
              <w:rPr>
                <w:sz w:val="4"/>
                <w:szCs w:val="4"/>
                <w:color w:val="auto"/>
              </w:rPr>
            </w:pPr>
          </w:p>
        </w:tc>
        <w:tc>
          <w:tcPr>
            <w:tcW w:w="460" w:type="dxa"/>
            <w:vAlign w:val="bottom"/>
            <w:tcBorders>
              <w:bottom w:val="single" w:sz="8" w:color="407CCA"/>
            </w:tcBorders>
          </w:tcPr>
          <w:p>
            <w:pPr>
              <w:spacing w:after="0"/>
              <w:rPr>
                <w:sz w:val="4"/>
                <w:szCs w:val="4"/>
                <w:color w:val="auto"/>
              </w:rPr>
            </w:pPr>
          </w:p>
        </w:tc>
        <w:tc>
          <w:tcPr>
            <w:tcW w:w="600" w:type="dxa"/>
            <w:vAlign w:val="bottom"/>
            <w:tcBorders>
              <w:bottom w:val="single" w:sz="8" w:color="407CCA"/>
            </w:tcBorders>
          </w:tcPr>
          <w:p>
            <w:pPr>
              <w:spacing w:after="0"/>
              <w:rPr>
                <w:sz w:val="4"/>
                <w:szCs w:val="4"/>
                <w:color w:val="auto"/>
              </w:rPr>
            </w:pPr>
          </w:p>
        </w:tc>
        <w:tc>
          <w:tcPr>
            <w:tcW w:w="400" w:type="dxa"/>
            <w:vAlign w:val="bottom"/>
            <w:tcBorders>
              <w:bottom w:val="single" w:sz="8" w:color="407CCA"/>
            </w:tcBorders>
          </w:tcPr>
          <w:p>
            <w:pPr>
              <w:spacing w:after="0"/>
              <w:rPr>
                <w:sz w:val="4"/>
                <w:szCs w:val="4"/>
                <w:color w:val="auto"/>
              </w:rPr>
            </w:pPr>
          </w:p>
        </w:tc>
        <w:tc>
          <w:tcPr>
            <w:tcW w:w="6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220" w:type="dxa"/>
            <w:vAlign w:val="bottom"/>
            <w:tcBorders>
              <w:bottom w:val="single" w:sz="8" w:color="407CCA"/>
            </w:tcBorders>
          </w:tcPr>
          <w:p>
            <w:pPr>
              <w:spacing w:after="0"/>
              <w:rPr>
                <w:sz w:val="4"/>
                <w:szCs w:val="4"/>
                <w:color w:val="auto"/>
              </w:rPr>
            </w:pPr>
          </w:p>
        </w:tc>
        <w:tc>
          <w:tcPr>
            <w:tcW w:w="12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120" w:type="dxa"/>
            <w:vAlign w:val="bottom"/>
            <w:tcBorders>
              <w:bottom w:val="single" w:sz="8" w:color="407CCA"/>
            </w:tcBorders>
          </w:tcPr>
          <w:p>
            <w:pPr>
              <w:spacing w:after="0"/>
              <w:rPr>
                <w:sz w:val="4"/>
                <w:szCs w:val="4"/>
                <w:color w:val="auto"/>
              </w:rPr>
            </w:pPr>
          </w:p>
        </w:tc>
        <w:tc>
          <w:tcPr>
            <w:tcW w:w="22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24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40" w:type="dxa"/>
            <w:vAlign w:val="bottom"/>
            <w:tcBorders>
              <w:bottom w:val="single" w:sz="8" w:color="407CCA"/>
            </w:tcBorders>
          </w:tcPr>
          <w:p>
            <w:pPr>
              <w:spacing w:after="0"/>
              <w:rPr>
                <w:sz w:val="4"/>
                <w:szCs w:val="4"/>
                <w:color w:val="auto"/>
              </w:rPr>
            </w:pPr>
          </w:p>
        </w:tc>
        <w:tc>
          <w:tcPr>
            <w:tcW w:w="18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180" w:type="dxa"/>
            <w:vAlign w:val="bottom"/>
            <w:tcBorders>
              <w:bottom w:val="single" w:sz="8" w:color="407CCA"/>
            </w:tcBorders>
          </w:tcPr>
          <w:p>
            <w:pPr>
              <w:spacing w:after="0"/>
              <w:rPr>
                <w:sz w:val="4"/>
                <w:szCs w:val="4"/>
                <w:color w:val="auto"/>
              </w:rPr>
            </w:pPr>
          </w:p>
        </w:tc>
        <w:tc>
          <w:tcPr>
            <w:tcW w:w="16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20" w:type="dxa"/>
            <w:vAlign w:val="bottom"/>
            <w:tcBorders>
              <w:bottom w:val="single" w:sz="8" w:color="407CCA"/>
            </w:tcBorders>
          </w:tcPr>
          <w:p>
            <w:pPr>
              <w:spacing w:after="0"/>
              <w:rPr>
                <w:sz w:val="4"/>
                <w:szCs w:val="4"/>
                <w:color w:val="auto"/>
              </w:rPr>
            </w:pPr>
          </w:p>
        </w:tc>
        <w:tc>
          <w:tcPr>
            <w:tcW w:w="180" w:type="dxa"/>
            <w:vAlign w:val="bottom"/>
            <w:tcBorders>
              <w:bottom w:val="single" w:sz="8" w:color="407CCA"/>
            </w:tcBorders>
          </w:tcPr>
          <w:p>
            <w:pPr>
              <w:spacing w:after="0"/>
              <w:rPr>
                <w:sz w:val="4"/>
                <w:szCs w:val="4"/>
                <w:color w:val="auto"/>
              </w:rPr>
            </w:pPr>
          </w:p>
        </w:tc>
        <w:tc>
          <w:tcPr>
            <w:tcW w:w="420" w:type="dxa"/>
            <w:vAlign w:val="bottom"/>
            <w:tcBorders>
              <w:bottom w:val="single" w:sz="8" w:color="407CCA"/>
            </w:tcBorders>
          </w:tcPr>
          <w:p>
            <w:pPr>
              <w:spacing w:after="0"/>
              <w:rPr>
                <w:sz w:val="4"/>
                <w:szCs w:val="4"/>
                <w:color w:val="auto"/>
              </w:rPr>
            </w:pPr>
          </w:p>
        </w:tc>
        <w:tc>
          <w:tcPr>
            <w:tcW w:w="100" w:type="dxa"/>
            <w:vAlign w:val="bottom"/>
            <w:tcBorders>
              <w:bottom w:val="single" w:sz="8" w:color="407CCA"/>
            </w:tcBorders>
          </w:tcPr>
          <w:p>
            <w:pPr>
              <w:spacing w:after="0"/>
              <w:rPr>
                <w:sz w:val="4"/>
                <w:szCs w:val="4"/>
                <w:color w:val="auto"/>
              </w:rPr>
            </w:pPr>
          </w:p>
        </w:tc>
        <w:tc>
          <w:tcPr>
            <w:tcW w:w="240" w:type="dxa"/>
            <w:vAlign w:val="bottom"/>
            <w:tcBorders>
              <w:bottom w:val="single" w:sz="8" w:color="407CCA"/>
            </w:tcBorders>
          </w:tcPr>
          <w:p>
            <w:pPr>
              <w:spacing w:after="0"/>
              <w:rPr>
                <w:sz w:val="4"/>
                <w:szCs w:val="4"/>
                <w:color w:val="auto"/>
              </w:rPr>
            </w:pPr>
          </w:p>
        </w:tc>
        <w:tc>
          <w:tcPr>
            <w:tcW w:w="80" w:type="dxa"/>
            <w:vAlign w:val="bottom"/>
            <w:tcBorders>
              <w:bottom w:val="single" w:sz="8" w:color="407CCA"/>
            </w:tcBorders>
          </w:tcPr>
          <w:p>
            <w:pPr>
              <w:spacing w:after="0"/>
              <w:rPr>
                <w:sz w:val="4"/>
                <w:szCs w:val="4"/>
                <w:color w:val="auto"/>
              </w:rPr>
            </w:pPr>
          </w:p>
        </w:tc>
        <w:tc>
          <w:tcPr>
            <w:tcW w:w="60" w:type="dxa"/>
            <w:vAlign w:val="bottom"/>
            <w:tcBorders>
              <w:bottom w:val="single" w:sz="8" w:color="407CCA"/>
            </w:tcBorders>
          </w:tcPr>
          <w:p>
            <w:pPr>
              <w:spacing w:after="0"/>
              <w:rPr>
                <w:sz w:val="4"/>
                <w:szCs w:val="4"/>
                <w:color w:val="auto"/>
              </w:rPr>
            </w:pPr>
          </w:p>
        </w:tc>
        <w:tc>
          <w:tcPr>
            <w:tcW w:w="320" w:type="dxa"/>
            <w:vAlign w:val="bottom"/>
            <w:tcBorders>
              <w:bottom w:val="single" w:sz="8" w:color="407CCA"/>
            </w:tcBorders>
          </w:tcPr>
          <w:p>
            <w:pPr>
              <w:spacing w:after="0"/>
              <w:rPr>
                <w:sz w:val="4"/>
                <w:szCs w:val="4"/>
                <w:color w:val="auto"/>
              </w:rPr>
            </w:pPr>
          </w:p>
        </w:tc>
        <w:tc>
          <w:tcPr>
            <w:tcW w:w="400" w:type="dxa"/>
            <w:vAlign w:val="bottom"/>
            <w:tcBorders>
              <w:bottom w:val="single" w:sz="8" w:color="407CCA"/>
            </w:tcBorders>
          </w:tcPr>
          <w:p>
            <w:pPr>
              <w:spacing w:after="0"/>
              <w:rPr>
                <w:sz w:val="4"/>
                <w:szCs w:val="4"/>
                <w:color w:val="auto"/>
              </w:rPr>
            </w:pPr>
          </w:p>
        </w:tc>
        <w:tc>
          <w:tcPr>
            <w:tcW w:w="4740" w:type="dxa"/>
            <w:vAlign w:val="bottom"/>
            <w:tcBorders>
              <w:bottom w:val="single" w:sz="8" w:color="407CCA"/>
            </w:tcBorders>
          </w:tcPr>
          <w:p>
            <w:pPr>
              <w:spacing w:after="0"/>
              <w:rPr>
                <w:sz w:val="4"/>
                <w:szCs w:val="4"/>
                <w:color w:val="auto"/>
              </w:rPr>
            </w:pPr>
          </w:p>
        </w:tc>
      </w:tr>
      <w:tr>
        <w:trPr>
          <w:trHeight w:val="183"/>
        </w:trPr>
        <w:tc>
          <w:tcPr>
            <w:tcW w:w="2040" w:type="dxa"/>
            <w:vAlign w:val="bottom"/>
            <w:tcBorders>
              <w:bottom w:val="single" w:sz="8" w:color="0000FF"/>
            </w:tcBorders>
            <w:gridSpan w:val="4"/>
          </w:tcPr>
          <w:p>
            <w:pPr>
              <w:ind w:left="100"/>
              <w:spacing w:after="0" w:line="182" w:lineRule="exact"/>
              <w:rPr>
                <w:sz w:val="20"/>
                <w:szCs w:val="20"/>
                <w:color w:val="auto"/>
              </w:rPr>
            </w:pPr>
            <w:r>
              <w:rPr>
                <w:rFonts w:ascii="Arial" w:cs="Arial" w:eastAsia="Arial" w:hAnsi="Arial"/>
                <w:sz w:val="18"/>
                <w:szCs w:val="18"/>
                <w:b w:val="1"/>
                <w:bCs w:val="1"/>
                <w:color w:val="0000FF"/>
                <w:w w:val="89"/>
              </w:rPr>
              <w:t>Executive Compensation</w:t>
            </w:r>
          </w:p>
        </w:tc>
        <w:tc>
          <w:tcPr>
            <w:tcW w:w="4320" w:type="dxa"/>
            <w:vAlign w:val="bottom"/>
            <w:gridSpan w:val="30"/>
          </w:tcPr>
          <w:p>
            <w:pPr>
              <w:spacing w:after="0"/>
              <w:rPr>
                <w:sz w:val="15"/>
                <w:szCs w:val="15"/>
                <w:color w:val="auto"/>
              </w:rPr>
            </w:pPr>
          </w:p>
        </w:tc>
        <w:tc>
          <w:tcPr>
            <w:tcW w:w="4740" w:type="dxa"/>
            <w:vAlign w:val="bottom"/>
          </w:tcPr>
          <w:p>
            <w:pPr>
              <w:jc w:val="right"/>
              <w:spacing w:after="0" w:line="182" w:lineRule="exact"/>
              <w:rPr>
                <w:sz w:val="20"/>
                <w:szCs w:val="20"/>
                <w:color w:val="auto"/>
              </w:rPr>
            </w:pPr>
            <w:r>
              <w:rPr>
                <w:rFonts w:ascii="Arial" w:cs="Arial" w:eastAsia="Arial" w:hAnsi="Arial"/>
                <w:sz w:val="18"/>
                <w:szCs w:val="18"/>
                <w:color w:val="auto"/>
              </w:rPr>
              <w:t>25</w:t>
            </w:r>
          </w:p>
        </w:tc>
      </w:tr>
      <w:tr>
        <w:trPr>
          <w:trHeight w:val="318"/>
        </w:trPr>
        <w:tc>
          <w:tcPr>
            <w:tcW w:w="740" w:type="dxa"/>
            <w:vAlign w:val="bottom"/>
          </w:tcPr>
          <w:p>
            <w:pPr>
              <w:spacing w:after="0"/>
              <w:rPr>
                <w:sz w:val="24"/>
                <w:szCs w:val="24"/>
                <w:color w:val="auto"/>
              </w:rPr>
            </w:pPr>
          </w:p>
        </w:tc>
        <w:tc>
          <w:tcPr>
            <w:tcW w:w="2880" w:type="dxa"/>
            <w:vAlign w:val="bottom"/>
            <w:tcBorders>
              <w:bottom w:val="single" w:sz="8" w:color="0000FF"/>
            </w:tcBorders>
            <w:gridSpan w:val="15"/>
          </w:tcPr>
          <w:p>
            <w:pPr>
              <w:spacing w:after="0"/>
              <w:rPr>
                <w:sz w:val="20"/>
                <w:szCs w:val="20"/>
                <w:color w:val="auto"/>
              </w:rPr>
            </w:pPr>
            <w:r>
              <w:rPr>
                <w:rFonts w:ascii="Arial" w:cs="Arial" w:eastAsia="Arial" w:hAnsi="Arial"/>
                <w:sz w:val="18"/>
                <w:szCs w:val="18"/>
                <w:color w:val="0000FF"/>
                <w:w w:val="90"/>
              </w:rPr>
              <w:t>Compensation Discussion and Analysis</w:t>
            </w: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77"/>
        </w:trPr>
        <w:tc>
          <w:tcPr>
            <w:tcW w:w="7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40" w:type="dxa"/>
            <w:vAlign w:val="bottom"/>
            <w:tcBorders>
              <w:bottom w:val="single" w:sz="8" w:color="0000FF"/>
            </w:tcBorders>
            <w:gridSpan w:val="11"/>
          </w:tcPr>
          <w:p>
            <w:pPr>
              <w:spacing w:after="0"/>
              <w:rPr>
                <w:sz w:val="20"/>
                <w:szCs w:val="20"/>
                <w:color w:val="auto"/>
              </w:rPr>
            </w:pPr>
            <w:r>
              <w:rPr>
                <w:rFonts w:ascii="Arial" w:cs="Arial" w:eastAsia="Arial" w:hAnsi="Arial"/>
                <w:sz w:val="18"/>
                <w:szCs w:val="18"/>
                <w:color w:val="0000FF"/>
                <w:w w:val="91"/>
              </w:rPr>
              <w:t>2022 Named Executive Officers</w:t>
            </w:r>
          </w:p>
        </w:tc>
        <w:tc>
          <w:tcPr>
            <w:tcW w:w="3040" w:type="dxa"/>
            <w:vAlign w:val="bottom"/>
            <w:gridSpan w:val="21"/>
          </w:tcPr>
          <w:p>
            <w:pPr>
              <w:spacing w:after="0"/>
              <w:rPr>
                <w:sz w:val="24"/>
                <w:szCs w:val="24"/>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5380" w:type="dxa"/>
            <w:vAlign w:val="bottom"/>
            <w:gridSpan w:val="32"/>
          </w:tcPr>
          <w:p>
            <w:pPr>
              <w:spacing w:after="0"/>
              <w:rPr>
                <w:sz w:val="20"/>
                <w:szCs w:val="20"/>
                <w:color w:val="auto"/>
              </w:rPr>
            </w:pPr>
            <w:r>
              <w:rPr>
                <w:rFonts w:ascii="Arial" w:cs="Arial" w:eastAsia="Arial" w:hAnsi="Arial"/>
                <w:sz w:val="18"/>
                <w:szCs w:val="18"/>
                <w:color w:val="0000FF"/>
              </w:rPr>
              <w:t>Executive Summary</w:t>
            </w:r>
          </w:p>
        </w:tc>
        <w:tc>
          <w:tcPr>
            <w:tcW w:w="474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0"/>
        </w:trPr>
        <w:tc>
          <w:tcPr>
            <w:tcW w:w="7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shd w:val="clear" w:color="auto" w:fill="0000FF"/>
          </w:tcPr>
          <w:p>
            <w:pPr>
              <w:spacing w:after="0" w:line="20" w:lineRule="exact"/>
              <w:rPr>
                <w:sz w:val="1"/>
                <w:szCs w:val="1"/>
                <w:color w:val="auto"/>
              </w:rPr>
            </w:pPr>
          </w:p>
        </w:tc>
        <w:tc>
          <w:tcPr>
            <w:tcW w:w="1000" w:type="dxa"/>
            <w:vAlign w:val="bottom"/>
            <w:gridSpan w:val="2"/>
            <w:shd w:val="clear" w:color="auto" w:fill="0000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740" w:type="dxa"/>
            <w:vAlign w:val="bottom"/>
          </w:tcPr>
          <w:p>
            <w:pPr>
              <w:spacing w:after="0" w:line="20" w:lineRule="exact"/>
              <w:rPr>
                <w:sz w:val="1"/>
                <w:szCs w:val="1"/>
                <w:color w:val="auto"/>
              </w:rPr>
            </w:pP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4920" w:type="dxa"/>
            <w:vAlign w:val="bottom"/>
            <w:gridSpan w:val="31"/>
          </w:tcPr>
          <w:p>
            <w:pPr>
              <w:spacing w:after="0"/>
              <w:rPr>
                <w:sz w:val="20"/>
                <w:szCs w:val="20"/>
                <w:color w:val="auto"/>
              </w:rPr>
            </w:pPr>
            <w:r>
              <w:rPr>
                <w:rFonts w:ascii="Arial" w:cs="Arial" w:eastAsia="Arial" w:hAnsi="Arial"/>
                <w:sz w:val="18"/>
                <w:szCs w:val="18"/>
                <w:color w:val="0000FF"/>
              </w:rPr>
              <w:t>Business Overview</w:t>
            </w:r>
          </w:p>
        </w:tc>
        <w:tc>
          <w:tcPr>
            <w:tcW w:w="474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0"/>
        </w:trPr>
        <w:tc>
          <w:tcPr>
            <w:tcW w:w="7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60" w:type="dxa"/>
            <w:vAlign w:val="bottom"/>
            <w:gridSpan w:val="3"/>
            <w:shd w:val="clear" w:color="auto" w:fill="0000FF"/>
          </w:tcPr>
          <w:p>
            <w:pPr>
              <w:spacing w:after="0" w:line="20" w:lineRule="exact"/>
              <w:rPr>
                <w:sz w:val="1"/>
                <w:szCs w:val="1"/>
                <w:color w:val="auto"/>
              </w:rPr>
            </w:pPr>
          </w:p>
        </w:tc>
        <w:tc>
          <w:tcPr>
            <w:tcW w:w="320" w:type="dxa"/>
            <w:vAlign w:val="bottom"/>
            <w:gridSpan w:val="2"/>
            <w:shd w:val="clear" w:color="auto" w:fill="0000FF"/>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740" w:type="dxa"/>
            <w:vAlign w:val="bottom"/>
          </w:tcPr>
          <w:p>
            <w:pPr>
              <w:spacing w:after="0" w:line="20" w:lineRule="exact"/>
              <w:rPr>
                <w:sz w:val="1"/>
                <w:szCs w:val="1"/>
                <w:color w:val="auto"/>
              </w:rPr>
            </w:pPr>
          </w:p>
        </w:tc>
      </w:tr>
      <w:tr>
        <w:trPr>
          <w:trHeight w:val="264"/>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820" w:type="dxa"/>
            <w:vAlign w:val="bottom"/>
            <w:tcBorders>
              <w:bottom w:val="single" w:sz="8" w:color="0000FF"/>
            </w:tcBorders>
            <w:gridSpan w:val="26"/>
          </w:tcPr>
          <w:p>
            <w:pPr>
              <w:spacing w:after="0"/>
              <w:rPr>
                <w:sz w:val="20"/>
                <w:szCs w:val="20"/>
                <w:color w:val="auto"/>
              </w:rPr>
            </w:pPr>
            <w:r>
              <w:rPr>
                <w:rFonts w:ascii="Arial" w:cs="Arial" w:eastAsia="Arial" w:hAnsi="Arial"/>
                <w:sz w:val="18"/>
                <w:szCs w:val="18"/>
                <w:color w:val="0000FF"/>
                <w:w w:val="91"/>
              </w:rPr>
              <w:t>Our Business in the Context of Our Broader Industry</w:t>
            </w:r>
          </w:p>
        </w:tc>
        <w:tc>
          <w:tcPr>
            <w:tcW w:w="1100" w:type="dxa"/>
            <w:vAlign w:val="bottom"/>
            <w:gridSpan w:val="5"/>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4920" w:type="dxa"/>
            <w:vAlign w:val="bottom"/>
            <w:gridSpan w:val="31"/>
          </w:tcPr>
          <w:p>
            <w:pPr>
              <w:spacing w:after="0"/>
              <w:rPr>
                <w:sz w:val="20"/>
                <w:szCs w:val="20"/>
                <w:color w:val="auto"/>
              </w:rPr>
            </w:pPr>
            <w:r>
              <w:rPr>
                <w:rFonts w:ascii="Arial" w:cs="Arial" w:eastAsia="Arial" w:hAnsi="Arial"/>
                <w:sz w:val="18"/>
                <w:szCs w:val="18"/>
                <w:color w:val="0000FF"/>
              </w:rPr>
              <w:t>2022 Year in Review</w:t>
            </w:r>
          </w:p>
        </w:tc>
        <w:tc>
          <w:tcPr>
            <w:tcW w:w="474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20"/>
        </w:trPr>
        <w:tc>
          <w:tcPr>
            <w:tcW w:w="7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60" w:type="dxa"/>
            <w:vAlign w:val="bottom"/>
            <w:gridSpan w:val="3"/>
            <w:shd w:val="clear" w:color="auto" w:fill="0000FF"/>
          </w:tcPr>
          <w:p>
            <w:pPr>
              <w:spacing w:after="0" w:line="20" w:lineRule="exact"/>
              <w:rPr>
                <w:sz w:val="1"/>
                <w:szCs w:val="1"/>
                <w:color w:val="auto"/>
              </w:rPr>
            </w:pPr>
          </w:p>
        </w:tc>
        <w:tc>
          <w:tcPr>
            <w:tcW w:w="440" w:type="dxa"/>
            <w:vAlign w:val="bottom"/>
            <w:tcBorders>
              <w:right w:val="single" w:sz="8" w:color="0000FF"/>
            </w:tcBorders>
            <w:gridSpan w:val="3"/>
            <w:shd w:val="clear" w:color="auto" w:fill="0000FF"/>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740" w:type="dxa"/>
            <w:vAlign w:val="bottom"/>
          </w:tcPr>
          <w:p>
            <w:pPr>
              <w:spacing w:after="0" w:line="20" w:lineRule="exact"/>
              <w:rPr>
                <w:sz w:val="1"/>
                <w:szCs w:val="1"/>
                <w:color w:val="auto"/>
              </w:rPr>
            </w:pP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4920" w:type="dxa"/>
            <w:vAlign w:val="bottom"/>
            <w:gridSpan w:val="31"/>
          </w:tcPr>
          <w:p>
            <w:pPr>
              <w:spacing w:after="0"/>
              <w:rPr>
                <w:sz w:val="20"/>
                <w:szCs w:val="20"/>
                <w:color w:val="auto"/>
              </w:rPr>
            </w:pPr>
            <w:r>
              <w:rPr>
                <w:rFonts w:ascii="Arial" w:cs="Arial" w:eastAsia="Arial" w:hAnsi="Arial"/>
                <w:sz w:val="18"/>
                <w:szCs w:val="18"/>
                <w:color w:val="0000FF"/>
              </w:rPr>
              <w:t>Compensation Philosophy and Objectives</w:t>
            </w:r>
          </w:p>
        </w:tc>
        <w:tc>
          <w:tcPr>
            <w:tcW w:w="474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860" w:type="dxa"/>
            <w:vAlign w:val="bottom"/>
            <w:tcBorders>
              <w:top w:val="single" w:sz="8" w:color="0000FF"/>
              <w:bottom w:val="single" w:sz="8" w:color="0000FF"/>
            </w:tcBorders>
            <w:gridSpan w:val="9"/>
          </w:tcPr>
          <w:p>
            <w:pPr>
              <w:spacing w:after="0"/>
              <w:rPr>
                <w:sz w:val="20"/>
                <w:szCs w:val="20"/>
                <w:color w:val="auto"/>
              </w:rPr>
            </w:pPr>
            <w:r>
              <w:rPr>
                <w:rFonts w:ascii="Arial" w:cs="Arial" w:eastAsia="Arial" w:hAnsi="Arial"/>
                <w:sz w:val="18"/>
                <w:szCs w:val="18"/>
                <w:color w:val="0000FF"/>
                <w:w w:val="91"/>
              </w:rPr>
              <w:t>Stockholder Engagement</w:t>
            </w:r>
          </w:p>
        </w:tc>
        <w:tc>
          <w:tcPr>
            <w:tcW w:w="60" w:type="dxa"/>
            <w:vAlign w:val="bottom"/>
            <w:tcBorders>
              <w:top w:val="single" w:sz="8" w:color="0000FF"/>
            </w:tcBorders>
            <w:gridSpan w:val="2"/>
          </w:tcPr>
          <w:p>
            <w:pPr>
              <w:spacing w:after="0"/>
              <w:rPr>
                <w:sz w:val="22"/>
                <w:szCs w:val="22"/>
                <w:color w:val="auto"/>
              </w:rPr>
            </w:pPr>
          </w:p>
        </w:tc>
        <w:tc>
          <w:tcPr>
            <w:tcW w:w="20" w:type="dxa"/>
            <w:vAlign w:val="bottom"/>
            <w:tcBorders>
              <w:top w:val="single" w:sz="8" w:color="0000FF"/>
            </w:tcBorders>
          </w:tcPr>
          <w:p>
            <w:pPr>
              <w:spacing w:after="0"/>
              <w:rPr>
                <w:sz w:val="22"/>
                <w:szCs w:val="22"/>
                <w:color w:val="auto"/>
              </w:rPr>
            </w:pPr>
          </w:p>
        </w:tc>
        <w:tc>
          <w:tcPr>
            <w:tcW w:w="340" w:type="dxa"/>
            <w:vAlign w:val="bottom"/>
            <w:tcBorders>
              <w:top w:val="single" w:sz="8" w:color="0000FF"/>
            </w:tcBorders>
            <w:gridSpan w:val="2"/>
          </w:tcPr>
          <w:p>
            <w:pPr>
              <w:spacing w:after="0"/>
              <w:rPr>
                <w:sz w:val="22"/>
                <w:szCs w:val="22"/>
                <w:color w:val="auto"/>
              </w:rPr>
            </w:pPr>
          </w:p>
        </w:tc>
        <w:tc>
          <w:tcPr>
            <w:tcW w:w="40" w:type="dxa"/>
            <w:vAlign w:val="bottom"/>
            <w:tcBorders>
              <w:top w:val="single" w:sz="8" w:color="0000FF"/>
            </w:tcBorders>
          </w:tcPr>
          <w:p>
            <w:pPr>
              <w:spacing w:after="0"/>
              <w:rPr>
                <w:sz w:val="22"/>
                <w:szCs w:val="22"/>
                <w:color w:val="auto"/>
              </w:rPr>
            </w:pPr>
          </w:p>
        </w:tc>
        <w:tc>
          <w:tcPr>
            <w:tcW w:w="100" w:type="dxa"/>
            <w:vAlign w:val="bottom"/>
            <w:tcBorders>
              <w:top w:val="single" w:sz="8" w:color="0000FF"/>
            </w:tcBorders>
          </w:tcPr>
          <w:p>
            <w:pPr>
              <w:spacing w:after="0"/>
              <w:rPr>
                <w:sz w:val="22"/>
                <w:szCs w:val="22"/>
                <w:color w:val="auto"/>
              </w:rPr>
            </w:pPr>
          </w:p>
        </w:tc>
        <w:tc>
          <w:tcPr>
            <w:tcW w:w="40" w:type="dxa"/>
            <w:vAlign w:val="bottom"/>
            <w:tcBorders>
              <w:top w:val="single" w:sz="8" w:color="0000FF"/>
            </w:tcBorders>
          </w:tcPr>
          <w:p>
            <w:pPr>
              <w:spacing w:after="0"/>
              <w:rPr>
                <w:sz w:val="22"/>
                <w:szCs w:val="22"/>
                <w:color w:val="auto"/>
              </w:rPr>
            </w:pPr>
          </w:p>
        </w:tc>
        <w:tc>
          <w:tcPr>
            <w:tcW w:w="180" w:type="dxa"/>
            <w:vAlign w:val="bottom"/>
            <w:tcBorders>
              <w:top w:val="single" w:sz="8" w:color="0000FF"/>
            </w:tcBorders>
          </w:tcPr>
          <w:p>
            <w:pPr>
              <w:spacing w:after="0"/>
              <w:rPr>
                <w:sz w:val="22"/>
                <w:szCs w:val="22"/>
                <w:color w:val="auto"/>
              </w:rPr>
            </w:pPr>
          </w:p>
        </w:tc>
        <w:tc>
          <w:tcPr>
            <w:tcW w:w="20" w:type="dxa"/>
            <w:vAlign w:val="bottom"/>
            <w:tcBorders>
              <w:top w:val="single" w:sz="8" w:color="0000FF"/>
            </w:tcBorders>
          </w:tcPr>
          <w:p>
            <w:pPr>
              <w:spacing w:after="0"/>
              <w:rPr>
                <w:sz w:val="22"/>
                <w:szCs w:val="22"/>
                <w:color w:val="auto"/>
              </w:rPr>
            </w:pPr>
          </w:p>
        </w:tc>
        <w:tc>
          <w:tcPr>
            <w:tcW w:w="180" w:type="dxa"/>
            <w:vAlign w:val="bottom"/>
            <w:tcBorders>
              <w:top w:val="single" w:sz="8" w:color="0000FF"/>
            </w:tcBorders>
          </w:tcPr>
          <w:p>
            <w:pPr>
              <w:spacing w:after="0"/>
              <w:rPr>
                <w:sz w:val="22"/>
                <w:szCs w:val="22"/>
                <w:color w:val="auto"/>
              </w:rPr>
            </w:pPr>
          </w:p>
        </w:tc>
        <w:tc>
          <w:tcPr>
            <w:tcW w:w="160" w:type="dxa"/>
            <w:vAlign w:val="bottom"/>
            <w:tcBorders>
              <w:top w:val="single" w:sz="8" w:color="0000FF"/>
            </w:tcBorders>
          </w:tcPr>
          <w:p>
            <w:pPr>
              <w:spacing w:after="0"/>
              <w:rPr>
                <w:sz w:val="22"/>
                <w:szCs w:val="22"/>
                <w:color w:val="auto"/>
              </w:rPr>
            </w:pPr>
          </w:p>
        </w:tc>
        <w:tc>
          <w:tcPr>
            <w:tcW w:w="1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340" w:type="dxa"/>
            <w:vAlign w:val="bottom"/>
            <w:gridSpan w:val="2"/>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64"/>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660" w:type="dxa"/>
            <w:vAlign w:val="bottom"/>
            <w:tcBorders>
              <w:bottom w:val="single" w:sz="8" w:color="0000FF"/>
            </w:tcBorders>
            <w:gridSpan w:val="19"/>
          </w:tcPr>
          <w:p>
            <w:pPr>
              <w:spacing w:after="0"/>
              <w:rPr>
                <w:sz w:val="20"/>
                <w:szCs w:val="20"/>
                <w:color w:val="auto"/>
              </w:rPr>
            </w:pPr>
            <w:r>
              <w:rPr>
                <w:rFonts w:ascii="Arial" w:cs="Arial" w:eastAsia="Arial" w:hAnsi="Arial"/>
                <w:sz w:val="18"/>
                <w:szCs w:val="18"/>
                <w:color w:val="0000FF"/>
                <w:w w:val="88"/>
              </w:rPr>
              <w:t>Compensation Governance Practices</w:t>
            </w:r>
          </w:p>
        </w:tc>
        <w:tc>
          <w:tcPr>
            <w:tcW w:w="2260" w:type="dxa"/>
            <w:vAlign w:val="bottom"/>
            <w:gridSpan w:val="12"/>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31</w:t>
            </w:r>
          </w:p>
        </w:tc>
      </w:tr>
      <w:tr>
        <w:trPr>
          <w:trHeight w:val="223"/>
        </w:trPr>
        <w:tc>
          <w:tcPr>
            <w:tcW w:w="7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400" w:type="dxa"/>
            <w:vAlign w:val="bottom"/>
            <w:tcBorders>
              <w:bottom w:val="single" w:sz="8" w:color="0000FF"/>
            </w:tcBorders>
            <w:gridSpan w:val="13"/>
          </w:tcPr>
          <w:p>
            <w:pPr>
              <w:spacing w:after="0"/>
              <w:rPr>
                <w:sz w:val="20"/>
                <w:szCs w:val="20"/>
                <w:color w:val="auto"/>
              </w:rPr>
            </w:pPr>
            <w:r>
              <w:rPr>
                <w:rFonts w:ascii="Arial" w:cs="Arial" w:eastAsia="Arial" w:hAnsi="Arial"/>
                <w:sz w:val="18"/>
                <w:szCs w:val="18"/>
                <w:color w:val="0000FF"/>
                <w:w w:val="91"/>
              </w:rPr>
              <w:t>Compensation Program In Detail</w:t>
            </w:r>
          </w:p>
        </w:tc>
        <w:tc>
          <w:tcPr>
            <w:tcW w:w="2980" w:type="dxa"/>
            <w:vAlign w:val="bottom"/>
            <w:gridSpan w:val="19"/>
          </w:tcPr>
          <w:p>
            <w:pPr>
              <w:spacing w:after="0"/>
              <w:rPr>
                <w:sz w:val="19"/>
                <w:szCs w:val="19"/>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50"/>
        </w:trPr>
        <w:tc>
          <w:tcPr>
            <w:tcW w:w="7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420" w:type="dxa"/>
            <w:vAlign w:val="bottom"/>
            <w:tcBorders>
              <w:bottom w:val="single" w:sz="8" w:color="0000FF"/>
            </w:tcBorders>
            <w:gridSpan w:val="16"/>
          </w:tcPr>
          <w:p>
            <w:pPr>
              <w:spacing w:after="0"/>
              <w:rPr>
                <w:sz w:val="20"/>
                <w:szCs w:val="20"/>
                <w:color w:val="auto"/>
              </w:rPr>
            </w:pPr>
            <w:r>
              <w:rPr>
                <w:rFonts w:ascii="Arial" w:cs="Arial" w:eastAsia="Arial" w:hAnsi="Arial"/>
                <w:sz w:val="18"/>
                <w:szCs w:val="18"/>
                <w:color w:val="0000FF"/>
                <w:w w:val="88"/>
              </w:rPr>
              <w:t>Compensation Program Elements</w:t>
            </w:r>
          </w:p>
        </w:tc>
        <w:tc>
          <w:tcPr>
            <w:tcW w:w="2500" w:type="dxa"/>
            <w:vAlign w:val="bottom"/>
            <w:gridSpan w:val="15"/>
          </w:tcPr>
          <w:p>
            <w:pPr>
              <w:spacing w:after="0"/>
              <w:rPr>
                <w:sz w:val="21"/>
                <w:szCs w:val="21"/>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720" w:type="dxa"/>
            <w:vAlign w:val="bottom"/>
            <w:tcBorders>
              <w:bottom w:val="single" w:sz="8" w:color="0000FF"/>
            </w:tcBorders>
            <w:gridSpan w:val="25"/>
          </w:tcPr>
          <w:p>
            <w:pPr>
              <w:spacing w:after="0"/>
              <w:rPr>
                <w:sz w:val="20"/>
                <w:szCs w:val="20"/>
                <w:color w:val="auto"/>
              </w:rPr>
            </w:pPr>
            <w:r>
              <w:rPr>
                <w:rFonts w:ascii="Arial" w:cs="Arial" w:eastAsia="Arial" w:hAnsi="Arial"/>
                <w:sz w:val="18"/>
                <w:szCs w:val="18"/>
                <w:color w:val="0000FF"/>
                <w:w w:val="91"/>
              </w:rPr>
              <w:t>Corporate Scorecard for Calculating Annual Bonus</w:t>
            </w:r>
          </w:p>
        </w:tc>
        <w:tc>
          <w:tcPr>
            <w:tcW w:w="340" w:type="dxa"/>
            <w:vAlign w:val="bottom"/>
            <w:gridSpan w:val="2"/>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64"/>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280" w:type="dxa"/>
            <w:vAlign w:val="bottom"/>
            <w:tcBorders>
              <w:bottom w:val="single" w:sz="8" w:color="0000FF"/>
            </w:tcBorders>
            <w:gridSpan w:val="14"/>
          </w:tcPr>
          <w:p>
            <w:pPr>
              <w:spacing w:after="0"/>
              <w:rPr>
                <w:sz w:val="20"/>
                <w:szCs w:val="20"/>
                <w:color w:val="auto"/>
              </w:rPr>
            </w:pPr>
            <w:r>
              <w:rPr>
                <w:rFonts w:ascii="Arial" w:cs="Arial" w:eastAsia="Arial" w:hAnsi="Arial"/>
                <w:sz w:val="18"/>
                <w:szCs w:val="18"/>
                <w:color w:val="0000FF"/>
                <w:w w:val="91"/>
              </w:rPr>
              <w:t>Equity Incentive Compensation</w:t>
            </w:r>
          </w:p>
        </w:tc>
        <w:tc>
          <w:tcPr>
            <w:tcW w:w="2640" w:type="dxa"/>
            <w:vAlign w:val="bottom"/>
            <w:gridSpan w:val="17"/>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320" w:type="dxa"/>
            <w:vAlign w:val="bottom"/>
            <w:tcBorders>
              <w:bottom w:val="single" w:sz="8" w:color="0000FF"/>
            </w:tcBorders>
            <w:gridSpan w:val="15"/>
          </w:tcPr>
          <w:p>
            <w:pPr>
              <w:spacing w:after="0"/>
              <w:rPr>
                <w:sz w:val="20"/>
                <w:szCs w:val="20"/>
                <w:color w:val="auto"/>
              </w:rPr>
            </w:pPr>
            <w:r>
              <w:rPr>
                <w:rFonts w:ascii="Arial" w:cs="Arial" w:eastAsia="Arial" w:hAnsi="Arial"/>
                <w:sz w:val="18"/>
                <w:szCs w:val="18"/>
                <w:color w:val="0000FF"/>
                <w:w w:val="88"/>
              </w:rPr>
              <w:t>Compensation Decision Process</w:t>
            </w:r>
          </w:p>
        </w:tc>
        <w:tc>
          <w:tcPr>
            <w:tcW w:w="2600" w:type="dxa"/>
            <w:vAlign w:val="bottom"/>
            <w:gridSpan w:val="16"/>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63"/>
        </w:trPr>
        <w:tc>
          <w:tcPr>
            <w:tcW w:w="7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120" w:type="dxa"/>
            <w:vAlign w:val="bottom"/>
            <w:tcBorders>
              <w:bottom w:val="single" w:sz="8" w:color="0000FF"/>
            </w:tcBorders>
            <w:gridSpan w:val="23"/>
          </w:tcPr>
          <w:p>
            <w:pPr>
              <w:spacing w:after="0"/>
              <w:rPr>
                <w:sz w:val="20"/>
                <w:szCs w:val="20"/>
                <w:color w:val="auto"/>
              </w:rPr>
            </w:pPr>
            <w:r>
              <w:rPr>
                <w:rFonts w:ascii="Arial" w:cs="Arial" w:eastAsia="Arial" w:hAnsi="Arial"/>
                <w:sz w:val="18"/>
                <w:szCs w:val="18"/>
                <w:color w:val="0000FF"/>
                <w:w w:val="89"/>
              </w:rPr>
              <w:t>Other Compensation Policies and Practices</w:t>
            </w:r>
          </w:p>
        </w:tc>
        <w:tc>
          <w:tcPr>
            <w:tcW w:w="180" w:type="dxa"/>
            <w:vAlign w:val="bottom"/>
          </w:tcPr>
          <w:p>
            <w:pPr>
              <w:spacing w:after="0"/>
              <w:rPr>
                <w:sz w:val="22"/>
                <w:szCs w:val="22"/>
                <w:color w:val="auto"/>
              </w:rPr>
            </w:pPr>
          </w:p>
        </w:tc>
        <w:tc>
          <w:tcPr>
            <w:tcW w:w="760" w:type="dxa"/>
            <w:vAlign w:val="bottom"/>
            <w:gridSpan w:val="3"/>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64"/>
        </w:trPr>
        <w:tc>
          <w:tcPr>
            <w:tcW w:w="740" w:type="dxa"/>
            <w:vAlign w:val="bottom"/>
          </w:tcPr>
          <w:p>
            <w:pPr>
              <w:spacing w:after="0"/>
              <w:rPr>
                <w:sz w:val="22"/>
                <w:szCs w:val="22"/>
                <w:color w:val="auto"/>
              </w:rPr>
            </w:pPr>
          </w:p>
        </w:tc>
        <w:tc>
          <w:tcPr>
            <w:tcW w:w="5620" w:type="dxa"/>
            <w:vAlign w:val="bottom"/>
            <w:gridSpan w:val="33"/>
          </w:tcPr>
          <w:p>
            <w:pPr>
              <w:spacing w:after="0"/>
              <w:rPr>
                <w:sz w:val="20"/>
                <w:szCs w:val="20"/>
                <w:color w:val="auto"/>
              </w:rPr>
            </w:pPr>
            <w:r>
              <w:rPr>
                <w:rFonts w:ascii="Arial" w:cs="Arial" w:eastAsia="Arial" w:hAnsi="Arial"/>
                <w:sz w:val="18"/>
                <w:szCs w:val="18"/>
                <w:color w:val="0000FF"/>
              </w:rPr>
              <w:t>Report of the Compensation and Corporate Governance Committee</w:t>
            </w:r>
          </w:p>
        </w:tc>
        <w:tc>
          <w:tcPr>
            <w:tcW w:w="47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63"/>
        </w:trPr>
        <w:tc>
          <w:tcPr>
            <w:tcW w:w="740" w:type="dxa"/>
            <w:vAlign w:val="bottom"/>
          </w:tcPr>
          <w:p>
            <w:pPr>
              <w:spacing w:after="0"/>
              <w:rPr>
                <w:sz w:val="22"/>
                <w:szCs w:val="22"/>
                <w:color w:val="auto"/>
              </w:rPr>
            </w:pPr>
          </w:p>
        </w:tc>
        <w:tc>
          <w:tcPr>
            <w:tcW w:w="2620" w:type="dxa"/>
            <w:vAlign w:val="bottom"/>
            <w:tcBorders>
              <w:top w:val="single" w:sz="8" w:color="0000FF"/>
              <w:bottom w:val="single" w:sz="8" w:color="0000FF"/>
            </w:tcBorders>
            <w:gridSpan w:val="13"/>
          </w:tcPr>
          <w:p>
            <w:pPr>
              <w:spacing w:after="0"/>
              <w:rPr>
                <w:sz w:val="20"/>
                <w:szCs w:val="20"/>
                <w:color w:val="auto"/>
              </w:rPr>
            </w:pPr>
            <w:r>
              <w:rPr>
                <w:rFonts w:ascii="Arial" w:cs="Arial" w:eastAsia="Arial" w:hAnsi="Arial"/>
                <w:sz w:val="18"/>
                <w:szCs w:val="18"/>
                <w:color w:val="0000FF"/>
                <w:w w:val="88"/>
              </w:rPr>
              <w:t>2022 Summary Compensation Table</w:t>
            </w:r>
          </w:p>
        </w:tc>
        <w:tc>
          <w:tcPr>
            <w:tcW w:w="2220" w:type="dxa"/>
            <w:vAlign w:val="bottom"/>
            <w:tcBorders>
              <w:top w:val="single" w:sz="8" w:color="0000FF"/>
            </w:tcBorders>
            <w:gridSpan w:val="17"/>
          </w:tcPr>
          <w:p>
            <w:pPr>
              <w:spacing w:after="0"/>
              <w:rPr>
                <w:sz w:val="22"/>
                <w:szCs w:val="22"/>
                <w:color w:val="auto"/>
              </w:rPr>
            </w:pPr>
          </w:p>
        </w:tc>
        <w:tc>
          <w:tcPr>
            <w:tcW w:w="780" w:type="dxa"/>
            <w:vAlign w:val="bottom"/>
            <w:gridSpan w:val="3"/>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63"/>
        </w:trPr>
        <w:tc>
          <w:tcPr>
            <w:tcW w:w="740" w:type="dxa"/>
            <w:vAlign w:val="bottom"/>
          </w:tcPr>
          <w:p>
            <w:pPr>
              <w:spacing w:after="0"/>
              <w:rPr>
                <w:sz w:val="22"/>
                <w:szCs w:val="22"/>
                <w:color w:val="auto"/>
              </w:rPr>
            </w:pPr>
          </w:p>
        </w:tc>
        <w:tc>
          <w:tcPr>
            <w:tcW w:w="5620" w:type="dxa"/>
            <w:vAlign w:val="bottom"/>
            <w:gridSpan w:val="33"/>
          </w:tcPr>
          <w:p>
            <w:pPr>
              <w:spacing w:after="0"/>
              <w:rPr>
                <w:sz w:val="20"/>
                <w:szCs w:val="20"/>
                <w:color w:val="auto"/>
              </w:rPr>
            </w:pPr>
            <w:r>
              <w:rPr>
                <w:rFonts w:ascii="Arial" w:cs="Arial" w:eastAsia="Arial" w:hAnsi="Arial"/>
                <w:sz w:val="18"/>
                <w:szCs w:val="18"/>
                <w:color w:val="0000FF"/>
              </w:rPr>
              <w:t>Grants of Plan-Based Awards in Fiscal Year 2022</w:t>
            </w:r>
          </w:p>
        </w:tc>
        <w:tc>
          <w:tcPr>
            <w:tcW w:w="474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0"/>
        </w:trPr>
        <w:tc>
          <w:tcPr>
            <w:tcW w:w="740" w:type="dxa"/>
            <w:vAlign w:val="bottom"/>
            <w:tcBorders>
              <w:right w:val="single" w:sz="8" w:color="0000FF"/>
            </w:tcBorders>
          </w:tcPr>
          <w:p>
            <w:pPr>
              <w:spacing w:after="0" w:line="20" w:lineRule="exact"/>
              <w:rPr>
                <w:sz w:val="1"/>
                <w:szCs w:val="1"/>
                <w:color w:val="auto"/>
              </w:rPr>
            </w:pPr>
          </w:p>
        </w:tc>
        <w:tc>
          <w:tcPr>
            <w:tcW w:w="1760" w:type="dxa"/>
            <w:vAlign w:val="bottom"/>
            <w:gridSpan w:val="5"/>
            <w:shd w:val="clear" w:color="auto" w:fill="0000FF"/>
          </w:tcPr>
          <w:p>
            <w:pPr>
              <w:spacing w:after="0" w:line="20" w:lineRule="exact"/>
              <w:rPr>
                <w:sz w:val="1"/>
                <w:szCs w:val="1"/>
                <w:color w:val="auto"/>
              </w:rPr>
            </w:pPr>
          </w:p>
        </w:tc>
        <w:tc>
          <w:tcPr>
            <w:tcW w:w="440" w:type="dxa"/>
            <w:vAlign w:val="bottom"/>
            <w:tcBorders>
              <w:right w:val="single" w:sz="8" w:color="0000FF"/>
            </w:tcBorders>
            <w:gridSpan w:val="3"/>
            <w:shd w:val="clear" w:color="auto" w:fill="0000FF"/>
          </w:tcPr>
          <w:p>
            <w:pPr>
              <w:spacing w:after="0" w:line="20" w:lineRule="exact"/>
              <w:rPr>
                <w:sz w:val="1"/>
                <w:szCs w:val="1"/>
                <w:color w:val="auto"/>
              </w:rPr>
            </w:pPr>
          </w:p>
        </w:tc>
        <w:tc>
          <w:tcPr>
            <w:tcW w:w="140" w:type="dxa"/>
            <w:vAlign w:val="bottom"/>
            <w:gridSpan w:val="2"/>
            <w:shd w:val="clear" w:color="auto" w:fill="0000FF"/>
          </w:tcPr>
          <w:p>
            <w:pPr>
              <w:spacing w:after="0" w:line="20" w:lineRule="exact"/>
              <w:rPr>
                <w:sz w:val="1"/>
                <w:szCs w:val="1"/>
                <w:color w:val="auto"/>
              </w:rPr>
            </w:pPr>
          </w:p>
        </w:tc>
        <w:tc>
          <w:tcPr>
            <w:tcW w:w="820" w:type="dxa"/>
            <w:vAlign w:val="bottom"/>
            <w:gridSpan w:val="9"/>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00" w:type="dxa"/>
            <w:vAlign w:val="bottom"/>
            <w:gridSpan w:val="2"/>
            <w:shd w:val="clear" w:color="auto" w:fill="0000FF"/>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760" w:type="dxa"/>
            <w:vAlign w:val="bottom"/>
            <w:gridSpan w:val="3"/>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740" w:type="dxa"/>
            <w:vAlign w:val="bottom"/>
          </w:tcPr>
          <w:p>
            <w:pPr>
              <w:spacing w:after="0" w:line="20" w:lineRule="exact"/>
              <w:rPr>
                <w:sz w:val="1"/>
                <w:szCs w:val="1"/>
                <w:color w:val="auto"/>
              </w:rPr>
            </w:pPr>
          </w:p>
        </w:tc>
      </w:tr>
      <w:tr>
        <w:trPr>
          <w:trHeight w:val="264"/>
        </w:trPr>
        <w:tc>
          <w:tcPr>
            <w:tcW w:w="740" w:type="dxa"/>
            <w:vAlign w:val="bottom"/>
          </w:tcPr>
          <w:p>
            <w:pPr>
              <w:spacing w:after="0"/>
              <w:rPr>
                <w:sz w:val="22"/>
                <w:szCs w:val="22"/>
                <w:color w:val="auto"/>
              </w:rPr>
            </w:pPr>
          </w:p>
        </w:tc>
        <w:tc>
          <w:tcPr>
            <w:tcW w:w="3800" w:type="dxa"/>
            <w:vAlign w:val="bottom"/>
            <w:tcBorders>
              <w:bottom w:val="single" w:sz="8" w:color="0000FF"/>
            </w:tcBorders>
            <w:gridSpan w:val="24"/>
          </w:tcPr>
          <w:p>
            <w:pPr>
              <w:spacing w:after="0"/>
              <w:rPr>
                <w:sz w:val="20"/>
                <w:szCs w:val="20"/>
                <w:color w:val="auto"/>
              </w:rPr>
            </w:pPr>
            <w:r>
              <w:rPr>
                <w:rFonts w:ascii="Arial" w:cs="Arial" w:eastAsia="Arial" w:hAnsi="Arial"/>
                <w:sz w:val="18"/>
                <w:szCs w:val="18"/>
                <w:color w:val="0000FF"/>
                <w:w w:val="91"/>
              </w:rPr>
              <w:t>Outstanding Equity Awards at 2022 Fiscal Year-End</w:t>
            </w:r>
          </w:p>
        </w:tc>
        <w:tc>
          <w:tcPr>
            <w:tcW w:w="1820" w:type="dxa"/>
            <w:vAlign w:val="bottom"/>
            <w:gridSpan w:val="9"/>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63"/>
        </w:trPr>
        <w:tc>
          <w:tcPr>
            <w:tcW w:w="740" w:type="dxa"/>
            <w:vAlign w:val="bottom"/>
          </w:tcPr>
          <w:p>
            <w:pPr>
              <w:spacing w:after="0"/>
              <w:rPr>
                <w:sz w:val="22"/>
                <w:szCs w:val="22"/>
                <w:color w:val="auto"/>
              </w:rPr>
            </w:pPr>
          </w:p>
        </w:tc>
        <w:tc>
          <w:tcPr>
            <w:tcW w:w="5620" w:type="dxa"/>
            <w:vAlign w:val="bottom"/>
            <w:gridSpan w:val="33"/>
          </w:tcPr>
          <w:p>
            <w:pPr>
              <w:spacing w:after="0"/>
              <w:rPr>
                <w:sz w:val="20"/>
                <w:szCs w:val="20"/>
                <w:color w:val="auto"/>
              </w:rPr>
            </w:pPr>
            <w:r>
              <w:rPr>
                <w:rFonts w:ascii="Arial" w:cs="Arial" w:eastAsia="Arial" w:hAnsi="Arial"/>
                <w:sz w:val="18"/>
                <w:szCs w:val="18"/>
                <w:color w:val="0000FF"/>
              </w:rPr>
              <w:t>Option Exercises and Stock Vested for Fiscal Year 2022</w:t>
            </w:r>
          </w:p>
        </w:tc>
        <w:tc>
          <w:tcPr>
            <w:tcW w:w="474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63"/>
        </w:trPr>
        <w:tc>
          <w:tcPr>
            <w:tcW w:w="740" w:type="dxa"/>
            <w:vAlign w:val="bottom"/>
          </w:tcPr>
          <w:p>
            <w:pPr>
              <w:spacing w:after="0"/>
              <w:rPr>
                <w:sz w:val="22"/>
                <w:szCs w:val="22"/>
                <w:color w:val="auto"/>
              </w:rPr>
            </w:pPr>
          </w:p>
        </w:tc>
        <w:tc>
          <w:tcPr>
            <w:tcW w:w="3160" w:type="dxa"/>
            <w:vAlign w:val="bottom"/>
            <w:tcBorders>
              <w:top w:val="single" w:sz="8" w:color="0000FF"/>
              <w:bottom w:val="single" w:sz="8" w:color="0000FF"/>
            </w:tcBorders>
            <w:gridSpan w:val="19"/>
          </w:tcPr>
          <w:p>
            <w:pPr>
              <w:spacing w:after="0"/>
              <w:rPr>
                <w:sz w:val="20"/>
                <w:szCs w:val="20"/>
                <w:color w:val="auto"/>
              </w:rPr>
            </w:pPr>
            <w:r>
              <w:rPr>
                <w:rFonts w:ascii="Arial" w:cs="Arial" w:eastAsia="Arial" w:hAnsi="Arial"/>
                <w:sz w:val="18"/>
                <w:szCs w:val="18"/>
                <w:color w:val="0000FF"/>
                <w:w w:val="87"/>
              </w:rPr>
              <w:t>Severance and Change of Control Payments</w:t>
            </w:r>
          </w:p>
        </w:tc>
        <w:tc>
          <w:tcPr>
            <w:tcW w:w="180" w:type="dxa"/>
            <w:vAlign w:val="bottom"/>
            <w:tcBorders>
              <w:top w:val="single" w:sz="8" w:color="0000FF"/>
            </w:tcBorders>
          </w:tcPr>
          <w:p>
            <w:pPr>
              <w:spacing w:after="0"/>
              <w:rPr>
                <w:sz w:val="22"/>
                <w:szCs w:val="22"/>
                <w:color w:val="auto"/>
              </w:rPr>
            </w:pPr>
          </w:p>
        </w:tc>
        <w:tc>
          <w:tcPr>
            <w:tcW w:w="660" w:type="dxa"/>
            <w:vAlign w:val="bottom"/>
            <w:tcBorders>
              <w:top w:val="single" w:sz="8" w:color="0000FF"/>
            </w:tcBorders>
            <w:gridSpan w:val="6"/>
          </w:tcPr>
          <w:p>
            <w:pPr>
              <w:spacing w:after="0"/>
              <w:rPr>
                <w:sz w:val="22"/>
                <w:szCs w:val="22"/>
                <w:color w:val="auto"/>
              </w:rPr>
            </w:pPr>
          </w:p>
        </w:tc>
        <w:tc>
          <w:tcPr>
            <w:tcW w:w="760" w:type="dxa"/>
            <w:vAlign w:val="bottom"/>
            <w:gridSpan w:val="3"/>
          </w:tcPr>
          <w:p>
            <w:pPr>
              <w:spacing w:after="0"/>
              <w:rPr>
                <w:sz w:val="22"/>
                <w:szCs w:val="22"/>
                <w:color w:val="auto"/>
              </w:rPr>
            </w:pPr>
          </w:p>
        </w:tc>
        <w:tc>
          <w:tcPr>
            <w:tcW w:w="140" w:type="dxa"/>
            <w:vAlign w:val="bottom"/>
            <w:gridSpan w:val="2"/>
          </w:tcPr>
          <w:p>
            <w:pPr>
              <w:spacing w:after="0"/>
              <w:rPr>
                <w:sz w:val="22"/>
                <w:szCs w:val="22"/>
                <w:color w:val="auto"/>
              </w:rPr>
            </w:pPr>
          </w:p>
        </w:tc>
        <w:tc>
          <w:tcPr>
            <w:tcW w:w="3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23"/>
        </w:trPr>
        <w:tc>
          <w:tcPr>
            <w:tcW w:w="740" w:type="dxa"/>
            <w:vAlign w:val="bottom"/>
          </w:tcPr>
          <w:p>
            <w:pPr>
              <w:spacing w:after="0"/>
              <w:rPr>
                <w:sz w:val="19"/>
                <w:szCs w:val="19"/>
                <w:color w:val="auto"/>
              </w:rPr>
            </w:pPr>
          </w:p>
        </w:tc>
        <w:tc>
          <w:tcPr>
            <w:tcW w:w="1760" w:type="dxa"/>
            <w:vAlign w:val="bottom"/>
            <w:tcBorders>
              <w:bottom w:val="single" w:sz="8" w:color="0000FF"/>
            </w:tcBorders>
            <w:gridSpan w:val="5"/>
          </w:tcPr>
          <w:p>
            <w:pPr>
              <w:spacing w:after="0"/>
              <w:rPr>
                <w:sz w:val="20"/>
                <w:szCs w:val="20"/>
                <w:color w:val="auto"/>
              </w:rPr>
            </w:pPr>
            <w:r>
              <w:rPr>
                <w:rFonts w:ascii="Arial" w:cs="Arial" w:eastAsia="Arial" w:hAnsi="Arial"/>
                <w:sz w:val="18"/>
                <w:szCs w:val="18"/>
                <w:color w:val="0000FF"/>
                <w:w w:val="86"/>
              </w:rPr>
              <w:t>Pay Versus Performance</w:t>
            </w:r>
          </w:p>
        </w:tc>
        <w:tc>
          <w:tcPr>
            <w:tcW w:w="3860" w:type="dxa"/>
            <w:vAlign w:val="bottom"/>
            <w:gridSpan w:val="28"/>
          </w:tcPr>
          <w:p>
            <w:pPr>
              <w:spacing w:after="0"/>
              <w:rPr>
                <w:sz w:val="19"/>
                <w:szCs w:val="19"/>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51</w:t>
            </w:r>
          </w:p>
        </w:tc>
      </w:tr>
      <w:tr>
        <w:trPr>
          <w:trHeight w:val="250"/>
        </w:trPr>
        <w:tc>
          <w:tcPr>
            <w:tcW w:w="740" w:type="dxa"/>
            <w:vAlign w:val="bottom"/>
          </w:tcPr>
          <w:p>
            <w:pPr>
              <w:spacing w:after="0"/>
              <w:rPr>
                <w:sz w:val="21"/>
                <w:szCs w:val="21"/>
                <w:color w:val="auto"/>
              </w:rPr>
            </w:pPr>
          </w:p>
        </w:tc>
        <w:tc>
          <w:tcPr>
            <w:tcW w:w="5620" w:type="dxa"/>
            <w:vAlign w:val="bottom"/>
            <w:gridSpan w:val="33"/>
          </w:tcPr>
          <w:p>
            <w:pPr>
              <w:spacing w:after="0"/>
              <w:rPr>
                <w:sz w:val="20"/>
                <w:szCs w:val="20"/>
                <w:color w:val="auto"/>
              </w:rPr>
            </w:pPr>
            <w:r>
              <w:rPr>
                <w:rFonts w:ascii="Arial" w:cs="Arial" w:eastAsia="Arial" w:hAnsi="Arial"/>
                <w:sz w:val="18"/>
                <w:szCs w:val="18"/>
                <w:color w:val="0000FF"/>
              </w:rPr>
              <w:t>CEO Compensation Pay Ratio</w:t>
            </w:r>
          </w:p>
        </w:tc>
        <w:tc>
          <w:tcPr>
            <w:tcW w:w="4740" w:type="dxa"/>
            <w:vAlign w:val="bottom"/>
          </w:tcPr>
          <w:p>
            <w:pPr>
              <w:jc w:val="right"/>
              <w:spacing w:after="0"/>
              <w:rPr>
                <w:sz w:val="20"/>
                <w:szCs w:val="20"/>
                <w:color w:val="auto"/>
              </w:rPr>
            </w:pPr>
            <w:r>
              <w:rPr>
                <w:rFonts w:ascii="Arial" w:cs="Arial" w:eastAsia="Arial" w:hAnsi="Arial"/>
                <w:sz w:val="18"/>
                <w:szCs w:val="18"/>
                <w:color w:val="auto"/>
              </w:rPr>
              <w:t>55</w:t>
            </w:r>
          </w:p>
        </w:tc>
      </w:tr>
      <w:tr>
        <w:trPr>
          <w:trHeight w:val="34"/>
        </w:trPr>
        <w:tc>
          <w:tcPr>
            <w:tcW w:w="740" w:type="dxa"/>
            <w:vAlign w:val="bottom"/>
            <w:tcBorders>
              <w:bottom w:val="single" w:sz="8" w:color="407CCA"/>
            </w:tcBorders>
          </w:tcPr>
          <w:p>
            <w:pPr>
              <w:spacing w:after="0"/>
              <w:rPr>
                <w:sz w:val="2"/>
                <w:szCs w:val="2"/>
                <w:color w:val="auto"/>
              </w:rPr>
            </w:pPr>
          </w:p>
        </w:tc>
        <w:tc>
          <w:tcPr>
            <w:tcW w:w="240" w:type="dxa"/>
            <w:vAlign w:val="bottom"/>
            <w:tcBorders>
              <w:top w:val="single" w:sz="8" w:color="0000FF"/>
              <w:bottom w:val="single" w:sz="8" w:color="407CCA"/>
            </w:tcBorders>
          </w:tcPr>
          <w:p>
            <w:pPr>
              <w:spacing w:after="0"/>
              <w:rPr>
                <w:sz w:val="2"/>
                <w:szCs w:val="2"/>
                <w:color w:val="auto"/>
              </w:rPr>
            </w:pPr>
          </w:p>
        </w:tc>
        <w:tc>
          <w:tcPr>
            <w:tcW w:w="460" w:type="dxa"/>
            <w:vAlign w:val="bottom"/>
            <w:tcBorders>
              <w:top w:val="single" w:sz="8" w:color="0000FF"/>
              <w:bottom w:val="single" w:sz="8" w:color="407CCA"/>
            </w:tcBorders>
          </w:tcPr>
          <w:p>
            <w:pPr>
              <w:spacing w:after="0"/>
              <w:rPr>
                <w:sz w:val="2"/>
                <w:szCs w:val="2"/>
                <w:color w:val="auto"/>
              </w:rPr>
            </w:pPr>
          </w:p>
        </w:tc>
        <w:tc>
          <w:tcPr>
            <w:tcW w:w="600" w:type="dxa"/>
            <w:vAlign w:val="bottom"/>
            <w:tcBorders>
              <w:top w:val="single" w:sz="8" w:color="0000FF"/>
              <w:bottom w:val="single" w:sz="8" w:color="407CCA"/>
            </w:tcBorders>
          </w:tcPr>
          <w:p>
            <w:pPr>
              <w:spacing w:after="0"/>
              <w:rPr>
                <w:sz w:val="2"/>
                <w:szCs w:val="2"/>
                <w:color w:val="auto"/>
              </w:rPr>
            </w:pPr>
          </w:p>
        </w:tc>
        <w:tc>
          <w:tcPr>
            <w:tcW w:w="400" w:type="dxa"/>
            <w:vAlign w:val="bottom"/>
            <w:tcBorders>
              <w:top w:val="single" w:sz="8" w:color="0000FF"/>
              <w:bottom w:val="single" w:sz="8" w:color="407CCA"/>
            </w:tcBorders>
          </w:tcPr>
          <w:p>
            <w:pPr>
              <w:spacing w:after="0"/>
              <w:rPr>
                <w:sz w:val="2"/>
                <w:szCs w:val="2"/>
                <w:color w:val="auto"/>
              </w:rPr>
            </w:pPr>
          </w:p>
        </w:tc>
        <w:tc>
          <w:tcPr>
            <w:tcW w:w="60" w:type="dxa"/>
            <w:vAlign w:val="bottom"/>
            <w:tcBorders>
              <w:top w:val="single" w:sz="8" w:color="0000FF"/>
              <w:bottom w:val="single" w:sz="8" w:color="407CCA"/>
            </w:tcBorders>
          </w:tcPr>
          <w:p>
            <w:pPr>
              <w:spacing w:after="0"/>
              <w:rPr>
                <w:sz w:val="2"/>
                <w:szCs w:val="2"/>
                <w:color w:val="auto"/>
              </w:rPr>
            </w:pPr>
          </w:p>
        </w:tc>
        <w:tc>
          <w:tcPr>
            <w:tcW w:w="100" w:type="dxa"/>
            <w:vAlign w:val="bottom"/>
            <w:tcBorders>
              <w:top w:val="single" w:sz="8" w:color="0000FF"/>
              <w:bottom w:val="single" w:sz="8" w:color="407CCA"/>
            </w:tcBorders>
          </w:tcPr>
          <w:p>
            <w:pPr>
              <w:spacing w:after="0"/>
              <w:rPr>
                <w:sz w:val="2"/>
                <w:szCs w:val="2"/>
                <w:color w:val="auto"/>
              </w:rPr>
            </w:pPr>
          </w:p>
        </w:tc>
        <w:tc>
          <w:tcPr>
            <w:tcW w:w="220" w:type="dxa"/>
            <w:vAlign w:val="bottom"/>
            <w:tcBorders>
              <w:top w:val="single" w:sz="8" w:color="0000FF"/>
              <w:bottom w:val="single" w:sz="8" w:color="407CCA"/>
            </w:tcBorders>
          </w:tcPr>
          <w:p>
            <w:pPr>
              <w:spacing w:after="0"/>
              <w:rPr>
                <w:sz w:val="2"/>
                <w:szCs w:val="2"/>
                <w:color w:val="auto"/>
              </w:rPr>
            </w:pPr>
          </w:p>
        </w:tc>
        <w:tc>
          <w:tcPr>
            <w:tcW w:w="120" w:type="dxa"/>
            <w:vAlign w:val="bottom"/>
            <w:tcBorders>
              <w:top w:val="single" w:sz="8" w:color="0000FF"/>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120" w:type="dxa"/>
            <w:vAlign w:val="bottom"/>
            <w:tcBorders>
              <w:bottom w:val="single" w:sz="8" w:color="407CCA"/>
            </w:tcBorders>
          </w:tcPr>
          <w:p>
            <w:pPr>
              <w:spacing w:after="0"/>
              <w:rPr>
                <w:sz w:val="2"/>
                <w:szCs w:val="2"/>
                <w:color w:val="auto"/>
              </w:rPr>
            </w:pPr>
          </w:p>
        </w:tc>
        <w:tc>
          <w:tcPr>
            <w:tcW w:w="22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24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16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420" w:type="dxa"/>
            <w:vAlign w:val="bottom"/>
            <w:tcBorders>
              <w:bottom w:val="single" w:sz="8" w:color="407CCA"/>
            </w:tcBorders>
          </w:tcPr>
          <w:p>
            <w:pPr>
              <w:spacing w:after="0"/>
              <w:rPr>
                <w:sz w:val="2"/>
                <w:szCs w:val="2"/>
                <w:color w:val="auto"/>
              </w:rPr>
            </w:pPr>
          </w:p>
        </w:tc>
        <w:tc>
          <w:tcPr>
            <w:tcW w:w="100" w:type="dxa"/>
            <w:vAlign w:val="bottom"/>
            <w:tcBorders>
              <w:bottom w:val="single" w:sz="8" w:color="407CCA"/>
            </w:tcBorders>
          </w:tcPr>
          <w:p>
            <w:pPr>
              <w:spacing w:after="0"/>
              <w:rPr>
                <w:sz w:val="2"/>
                <w:szCs w:val="2"/>
                <w:color w:val="auto"/>
              </w:rPr>
            </w:pPr>
          </w:p>
        </w:tc>
        <w:tc>
          <w:tcPr>
            <w:tcW w:w="24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320" w:type="dxa"/>
            <w:vAlign w:val="bottom"/>
            <w:tcBorders>
              <w:bottom w:val="single" w:sz="8" w:color="407CCA"/>
            </w:tcBorders>
          </w:tcPr>
          <w:p>
            <w:pPr>
              <w:spacing w:after="0"/>
              <w:rPr>
                <w:sz w:val="2"/>
                <w:szCs w:val="2"/>
                <w:color w:val="auto"/>
              </w:rPr>
            </w:pPr>
          </w:p>
        </w:tc>
        <w:tc>
          <w:tcPr>
            <w:tcW w:w="400" w:type="dxa"/>
            <w:vAlign w:val="bottom"/>
            <w:tcBorders>
              <w:bottom w:val="single" w:sz="8" w:color="407CCA"/>
            </w:tcBorders>
          </w:tcPr>
          <w:p>
            <w:pPr>
              <w:spacing w:after="0"/>
              <w:rPr>
                <w:sz w:val="2"/>
                <w:szCs w:val="2"/>
                <w:color w:val="auto"/>
              </w:rPr>
            </w:pPr>
          </w:p>
        </w:tc>
        <w:tc>
          <w:tcPr>
            <w:tcW w:w="4740" w:type="dxa"/>
            <w:vAlign w:val="bottom"/>
            <w:tcBorders>
              <w:bottom w:val="single" w:sz="8" w:color="407CCA"/>
            </w:tcBorders>
          </w:tcPr>
          <w:p>
            <w:pPr>
              <w:spacing w:after="0"/>
              <w:rPr>
                <w:sz w:val="2"/>
                <w:szCs w:val="2"/>
                <w:color w:val="auto"/>
              </w:rPr>
            </w:pPr>
          </w:p>
        </w:tc>
      </w:tr>
      <w:tr>
        <w:trPr>
          <w:trHeight w:val="290"/>
        </w:trPr>
        <w:tc>
          <w:tcPr>
            <w:tcW w:w="4080" w:type="dxa"/>
            <w:vAlign w:val="bottom"/>
            <w:tcBorders>
              <w:bottom w:val="single" w:sz="8" w:color="0000FF"/>
            </w:tcBorders>
            <w:gridSpan w:val="21"/>
          </w:tcPr>
          <w:p>
            <w:pPr>
              <w:ind w:left="100"/>
              <w:spacing w:after="0"/>
              <w:rPr>
                <w:sz w:val="20"/>
                <w:szCs w:val="20"/>
                <w:color w:val="auto"/>
              </w:rPr>
            </w:pPr>
            <w:r>
              <w:rPr>
                <w:rFonts w:ascii="Arial" w:cs="Arial" w:eastAsia="Arial" w:hAnsi="Arial"/>
                <w:sz w:val="18"/>
                <w:szCs w:val="18"/>
                <w:b w:val="1"/>
                <w:bCs w:val="1"/>
                <w:color w:val="0000FF"/>
                <w:w w:val="91"/>
              </w:rPr>
              <w:t>Information Regarding Company Voting Securities</w:t>
            </w:r>
          </w:p>
        </w:tc>
        <w:tc>
          <w:tcPr>
            <w:tcW w:w="1420" w:type="dxa"/>
            <w:vAlign w:val="bottom"/>
            <w:gridSpan w:val="9"/>
          </w:tcPr>
          <w:p>
            <w:pPr>
              <w:spacing w:after="0"/>
              <w:rPr>
                <w:sz w:val="24"/>
                <w:szCs w:val="24"/>
                <w:color w:val="auto"/>
              </w:rPr>
            </w:pPr>
          </w:p>
        </w:tc>
        <w:tc>
          <w:tcPr>
            <w:tcW w:w="140" w:type="dxa"/>
            <w:vAlign w:val="bottom"/>
            <w:gridSpan w:val="2"/>
          </w:tcPr>
          <w:p>
            <w:pPr>
              <w:spacing w:after="0"/>
              <w:rPr>
                <w:sz w:val="24"/>
                <w:szCs w:val="24"/>
                <w:color w:val="auto"/>
              </w:rPr>
            </w:pP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56</w:t>
            </w:r>
          </w:p>
        </w:tc>
      </w:tr>
      <w:tr>
        <w:trPr>
          <w:trHeight w:val="345"/>
        </w:trPr>
        <w:tc>
          <w:tcPr>
            <w:tcW w:w="740" w:type="dxa"/>
            <w:vAlign w:val="bottom"/>
          </w:tcPr>
          <w:p>
            <w:pPr>
              <w:spacing w:after="0"/>
              <w:rPr>
                <w:sz w:val="24"/>
                <w:szCs w:val="24"/>
                <w:color w:val="auto"/>
              </w:rPr>
            </w:pPr>
          </w:p>
        </w:tc>
        <w:tc>
          <w:tcPr>
            <w:tcW w:w="4900" w:type="dxa"/>
            <w:vAlign w:val="bottom"/>
            <w:tcBorders>
              <w:bottom w:val="single" w:sz="8" w:color="0000FF"/>
            </w:tcBorders>
            <w:gridSpan w:val="31"/>
          </w:tcPr>
          <w:p>
            <w:pPr>
              <w:spacing w:after="0"/>
              <w:rPr>
                <w:sz w:val="20"/>
                <w:szCs w:val="20"/>
                <w:color w:val="auto"/>
              </w:rPr>
            </w:pPr>
            <w:r>
              <w:rPr>
                <w:rFonts w:ascii="Arial" w:cs="Arial" w:eastAsia="Arial" w:hAnsi="Arial"/>
                <w:sz w:val="18"/>
                <w:szCs w:val="18"/>
                <w:color w:val="0000FF"/>
                <w:w w:val="91"/>
              </w:rPr>
              <w:t>Security Ownership of Management and Certain Beneficial Owners</w:t>
            </w: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740" w:type="dxa"/>
            <w:vAlign w:val="bottom"/>
          </w:tcPr>
          <w:p>
            <w:pPr>
              <w:jc w:val="right"/>
              <w:spacing w:after="0"/>
              <w:rPr>
                <w:sz w:val="20"/>
                <w:szCs w:val="20"/>
                <w:color w:val="auto"/>
              </w:rPr>
            </w:pPr>
            <w:r>
              <w:rPr>
                <w:rFonts w:ascii="Arial" w:cs="Arial" w:eastAsia="Arial" w:hAnsi="Arial"/>
                <w:sz w:val="18"/>
                <w:szCs w:val="18"/>
                <w:color w:val="auto"/>
              </w:rPr>
              <w:t>56</w:t>
            </w:r>
          </w:p>
        </w:tc>
      </w:tr>
      <w:tr>
        <w:trPr>
          <w:trHeight w:val="236"/>
        </w:trPr>
        <w:tc>
          <w:tcPr>
            <w:tcW w:w="740" w:type="dxa"/>
            <w:vAlign w:val="bottom"/>
          </w:tcPr>
          <w:p>
            <w:pPr>
              <w:spacing w:after="0"/>
              <w:rPr>
                <w:sz w:val="20"/>
                <w:szCs w:val="20"/>
                <w:color w:val="auto"/>
              </w:rPr>
            </w:pPr>
          </w:p>
        </w:tc>
        <w:tc>
          <w:tcPr>
            <w:tcW w:w="5620" w:type="dxa"/>
            <w:vAlign w:val="bottom"/>
            <w:gridSpan w:val="33"/>
          </w:tcPr>
          <w:p>
            <w:pPr>
              <w:spacing w:after="0"/>
              <w:rPr>
                <w:sz w:val="20"/>
                <w:szCs w:val="20"/>
                <w:color w:val="auto"/>
              </w:rPr>
            </w:pPr>
            <w:r>
              <w:rPr>
                <w:rFonts w:ascii="Arial" w:cs="Arial" w:eastAsia="Arial" w:hAnsi="Arial"/>
                <w:sz w:val="18"/>
                <w:szCs w:val="18"/>
                <w:color w:val="0000FF"/>
              </w:rPr>
              <w:t>Delinquent Section 16(a) Report</w:t>
            </w:r>
          </w:p>
        </w:tc>
        <w:tc>
          <w:tcPr>
            <w:tcW w:w="4740" w:type="dxa"/>
            <w:vAlign w:val="bottom"/>
          </w:tcPr>
          <w:p>
            <w:pPr>
              <w:jc w:val="right"/>
              <w:spacing w:after="0"/>
              <w:rPr>
                <w:sz w:val="20"/>
                <w:szCs w:val="20"/>
                <w:color w:val="auto"/>
              </w:rPr>
            </w:pPr>
            <w:r>
              <w:rPr>
                <w:rFonts w:ascii="Arial" w:cs="Arial" w:eastAsia="Arial" w:hAnsi="Arial"/>
                <w:sz w:val="18"/>
                <w:szCs w:val="18"/>
                <w:color w:val="auto"/>
              </w:rPr>
              <w:t>57</w:t>
            </w:r>
          </w:p>
        </w:tc>
      </w:tr>
      <w:tr>
        <w:trPr>
          <w:trHeight w:val="21"/>
        </w:trPr>
        <w:tc>
          <w:tcPr>
            <w:tcW w:w="740" w:type="dxa"/>
            <w:vAlign w:val="bottom"/>
            <w:tcBorders>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460" w:type="dxa"/>
            <w:vAlign w:val="bottom"/>
            <w:tcBorders>
              <w:top w:val="single" w:sz="8" w:color="0000FF"/>
              <w:bottom w:val="single" w:sz="8" w:color="407CCA"/>
            </w:tcBorders>
          </w:tcPr>
          <w:p>
            <w:pPr>
              <w:spacing w:after="0" w:line="20" w:lineRule="exact"/>
              <w:rPr>
                <w:sz w:val="1"/>
                <w:szCs w:val="1"/>
                <w:color w:val="auto"/>
              </w:rPr>
            </w:pPr>
          </w:p>
        </w:tc>
        <w:tc>
          <w:tcPr>
            <w:tcW w:w="600" w:type="dxa"/>
            <w:vAlign w:val="bottom"/>
            <w:tcBorders>
              <w:top w:val="single" w:sz="8" w:color="0000FF"/>
              <w:bottom w:val="single" w:sz="8" w:color="407CCA"/>
            </w:tcBorders>
          </w:tcPr>
          <w:p>
            <w:pPr>
              <w:spacing w:after="0" w:line="20" w:lineRule="exact"/>
              <w:rPr>
                <w:sz w:val="1"/>
                <w:szCs w:val="1"/>
                <w:color w:val="auto"/>
              </w:rPr>
            </w:pPr>
          </w:p>
        </w:tc>
        <w:tc>
          <w:tcPr>
            <w:tcW w:w="400" w:type="dxa"/>
            <w:vAlign w:val="bottom"/>
            <w:tcBorders>
              <w:top w:val="single" w:sz="8" w:color="0000FF"/>
              <w:bottom w:val="single" w:sz="8" w:color="407CCA"/>
            </w:tcBorders>
          </w:tcPr>
          <w:p>
            <w:pPr>
              <w:spacing w:after="0" w:line="20" w:lineRule="exact"/>
              <w:rPr>
                <w:sz w:val="1"/>
                <w:szCs w:val="1"/>
                <w:color w:val="auto"/>
              </w:rPr>
            </w:pPr>
          </w:p>
        </w:tc>
        <w:tc>
          <w:tcPr>
            <w:tcW w:w="6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24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16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42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40" w:type="dxa"/>
            <w:vAlign w:val="bottom"/>
            <w:tcBorders>
              <w:bottom w:val="single" w:sz="8" w:color="407CCA"/>
            </w:tcBorders>
          </w:tcPr>
          <w:p>
            <w:pPr>
              <w:spacing w:after="0" w:line="20" w:lineRule="exact"/>
              <w:rPr>
                <w:sz w:val="1"/>
                <w:szCs w:val="1"/>
                <w:color w:val="auto"/>
              </w:rPr>
            </w:pPr>
          </w:p>
        </w:tc>
        <w:tc>
          <w:tcPr>
            <w:tcW w:w="80" w:type="dxa"/>
            <w:vAlign w:val="bottom"/>
            <w:tcBorders>
              <w:bottom w:val="single" w:sz="8" w:color="407CCA"/>
            </w:tcBorders>
          </w:tcPr>
          <w:p>
            <w:pPr>
              <w:spacing w:after="0" w:line="20" w:lineRule="exact"/>
              <w:rPr>
                <w:sz w:val="1"/>
                <w:szCs w:val="1"/>
                <w:color w:val="auto"/>
              </w:rPr>
            </w:pPr>
          </w:p>
        </w:tc>
        <w:tc>
          <w:tcPr>
            <w:tcW w:w="60" w:type="dxa"/>
            <w:vAlign w:val="bottom"/>
            <w:tcBorders>
              <w:bottom w:val="single" w:sz="8" w:color="407CCA"/>
            </w:tcBorders>
          </w:tcPr>
          <w:p>
            <w:pPr>
              <w:spacing w:after="0" w:line="20" w:lineRule="exact"/>
              <w:rPr>
                <w:sz w:val="1"/>
                <w:szCs w:val="1"/>
                <w:color w:val="auto"/>
              </w:rPr>
            </w:pPr>
          </w:p>
        </w:tc>
        <w:tc>
          <w:tcPr>
            <w:tcW w:w="320" w:type="dxa"/>
            <w:vAlign w:val="bottom"/>
            <w:tcBorders>
              <w:bottom w:val="single" w:sz="8" w:color="407CCA"/>
            </w:tcBorders>
          </w:tcPr>
          <w:p>
            <w:pPr>
              <w:spacing w:after="0" w:line="20" w:lineRule="exact"/>
              <w:rPr>
                <w:sz w:val="1"/>
                <w:szCs w:val="1"/>
                <w:color w:val="auto"/>
              </w:rPr>
            </w:pPr>
          </w:p>
        </w:tc>
        <w:tc>
          <w:tcPr>
            <w:tcW w:w="400" w:type="dxa"/>
            <w:vAlign w:val="bottom"/>
            <w:tcBorders>
              <w:bottom w:val="single" w:sz="8" w:color="407CCA"/>
            </w:tcBorders>
          </w:tcPr>
          <w:p>
            <w:pPr>
              <w:spacing w:after="0" w:line="20" w:lineRule="exact"/>
              <w:rPr>
                <w:sz w:val="1"/>
                <w:szCs w:val="1"/>
                <w:color w:val="auto"/>
              </w:rPr>
            </w:pPr>
          </w:p>
        </w:tc>
        <w:tc>
          <w:tcPr>
            <w:tcW w:w="4740" w:type="dxa"/>
            <w:vAlign w:val="bottom"/>
            <w:tcBorders>
              <w:bottom w:val="single" w:sz="8" w:color="407CCA"/>
            </w:tcBorders>
          </w:tcPr>
          <w:p>
            <w:pPr>
              <w:spacing w:after="0" w:line="20" w:lineRule="exact"/>
              <w:rPr>
                <w:sz w:val="1"/>
                <w:szCs w:val="1"/>
                <w:color w:val="auto"/>
              </w:rPr>
            </w:pPr>
          </w:p>
        </w:tc>
      </w:tr>
      <w:tr>
        <w:trPr>
          <w:trHeight w:val="183"/>
        </w:trPr>
        <w:tc>
          <w:tcPr>
            <w:tcW w:w="6360" w:type="dxa"/>
            <w:vAlign w:val="bottom"/>
            <w:gridSpan w:val="34"/>
          </w:tcPr>
          <w:p>
            <w:pPr>
              <w:ind w:left="140"/>
              <w:spacing w:after="0" w:line="182" w:lineRule="exact"/>
              <w:rPr>
                <w:sz w:val="20"/>
                <w:szCs w:val="20"/>
                <w:color w:val="auto"/>
              </w:rPr>
            </w:pPr>
            <w:r>
              <w:rPr>
                <w:rFonts w:ascii="Arial" w:cs="Arial" w:eastAsia="Arial" w:hAnsi="Arial"/>
                <w:sz w:val="18"/>
                <w:szCs w:val="18"/>
                <w:b w:val="1"/>
                <w:bCs w:val="1"/>
                <w:color w:val="0000FF"/>
                <w:w w:val="95"/>
              </w:rPr>
              <w:t>Questions and Answers About Stockholder Communications and Proposals</w:t>
            </w:r>
          </w:p>
        </w:tc>
        <w:tc>
          <w:tcPr>
            <w:tcW w:w="4740" w:type="dxa"/>
            <w:vAlign w:val="bottom"/>
          </w:tcPr>
          <w:p>
            <w:pPr>
              <w:jc w:val="right"/>
              <w:spacing w:after="0" w:line="182" w:lineRule="exact"/>
              <w:rPr>
                <w:sz w:val="20"/>
                <w:szCs w:val="20"/>
                <w:color w:val="auto"/>
              </w:rPr>
            </w:pPr>
            <w:r>
              <w:rPr>
                <w:rFonts w:ascii="Arial" w:cs="Arial" w:eastAsia="Arial" w:hAnsi="Arial"/>
                <w:sz w:val="18"/>
                <w:szCs w:val="18"/>
                <w:color w:val="auto"/>
              </w:rPr>
              <w:t>58</w:t>
            </w:r>
          </w:p>
        </w:tc>
      </w:tr>
      <w:tr>
        <w:trPr>
          <w:trHeight w:val="20"/>
        </w:trPr>
        <w:tc>
          <w:tcPr>
            <w:tcW w:w="74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460" w:type="dxa"/>
            <w:vAlign w:val="bottom"/>
            <w:tcBorders>
              <w:top w:val="single" w:sz="8" w:color="0000FF"/>
              <w:bottom w:val="single" w:sz="8" w:color="407CCA"/>
            </w:tcBorders>
          </w:tcPr>
          <w:p>
            <w:pPr>
              <w:spacing w:after="0" w:line="20" w:lineRule="exact"/>
              <w:rPr>
                <w:sz w:val="1"/>
                <w:szCs w:val="1"/>
                <w:color w:val="auto"/>
              </w:rPr>
            </w:pPr>
          </w:p>
        </w:tc>
        <w:tc>
          <w:tcPr>
            <w:tcW w:w="600" w:type="dxa"/>
            <w:vAlign w:val="bottom"/>
            <w:tcBorders>
              <w:top w:val="single" w:sz="8" w:color="0000FF"/>
              <w:bottom w:val="single" w:sz="8" w:color="407CCA"/>
            </w:tcBorders>
          </w:tcPr>
          <w:p>
            <w:pPr>
              <w:spacing w:after="0" w:line="20" w:lineRule="exact"/>
              <w:rPr>
                <w:sz w:val="1"/>
                <w:szCs w:val="1"/>
                <w:color w:val="auto"/>
              </w:rPr>
            </w:pPr>
          </w:p>
        </w:tc>
        <w:tc>
          <w:tcPr>
            <w:tcW w:w="400" w:type="dxa"/>
            <w:vAlign w:val="bottom"/>
            <w:tcBorders>
              <w:top w:val="single" w:sz="8" w:color="0000FF"/>
              <w:bottom w:val="single" w:sz="8" w:color="407CCA"/>
            </w:tcBorders>
          </w:tcPr>
          <w:p>
            <w:pPr>
              <w:spacing w:after="0" w:line="20" w:lineRule="exact"/>
              <w:rPr>
                <w:sz w:val="1"/>
                <w:szCs w:val="1"/>
                <w:color w:val="auto"/>
              </w:rPr>
            </w:pPr>
          </w:p>
        </w:tc>
        <w:tc>
          <w:tcPr>
            <w:tcW w:w="6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16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42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80" w:type="dxa"/>
            <w:vAlign w:val="bottom"/>
            <w:tcBorders>
              <w:top w:val="single" w:sz="8" w:color="0000FF"/>
              <w:bottom w:val="single" w:sz="8" w:color="407CCA"/>
            </w:tcBorders>
          </w:tcPr>
          <w:p>
            <w:pPr>
              <w:spacing w:after="0" w:line="20" w:lineRule="exact"/>
              <w:rPr>
                <w:sz w:val="1"/>
                <w:szCs w:val="1"/>
                <w:color w:val="auto"/>
              </w:rPr>
            </w:pPr>
          </w:p>
        </w:tc>
        <w:tc>
          <w:tcPr>
            <w:tcW w:w="60" w:type="dxa"/>
            <w:vAlign w:val="bottom"/>
            <w:tcBorders>
              <w:top w:val="single" w:sz="8" w:color="0000FF"/>
              <w:bottom w:val="single" w:sz="8" w:color="407CCA"/>
            </w:tcBorders>
          </w:tcPr>
          <w:p>
            <w:pPr>
              <w:spacing w:after="0" w:line="20" w:lineRule="exact"/>
              <w:rPr>
                <w:sz w:val="1"/>
                <w:szCs w:val="1"/>
                <w:color w:val="auto"/>
              </w:rPr>
            </w:pPr>
          </w:p>
        </w:tc>
        <w:tc>
          <w:tcPr>
            <w:tcW w:w="320" w:type="dxa"/>
            <w:vAlign w:val="bottom"/>
            <w:tcBorders>
              <w:top w:val="single" w:sz="8" w:color="0000FF"/>
              <w:bottom w:val="single" w:sz="8" w:color="407CCA"/>
            </w:tcBorders>
          </w:tcPr>
          <w:p>
            <w:pPr>
              <w:spacing w:after="0" w:line="20" w:lineRule="exact"/>
              <w:rPr>
                <w:sz w:val="1"/>
                <w:szCs w:val="1"/>
                <w:color w:val="auto"/>
              </w:rPr>
            </w:pPr>
          </w:p>
        </w:tc>
        <w:tc>
          <w:tcPr>
            <w:tcW w:w="400" w:type="dxa"/>
            <w:vAlign w:val="bottom"/>
            <w:tcBorders>
              <w:bottom w:val="single" w:sz="8" w:color="407CCA"/>
            </w:tcBorders>
          </w:tcPr>
          <w:p>
            <w:pPr>
              <w:spacing w:after="0" w:line="20" w:lineRule="exact"/>
              <w:rPr>
                <w:sz w:val="1"/>
                <w:szCs w:val="1"/>
                <w:color w:val="auto"/>
              </w:rPr>
            </w:pPr>
          </w:p>
        </w:tc>
        <w:tc>
          <w:tcPr>
            <w:tcW w:w="4740" w:type="dxa"/>
            <w:vAlign w:val="bottom"/>
            <w:tcBorders>
              <w:bottom w:val="single" w:sz="8" w:color="407CCA"/>
            </w:tcBorders>
          </w:tcPr>
          <w:p>
            <w:pPr>
              <w:spacing w:after="0" w:line="20" w:lineRule="exact"/>
              <w:rPr>
                <w:sz w:val="1"/>
                <w:szCs w:val="1"/>
                <w:color w:val="auto"/>
              </w:rPr>
            </w:pPr>
          </w:p>
        </w:tc>
      </w:tr>
      <w:tr>
        <w:trPr>
          <w:trHeight w:val="183"/>
        </w:trPr>
        <w:tc>
          <w:tcPr>
            <w:tcW w:w="6360" w:type="dxa"/>
            <w:vAlign w:val="bottom"/>
            <w:gridSpan w:val="34"/>
          </w:tcPr>
          <w:p>
            <w:pPr>
              <w:ind w:left="100"/>
              <w:spacing w:after="0" w:line="182" w:lineRule="exact"/>
              <w:rPr>
                <w:sz w:val="20"/>
                <w:szCs w:val="20"/>
                <w:color w:val="auto"/>
              </w:rPr>
            </w:pPr>
            <w:r>
              <w:rPr>
                <w:rFonts w:ascii="Arial" w:cs="Arial" w:eastAsia="Arial" w:hAnsi="Arial"/>
                <w:sz w:val="18"/>
                <w:szCs w:val="18"/>
                <w:b w:val="1"/>
                <w:bCs w:val="1"/>
                <w:color w:val="0000FF"/>
              </w:rPr>
              <w:t>Questions and Answers About the 2023 Annual Meeting and Voting</w:t>
            </w:r>
          </w:p>
        </w:tc>
        <w:tc>
          <w:tcPr>
            <w:tcW w:w="4740" w:type="dxa"/>
            <w:vAlign w:val="bottom"/>
          </w:tcPr>
          <w:p>
            <w:pPr>
              <w:jc w:val="right"/>
              <w:spacing w:after="0" w:line="182" w:lineRule="exact"/>
              <w:rPr>
                <w:sz w:val="20"/>
                <w:szCs w:val="20"/>
                <w:color w:val="auto"/>
              </w:rPr>
            </w:pPr>
            <w:r>
              <w:rPr>
                <w:rFonts w:ascii="Arial" w:cs="Arial" w:eastAsia="Arial" w:hAnsi="Arial"/>
                <w:sz w:val="18"/>
                <w:szCs w:val="18"/>
                <w:color w:val="auto"/>
              </w:rPr>
              <w:t>59</w:t>
            </w:r>
          </w:p>
        </w:tc>
      </w:tr>
      <w:tr>
        <w:trPr>
          <w:trHeight w:val="20"/>
        </w:trPr>
        <w:tc>
          <w:tcPr>
            <w:tcW w:w="74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460" w:type="dxa"/>
            <w:vAlign w:val="bottom"/>
            <w:tcBorders>
              <w:top w:val="single" w:sz="8" w:color="0000FF"/>
              <w:bottom w:val="single" w:sz="8" w:color="407CCA"/>
            </w:tcBorders>
          </w:tcPr>
          <w:p>
            <w:pPr>
              <w:spacing w:after="0" w:line="20" w:lineRule="exact"/>
              <w:rPr>
                <w:sz w:val="1"/>
                <w:szCs w:val="1"/>
                <w:color w:val="auto"/>
              </w:rPr>
            </w:pPr>
          </w:p>
        </w:tc>
        <w:tc>
          <w:tcPr>
            <w:tcW w:w="600" w:type="dxa"/>
            <w:vAlign w:val="bottom"/>
            <w:tcBorders>
              <w:top w:val="single" w:sz="8" w:color="0000FF"/>
              <w:bottom w:val="single" w:sz="8" w:color="407CCA"/>
            </w:tcBorders>
          </w:tcPr>
          <w:p>
            <w:pPr>
              <w:spacing w:after="0" w:line="20" w:lineRule="exact"/>
              <w:rPr>
                <w:sz w:val="1"/>
                <w:szCs w:val="1"/>
                <w:color w:val="auto"/>
              </w:rPr>
            </w:pPr>
          </w:p>
        </w:tc>
        <w:tc>
          <w:tcPr>
            <w:tcW w:w="400" w:type="dxa"/>
            <w:vAlign w:val="bottom"/>
            <w:tcBorders>
              <w:top w:val="single" w:sz="8" w:color="0000FF"/>
              <w:bottom w:val="single" w:sz="8" w:color="407CCA"/>
            </w:tcBorders>
          </w:tcPr>
          <w:p>
            <w:pPr>
              <w:spacing w:after="0" w:line="20" w:lineRule="exact"/>
              <w:rPr>
                <w:sz w:val="1"/>
                <w:szCs w:val="1"/>
                <w:color w:val="auto"/>
              </w:rPr>
            </w:pPr>
          </w:p>
        </w:tc>
        <w:tc>
          <w:tcPr>
            <w:tcW w:w="6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20" w:type="dxa"/>
            <w:vAlign w:val="bottom"/>
            <w:tcBorders>
              <w:top w:val="single" w:sz="8" w:color="0000FF"/>
              <w:bottom w:val="single" w:sz="8" w:color="407CCA"/>
            </w:tcBorders>
          </w:tcPr>
          <w:p>
            <w:pPr>
              <w:spacing w:after="0" w:line="20" w:lineRule="exact"/>
              <w:rPr>
                <w:sz w:val="1"/>
                <w:szCs w:val="1"/>
                <w:color w:val="auto"/>
              </w:rPr>
            </w:pPr>
          </w:p>
        </w:tc>
        <w:tc>
          <w:tcPr>
            <w:tcW w:w="22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4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16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0" w:type="dxa"/>
            <w:vAlign w:val="bottom"/>
            <w:tcBorders>
              <w:top w:val="single" w:sz="8" w:color="0000FF"/>
              <w:bottom w:val="single" w:sz="8" w:color="407CCA"/>
            </w:tcBorders>
          </w:tcPr>
          <w:p>
            <w:pPr>
              <w:spacing w:after="0" w:line="20" w:lineRule="exact"/>
              <w:rPr>
                <w:sz w:val="1"/>
                <w:szCs w:val="1"/>
                <w:color w:val="auto"/>
              </w:rPr>
            </w:pPr>
          </w:p>
        </w:tc>
        <w:tc>
          <w:tcPr>
            <w:tcW w:w="180" w:type="dxa"/>
            <w:vAlign w:val="bottom"/>
            <w:tcBorders>
              <w:top w:val="single" w:sz="8" w:color="0000FF"/>
              <w:bottom w:val="single" w:sz="8" w:color="407CCA"/>
            </w:tcBorders>
          </w:tcPr>
          <w:p>
            <w:pPr>
              <w:spacing w:after="0" w:line="20" w:lineRule="exact"/>
              <w:rPr>
                <w:sz w:val="1"/>
                <w:szCs w:val="1"/>
                <w:color w:val="auto"/>
              </w:rPr>
            </w:pPr>
          </w:p>
        </w:tc>
        <w:tc>
          <w:tcPr>
            <w:tcW w:w="420" w:type="dxa"/>
            <w:vAlign w:val="bottom"/>
            <w:tcBorders>
              <w:top w:val="single" w:sz="8" w:color="0000FF"/>
              <w:bottom w:val="single" w:sz="8" w:color="407CCA"/>
            </w:tcBorders>
          </w:tcPr>
          <w:p>
            <w:pPr>
              <w:spacing w:after="0" w:line="20" w:lineRule="exact"/>
              <w:rPr>
                <w:sz w:val="1"/>
                <w:szCs w:val="1"/>
                <w:color w:val="auto"/>
              </w:rPr>
            </w:pPr>
          </w:p>
        </w:tc>
        <w:tc>
          <w:tcPr>
            <w:tcW w:w="100" w:type="dxa"/>
            <w:vAlign w:val="bottom"/>
            <w:tcBorders>
              <w:top w:val="single" w:sz="8" w:color="0000FF"/>
              <w:bottom w:val="single" w:sz="8" w:color="407CCA"/>
            </w:tcBorders>
          </w:tcPr>
          <w:p>
            <w:pPr>
              <w:spacing w:after="0" w:line="20" w:lineRule="exact"/>
              <w:rPr>
                <w:sz w:val="1"/>
                <w:szCs w:val="1"/>
                <w:color w:val="auto"/>
              </w:rPr>
            </w:pPr>
          </w:p>
        </w:tc>
        <w:tc>
          <w:tcPr>
            <w:tcW w:w="240" w:type="dxa"/>
            <w:vAlign w:val="bottom"/>
            <w:tcBorders>
              <w:top w:val="single" w:sz="8" w:color="0000FF"/>
              <w:bottom w:val="single" w:sz="8" w:color="407CCA"/>
            </w:tcBorders>
          </w:tcPr>
          <w:p>
            <w:pPr>
              <w:spacing w:after="0" w:line="20" w:lineRule="exact"/>
              <w:rPr>
                <w:sz w:val="1"/>
                <w:szCs w:val="1"/>
                <w:color w:val="auto"/>
              </w:rPr>
            </w:pPr>
          </w:p>
        </w:tc>
        <w:tc>
          <w:tcPr>
            <w:tcW w:w="80" w:type="dxa"/>
            <w:vAlign w:val="bottom"/>
            <w:tcBorders>
              <w:bottom w:val="single" w:sz="8" w:color="407CCA"/>
            </w:tcBorders>
          </w:tcPr>
          <w:p>
            <w:pPr>
              <w:spacing w:after="0" w:line="20" w:lineRule="exact"/>
              <w:rPr>
                <w:sz w:val="1"/>
                <w:szCs w:val="1"/>
                <w:color w:val="auto"/>
              </w:rPr>
            </w:pPr>
          </w:p>
        </w:tc>
        <w:tc>
          <w:tcPr>
            <w:tcW w:w="60" w:type="dxa"/>
            <w:vAlign w:val="bottom"/>
            <w:tcBorders>
              <w:bottom w:val="single" w:sz="8" w:color="407CCA"/>
            </w:tcBorders>
          </w:tcPr>
          <w:p>
            <w:pPr>
              <w:spacing w:after="0" w:line="20" w:lineRule="exact"/>
              <w:rPr>
                <w:sz w:val="1"/>
                <w:szCs w:val="1"/>
                <w:color w:val="auto"/>
              </w:rPr>
            </w:pPr>
          </w:p>
        </w:tc>
        <w:tc>
          <w:tcPr>
            <w:tcW w:w="320" w:type="dxa"/>
            <w:vAlign w:val="bottom"/>
            <w:tcBorders>
              <w:bottom w:val="single" w:sz="8" w:color="407CCA"/>
            </w:tcBorders>
          </w:tcPr>
          <w:p>
            <w:pPr>
              <w:spacing w:after="0" w:line="20" w:lineRule="exact"/>
              <w:rPr>
                <w:sz w:val="1"/>
                <w:szCs w:val="1"/>
                <w:color w:val="auto"/>
              </w:rPr>
            </w:pPr>
          </w:p>
        </w:tc>
        <w:tc>
          <w:tcPr>
            <w:tcW w:w="400" w:type="dxa"/>
            <w:vAlign w:val="bottom"/>
            <w:tcBorders>
              <w:bottom w:val="single" w:sz="8" w:color="407CCA"/>
            </w:tcBorders>
          </w:tcPr>
          <w:p>
            <w:pPr>
              <w:spacing w:after="0" w:line="20" w:lineRule="exact"/>
              <w:rPr>
                <w:sz w:val="1"/>
                <w:szCs w:val="1"/>
                <w:color w:val="auto"/>
              </w:rPr>
            </w:pPr>
          </w:p>
        </w:tc>
        <w:tc>
          <w:tcPr>
            <w:tcW w:w="4740" w:type="dxa"/>
            <w:vAlign w:val="bottom"/>
            <w:tcBorders>
              <w:bottom w:val="single" w:sz="8" w:color="407CCA"/>
            </w:tcBorders>
          </w:tcPr>
          <w:p>
            <w:pPr>
              <w:spacing w:after="0" w:line="20" w:lineRule="exact"/>
              <w:rPr>
                <w:sz w:val="1"/>
                <w:szCs w:val="1"/>
                <w:color w:val="auto"/>
              </w:rPr>
            </w:pPr>
          </w:p>
        </w:tc>
      </w:tr>
      <w:tr>
        <w:trPr>
          <w:trHeight w:val="183"/>
        </w:trPr>
        <w:tc>
          <w:tcPr>
            <w:tcW w:w="6360" w:type="dxa"/>
            <w:vAlign w:val="bottom"/>
            <w:tcBorders>
              <w:bottom w:val="single" w:sz="8" w:color="0000FF"/>
            </w:tcBorders>
            <w:gridSpan w:val="34"/>
          </w:tcPr>
          <w:p>
            <w:pPr>
              <w:ind w:left="80"/>
              <w:spacing w:after="0" w:line="182" w:lineRule="exact"/>
              <w:rPr>
                <w:sz w:val="20"/>
                <w:szCs w:val="20"/>
                <w:color w:val="auto"/>
              </w:rPr>
            </w:pPr>
            <w:r>
              <w:rPr>
                <w:rFonts w:ascii="Arial" w:cs="Arial" w:eastAsia="Arial" w:hAnsi="Arial"/>
                <w:sz w:val="18"/>
                <w:szCs w:val="18"/>
                <w:b w:val="1"/>
                <w:bCs w:val="1"/>
                <w:color w:val="0000FF"/>
                <w:w w:val="94"/>
              </w:rPr>
              <w:t>Appendix I: Proposed Amended Provisions of Our Certificate of Incorporation</w:t>
            </w:r>
          </w:p>
        </w:tc>
        <w:tc>
          <w:tcPr>
            <w:tcW w:w="4740" w:type="dxa"/>
            <w:vAlign w:val="bottom"/>
          </w:tcPr>
          <w:p>
            <w:pPr>
              <w:jc w:val="right"/>
              <w:spacing w:after="0" w:line="182" w:lineRule="exact"/>
              <w:rPr>
                <w:sz w:val="20"/>
                <w:szCs w:val="20"/>
                <w:color w:val="auto"/>
              </w:rPr>
            </w:pPr>
            <w:r>
              <w:rPr>
                <w:rFonts w:ascii="Arial" w:cs="Arial" w:eastAsia="Arial" w:hAnsi="Arial"/>
                <w:sz w:val="18"/>
                <w:szCs w:val="18"/>
                <w:color w:val="auto"/>
              </w:rPr>
              <w:t>A1-1</w:t>
            </w:r>
          </w:p>
        </w:tc>
      </w:tr>
      <w:tr>
        <w:trPr>
          <w:trHeight w:val="20"/>
        </w:trPr>
        <w:tc>
          <w:tcPr>
            <w:tcW w:w="740" w:type="dxa"/>
            <w:vAlign w:val="bottom"/>
            <w:tcBorders>
              <w:bottom w:val="single" w:sz="8" w:color="407CCA"/>
            </w:tcBorders>
          </w:tcPr>
          <w:p>
            <w:pPr>
              <w:spacing w:after="0" w:line="20" w:lineRule="exact"/>
              <w:rPr>
                <w:sz w:val="1"/>
                <w:szCs w:val="1"/>
                <w:color w:val="auto"/>
              </w:rPr>
            </w:pPr>
          </w:p>
        </w:tc>
        <w:tc>
          <w:tcPr>
            <w:tcW w:w="240" w:type="dxa"/>
            <w:vAlign w:val="bottom"/>
            <w:tcBorders>
              <w:bottom w:val="single" w:sz="8" w:color="407CCA"/>
            </w:tcBorders>
          </w:tcPr>
          <w:p>
            <w:pPr>
              <w:spacing w:after="0" w:line="20" w:lineRule="exact"/>
              <w:rPr>
                <w:sz w:val="1"/>
                <w:szCs w:val="1"/>
                <w:color w:val="auto"/>
              </w:rPr>
            </w:pPr>
          </w:p>
        </w:tc>
        <w:tc>
          <w:tcPr>
            <w:tcW w:w="460" w:type="dxa"/>
            <w:vAlign w:val="bottom"/>
            <w:tcBorders>
              <w:bottom w:val="single" w:sz="8" w:color="407CCA"/>
            </w:tcBorders>
          </w:tcPr>
          <w:p>
            <w:pPr>
              <w:spacing w:after="0" w:line="20" w:lineRule="exact"/>
              <w:rPr>
                <w:sz w:val="1"/>
                <w:szCs w:val="1"/>
                <w:color w:val="auto"/>
              </w:rPr>
            </w:pPr>
          </w:p>
        </w:tc>
        <w:tc>
          <w:tcPr>
            <w:tcW w:w="600" w:type="dxa"/>
            <w:vAlign w:val="bottom"/>
            <w:tcBorders>
              <w:bottom w:val="single" w:sz="8" w:color="407CCA"/>
            </w:tcBorders>
          </w:tcPr>
          <w:p>
            <w:pPr>
              <w:spacing w:after="0" w:line="20" w:lineRule="exact"/>
              <w:rPr>
                <w:sz w:val="1"/>
                <w:szCs w:val="1"/>
                <w:color w:val="auto"/>
              </w:rPr>
            </w:pPr>
          </w:p>
        </w:tc>
        <w:tc>
          <w:tcPr>
            <w:tcW w:w="400" w:type="dxa"/>
            <w:vAlign w:val="bottom"/>
            <w:tcBorders>
              <w:bottom w:val="single" w:sz="8" w:color="407CCA"/>
            </w:tcBorders>
          </w:tcPr>
          <w:p>
            <w:pPr>
              <w:spacing w:after="0" w:line="20" w:lineRule="exact"/>
              <w:rPr>
                <w:sz w:val="1"/>
                <w:szCs w:val="1"/>
                <w:color w:val="auto"/>
              </w:rPr>
            </w:pPr>
          </w:p>
        </w:tc>
        <w:tc>
          <w:tcPr>
            <w:tcW w:w="6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20" w:type="dxa"/>
            <w:vAlign w:val="bottom"/>
            <w:tcBorders>
              <w:bottom w:val="single" w:sz="8" w:color="407CCA"/>
            </w:tcBorders>
          </w:tcPr>
          <w:p>
            <w:pPr>
              <w:spacing w:after="0" w:line="20" w:lineRule="exact"/>
              <w:rPr>
                <w:sz w:val="1"/>
                <w:szCs w:val="1"/>
                <w:color w:val="auto"/>
              </w:rPr>
            </w:pPr>
          </w:p>
        </w:tc>
        <w:tc>
          <w:tcPr>
            <w:tcW w:w="12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20" w:type="dxa"/>
            <w:vAlign w:val="bottom"/>
            <w:tcBorders>
              <w:bottom w:val="single" w:sz="8" w:color="407CCA"/>
            </w:tcBorders>
          </w:tcPr>
          <w:p>
            <w:pPr>
              <w:spacing w:after="0" w:line="20" w:lineRule="exact"/>
              <w:rPr>
                <w:sz w:val="1"/>
                <w:szCs w:val="1"/>
                <w:color w:val="auto"/>
              </w:rPr>
            </w:pPr>
          </w:p>
        </w:tc>
        <w:tc>
          <w:tcPr>
            <w:tcW w:w="22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24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4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16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0" w:type="dxa"/>
            <w:vAlign w:val="bottom"/>
            <w:tcBorders>
              <w:bottom w:val="single" w:sz="8" w:color="407CCA"/>
            </w:tcBorders>
          </w:tcPr>
          <w:p>
            <w:pPr>
              <w:spacing w:after="0" w:line="20" w:lineRule="exact"/>
              <w:rPr>
                <w:sz w:val="1"/>
                <w:szCs w:val="1"/>
                <w:color w:val="auto"/>
              </w:rPr>
            </w:pPr>
          </w:p>
        </w:tc>
        <w:tc>
          <w:tcPr>
            <w:tcW w:w="180" w:type="dxa"/>
            <w:vAlign w:val="bottom"/>
            <w:tcBorders>
              <w:bottom w:val="single" w:sz="8" w:color="407CCA"/>
            </w:tcBorders>
          </w:tcPr>
          <w:p>
            <w:pPr>
              <w:spacing w:after="0" w:line="20" w:lineRule="exact"/>
              <w:rPr>
                <w:sz w:val="1"/>
                <w:szCs w:val="1"/>
                <w:color w:val="auto"/>
              </w:rPr>
            </w:pPr>
          </w:p>
        </w:tc>
        <w:tc>
          <w:tcPr>
            <w:tcW w:w="420" w:type="dxa"/>
            <w:vAlign w:val="bottom"/>
            <w:tcBorders>
              <w:bottom w:val="single" w:sz="8" w:color="407CCA"/>
            </w:tcBorders>
          </w:tcPr>
          <w:p>
            <w:pPr>
              <w:spacing w:after="0" w:line="20" w:lineRule="exact"/>
              <w:rPr>
                <w:sz w:val="1"/>
                <w:szCs w:val="1"/>
                <w:color w:val="auto"/>
              </w:rPr>
            </w:pPr>
          </w:p>
        </w:tc>
        <w:tc>
          <w:tcPr>
            <w:tcW w:w="100" w:type="dxa"/>
            <w:vAlign w:val="bottom"/>
            <w:tcBorders>
              <w:bottom w:val="single" w:sz="8" w:color="407CCA"/>
            </w:tcBorders>
          </w:tcPr>
          <w:p>
            <w:pPr>
              <w:spacing w:after="0" w:line="20" w:lineRule="exact"/>
              <w:rPr>
                <w:sz w:val="1"/>
                <w:szCs w:val="1"/>
                <w:color w:val="auto"/>
              </w:rPr>
            </w:pPr>
          </w:p>
        </w:tc>
        <w:tc>
          <w:tcPr>
            <w:tcW w:w="240" w:type="dxa"/>
            <w:vAlign w:val="bottom"/>
            <w:tcBorders>
              <w:bottom w:val="single" w:sz="8" w:color="407CCA"/>
            </w:tcBorders>
          </w:tcPr>
          <w:p>
            <w:pPr>
              <w:spacing w:after="0" w:line="20" w:lineRule="exact"/>
              <w:rPr>
                <w:sz w:val="1"/>
                <w:szCs w:val="1"/>
                <w:color w:val="auto"/>
              </w:rPr>
            </w:pPr>
          </w:p>
        </w:tc>
        <w:tc>
          <w:tcPr>
            <w:tcW w:w="80" w:type="dxa"/>
            <w:vAlign w:val="bottom"/>
            <w:tcBorders>
              <w:bottom w:val="single" w:sz="8" w:color="407CCA"/>
            </w:tcBorders>
          </w:tcPr>
          <w:p>
            <w:pPr>
              <w:spacing w:after="0" w:line="20" w:lineRule="exact"/>
              <w:rPr>
                <w:sz w:val="1"/>
                <w:szCs w:val="1"/>
                <w:color w:val="auto"/>
              </w:rPr>
            </w:pPr>
          </w:p>
        </w:tc>
        <w:tc>
          <w:tcPr>
            <w:tcW w:w="60" w:type="dxa"/>
            <w:vAlign w:val="bottom"/>
            <w:tcBorders>
              <w:bottom w:val="single" w:sz="8" w:color="407CCA"/>
            </w:tcBorders>
          </w:tcPr>
          <w:p>
            <w:pPr>
              <w:spacing w:after="0" w:line="20" w:lineRule="exact"/>
              <w:rPr>
                <w:sz w:val="1"/>
                <w:szCs w:val="1"/>
                <w:color w:val="auto"/>
              </w:rPr>
            </w:pPr>
          </w:p>
        </w:tc>
        <w:tc>
          <w:tcPr>
            <w:tcW w:w="320" w:type="dxa"/>
            <w:vAlign w:val="bottom"/>
            <w:tcBorders>
              <w:bottom w:val="single" w:sz="8" w:color="407CCA"/>
            </w:tcBorders>
          </w:tcPr>
          <w:p>
            <w:pPr>
              <w:spacing w:after="0" w:line="20" w:lineRule="exact"/>
              <w:rPr>
                <w:sz w:val="1"/>
                <w:szCs w:val="1"/>
                <w:color w:val="auto"/>
              </w:rPr>
            </w:pPr>
          </w:p>
        </w:tc>
        <w:tc>
          <w:tcPr>
            <w:tcW w:w="400" w:type="dxa"/>
            <w:vAlign w:val="bottom"/>
            <w:tcBorders>
              <w:bottom w:val="single" w:sz="8" w:color="407CCA"/>
            </w:tcBorders>
          </w:tcPr>
          <w:p>
            <w:pPr>
              <w:spacing w:after="0" w:line="20" w:lineRule="exact"/>
              <w:rPr>
                <w:sz w:val="1"/>
                <w:szCs w:val="1"/>
                <w:color w:val="auto"/>
              </w:rPr>
            </w:pPr>
          </w:p>
        </w:tc>
        <w:tc>
          <w:tcPr>
            <w:tcW w:w="4740" w:type="dxa"/>
            <w:vAlign w:val="bottom"/>
            <w:tcBorders>
              <w:bottom w:val="single" w:sz="8" w:color="407CCA"/>
            </w:tcBorders>
          </w:tcPr>
          <w:p>
            <w:pPr>
              <w:spacing w:after="0" w:line="20" w:lineRule="exact"/>
              <w:rPr>
                <w:sz w:val="1"/>
                <w:szCs w:val="1"/>
                <w:color w:val="auto"/>
              </w:rPr>
            </w:pPr>
          </w:p>
        </w:tc>
      </w:tr>
    </w:tbl>
    <w:p>
      <w:pPr>
        <w:spacing w:after="0" w:line="200" w:lineRule="exact"/>
        <w:rPr>
          <w:sz w:val="20"/>
          <w:szCs w:val="20"/>
          <w:color w:val="auto"/>
        </w:rPr>
      </w:pPr>
    </w:p>
    <w:p>
      <w:pPr>
        <w:spacing w:after="0" w:line="240"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viii</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sectPr>
      </w:pPr>
    </w:p>
    <w:bookmarkStart w:id="10" w:name="page11"/>
    <w:bookmarkEnd w:id="1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86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407CCA"/>
        </w:rPr>
        <w:t>BOARD AND GOVERNANCE MATTERS</w:t>
      </w:r>
    </w:p>
    <w:p>
      <w:pPr>
        <w:spacing w:after="0" w:line="192" w:lineRule="exact"/>
        <w:rPr>
          <w:sz w:val="20"/>
          <w:szCs w:val="20"/>
          <w:color w:val="auto"/>
        </w:rPr>
      </w:pPr>
    </w:p>
    <w:p>
      <w:pPr>
        <w:ind w:right="300" w:firstLine="648"/>
        <w:spacing w:after="0" w:line="235" w:lineRule="auto"/>
        <w:rPr>
          <w:sz w:val="20"/>
          <w:szCs w:val="20"/>
          <w:color w:val="auto"/>
        </w:rPr>
      </w:pPr>
      <w:r>
        <w:rPr>
          <w:rFonts w:ascii="Arial" w:cs="Arial" w:eastAsia="Arial" w:hAnsi="Arial"/>
          <w:sz w:val="18"/>
          <w:szCs w:val="18"/>
          <w:color w:val="auto"/>
        </w:rPr>
        <w:t>Our Board is currently comprised of seven independent directors, our Executive Chair, and our CEO. The following table sets forth the current members of our Board and their committee membership:</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5780" w:type="dxa"/>
            <w:vAlign w:val="bottom"/>
            <w:tcBorders>
              <w:top w:val="single" w:sz="8" w:color="304963"/>
            </w:tcBorders>
            <w:vMerge w:val="restart"/>
          </w:tcPr>
          <w:p>
            <w:pPr>
              <w:ind w:left="120"/>
              <w:spacing w:after="0"/>
              <w:rPr>
                <w:sz w:val="20"/>
                <w:szCs w:val="20"/>
                <w:color w:val="auto"/>
              </w:rPr>
            </w:pPr>
            <w:r>
              <w:rPr>
                <w:rFonts w:ascii="Arial" w:cs="Arial" w:eastAsia="Arial" w:hAnsi="Arial"/>
                <w:sz w:val="18"/>
                <w:szCs w:val="18"/>
                <w:b w:val="1"/>
                <w:bCs w:val="1"/>
                <w:color w:val="auto"/>
              </w:rPr>
              <w:t>Name</w:t>
            </w:r>
          </w:p>
        </w:tc>
        <w:tc>
          <w:tcPr>
            <w:tcW w:w="2060" w:type="dxa"/>
            <w:vAlign w:val="bottom"/>
            <w:tcBorders>
              <w:top w:val="single" w:sz="8" w:color="304963"/>
            </w:tcBorders>
          </w:tcPr>
          <w:p>
            <w:pPr>
              <w:spacing w:after="0"/>
              <w:rPr>
                <w:sz w:val="12"/>
                <w:szCs w:val="12"/>
                <w:color w:val="auto"/>
              </w:rPr>
            </w:pPr>
          </w:p>
        </w:tc>
        <w:tc>
          <w:tcPr>
            <w:tcW w:w="860" w:type="dxa"/>
            <w:vAlign w:val="bottom"/>
            <w:tcBorders>
              <w:top w:val="single" w:sz="8" w:color="304963"/>
            </w:tcBorders>
          </w:tcPr>
          <w:p>
            <w:pPr>
              <w:spacing w:after="0"/>
              <w:rPr>
                <w:sz w:val="12"/>
                <w:szCs w:val="12"/>
                <w:color w:val="auto"/>
              </w:rPr>
            </w:pPr>
          </w:p>
        </w:tc>
        <w:tc>
          <w:tcPr>
            <w:tcW w:w="780" w:type="dxa"/>
            <w:vAlign w:val="bottom"/>
            <w:tcBorders>
              <w:top w:val="single" w:sz="8" w:color="304963"/>
            </w:tcBorders>
          </w:tcPr>
          <w:p>
            <w:pPr>
              <w:spacing w:after="0"/>
              <w:rPr>
                <w:sz w:val="12"/>
                <w:szCs w:val="12"/>
                <w:color w:val="auto"/>
              </w:rPr>
            </w:pPr>
          </w:p>
        </w:tc>
        <w:tc>
          <w:tcPr>
            <w:tcW w:w="1760" w:type="dxa"/>
            <w:vAlign w:val="bottom"/>
            <w:tcBorders>
              <w:top w:val="single" w:sz="8" w:color="304963"/>
            </w:tcBorders>
          </w:tcPr>
          <w:p>
            <w:pPr>
              <w:jc w:val="center"/>
              <w:spacing w:after="0" w:line="144" w:lineRule="exact"/>
              <w:rPr>
                <w:sz w:val="20"/>
                <w:szCs w:val="20"/>
                <w:color w:val="auto"/>
              </w:rPr>
            </w:pPr>
            <w:r>
              <w:rPr>
                <w:rFonts w:ascii="Arial" w:cs="Arial" w:eastAsia="Arial" w:hAnsi="Arial"/>
                <w:sz w:val="13"/>
                <w:szCs w:val="13"/>
                <w:b w:val="1"/>
                <w:bCs w:val="1"/>
                <w:color w:val="auto"/>
                <w:w w:val="87"/>
              </w:rPr>
              <w:t>Compensation &amp;</w:t>
            </w:r>
          </w:p>
        </w:tc>
        <w:tc>
          <w:tcPr>
            <w:tcW w:w="0" w:type="dxa"/>
            <w:vAlign w:val="bottom"/>
          </w:tcPr>
          <w:p>
            <w:pPr>
              <w:spacing w:after="0"/>
              <w:rPr>
                <w:sz w:val="1"/>
                <w:szCs w:val="1"/>
                <w:color w:val="auto"/>
              </w:rPr>
            </w:pPr>
          </w:p>
        </w:tc>
      </w:tr>
      <w:tr>
        <w:trPr>
          <w:trHeight w:val="194"/>
        </w:trPr>
        <w:tc>
          <w:tcPr>
            <w:tcW w:w="5780" w:type="dxa"/>
            <w:vAlign w:val="bottom"/>
            <w:tcBorders>
              <w:bottom w:val="single" w:sz="8" w:color="auto"/>
            </w:tcBorders>
            <w:vMerge w:val="continue"/>
          </w:tcPr>
          <w:p>
            <w:pPr>
              <w:spacing w:after="0"/>
              <w:rPr>
                <w:sz w:val="16"/>
                <w:szCs w:val="16"/>
                <w:color w:val="auto"/>
              </w:rPr>
            </w:pPr>
          </w:p>
        </w:tc>
        <w:tc>
          <w:tcPr>
            <w:tcW w:w="2060" w:type="dxa"/>
            <w:vAlign w:val="bottom"/>
            <w:tcBorders>
              <w:bottom w:val="single" w:sz="8" w:color="auto"/>
            </w:tcBorders>
          </w:tcPr>
          <w:p>
            <w:pPr>
              <w:jc w:val="center"/>
              <w:ind w:left="853"/>
              <w:spacing w:after="0"/>
              <w:rPr>
                <w:sz w:val="20"/>
                <w:szCs w:val="20"/>
                <w:color w:val="auto"/>
              </w:rPr>
            </w:pPr>
            <w:r>
              <w:rPr>
                <w:rFonts w:ascii="Arial" w:cs="Arial" w:eastAsia="Arial" w:hAnsi="Arial"/>
                <w:sz w:val="13"/>
                <w:szCs w:val="13"/>
                <w:b w:val="1"/>
                <w:bCs w:val="1"/>
                <w:color w:val="auto"/>
                <w:w w:val="86"/>
              </w:rPr>
              <w:t>Director Since</w:t>
            </w:r>
          </w:p>
        </w:tc>
        <w:tc>
          <w:tcPr>
            <w:tcW w:w="8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78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93"/>
              </w:rPr>
              <w:t xml:space="preserve">Audit </w:t>
            </w:r>
            <w:r>
              <w:rPr>
                <w:rFonts w:ascii="Arial" w:cs="Arial" w:eastAsia="Arial" w:hAnsi="Arial"/>
                <w:sz w:val="7"/>
                <w:szCs w:val="7"/>
                <w:b w:val="1"/>
                <w:bCs w:val="1"/>
                <w:color w:val="auto"/>
                <w:w w:val="93"/>
              </w:rPr>
              <w:t>1</w:t>
            </w:r>
          </w:p>
        </w:tc>
        <w:tc>
          <w:tcPr>
            <w:tcW w:w="17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7"/>
              </w:rPr>
              <w:t xml:space="preserve">Corporate Governance </w:t>
            </w:r>
            <w:r>
              <w:rPr>
                <w:rFonts w:ascii="Arial" w:cs="Arial" w:eastAsia="Arial" w:hAnsi="Arial"/>
                <w:sz w:val="7"/>
                <w:szCs w:val="7"/>
                <w:b w:val="1"/>
                <w:bCs w:val="1"/>
                <w:color w:val="auto"/>
                <w:w w:val="87"/>
              </w:rPr>
              <w:t>2</w:t>
            </w:r>
          </w:p>
        </w:tc>
        <w:tc>
          <w:tcPr>
            <w:tcW w:w="0" w:type="dxa"/>
            <w:vAlign w:val="bottom"/>
          </w:tcPr>
          <w:p>
            <w:pPr>
              <w:spacing w:after="0"/>
              <w:rPr>
                <w:sz w:val="1"/>
                <w:szCs w:val="1"/>
                <w:color w:val="auto"/>
              </w:rPr>
            </w:pPr>
          </w:p>
        </w:tc>
      </w:tr>
      <w:tr>
        <w:trPr>
          <w:trHeight w:val="324"/>
        </w:trPr>
        <w:tc>
          <w:tcPr>
            <w:tcW w:w="5780" w:type="dxa"/>
            <w:vAlign w:val="bottom"/>
          </w:tcPr>
          <w:p>
            <w:pPr>
              <w:ind w:left="180"/>
              <w:spacing w:after="0"/>
              <w:rPr>
                <w:sz w:val="20"/>
                <w:szCs w:val="20"/>
                <w:color w:val="auto"/>
              </w:rPr>
            </w:pPr>
            <w:r>
              <w:rPr>
                <w:rFonts w:ascii="Arial" w:cs="Arial" w:eastAsia="Arial" w:hAnsi="Arial"/>
                <w:sz w:val="18"/>
                <w:szCs w:val="18"/>
                <w:color w:val="auto"/>
              </w:rPr>
              <w:t>Donna J. Blank*</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2018</w:t>
            </w:r>
          </w:p>
        </w:tc>
        <w:tc>
          <w:tcPr>
            <w:tcW w:w="86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78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1"/>
        </w:trPr>
        <w:tc>
          <w:tcPr>
            <w:tcW w:w="5780" w:type="dxa"/>
            <w:vAlign w:val="bottom"/>
          </w:tcPr>
          <w:p>
            <w:pPr>
              <w:ind w:left="180"/>
              <w:spacing w:after="0"/>
              <w:rPr>
                <w:sz w:val="20"/>
                <w:szCs w:val="20"/>
                <w:color w:val="auto"/>
              </w:rPr>
            </w:pPr>
            <w:r>
              <w:rPr>
                <w:rFonts w:ascii="Arial" w:cs="Arial" w:eastAsia="Arial" w:hAnsi="Arial"/>
                <w:sz w:val="18"/>
                <w:szCs w:val="18"/>
                <w:color w:val="auto"/>
              </w:rPr>
              <w:t>Morris A. Davis*</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2008</w:t>
            </w:r>
          </w:p>
        </w:tc>
        <w:tc>
          <w:tcPr>
            <w:tcW w:w="8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76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311"/>
        </w:trPr>
        <w:tc>
          <w:tcPr>
            <w:tcW w:w="5780" w:type="dxa"/>
            <w:vAlign w:val="bottom"/>
          </w:tcPr>
          <w:p>
            <w:pPr>
              <w:ind w:left="180"/>
              <w:spacing w:after="0"/>
              <w:rPr>
                <w:sz w:val="20"/>
                <w:szCs w:val="20"/>
                <w:color w:val="auto"/>
              </w:rPr>
            </w:pPr>
            <w:r>
              <w:rPr>
                <w:rFonts w:ascii="Arial" w:cs="Arial" w:eastAsia="Arial" w:hAnsi="Arial"/>
                <w:sz w:val="18"/>
                <w:szCs w:val="18"/>
                <w:color w:val="auto"/>
              </w:rPr>
              <w:t>Peter J. Federico (Chief Executive Officer)</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2021</w:t>
            </w:r>
          </w:p>
        </w:tc>
        <w:tc>
          <w:tcPr>
            <w:tcW w:w="8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5780" w:type="dxa"/>
            <w:vAlign w:val="bottom"/>
          </w:tcPr>
          <w:p>
            <w:pPr>
              <w:ind w:left="180"/>
              <w:spacing w:after="0"/>
              <w:rPr>
                <w:sz w:val="20"/>
                <w:szCs w:val="20"/>
                <w:color w:val="auto"/>
              </w:rPr>
            </w:pPr>
            <w:r>
              <w:rPr>
                <w:rFonts w:ascii="Arial" w:cs="Arial" w:eastAsia="Arial" w:hAnsi="Arial"/>
                <w:sz w:val="18"/>
                <w:szCs w:val="18"/>
                <w:color w:val="auto"/>
              </w:rPr>
              <w:t>John D. Fisk*</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2019</w:t>
            </w:r>
          </w:p>
        </w:tc>
        <w:tc>
          <w:tcPr>
            <w:tcW w:w="8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76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391"/>
        </w:trPr>
        <w:tc>
          <w:tcPr>
            <w:tcW w:w="5780" w:type="dxa"/>
            <w:vAlign w:val="bottom"/>
          </w:tcPr>
          <w:p>
            <w:pPr>
              <w:ind w:left="180"/>
              <w:spacing w:after="0"/>
              <w:rPr>
                <w:sz w:val="20"/>
                <w:szCs w:val="20"/>
                <w:color w:val="auto"/>
              </w:rPr>
            </w:pPr>
            <w:r>
              <w:rPr>
                <w:rFonts w:ascii="Arial" w:cs="Arial" w:eastAsia="Arial" w:hAnsi="Arial"/>
                <w:sz w:val="18"/>
                <w:szCs w:val="18"/>
                <w:color w:val="auto"/>
              </w:rPr>
              <w:t>Andrew A. Johnson, Jr.*</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2021</w:t>
            </w:r>
          </w:p>
        </w:tc>
        <w:tc>
          <w:tcPr>
            <w:tcW w:w="860" w:type="dxa"/>
            <w:vAlign w:val="bottom"/>
          </w:tcPr>
          <w:p>
            <w:pPr>
              <w:spacing w:after="0"/>
              <w:rPr>
                <w:sz w:val="24"/>
                <w:szCs w:val="24"/>
                <w:color w:val="auto"/>
              </w:rPr>
            </w:pPr>
          </w:p>
        </w:tc>
        <w:tc>
          <w:tcPr>
            <w:tcW w:w="7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780" w:type="dxa"/>
            <w:vAlign w:val="bottom"/>
          </w:tcPr>
          <w:p>
            <w:pPr>
              <w:ind w:left="180"/>
              <w:spacing w:after="0"/>
              <w:rPr>
                <w:sz w:val="20"/>
                <w:szCs w:val="20"/>
                <w:color w:val="auto"/>
              </w:rPr>
            </w:pPr>
            <w:r>
              <w:rPr>
                <w:rFonts w:ascii="Arial" w:cs="Arial" w:eastAsia="Arial" w:hAnsi="Arial"/>
                <w:sz w:val="18"/>
                <w:szCs w:val="18"/>
                <w:color w:val="auto"/>
              </w:rPr>
              <w:t>Gary D. Kain (Executive Chair)</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2016</w:t>
            </w:r>
          </w:p>
        </w:tc>
        <w:tc>
          <w:tcPr>
            <w:tcW w:w="86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78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780" w:type="dxa"/>
            <w:vAlign w:val="bottom"/>
          </w:tcPr>
          <w:p>
            <w:pPr>
              <w:ind w:left="180"/>
              <w:spacing w:after="0"/>
              <w:rPr>
                <w:sz w:val="20"/>
                <w:szCs w:val="20"/>
                <w:color w:val="auto"/>
              </w:rPr>
            </w:pPr>
            <w:r>
              <w:rPr>
                <w:rFonts w:ascii="Arial" w:cs="Arial" w:eastAsia="Arial" w:hAnsi="Arial"/>
                <w:sz w:val="18"/>
                <w:szCs w:val="18"/>
                <w:color w:val="auto"/>
              </w:rPr>
              <w:t>Prue B. Larocca* (Lead Independent Director and Vice Chair)</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2013</w:t>
            </w:r>
          </w:p>
        </w:tc>
        <w:tc>
          <w:tcPr>
            <w:tcW w:w="86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7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76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391"/>
        </w:trPr>
        <w:tc>
          <w:tcPr>
            <w:tcW w:w="5780" w:type="dxa"/>
            <w:vAlign w:val="bottom"/>
          </w:tcPr>
          <w:p>
            <w:pPr>
              <w:ind w:left="180"/>
              <w:spacing w:after="0"/>
              <w:rPr>
                <w:sz w:val="20"/>
                <w:szCs w:val="20"/>
                <w:color w:val="auto"/>
              </w:rPr>
            </w:pPr>
            <w:r>
              <w:rPr>
                <w:rFonts w:ascii="Arial" w:cs="Arial" w:eastAsia="Arial" w:hAnsi="Arial"/>
                <w:sz w:val="18"/>
                <w:szCs w:val="18"/>
                <w:color w:val="auto"/>
              </w:rPr>
              <w:t>Paul E. Mullings*</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2016</w:t>
            </w:r>
          </w:p>
        </w:tc>
        <w:tc>
          <w:tcPr>
            <w:tcW w:w="8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76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392"/>
        </w:trPr>
        <w:tc>
          <w:tcPr>
            <w:tcW w:w="5780" w:type="dxa"/>
            <w:vAlign w:val="bottom"/>
          </w:tcPr>
          <w:p>
            <w:pPr>
              <w:ind w:left="180"/>
              <w:spacing w:after="0"/>
              <w:rPr>
                <w:sz w:val="20"/>
                <w:szCs w:val="20"/>
                <w:color w:val="auto"/>
              </w:rPr>
            </w:pPr>
            <w:r>
              <w:rPr>
                <w:rFonts w:ascii="Arial" w:cs="Arial" w:eastAsia="Arial" w:hAnsi="Arial"/>
                <w:sz w:val="18"/>
                <w:szCs w:val="18"/>
                <w:color w:val="auto"/>
              </w:rPr>
              <w:t>Frances R. Spark*</w:t>
            </w:r>
          </w:p>
        </w:tc>
        <w:tc>
          <w:tcPr>
            <w:tcW w:w="2060" w:type="dxa"/>
            <w:vAlign w:val="bottom"/>
          </w:tcPr>
          <w:p>
            <w:pPr>
              <w:jc w:val="center"/>
              <w:ind w:left="853"/>
              <w:spacing w:after="0"/>
              <w:rPr>
                <w:sz w:val="20"/>
                <w:szCs w:val="20"/>
                <w:color w:val="auto"/>
              </w:rPr>
            </w:pPr>
            <w:r>
              <w:rPr>
                <w:rFonts w:ascii="Arial" w:cs="Arial" w:eastAsia="Arial" w:hAnsi="Arial"/>
                <w:sz w:val="18"/>
                <w:szCs w:val="18"/>
                <w:color w:val="auto"/>
                <w:w w:val="89"/>
              </w:rPr>
              <w:t>2019</w:t>
            </w:r>
          </w:p>
        </w:tc>
        <w:tc>
          <w:tcPr>
            <w:tcW w:w="860" w:type="dxa"/>
            <w:vAlign w:val="bottom"/>
          </w:tcPr>
          <w:p>
            <w:pPr>
              <w:spacing w:after="0"/>
              <w:rPr>
                <w:sz w:val="24"/>
                <w:szCs w:val="24"/>
                <w:color w:val="auto"/>
              </w:rPr>
            </w:pPr>
          </w:p>
        </w:tc>
        <w:tc>
          <w:tcPr>
            <w:tcW w:w="7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38735</wp:posOffset>
            </wp:positionV>
            <wp:extent cx="713232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16" w:lineRule="exact"/>
        <w:rPr>
          <w:sz w:val="20"/>
          <w:szCs w:val="20"/>
          <w:color w:val="auto"/>
        </w:rPr>
      </w:pPr>
    </w:p>
    <w:p>
      <w:pPr>
        <w:ind w:left="80"/>
        <w:spacing w:after="0"/>
        <w:tabs>
          <w:tab w:leader="none" w:pos="280" w:val="left"/>
        </w:tabs>
        <w:rPr>
          <w:sz w:val="20"/>
          <w:szCs w:val="20"/>
          <w:color w:val="auto"/>
        </w:rPr>
      </w:pPr>
      <w:r>
        <w:rPr>
          <w:rFonts w:ascii="Arial" w:cs="Arial" w:eastAsia="Arial" w:hAnsi="Arial"/>
          <w:sz w:val="14"/>
          <w:szCs w:val="14"/>
          <w:color w:val="auto"/>
        </w:rPr>
        <w:t>*</w:t>
      </w:r>
      <w:r>
        <w:rPr>
          <w:sz w:val="20"/>
          <w:szCs w:val="20"/>
          <w:color w:val="auto"/>
        </w:rPr>
        <w:tab/>
      </w:r>
      <w:r>
        <w:rPr>
          <w:rFonts w:ascii="Arial" w:cs="Arial" w:eastAsia="Arial" w:hAnsi="Arial"/>
          <w:sz w:val="13"/>
          <w:szCs w:val="13"/>
          <w:color w:val="auto"/>
        </w:rPr>
        <w:t>Director is “independent” as defined in Rule 5605(a)(2) of The Nasdaq Listing Rules (the “Nasdaq rules”).</w:t>
      </w:r>
    </w:p>
    <w:p>
      <w:pPr>
        <w:ind w:left="340" w:right="60" w:hanging="251"/>
        <w:spacing w:after="0" w:line="214" w:lineRule="auto"/>
        <w:tabs>
          <w:tab w:leader="none" w:pos="349" w:val="left"/>
        </w:tabs>
        <w:numPr>
          <w:ilvl w:val="0"/>
          <w:numId w:val="5"/>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(the “Exchange Act”). The Board has determined that Mss. Blank and Spark are each an “audit committee financial expert” as defined in Item 407 of Regulation S-K under the Securities Act of 1933 (the “Securities Act”).</w:t>
      </w:r>
    </w:p>
    <w:p>
      <w:pPr>
        <w:spacing w:after="0" w:line="1" w:lineRule="exact"/>
        <w:rPr>
          <w:rFonts w:ascii="Arial" w:cs="Arial" w:eastAsia="Arial" w:hAnsi="Arial"/>
          <w:sz w:val="14"/>
          <w:szCs w:val="14"/>
          <w:color w:val="auto"/>
        </w:rPr>
      </w:pPr>
    </w:p>
    <w:p>
      <w:pPr>
        <w:ind w:left="340" w:hanging="251"/>
        <w:spacing w:after="0"/>
        <w:tabs>
          <w:tab w:leader="none" w:pos="340" w:val="left"/>
        </w:tabs>
        <w:numPr>
          <w:ilvl w:val="0"/>
          <w:numId w:val="5"/>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Leadership Structure</w:t>
      </w:r>
    </w:p>
    <w:p>
      <w:pPr>
        <w:spacing w:after="0" w:line="94" w:lineRule="exact"/>
        <w:rPr>
          <w:sz w:val="20"/>
          <w:szCs w:val="20"/>
          <w:color w:val="auto"/>
        </w:rPr>
      </w:pPr>
    </w:p>
    <w:p>
      <w:pPr>
        <w:ind w:right="160" w:firstLine="648"/>
        <w:spacing w:after="0" w:line="271" w:lineRule="auto"/>
        <w:rPr>
          <w:sz w:val="20"/>
          <w:szCs w:val="20"/>
          <w:color w:val="auto"/>
        </w:rPr>
      </w:pPr>
      <w:r>
        <w:rPr>
          <w:rFonts w:ascii="Arial" w:cs="Arial" w:eastAsia="Arial" w:hAnsi="Arial"/>
          <w:sz w:val="16"/>
          <w:szCs w:val="16"/>
          <w:color w:val="auto"/>
        </w:rPr>
        <w:t>We believe that objective, independent oversight of management is central to our corporate governance, as well as execution upon our strategic objectives and alignment with the long-term interests of our stockholders. The Board believes that the optimal leadership structure for AGNC may evolve over time as a result of a number of factors, including changes in our strategy, market conditions, and the composition of our Board and management personnel. Accordingly, the Board regularly evaluates the most effective leadership structure for the Company. The Board believes that separating the positions of Chair and Chief Executive Officer is the best corporate governance leadership structure for us at this time and that independent directors should play a significant role in Board leadership. Following the transition of our executive leadership in July 2021, Mr. Federico serves as our Chief Executive Officer; Mr. Kain serves as Executive Chair of the Board, and Ms. Larocca serves as Vice Chair and Lead Independent Director.</w:t>
      </w:r>
    </w:p>
    <w:p>
      <w:pPr>
        <w:spacing w:after="0" w:line="166" w:lineRule="exact"/>
        <w:rPr>
          <w:sz w:val="20"/>
          <w:szCs w:val="20"/>
          <w:color w:val="auto"/>
        </w:rPr>
      </w:pPr>
    </w:p>
    <w:p>
      <w:pPr>
        <w:ind w:right="40" w:firstLine="648"/>
        <w:spacing w:after="0" w:line="276" w:lineRule="auto"/>
        <w:rPr>
          <w:sz w:val="20"/>
          <w:szCs w:val="20"/>
          <w:color w:val="auto"/>
        </w:rPr>
      </w:pPr>
      <w:r>
        <w:rPr>
          <w:rFonts w:ascii="Arial" w:cs="Arial" w:eastAsia="Arial" w:hAnsi="Arial"/>
          <w:sz w:val="16"/>
          <w:szCs w:val="16"/>
          <w:color w:val="auto"/>
        </w:rPr>
        <w:t>Ms. Larocca, in her role as Vice Chair and Lead Independent Director, is empowered with robust, well-defined duties and actively collaborates with our Chief Executive Officer and Executive Chair on a wide variety of issues. In his role as Executive Chair, Mr. Kain serves as a resource to our Chief Executive Officer and Chief Investment Officer and consults with the Company’s senior management on significant strategic decisions and business plan execution, including investment strategies and portfolio risk management. He and Ms. Larocca collaborate closely to shape and implement the Board’s agenda and to facilitate the oversight of AGNC's operations and strategy. The chart below highlights the principal responsibilities of our Executive Chair and Lead Independent Director and their collaboration with other members of the Board and AGNC’s management team.</w:t>
      </w: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182"/>
        </w:trPr>
        <w:tc>
          <w:tcPr>
            <w:tcW w:w="10980" w:type="dxa"/>
            <w:vAlign w:val="bottom"/>
          </w:tcPr>
          <w:p>
            <w:pPr>
              <w:ind w:left="7940"/>
              <w:spacing w:after="0"/>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tc>
        <w:tc>
          <w:tcPr>
            <w:tcW w:w="260" w:type="dxa"/>
            <w:vAlign w:val="bottom"/>
          </w:tcPr>
          <w:p>
            <w:pPr>
              <w:jc w:val="right"/>
              <w:spacing w:after="0"/>
              <w:rPr>
                <w:sz w:val="20"/>
                <w:szCs w:val="20"/>
                <w:color w:val="auto"/>
              </w:rPr>
            </w:pPr>
            <w:r>
              <w:rPr>
                <w:rFonts w:ascii="Arial" w:cs="Arial" w:eastAsia="Arial" w:hAnsi="Arial"/>
                <w:sz w:val="14"/>
                <w:szCs w:val="14"/>
                <w:color w:val="407CCA"/>
              </w:rPr>
              <w:t>1</w:t>
            </w:r>
          </w:p>
        </w:tc>
      </w:tr>
      <w:tr>
        <w:trPr>
          <w:trHeight w:val="235"/>
        </w:trPr>
        <w:tc>
          <w:tcPr>
            <w:tcW w:w="10980" w:type="dxa"/>
            <w:vAlign w:val="bottom"/>
            <w:tcBorders>
              <w:bottom w:val="single" w:sz="8" w:color="9A9A9A"/>
            </w:tcBorders>
          </w:tcPr>
          <w:p>
            <w:pPr>
              <w:spacing w:after="0"/>
              <w:rPr>
                <w:sz w:val="20"/>
                <w:szCs w:val="20"/>
                <w:color w:val="auto"/>
              </w:rPr>
            </w:pPr>
          </w:p>
        </w:tc>
        <w:tc>
          <w:tcPr>
            <w:tcW w:w="260" w:type="dxa"/>
            <w:vAlign w:val="bottom"/>
            <w:tcBorders>
              <w:bottom w:val="single" w:sz="8" w:color="9A9A9A"/>
            </w:tcBorders>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7115810</wp:posOffset>
            </wp:positionH>
            <wp:positionV relativeFrom="paragraph">
              <wp:posOffset>-29210</wp:posOffset>
            </wp:positionV>
            <wp:extent cx="33655" cy="425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11" w:name="page12"/>
    <w:bookmarkEnd w:id="1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407CCA"/>
        </w:rPr>
        <w:t>Responsibilities and Collaboration Among our Lead Independent Director and Executive Chair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31750</wp:posOffset>
            </wp:positionV>
            <wp:extent cx="713232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00"/>
          </w:cols>
          <w:pgMar w:left="320" w:top="108" w:right="379" w:bottom="1440" w:gutter="0" w:footer="0" w:header="0"/>
        </w:sectPr>
      </w:pPr>
    </w:p>
    <w:p>
      <w:pPr>
        <w:spacing w:after="0" w:line="100" w:lineRule="exact"/>
        <w:rPr>
          <w:sz w:val="20"/>
          <w:szCs w:val="20"/>
          <w:color w:val="auto"/>
        </w:rPr>
      </w:pPr>
    </w:p>
    <w:p>
      <w:pPr>
        <w:ind w:left="360"/>
        <w:spacing w:after="0"/>
        <w:rPr>
          <w:sz w:val="20"/>
          <w:szCs w:val="20"/>
          <w:color w:val="auto"/>
        </w:rPr>
      </w:pPr>
      <w:r>
        <w:rPr>
          <w:rFonts w:ascii="Arial" w:cs="Arial" w:eastAsia="Arial" w:hAnsi="Arial"/>
          <w:sz w:val="18"/>
          <w:szCs w:val="18"/>
          <w:b w:val="1"/>
          <w:bCs w:val="1"/>
          <w:color w:val="auto"/>
        </w:rPr>
        <w:t>Lead Independent Director and Vice Chair</w:t>
      </w:r>
    </w:p>
    <w:p>
      <w:pPr>
        <w:spacing w:after="0" w:line="27" w:lineRule="exact"/>
        <w:rPr>
          <w:sz w:val="20"/>
          <w:szCs w:val="20"/>
          <w:color w:val="auto"/>
        </w:rPr>
      </w:pPr>
    </w:p>
    <w:p>
      <w:pPr>
        <w:ind w:left="660" w:hanging="310"/>
        <w:spacing w:after="0"/>
        <w:tabs>
          <w:tab w:leader="none" w:pos="660" w:val="left"/>
        </w:tabs>
        <w:numPr>
          <w:ilvl w:val="0"/>
          <w:numId w:val="6"/>
        </w:numPr>
        <w:rPr>
          <w:rFonts w:ascii="Arial" w:cs="Arial" w:eastAsia="Arial" w:hAnsi="Arial"/>
          <w:sz w:val="18"/>
          <w:szCs w:val="18"/>
          <w:color w:val="auto"/>
        </w:rPr>
      </w:pPr>
      <w:r>
        <w:rPr>
          <w:rFonts w:ascii="Arial" w:cs="Arial" w:eastAsia="Arial" w:hAnsi="Arial"/>
          <w:sz w:val="18"/>
          <w:szCs w:val="18"/>
          <w:color w:val="auto"/>
        </w:rPr>
        <w:t>elected by and acts as leader of independent directors</w:t>
      </w:r>
    </w:p>
    <w:p>
      <w:pPr>
        <w:spacing w:after="0" w:line="75" w:lineRule="exact"/>
        <w:rPr>
          <w:rFonts w:ascii="Arial" w:cs="Arial" w:eastAsia="Arial" w:hAnsi="Arial"/>
          <w:sz w:val="18"/>
          <w:szCs w:val="18"/>
          <w:color w:val="auto"/>
        </w:rPr>
      </w:pPr>
    </w:p>
    <w:p>
      <w:pPr>
        <w:ind w:left="680" w:hanging="330"/>
        <w:spacing w:after="0" w:line="243" w:lineRule="auto"/>
        <w:tabs>
          <w:tab w:leader="none" w:pos="675" w:val="left"/>
        </w:tabs>
        <w:numPr>
          <w:ilvl w:val="0"/>
          <w:numId w:val="6"/>
        </w:numPr>
        <w:rPr>
          <w:rFonts w:ascii="Arial" w:cs="Arial" w:eastAsia="Arial" w:hAnsi="Arial"/>
          <w:sz w:val="17"/>
          <w:szCs w:val="17"/>
          <w:color w:val="auto"/>
        </w:rPr>
      </w:pPr>
      <w:r>
        <w:rPr>
          <w:rFonts w:ascii="Arial" w:cs="Arial" w:eastAsia="Arial" w:hAnsi="Arial"/>
          <w:sz w:val="17"/>
          <w:szCs w:val="17"/>
          <w:color w:val="auto"/>
        </w:rPr>
        <w:t>chairs meetings of the independent directors and the Executive Committee and chairs meetings of the Board of Directors when the Executive Chair is not present or is recused</w:t>
      </w:r>
    </w:p>
    <w:p>
      <w:pPr>
        <w:spacing w:after="0" w:line="20" w:lineRule="exact"/>
        <w:rPr>
          <w:sz w:val="20"/>
          <w:szCs w:val="20"/>
          <w:color w:val="auto"/>
        </w:rPr>
      </w:pPr>
      <w:r>
        <w:rPr>
          <w:sz w:val="20"/>
          <w:szCs w:val="20"/>
          <w:color w:val="auto"/>
        </w:rPr>
        <w:br w:type="column"/>
      </w:r>
    </w:p>
    <w:p>
      <w:pPr>
        <w:spacing w:after="0" w:line="80" w:lineRule="exact"/>
        <w:rPr>
          <w:sz w:val="20"/>
          <w:szCs w:val="20"/>
          <w:color w:val="auto"/>
        </w:rPr>
      </w:pPr>
    </w:p>
    <w:p>
      <w:pPr>
        <w:ind w:left="7"/>
        <w:spacing w:after="0"/>
        <w:rPr>
          <w:sz w:val="20"/>
          <w:szCs w:val="20"/>
          <w:color w:val="auto"/>
        </w:rPr>
      </w:pPr>
      <w:r>
        <w:rPr>
          <w:rFonts w:ascii="Arial" w:cs="Arial" w:eastAsia="Arial" w:hAnsi="Arial"/>
          <w:sz w:val="18"/>
          <w:szCs w:val="18"/>
          <w:b w:val="1"/>
          <w:bCs w:val="1"/>
          <w:color w:val="auto"/>
        </w:rPr>
        <w:t>Executive Chair</w:t>
      </w:r>
    </w:p>
    <w:p>
      <w:pPr>
        <w:spacing w:after="0" w:line="27" w:lineRule="exact"/>
        <w:rPr>
          <w:sz w:val="20"/>
          <w:szCs w:val="20"/>
          <w:color w:val="auto"/>
        </w:rPr>
      </w:pPr>
    </w:p>
    <w:p>
      <w:pPr>
        <w:ind w:left="327" w:hanging="327"/>
        <w:spacing w:after="0"/>
        <w:tabs>
          <w:tab w:leader="none" w:pos="327" w:val="left"/>
        </w:tabs>
        <w:numPr>
          <w:ilvl w:val="0"/>
          <w:numId w:val="7"/>
        </w:numPr>
        <w:rPr>
          <w:rFonts w:ascii="Arial" w:cs="Arial" w:eastAsia="Arial" w:hAnsi="Arial"/>
          <w:sz w:val="18"/>
          <w:szCs w:val="18"/>
          <w:color w:val="auto"/>
        </w:rPr>
      </w:pPr>
      <w:r>
        <w:rPr>
          <w:rFonts w:ascii="Arial" w:cs="Arial" w:eastAsia="Arial" w:hAnsi="Arial"/>
          <w:sz w:val="18"/>
          <w:szCs w:val="18"/>
          <w:color w:val="auto"/>
        </w:rPr>
        <w:t>elected by all directors</w:t>
      </w:r>
    </w:p>
    <w:p>
      <w:pPr>
        <w:spacing w:after="0" w:line="75" w:lineRule="exact"/>
        <w:rPr>
          <w:rFonts w:ascii="Arial" w:cs="Arial" w:eastAsia="Arial" w:hAnsi="Arial"/>
          <w:sz w:val="18"/>
          <w:szCs w:val="18"/>
          <w:color w:val="auto"/>
        </w:rPr>
      </w:pPr>
    </w:p>
    <w:p>
      <w:pPr>
        <w:ind w:left="327" w:hanging="327"/>
        <w:spacing w:after="0"/>
        <w:tabs>
          <w:tab w:leader="none" w:pos="327" w:val="left"/>
        </w:tabs>
        <w:numPr>
          <w:ilvl w:val="0"/>
          <w:numId w:val="7"/>
        </w:numPr>
        <w:rPr>
          <w:rFonts w:ascii="Arial" w:cs="Arial" w:eastAsia="Arial" w:hAnsi="Arial"/>
          <w:sz w:val="16"/>
          <w:szCs w:val="16"/>
          <w:color w:val="auto"/>
        </w:rPr>
      </w:pPr>
      <w:r>
        <w:rPr>
          <w:rFonts w:ascii="Arial" w:cs="Arial" w:eastAsia="Arial" w:hAnsi="Arial"/>
          <w:sz w:val="16"/>
          <w:szCs w:val="16"/>
          <w:color w:val="auto"/>
        </w:rPr>
        <w:t>chairs all regular and special meetings of the Board</w:t>
      </w:r>
    </w:p>
    <w:p>
      <w:pPr>
        <w:spacing w:after="0" w:line="99" w:lineRule="exact"/>
        <w:rPr>
          <w:rFonts w:ascii="Arial" w:cs="Arial" w:eastAsia="Arial" w:hAnsi="Arial"/>
          <w:sz w:val="16"/>
          <w:szCs w:val="16"/>
          <w:color w:val="auto"/>
        </w:rPr>
      </w:pPr>
    </w:p>
    <w:p>
      <w:pPr>
        <w:ind w:left="327" w:hanging="327"/>
        <w:spacing w:after="0"/>
        <w:tabs>
          <w:tab w:leader="none" w:pos="327" w:val="left"/>
        </w:tabs>
        <w:numPr>
          <w:ilvl w:val="0"/>
          <w:numId w:val="7"/>
        </w:numPr>
        <w:rPr>
          <w:rFonts w:ascii="Arial" w:cs="Arial" w:eastAsia="Arial" w:hAnsi="Arial"/>
          <w:sz w:val="18"/>
          <w:szCs w:val="18"/>
          <w:color w:val="auto"/>
        </w:rPr>
      </w:pPr>
      <w:r>
        <w:rPr>
          <w:rFonts w:ascii="Arial" w:cs="Arial" w:eastAsia="Arial" w:hAnsi="Arial"/>
          <w:sz w:val="18"/>
          <w:szCs w:val="18"/>
          <w:color w:val="auto"/>
        </w:rPr>
        <w:t>serves on the Executive Committee</w:t>
      </w:r>
    </w:p>
    <w:p>
      <w:pPr>
        <w:spacing w:after="0" w:line="104" w:lineRule="exact"/>
        <w:rPr>
          <w:sz w:val="20"/>
          <w:szCs w:val="20"/>
          <w:color w:val="auto"/>
        </w:rPr>
      </w:pPr>
    </w:p>
    <w:p>
      <w:pPr>
        <w:sectPr>
          <w:pgSz w:w="11900" w:h="16838" w:orient="portrait"/>
          <w:cols w:equalWidth="0" w:num="2">
            <w:col w:w="5500" w:space="533"/>
            <w:col w:w="5167"/>
          </w:cols>
          <w:pgMar w:left="320" w:top="108" w:right="379" w:bottom="1440" w:gutter="0" w:footer="0" w:header="0"/>
          <w:type w:val="continuous"/>
        </w:sectPr>
      </w:pPr>
    </w:p>
    <w:p>
      <w:pPr>
        <w:spacing w:after="0" w:line="53" w:lineRule="exact"/>
        <w:rPr>
          <w:sz w:val="20"/>
          <w:szCs w:val="20"/>
          <w:color w:val="auto"/>
        </w:rPr>
      </w:pPr>
    </w:p>
    <w:p>
      <w:pPr>
        <w:ind w:left="680" w:right="80" w:hanging="330"/>
        <w:spacing w:after="0" w:line="235" w:lineRule="auto"/>
        <w:tabs>
          <w:tab w:leader="none" w:pos="675" w:val="left"/>
        </w:tabs>
        <w:numPr>
          <w:ilvl w:val="0"/>
          <w:numId w:val="8"/>
        </w:numPr>
        <w:rPr>
          <w:rFonts w:ascii="Arial" w:cs="Arial" w:eastAsia="Arial" w:hAnsi="Arial"/>
          <w:sz w:val="18"/>
          <w:szCs w:val="18"/>
          <w:color w:val="auto"/>
        </w:rPr>
      </w:pPr>
      <w:r>
        <w:rPr>
          <w:rFonts w:ascii="Arial" w:cs="Arial" w:eastAsia="Arial" w:hAnsi="Arial"/>
          <w:sz w:val="18"/>
          <w:szCs w:val="18"/>
          <w:color w:val="auto"/>
        </w:rPr>
        <w:t>serves on all Board committees to facilitate support of committee chairs and coordination of committee work</w:t>
      </w:r>
    </w:p>
    <w:p>
      <w:pPr>
        <w:spacing w:after="0" w:line="67" w:lineRule="exact"/>
        <w:rPr>
          <w:rFonts w:ascii="Arial" w:cs="Arial" w:eastAsia="Arial" w:hAnsi="Arial"/>
          <w:sz w:val="18"/>
          <w:szCs w:val="18"/>
          <w:color w:val="auto"/>
        </w:rPr>
      </w:pPr>
    </w:p>
    <w:p>
      <w:pPr>
        <w:ind w:left="680" w:right="400" w:hanging="330"/>
        <w:spacing w:after="0" w:line="235" w:lineRule="auto"/>
        <w:tabs>
          <w:tab w:leader="none" w:pos="675" w:val="left"/>
        </w:tabs>
        <w:numPr>
          <w:ilvl w:val="0"/>
          <w:numId w:val="8"/>
        </w:numPr>
        <w:rPr>
          <w:rFonts w:ascii="Arial" w:cs="Arial" w:eastAsia="Arial" w:hAnsi="Arial"/>
          <w:sz w:val="18"/>
          <w:szCs w:val="18"/>
          <w:color w:val="auto"/>
        </w:rPr>
      </w:pPr>
      <w:r>
        <w:rPr>
          <w:rFonts w:ascii="Arial" w:cs="Arial" w:eastAsia="Arial" w:hAnsi="Arial"/>
          <w:sz w:val="18"/>
          <w:szCs w:val="18"/>
          <w:color w:val="auto"/>
        </w:rPr>
        <w:t>able to call meetings of the independent directors and special meetings of the Board of Directors</w:t>
      </w:r>
    </w:p>
    <w:p>
      <w:pPr>
        <w:spacing w:after="0" w:line="53" w:lineRule="exact"/>
        <w:rPr>
          <w:rFonts w:ascii="Arial" w:cs="Arial" w:eastAsia="Arial" w:hAnsi="Arial"/>
          <w:sz w:val="18"/>
          <w:szCs w:val="18"/>
          <w:color w:val="auto"/>
        </w:rPr>
      </w:pPr>
    </w:p>
    <w:p>
      <w:pPr>
        <w:jc w:val="both"/>
        <w:ind w:left="680" w:hanging="330"/>
        <w:spacing w:after="0" w:line="267" w:lineRule="auto"/>
        <w:tabs>
          <w:tab w:leader="none" w:pos="675" w:val="left"/>
        </w:tabs>
        <w:numPr>
          <w:ilvl w:val="0"/>
          <w:numId w:val="8"/>
        </w:numPr>
        <w:rPr>
          <w:rFonts w:ascii="Arial" w:cs="Arial" w:eastAsia="Arial" w:hAnsi="Arial"/>
          <w:sz w:val="16"/>
          <w:szCs w:val="16"/>
          <w:color w:val="auto"/>
        </w:rPr>
      </w:pPr>
      <w:r>
        <w:rPr>
          <w:rFonts w:ascii="Arial" w:cs="Arial" w:eastAsia="Arial" w:hAnsi="Arial"/>
          <w:sz w:val="16"/>
          <w:szCs w:val="16"/>
          <w:color w:val="auto"/>
        </w:rPr>
        <w:t>collaborates with the Executive Chair, the CEO, the Secretary, and committee chairs to approve scheduling of meetings, development of agendas, and review the content and distribution of materials</w:t>
      </w:r>
    </w:p>
    <w:p>
      <w:pPr>
        <w:spacing w:after="0" w:line="33" w:lineRule="exact"/>
        <w:rPr>
          <w:rFonts w:ascii="Arial" w:cs="Arial" w:eastAsia="Arial" w:hAnsi="Arial"/>
          <w:sz w:val="16"/>
          <w:szCs w:val="16"/>
          <w:color w:val="auto"/>
        </w:rPr>
      </w:pPr>
    </w:p>
    <w:p>
      <w:pPr>
        <w:ind w:left="680" w:right="220" w:hanging="330"/>
        <w:spacing w:after="0" w:line="229" w:lineRule="auto"/>
        <w:tabs>
          <w:tab w:leader="none" w:pos="675" w:val="left"/>
        </w:tabs>
        <w:numPr>
          <w:ilvl w:val="0"/>
          <w:numId w:val="8"/>
        </w:numPr>
        <w:rPr>
          <w:rFonts w:ascii="Arial" w:cs="Arial" w:eastAsia="Arial" w:hAnsi="Arial"/>
          <w:sz w:val="18"/>
          <w:szCs w:val="18"/>
          <w:color w:val="auto"/>
        </w:rPr>
      </w:pPr>
      <w:r>
        <w:rPr>
          <w:rFonts w:ascii="Arial" w:cs="Arial" w:eastAsia="Arial" w:hAnsi="Arial"/>
          <w:sz w:val="18"/>
          <w:szCs w:val="18"/>
          <w:color w:val="auto"/>
        </w:rPr>
        <w:t>serves as a liaison between management and the independent directors and ensures that the information needs of independent directors are satisfied</w:t>
      </w:r>
    </w:p>
    <w:p>
      <w:pPr>
        <w:spacing w:after="0" w:line="55" w:lineRule="exact"/>
        <w:rPr>
          <w:rFonts w:ascii="Arial" w:cs="Arial" w:eastAsia="Arial" w:hAnsi="Arial"/>
          <w:sz w:val="18"/>
          <w:szCs w:val="18"/>
          <w:color w:val="auto"/>
        </w:rPr>
      </w:pPr>
    </w:p>
    <w:p>
      <w:pPr>
        <w:ind w:left="680" w:right="60" w:hanging="330"/>
        <w:spacing w:after="0" w:line="229" w:lineRule="auto"/>
        <w:tabs>
          <w:tab w:leader="none" w:pos="675" w:val="left"/>
        </w:tabs>
        <w:numPr>
          <w:ilvl w:val="0"/>
          <w:numId w:val="8"/>
        </w:numPr>
        <w:rPr>
          <w:rFonts w:ascii="Arial" w:cs="Arial" w:eastAsia="Arial" w:hAnsi="Arial"/>
          <w:sz w:val="18"/>
          <w:szCs w:val="18"/>
          <w:color w:val="auto"/>
        </w:rPr>
      </w:pPr>
      <w:r>
        <w:rPr>
          <w:rFonts w:ascii="Arial" w:cs="Arial" w:eastAsia="Arial" w:hAnsi="Arial"/>
          <w:sz w:val="18"/>
          <w:szCs w:val="18"/>
          <w:color w:val="auto"/>
        </w:rPr>
        <w:t>together with the chair of the Compensation Committee, leads the performance evaluation of the Executive Chair and the Chief Executive Officer</w:t>
      </w:r>
    </w:p>
    <w:p>
      <w:pPr>
        <w:spacing w:after="0" w:line="55" w:lineRule="exact"/>
        <w:rPr>
          <w:rFonts w:ascii="Arial" w:cs="Arial" w:eastAsia="Arial" w:hAnsi="Arial"/>
          <w:sz w:val="18"/>
          <w:szCs w:val="18"/>
          <w:color w:val="auto"/>
        </w:rPr>
      </w:pPr>
    </w:p>
    <w:p>
      <w:pPr>
        <w:ind w:left="680" w:right="280" w:hanging="330"/>
        <w:spacing w:after="0" w:line="223" w:lineRule="auto"/>
        <w:tabs>
          <w:tab w:leader="none" w:pos="675" w:val="left"/>
        </w:tabs>
        <w:numPr>
          <w:ilvl w:val="0"/>
          <w:numId w:val="8"/>
        </w:numPr>
        <w:rPr>
          <w:rFonts w:ascii="Arial" w:cs="Arial" w:eastAsia="Arial" w:hAnsi="Arial"/>
          <w:sz w:val="18"/>
          <w:szCs w:val="18"/>
          <w:color w:val="auto"/>
        </w:rPr>
      </w:pPr>
      <w:r>
        <w:rPr>
          <w:rFonts w:ascii="Arial" w:cs="Arial" w:eastAsia="Arial" w:hAnsi="Arial"/>
          <w:sz w:val="18"/>
          <w:szCs w:val="18"/>
          <w:color w:val="auto"/>
        </w:rPr>
        <w:t>together with the Executive Chair, facilitates identification and resolution of potential conflicts of interest and establishes expectations regarding culture of compliance throughout the Company</w:t>
      </w:r>
    </w:p>
    <w:p>
      <w:pPr>
        <w:spacing w:after="0" w:line="20" w:lineRule="exact"/>
        <w:rPr>
          <w:sz w:val="20"/>
          <w:szCs w:val="20"/>
          <w:color w:val="auto"/>
        </w:rPr>
      </w:pPr>
      <w:r>
        <w:rPr>
          <w:sz w:val="20"/>
          <w:szCs w:val="20"/>
          <w:color w:val="auto"/>
        </w:rPr>
        <w:br w:type="column"/>
      </w:r>
    </w:p>
    <w:p>
      <w:pPr>
        <w:ind w:left="327" w:right="400" w:hanging="327"/>
        <w:spacing w:after="0" w:line="226" w:lineRule="auto"/>
        <w:tabs>
          <w:tab w:leader="none" w:pos="322" w:val="left"/>
        </w:tabs>
        <w:numPr>
          <w:ilvl w:val="0"/>
          <w:numId w:val="9"/>
        </w:numPr>
        <w:rPr>
          <w:rFonts w:ascii="Arial" w:cs="Arial" w:eastAsia="Arial" w:hAnsi="Arial"/>
          <w:sz w:val="18"/>
          <w:szCs w:val="18"/>
          <w:color w:val="auto"/>
        </w:rPr>
      </w:pPr>
      <w:r>
        <w:rPr>
          <w:rFonts w:ascii="Arial" w:cs="Arial" w:eastAsia="Arial" w:hAnsi="Arial"/>
          <w:sz w:val="18"/>
          <w:szCs w:val="18"/>
          <w:color w:val="auto"/>
        </w:rPr>
        <w:t>serves as an additional management resource in the event of a crisis or interruption in business continuity</w:t>
      </w:r>
    </w:p>
    <w:p>
      <w:pPr>
        <w:spacing w:after="0" w:line="54" w:lineRule="exact"/>
        <w:rPr>
          <w:rFonts w:ascii="Arial" w:cs="Arial" w:eastAsia="Arial" w:hAnsi="Arial"/>
          <w:sz w:val="18"/>
          <w:szCs w:val="18"/>
          <w:color w:val="auto"/>
        </w:rPr>
      </w:pPr>
    </w:p>
    <w:p>
      <w:pPr>
        <w:ind w:left="327" w:right="500" w:hanging="327"/>
        <w:spacing w:after="0" w:line="223" w:lineRule="auto"/>
        <w:tabs>
          <w:tab w:leader="none" w:pos="322" w:val="left"/>
        </w:tabs>
        <w:numPr>
          <w:ilvl w:val="0"/>
          <w:numId w:val="9"/>
        </w:numPr>
        <w:rPr>
          <w:rFonts w:ascii="Arial" w:cs="Arial" w:eastAsia="Arial" w:hAnsi="Arial"/>
          <w:sz w:val="18"/>
          <w:szCs w:val="18"/>
          <w:color w:val="auto"/>
        </w:rPr>
      </w:pPr>
      <w:r>
        <w:rPr>
          <w:rFonts w:ascii="Arial" w:cs="Arial" w:eastAsia="Arial" w:hAnsi="Arial"/>
          <w:sz w:val="18"/>
          <w:szCs w:val="18"/>
          <w:color w:val="auto"/>
        </w:rPr>
        <w:t>together with the Vice Chair, facilitates identification and resolution of potential conflicts of interest and establishes expectations regarding culture of compliance throughout the Company</w:t>
      </w:r>
    </w:p>
    <w:p>
      <w:pPr>
        <w:spacing w:after="0" w:line="67" w:lineRule="exact"/>
        <w:rPr>
          <w:rFonts w:ascii="Arial" w:cs="Arial" w:eastAsia="Arial" w:hAnsi="Arial"/>
          <w:sz w:val="18"/>
          <w:szCs w:val="18"/>
          <w:color w:val="auto"/>
        </w:rPr>
      </w:pPr>
    </w:p>
    <w:p>
      <w:pPr>
        <w:ind w:left="327" w:hanging="327"/>
        <w:spacing w:after="0" w:line="259" w:lineRule="auto"/>
        <w:tabs>
          <w:tab w:leader="none" w:pos="322" w:val="left"/>
        </w:tabs>
        <w:numPr>
          <w:ilvl w:val="0"/>
          <w:numId w:val="9"/>
        </w:numPr>
        <w:rPr>
          <w:rFonts w:ascii="Arial" w:cs="Arial" w:eastAsia="Arial" w:hAnsi="Arial"/>
          <w:sz w:val="16"/>
          <w:szCs w:val="16"/>
          <w:color w:val="auto"/>
        </w:rPr>
      </w:pPr>
      <w:r>
        <w:rPr>
          <w:rFonts w:ascii="Arial" w:cs="Arial" w:eastAsia="Arial" w:hAnsi="Arial"/>
          <w:sz w:val="16"/>
          <w:szCs w:val="16"/>
          <w:color w:val="auto"/>
        </w:rPr>
        <w:t>collaborates with the Lead Independent Director, CEO, Secretary, and committee chairs to call and schedule Board meetings, develop agendas, and review the content and distribution of materials</w:t>
      </w:r>
    </w:p>
    <w:p>
      <w:pPr>
        <w:spacing w:after="0" w:line="52" w:lineRule="exact"/>
        <w:rPr>
          <w:rFonts w:ascii="Arial" w:cs="Arial" w:eastAsia="Arial" w:hAnsi="Arial"/>
          <w:sz w:val="16"/>
          <w:szCs w:val="16"/>
          <w:color w:val="auto"/>
        </w:rPr>
      </w:pPr>
    </w:p>
    <w:p>
      <w:pPr>
        <w:ind w:left="327" w:right="340" w:hanging="327"/>
        <w:spacing w:after="0" w:line="224" w:lineRule="auto"/>
        <w:tabs>
          <w:tab w:leader="none" w:pos="322" w:val="left"/>
        </w:tabs>
        <w:numPr>
          <w:ilvl w:val="0"/>
          <w:numId w:val="9"/>
        </w:numPr>
        <w:rPr>
          <w:rFonts w:ascii="Arial" w:cs="Arial" w:eastAsia="Arial" w:hAnsi="Arial"/>
          <w:sz w:val="18"/>
          <w:szCs w:val="18"/>
          <w:color w:val="auto"/>
        </w:rPr>
      </w:pPr>
      <w:r>
        <w:rPr>
          <w:rFonts w:ascii="Arial" w:cs="Arial" w:eastAsia="Arial" w:hAnsi="Arial"/>
          <w:sz w:val="18"/>
          <w:szCs w:val="18"/>
          <w:color w:val="auto"/>
        </w:rPr>
        <w:t>as necessary, represents the Company to stockholders, other stakeholders, and government officials in conjunction with the Chief Executive Officer</w:t>
      </w:r>
    </w:p>
    <w:p>
      <w:pPr>
        <w:spacing w:after="0" w:line="68" w:lineRule="exact"/>
        <w:rPr>
          <w:rFonts w:ascii="Arial" w:cs="Arial" w:eastAsia="Arial" w:hAnsi="Arial"/>
          <w:sz w:val="18"/>
          <w:szCs w:val="18"/>
          <w:color w:val="auto"/>
        </w:rPr>
      </w:pPr>
    </w:p>
    <w:p>
      <w:pPr>
        <w:ind w:left="327" w:right="120" w:hanging="327"/>
        <w:spacing w:after="0" w:line="224" w:lineRule="auto"/>
        <w:tabs>
          <w:tab w:leader="none" w:pos="322" w:val="left"/>
        </w:tabs>
        <w:numPr>
          <w:ilvl w:val="0"/>
          <w:numId w:val="9"/>
        </w:numPr>
        <w:rPr>
          <w:rFonts w:ascii="Arial" w:cs="Arial" w:eastAsia="Arial" w:hAnsi="Arial"/>
          <w:sz w:val="18"/>
          <w:szCs w:val="18"/>
          <w:color w:val="auto"/>
        </w:rPr>
      </w:pPr>
      <w:r>
        <w:rPr>
          <w:rFonts w:ascii="Arial" w:cs="Arial" w:eastAsia="Arial" w:hAnsi="Arial"/>
          <w:sz w:val="18"/>
          <w:szCs w:val="18"/>
          <w:color w:val="auto"/>
        </w:rPr>
        <w:t>provides support and guidance to the Chief Executive Officer and Chief Investment Officer, including consultation on significant strategic decisions</w:t>
      </w:r>
    </w:p>
    <w:p>
      <w:pPr>
        <w:spacing w:after="0" w:line="68" w:lineRule="exact"/>
        <w:rPr>
          <w:rFonts w:ascii="Arial" w:cs="Arial" w:eastAsia="Arial" w:hAnsi="Arial"/>
          <w:sz w:val="18"/>
          <w:szCs w:val="18"/>
          <w:color w:val="auto"/>
        </w:rPr>
      </w:pPr>
    </w:p>
    <w:p>
      <w:pPr>
        <w:ind w:left="327" w:right="360" w:hanging="327"/>
        <w:spacing w:after="0" w:line="289" w:lineRule="auto"/>
        <w:tabs>
          <w:tab w:leader="none" w:pos="322" w:val="left"/>
        </w:tabs>
        <w:numPr>
          <w:ilvl w:val="0"/>
          <w:numId w:val="9"/>
        </w:numPr>
        <w:rPr>
          <w:rFonts w:ascii="Arial" w:cs="Arial" w:eastAsia="Arial" w:hAnsi="Arial"/>
          <w:sz w:val="16"/>
          <w:szCs w:val="16"/>
          <w:color w:val="auto"/>
        </w:rPr>
      </w:pPr>
      <w:r>
        <w:rPr>
          <w:rFonts w:ascii="Arial" w:cs="Arial" w:eastAsia="Arial" w:hAnsi="Arial"/>
          <w:sz w:val="16"/>
          <w:szCs w:val="16"/>
          <w:color w:val="auto"/>
        </w:rPr>
        <w:t>evaluates and reports to the independent directors as requested regarding the Chief Executive Officer's performance</w:t>
      </w:r>
    </w:p>
    <w:p>
      <w:pPr>
        <w:spacing w:after="0" w:line="97" w:lineRule="exact"/>
        <w:rPr>
          <w:sz w:val="20"/>
          <w:szCs w:val="20"/>
          <w:color w:val="auto"/>
        </w:rPr>
      </w:pPr>
    </w:p>
    <w:p>
      <w:pPr>
        <w:sectPr>
          <w:pgSz w:w="11900" w:h="16838" w:orient="portrait"/>
          <w:cols w:equalWidth="0" w:num="2">
            <w:col w:w="5460" w:space="573"/>
            <w:col w:w="5167"/>
          </w:cols>
          <w:pgMar w:left="320" w:top="108" w:right="379" w:bottom="1440" w:gutter="0" w:footer="0" w:header="0"/>
          <w:type w:val="continuous"/>
        </w:sectPr>
      </w:pPr>
    </w:p>
    <w:p>
      <w:pPr>
        <w:ind w:left="680" w:right="6060" w:hanging="330"/>
        <w:spacing w:after="0" w:line="224" w:lineRule="auto"/>
        <w:tabs>
          <w:tab w:leader="none" w:pos="675"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communicates on behalf of the independent directors with stockholders, proxy advisory firms, and other stakeholders, as necessary</w:t>
      </w:r>
    </w:p>
    <w:p>
      <w:pPr>
        <w:spacing w:after="0" w:line="392" w:lineRule="exact"/>
        <w:rPr>
          <w:sz w:val="20"/>
          <w:szCs w:val="20"/>
          <w:color w:val="auto"/>
        </w:rPr>
      </w:pPr>
    </w:p>
    <w:p>
      <w:pPr>
        <w:ind w:right="120" w:firstLine="648"/>
        <w:spacing w:after="0" w:line="262" w:lineRule="auto"/>
        <w:rPr>
          <w:sz w:val="20"/>
          <w:szCs w:val="20"/>
          <w:color w:val="auto"/>
        </w:rPr>
      </w:pPr>
      <w:r>
        <w:rPr>
          <w:rFonts w:ascii="Arial" w:cs="Arial" w:eastAsia="Arial" w:hAnsi="Arial"/>
          <w:sz w:val="17"/>
          <w:szCs w:val="17"/>
          <w:color w:val="auto"/>
        </w:rPr>
        <w:t>AGNC is committed to maintaining strong, independent leadership on the Board. Our Board has a policy, consistent with the Nasdaq rules and good corporate governance, to have our independent directors meet regularly without members of management or employee directors present to facilitate the Board’s independent oversight of management. Presently, our independent directors meet during our Board’s regular quarterly meetings and may hold additional meetings at the request of the Lead Independent Director or a majority of the directors.</w:t>
      </w:r>
    </w:p>
    <w:p>
      <w:pPr>
        <w:spacing w:after="0" w:line="172" w:lineRule="exact"/>
        <w:rPr>
          <w:sz w:val="20"/>
          <w:szCs w:val="20"/>
          <w:color w:val="auto"/>
        </w:rPr>
      </w:pPr>
    </w:p>
    <w:p>
      <w:pPr>
        <w:ind w:right="60" w:firstLine="648"/>
        <w:spacing w:after="0" w:line="241" w:lineRule="auto"/>
        <w:rPr>
          <w:sz w:val="20"/>
          <w:szCs w:val="20"/>
          <w:color w:val="auto"/>
        </w:rPr>
      </w:pPr>
      <w:r>
        <w:rPr>
          <w:rFonts w:ascii="Arial" w:cs="Arial" w:eastAsia="Arial" w:hAnsi="Arial"/>
          <w:sz w:val="18"/>
          <w:szCs w:val="18"/>
          <w:color w:val="auto"/>
        </w:rPr>
        <w:t>Each of our Board’s Audit Committee and Compensation Committee is composed entirely of independent directors. These independent committees of our Board also have the authority under their respective charters to hire independent advisors and consultants, at the Company’s expense, to assist them in performing their duties. The chairs of the Audit and Compensation Committees set meeting agendas in consultation with our Secretary. A majority of our Board’s Executive Committee also consists of independent directors. Our Board has determined that all of the current directors, except Messrs. Federico and Kain, are “independent” as defined in the Nasdaq rules.</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Governance</w:t>
      </w:r>
    </w:p>
    <w:p>
      <w:pPr>
        <w:spacing w:after="0" w:line="81" w:lineRule="exact"/>
        <w:rPr>
          <w:sz w:val="20"/>
          <w:szCs w:val="20"/>
          <w:color w:val="auto"/>
        </w:rPr>
      </w:pPr>
    </w:p>
    <w:p>
      <w:pPr>
        <w:jc w:val="both"/>
        <w:ind w:right="380" w:firstLine="648"/>
        <w:spacing w:after="0" w:line="248" w:lineRule="auto"/>
        <w:rPr>
          <w:sz w:val="20"/>
          <w:szCs w:val="20"/>
          <w:color w:val="auto"/>
        </w:rPr>
      </w:pPr>
      <w:r>
        <w:rPr>
          <w:rFonts w:ascii="Arial" w:cs="Arial" w:eastAsia="Arial" w:hAnsi="Arial"/>
          <w:sz w:val="16"/>
          <w:szCs w:val="16"/>
          <w:color w:val="auto"/>
        </w:rPr>
        <w:t>Our Board maintains strong corporate governance practices, which are memorialized in our Corporate Governance Guidelines, to support its oversight responsibilities. These guidelines, together with our Amended and Restated Certificate of Incorporation (our “Certificate of Incorporation”),</w:t>
      </w:r>
    </w:p>
    <w:p>
      <w:pPr>
        <w:ind w:right="120"/>
        <w:spacing w:after="0" w:line="239" w:lineRule="auto"/>
        <w:rPr>
          <w:sz w:val="20"/>
          <w:szCs w:val="20"/>
          <w:color w:val="auto"/>
        </w:rPr>
      </w:pPr>
      <w:r>
        <w:rPr>
          <w:rFonts w:ascii="Arial" w:cs="Arial" w:eastAsia="Arial" w:hAnsi="Arial"/>
          <w:sz w:val="17"/>
          <w:szCs w:val="17"/>
          <w:color w:val="auto"/>
        </w:rPr>
        <w:t>Fourth Amended and Restated Bylaws (our “Bylaws”), and committee charters of the Audit Committee and the Compensation Committee, form the basis for performance of our governance activities. All of these documents are available in the Investors section of our website at www.AGNC.com.</w:t>
      </w:r>
    </w:p>
    <w:p>
      <w:pPr>
        <w:spacing w:after="0" w:line="333" w:lineRule="exact"/>
        <w:rPr>
          <w:sz w:val="20"/>
          <w:szCs w:val="20"/>
          <w:color w:val="auto"/>
        </w:rPr>
      </w:pPr>
    </w:p>
    <w:p>
      <w:pPr>
        <w:ind w:left="440" w:hanging="414"/>
        <w:spacing w:after="0"/>
        <w:tabs>
          <w:tab w:leader="none" w:pos="440" w:val="left"/>
        </w:tabs>
        <w:numPr>
          <w:ilvl w:val="0"/>
          <w:numId w:val="11"/>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00"/>
          </w:cols>
          <w:pgMar w:left="320" w:top="108" w:right="379" w:bottom="1440" w:gutter="0" w:footer="0" w:header="0"/>
          <w:type w:val="continuous"/>
        </w:sectPr>
      </w:pPr>
    </w:p>
    <w:bookmarkStart w:id="12" w:name="page13"/>
    <w:bookmarkEnd w:id="1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346710</wp:posOffset>
            </wp:positionV>
            <wp:extent cx="7140575" cy="29660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0575" cy="2966085"/>
                    </a:xfrm>
                    <a:prstGeom prst="rect">
                      <a:avLst/>
                    </a:prstGeom>
                    <a:noFill/>
                  </pic:spPr>
                </pic:pic>
              </a:graphicData>
            </a:graphic>
          </wp:anchor>
        </w:drawing>
      </w:r>
    </w:p>
    <w:p>
      <w:pPr>
        <w:spacing w:after="0" w:line="200" w:lineRule="exact"/>
        <w:rPr>
          <w:sz w:val="20"/>
          <w:szCs w:val="20"/>
          <w:color w:val="auto"/>
        </w:rPr>
      </w:pPr>
    </w:p>
    <w:p>
      <w:pPr>
        <w:spacing w:after="0" w:line="37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407CCA"/>
        </w:rPr>
        <w:t>CORPORATE GOVERNANCE HIGHLIGHTS</w:t>
      </w:r>
    </w:p>
    <w:p>
      <w:pPr>
        <w:spacing w:after="0" w:line="135" w:lineRule="exact"/>
        <w:rPr>
          <w:sz w:val="20"/>
          <w:szCs w:val="20"/>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Annual election of directors</w:t>
      </w:r>
    </w:p>
    <w:p>
      <w:pPr>
        <w:spacing w:after="0" w:line="23"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Directors elected by majority voting, with a resignation policy for directors who do not receive a majority support</w:t>
      </w:r>
    </w:p>
    <w:p>
      <w:pPr>
        <w:spacing w:after="0" w:line="22"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Five of nine directors are gender or racially diverse</w:t>
      </w:r>
    </w:p>
    <w:p>
      <w:pPr>
        <w:spacing w:after="0" w:line="35"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Chair is separate from the CEO</w:t>
      </w:r>
    </w:p>
    <w:p>
      <w:pPr>
        <w:spacing w:after="0" w:line="23"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Robust independent Board leadership, with Lead Independent Director also serving as Vice Chair</w:t>
      </w:r>
    </w:p>
    <w:p>
      <w:pPr>
        <w:spacing w:after="0" w:line="22"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All directors serve on the boards of two or fewer public companies or mutual fund complexes</w:t>
      </w:r>
    </w:p>
    <w:p>
      <w:pPr>
        <w:spacing w:after="0" w:line="35"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Four new independent directors added since 2018 and average Board tenure of 5.8 years</w:t>
      </w:r>
    </w:p>
    <w:p>
      <w:pPr>
        <w:spacing w:after="0" w:line="23"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Regular meetings of independent directors without members of management</w:t>
      </w:r>
    </w:p>
    <w:p>
      <w:pPr>
        <w:spacing w:after="0" w:line="22"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Stock ownership guidelines for directors and executive officers</w:t>
      </w:r>
    </w:p>
    <w:p>
      <w:pPr>
        <w:spacing w:after="0" w:line="35"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Robust stockholder engagement program, including annual outreach campaign to institutional investors</w:t>
      </w:r>
    </w:p>
    <w:p>
      <w:pPr>
        <w:spacing w:after="0" w:line="23"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Anti-hedging and pledging policy for directors and executive officers</w:t>
      </w:r>
    </w:p>
    <w:p>
      <w:pPr>
        <w:spacing w:after="0" w:line="22"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Clawback policy for incentive compensation</w:t>
      </w:r>
    </w:p>
    <w:p>
      <w:pPr>
        <w:spacing w:after="0" w:line="35"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No stockholder rights plan or “poison pill”</w:t>
      </w:r>
    </w:p>
    <w:p>
      <w:pPr>
        <w:spacing w:after="0" w:line="23"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Comprehensive Code of Ethics and Conduct and Corporate Governance Guidelines</w:t>
      </w:r>
    </w:p>
    <w:p>
      <w:pPr>
        <w:spacing w:after="0" w:line="22"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Annual board and committee self-evaluations</w:t>
      </w:r>
    </w:p>
    <w:p>
      <w:pPr>
        <w:spacing w:after="0" w:line="35" w:lineRule="exact"/>
        <w:rPr>
          <w:rFonts w:ascii="Arial" w:cs="Arial" w:eastAsia="Arial" w:hAnsi="Arial"/>
          <w:sz w:val="18"/>
          <w:szCs w:val="18"/>
          <w:color w:val="auto"/>
        </w:rPr>
      </w:pPr>
    </w:p>
    <w:p>
      <w:pPr>
        <w:ind w:left="600" w:hanging="318"/>
        <w:spacing w:after="0"/>
        <w:tabs>
          <w:tab w:leader="none" w:pos="600" w:val="left"/>
        </w:tabs>
        <w:numPr>
          <w:ilvl w:val="0"/>
          <w:numId w:val="12"/>
        </w:numPr>
        <w:rPr>
          <w:rFonts w:ascii="Arial" w:cs="Arial" w:eastAsia="Arial" w:hAnsi="Arial"/>
          <w:sz w:val="18"/>
          <w:szCs w:val="18"/>
          <w:color w:val="auto"/>
        </w:rPr>
      </w:pPr>
      <w:r>
        <w:rPr>
          <w:rFonts w:ascii="Arial" w:cs="Arial" w:eastAsia="Arial" w:hAnsi="Arial"/>
          <w:sz w:val="18"/>
          <w:szCs w:val="18"/>
          <w:color w:val="auto"/>
        </w:rPr>
        <w:t>100% attendance at 96% of our Board and committee meetings in 2022</w:t>
      </w:r>
    </w:p>
    <w:p>
      <w:pPr>
        <w:spacing w:after="0" w:line="23" w:lineRule="exact"/>
        <w:rPr>
          <w:rFonts w:ascii="Arial" w:cs="Arial" w:eastAsia="Arial" w:hAnsi="Arial"/>
          <w:sz w:val="18"/>
          <w:szCs w:val="18"/>
          <w:color w:val="auto"/>
        </w:rPr>
      </w:pPr>
    </w:p>
    <w:p>
      <w:pPr>
        <w:ind w:left="600" w:right="520" w:hanging="318"/>
        <w:spacing w:after="0" w:line="234" w:lineRule="auto"/>
        <w:tabs>
          <w:tab w:leader="none" w:pos="595" w:val="left"/>
        </w:tabs>
        <w:numPr>
          <w:ilvl w:val="0"/>
          <w:numId w:val="12"/>
        </w:numPr>
        <w:rPr>
          <w:rFonts w:ascii="Arial" w:cs="Arial" w:eastAsia="Arial" w:hAnsi="Arial"/>
          <w:sz w:val="18"/>
          <w:szCs w:val="18"/>
          <w:color w:val="auto"/>
        </w:rPr>
      </w:pPr>
      <w:r>
        <w:rPr>
          <w:rFonts w:ascii="Arial" w:cs="Arial" w:eastAsia="Arial" w:hAnsi="Arial"/>
          <w:sz w:val="18"/>
          <w:szCs w:val="18"/>
          <w:color w:val="auto"/>
        </w:rPr>
        <w:t>Membership in the National Association of Corporate Directors (the “NACD”), a leading authority on corporate boardroom and governance practices</w:t>
      </w: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Committees of the Board of Directors</w:t>
      </w:r>
    </w:p>
    <w:p>
      <w:pPr>
        <w:spacing w:after="0" w:line="94" w:lineRule="exact"/>
        <w:rPr>
          <w:sz w:val="20"/>
          <w:szCs w:val="20"/>
          <w:color w:val="auto"/>
        </w:rPr>
      </w:pPr>
    </w:p>
    <w:p>
      <w:pPr>
        <w:ind w:left="66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Audit Committee</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This committee assists the Board in overseeing:</w:t>
      </w:r>
    </w:p>
    <w:p>
      <w:pPr>
        <w:spacing w:after="0" w:line="75" w:lineRule="exact"/>
        <w:rPr>
          <w:sz w:val="20"/>
          <w:szCs w:val="20"/>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ind w:left="900" w:hanging="325"/>
        <w:spacing w:after="0" w:line="219"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ind w:left="900" w:hanging="325"/>
        <w:spacing w:after="0" w:line="215" w:lineRule="auto"/>
        <w:tabs>
          <w:tab w:leader="none" w:pos="900" w:val="left"/>
        </w:tabs>
        <w:numPr>
          <w:ilvl w:val="0"/>
          <w:numId w:val="13"/>
        </w:numPr>
        <w:rPr>
          <w:rFonts w:ascii="Arial" w:cs="Arial" w:eastAsia="Arial" w:hAnsi="Arial"/>
          <w:sz w:val="17"/>
          <w:szCs w:val="17"/>
          <w:color w:val="auto"/>
        </w:rPr>
      </w:pPr>
      <w:r>
        <w:rPr>
          <w:rFonts w:ascii="Arial" w:cs="Arial" w:eastAsia="Arial" w:hAnsi="Arial"/>
          <w:sz w:val="17"/>
          <w:szCs w:val="17"/>
          <w:color w:val="auto"/>
        </w:rPr>
        <w:t>the adequacy of our internal control over financial reporting, including controls relating to the preparation of our financial statements;</w:t>
      </w:r>
    </w:p>
    <w:p>
      <w:pPr>
        <w:ind w:left="900" w:hanging="325"/>
        <w:spacing w:after="0" w:line="203"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internal audit department and its annual scope of work;</w:t>
      </w:r>
    </w:p>
    <w:p>
      <w:pPr>
        <w:ind w:left="900" w:hanging="325"/>
        <w:spacing w:after="0" w:line="219"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cybersecurity and other risks to information technology systems;</w:t>
      </w:r>
    </w:p>
    <w:p>
      <w:pPr>
        <w:ind w:left="900" w:hanging="325"/>
        <w:spacing w:after="0" w:line="203"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ind w:left="900" w:hanging="325"/>
        <w:spacing w:after="0" w:line="219"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ind w:left="900" w:hanging="325"/>
        <w:spacing w:after="0" w:line="203"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our internal audit department.</w:t>
      </w:r>
    </w:p>
    <w:p>
      <w:pPr>
        <w:spacing w:after="0" w:line="6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Audit Committee is also responsible for engaging an independent registered public accounting firm, reviewing the plans and results of the</w:t>
      </w:r>
    </w:p>
    <w:p>
      <w:pPr>
        <w:spacing w:after="0" w:line="21" w:lineRule="exact"/>
        <w:rPr>
          <w:sz w:val="20"/>
          <w:szCs w:val="20"/>
          <w:color w:val="auto"/>
        </w:rPr>
      </w:pPr>
    </w:p>
    <w:p>
      <w:pPr>
        <w:ind w:right="40"/>
        <w:spacing w:after="0" w:line="234" w:lineRule="auto"/>
        <w:rPr>
          <w:sz w:val="20"/>
          <w:szCs w:val="20"/>
          <w:color w:val="auto"/>
        </w:rPr>
      </w:pPr>
      <w:r>
        <w:rPr>
          <w:rFonts w:ascii="Arial" w:cs="Arial" w:eastAsia="Arial" w:hAnsi="Arial"/>
          <w:sz w:val="16"/>
          <w:szCs w:val="16"/>
          <w:color w:val="auto"/>
        </w:rPr>
        <w:t>audit engagement with the independent registered public accounting firm, approving professional services provided by the independent registered public accounting firm, considering the range of audit and non-audit fees, and preparing a report on the review of the Company's audited financial statements as required to be included in our proxy statement. The committee’s meetings include, whenever appropriate, executive sessions with our independent external</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auditors, without the presence of management.</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This committee’s principal functions are to:</w:t>
      </w:r>
    </w:p>
    <w:p>
      <w:pPr>
        <w:spacing w:after="0" w:line="90" w:lineRule="exact"/>
        <w:rPr>
          <w:sz w:val="20"/>
          <w:szCs w:val="20"/>
          <w:color w:val="auto"/>
        </w:rPr>
      </w:pPr>
    </w:p>
    <w:p>
      <w:pPr>
        <w:ind w:left="900" w:right="620" w:hanging="325"/>
        <w:spacing w:after="0" w:line="212" w:lineRule="auto"/>
        <w:tabs>
          <w:tab w:leader="none" w:pos="895"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and make recommendations to the Board on these matters;</w:t>
      </w:r>
    </w:p>
    <w:p>
      <w:pPr>
        <w:spacing w:after="0" w:line="1" w:lineRule="exact"/>
        <w:rPr>
          <w:rFonts w:ascii="Arial" w:cs="Arial" w:eastAsia="Arial" w:hAnsi="Arial"/>
          <w:sz w:val="18"/>
          <w:szCs w:val="18"/>
          <w:color w:val="auto"/>
        </w:rPr>
      </w:pPr>
    </w:p>
    <w:p>
      <w:pPr>
        <w:ind w:left="900" w:right="20" w:hanging="325"/>
        <w:spacing w:after="0" w:line="211" w:lineRule="auto"/>
        <w:tabs>
          <w:tab w:leader="none" w:pos="895" w:val="left"/>
        </w:tabs>
        <w:numPr>
          <w:ilvl w:val="0"/>
          <w:numId w:val="14"/>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and recommend CEO and Executive Chair compensation decisions for approval by all of the independent directors of our Board;</w:t>
      </w:r>
    </w:p>
    <w:p>
      <w:pPr>
        <w:ind w:left="900" w:hanging="325"/>
        <w:spacing w:after="0" w:line="203"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w:t>
      </w:r>
    </w:p>
    <w:p>
      <w:pPr>
        <w:ind w:left="900" w:hanging="325"/>
        <w:spacing w:after="0" w:line="219"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ind w:left="900" w:hanging="325"/>
        <w:spacing w:after="0" w:line="203"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review and make recommendations to the Board on executive succession plans and leadership development;</w:t>
      </w:r>
    </w:p>
    <w:p>
      <w:pPr>
        <w:ind w:left="900" w:right="40" w:hanging="325"/>
        <w:spacing w:after="0" w:line="211" w:lineRule="auto"/>
        <w:tabs>
          <w:tab w:leader="none" w:pos="895"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oversee matters relating to human capital management, including the hiring, development, retention, and satisfaction of our employees and our policies and practices for diversity, equity, and inclusion;</w:t>
      </w:r>
    </w:p>
    <w:p>
      <w:pPr>
        <w:ind w:left="900" w:right="240" w:hanging="325"/>
        <w:spacing w:after="0" w:line="211" w:lineRule="auto"/>
        <w:tabs>
          <w:tab w:leader="none" w:pos="895"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make recommendations to the Board regarding Board and committee oversight of AGNC’s corporate social responsibility and sustainability strategies and practices;</w:t>
      </w:r>
    </w:p>
    <w:p>
      <w:pPr>
        <w:ind w:left="900" w:hanging="325"/>
        <w:spacing w:after="0" w:line="228" w:lineRule="auto"/>
        <w:tabs>
          <w:tab w:leader="none" w:pos="900" w:val="left"/>
        </w:tabs>
        <w:numPr>
          <w:ilvl w:val="0"/>
          <w:numId w:val="14"/>
        </w:numPr>
        <w:rPr>
          <w:rFonts w:ascii="Arial" w:cs="Arial" w:eastAsia="Arial" w:hAnsi="Arial"/>
          <w:sz w:val="16"/>
          <w:szCs w:val="16"/>
          <w:color w:val="auto"/>
        </w:rPr>
      </w:pPr>
      <w:r>
        <w:rPr>
          <w:rFonts w:ascii="Arial" w:cs="Arial" w:eastAsia="Arial" w:hAnsi="Arial"/>
          <w:sz w:val="16"/>
          <w:szCs w:val="16"/>
          <w:color w:val="auto"/>
        </w:rPr>
        <w:t>monitor and facilitate our governance, including membership of the Board and operations pursuant to our Corporate Governance Guidelines;</w:t>
      </w:r>
    </w:p>
    <w:p>
      <w:pPr>
        <w:ind w:left="900" w:hanging="325"/>
        <w:spacing w:after="0" w:line="203"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oversee evaluation of our CEO, Executive Chair, and other executive officers; and</w:t>
      </w:r>
    </w:p>
    <w:p>
      <w:pPr>
        <w:sectPr>
          <w:pgSz w:w="11900" w:h="16838" w:orient="portrait"/>
          <w:cols w:equalWidth="0" w:num="1">
            <w:col w:w="11220"/>
          </w:cols>
          <w:pgMar w:left="320" w:top="108" w:right="359" w:bottom="1440" w:gutter="0" w:footer="0" w:header="0"/>
        </w:sectPr>
      </w:pPr>
    </w:p>
    <w:p>
      <w:pPr>
        <w:spacing w:after="0" w:line="340" w:lineRule="exact"/>
        <w:rPr>
          <w:sz w:val="20"/>
          <w:szCs w:val="20"/>
          <w:color w:val="auto"/>
        </w:rPr>
      </w:pPr>
    </w:p>
    <w:p>
      <w:pPr>
        <w:ind w:left="794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13" w:name="page14"/>
    <w:bookmarkEnd w:id="1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55" w:lineRule="exact"/>
        <w:rPr>
          <w:sz w:val="20"/>
          <w:szCs w:val="20"/>
          <w:color w:val="auto"/>
        </w:rPr>
      </w:pPr>
    </w:p>
    <w:p>
      <w:pPr>
        <w:ind w:left="900" w:right="1020" w:hanging="325"/>
        <w:spacing w:after="0" w:line="235" w:lineRule="auto"/>
        <w:tabs>
          <w:tab w:leader="none" w:pos="895"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review and approve the disclosure regarding the Company’s compensation and benefits matters and prepare a report on executive compensation, each as required to be included in our proxy statement for our annual meetings.</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The Compensation Committee also serves as the Board’s standing nominating committee and as such performs the following functions:</w:t>
      </w:r>
    </w:p>
    <w:p>
      <w:pPr>
        <w:spacing w:after="0" w:line="102" w:lineRule="exact"/>
        <w:rPr>
          <w:sz w:val="20"/>
          <w:szCs w:val="20"/>
          <w:color w:val="auto"/>
        </w:rPr>
      </w:pPr>
    </w:p>
    <w:p>
      <w:pPr>
        <w:ind w:left="900" w:hanging="325"/>
        <w:spacing w:after="0" w:line="212" w:lineRule="auto"/>
        <w:tabs>
          <w:tab w:leader="none" w:pos="895" w:val="left"/>
        </w:tabs>
        <w:numPr>
          <w:ilvl w:val="0"/>
          <w:numId w:val="16"/>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900" w:right="600" w:hanging="325"/>
        <w:spacing w:after="0" w:line="211" w:lineRule="auto"/>
        <w:tabs>
          <w:tab w:leader="none" w:pos="895" w:val="left"/>
        </w:tabs>
        <w:numPr>
          <w:ilvl w:val="0"/>
          <w:numId w:val="16"/>
        </w:numPr>
        <w:rPr>
          <w:rFonts w:ascii="Arial" w:cs="Arial" w:eastAsia="Arial" w:hAnsi="Arial"/>
          <w:sz w:val="18"/>
          <w:szCs w:val="18"/>
          <w:color w:val="auto"/>
        </w:rPr>
      </w:pPr>
      <w:r>
        <w:rPr>
          <w:rFonts w:ascii="Arial" w:cs="Arial" w:eastAsia="Arial" w:hAnsi="Arial"/>
          <w:sz w:val="18"/>
          <w:szCs w:val="18"/>
          <w:color w:val="auto"/>
        </w:rPr>
        <w:t>developing and recommending to the Board Corporate Governance Guidelines, including the committee’s selection criteria for director nominees;</w:t>
      </w:r>
    </w:p>
    <w:p>
      <w:pPr>
        <w:ind w:left="900" w:hanging="325"/>
        <w:spacing w:after="0" w:line="203" w:lineRule="auto"/>
        <w:tabs>
          <w:tab w:leader="none" w:pos="9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w:t>
      </w:r>
    </w:p>
    <w:p>
      <w:pPr>
        <w:ind w:left="900" w:hanging="325"/>
        <w:spacing w:after="0" w:line="219" w:lineRule="auto"/>
        <w:tabs>
          <w:tab w:leader="none" w:pos="9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overseeing the orientation process for new directors and continuing education of all directors; and</w:t>
      </w:r>
    </w:p>
    <w:p>
      <w:pPr>
        <w:ind w:left="900" w:right="400" w:hanging="325"/>
        <w:spacing w:after="0" w:line="226" w:lineRule="auto"/>
        <w:tabs>
          <w:tab w:leader="none" w:pos="895" w:val="left"/>
        </w:tabs>
        <w:numPr>
          <w:ilvl w:val="0"/>
          <w:numId w:val="16"/>
        </w:numPr>
        <w:rPr>
          <w:rFonts w:ascii="Arial" w:cs="Arial" w:eastAsia="Arial" w:hAnsi="Arial"/>
          <w:sz w:val="18"/>
          <w:szCs w:val="18"/>
          <w:color w:val="auto"/>
        </w:rPr>
      </w:pPr>
      <w:r>
        <w:rPr>
          <w:rFonts w:ascii="Arial" w:cs="Arial" w:eastAsia="Arial" w:hAnsi="Arial"/>
          <w:sz w:val="18"/>
          <w:szCs w:val="18"/>
          <w:color w:val="auto"/>
        </w:rPr>
        <w:t>annually facilitating an assessment of the Board, Board committee, and individual director performance and making reports thereon to the Board.</w:t>
      </w:r>
    </w:p>
    <w:p>
      <w:pPr>
        <w:spacing w:after="0" w:line="175" w:lineRule="exact"/>
        <w:rPr>
          <w:sz w:val="20"/>
          <w:szCs w:val="20"/>
          <w:color w:val="auto"/>
        </w:rPr>
      </w:pPr>
    </w:p>
    <w:p>
      <w:pPr>
        <w:ind w:right="320" w:firstLine="648"/>
        <w:spacing w:after="0" w:line="241"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The Compensation Committee retained Frederic W. Cook &amp; Co., Inc. (“FW Cook”) to assist the Compensation Committee in designing and establishing a compensation structure in 2016 and has continued to engage FW Cook to advise on and assist with the review and evaluation of executive compensation and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compensation of our non-employee directors.</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Executive Committee</w:t>
      </w:r>
    </w:p>
    <w:p>
      <w:pPr>
        <w:spacing w:after="0" w:line="77" w:lineRule="exact"/>
        <w:rPr>
          <w:sz w:val="20"/>
          <w:szCs w:val="20"/>
          <w:color w:val="auto"/>
        </w:rPr>
      </w:pPr>
    </w:p>
    <w:p>
      <w:pPr>
        <w:ind w:right="160" w:firstLine="648"/>
        <w:spacing w:after="0" w:line="246"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under Delaware law, our Certificate of Incorporation, or Bylaws.</w:t>
      </w:r>
    </w:p>
    <w:p>
      <w:pPr>
        <w:spacing w:after="0" w:line="2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and Committee Meetings</w:t>
      </w:r>
    </w:p>
    <w:p>
      <w:pPr>
        <w:spacing w:after="0" w:line="81" w:lineRule="exact"/>
        <w:rPr>
          <w:sz w:val="20"/>
          <w:szCs w:val="20"/>
          <w:color w:val="auto"/>
        </w:rPr>
      </w:pPr>
    </w:p>
    <w:p>
      <w:pPr>
        <w:ind w:right="40" w:firstLine="648"/>
        <w:spacing w:after="0" w:line="248" w:lineRule="auto"/>
        <w:rPr>
          <w:sz w:val="20"/>
          <w:szCs w:val="20"/>
          <w:color w:val="auto"/>
        </w:rPr>
      </w:pPr>
      <w:r>
        <w:rPr>
          <w:rFonts w:ascii="Arial" w:cs="Arial" w:eastAsia="Arial" w:hAnsi="Arial"/>
          <w:sz w:val="16"/>
          <w:szCs w:val="16"/>
          <w:color w:val="auto"/>
        </w:rPr>
        <w:t>The Board generally holds regular quarterly meetings and meets on other occasions, as necessary. The Board held 12 regular and special meetings during 2022. In addition, the independent directors met separately in executive sessions to discuss various matters, including our performance and the</w:t>
      </w:r>
    </w:p>
    <w:p>
      <w:pPr>
        <w:spacing w:after="0"/>
        <w:rPr>
          <w:sz w:val="20"/>
          <w:szCs w:val="20"/>
          <w:color w:val="auto"/>
        </w:rPr>
      </w:pPr>
      <w:r>
        <w:rPr>
          <w:rFonts w:ascii="Arial" w:cs="Arial" w:eastAsia="Arial" w:hAnsi="Arial"/>
          <w:sz w:val="18"/>
          <w:szCs w:val="18"/>
          <w:color w:val="auto"/>
        </w:rPr>
        <w:t>performance of our Executive Chair, Chief Executive Officer, and other executive officers.</w:t>
      </w:r>
    </w:p>
    <w:p>
      <w:pPr>
        <w:spacing w:after="0" w:line="169" w:lineRule="exact"/>
        <w:rPr>
          <w:sz w:val="20"/>
          <w:szCs w:val="20"/>
          <w:color w:val="auto"/>
        </w:rPr>
      </w:pPr>
    </w:p>
    <w:p>
      <w:pPr>
        <w:ind w:right="160" w:firstLine="648"/>
        <w:spacing w:after="0" w:line="248" w:lineRule="auto"/>
        <w:rPr>
          <w:sz w:val="20"/>
          <w:szCs w:val="20"/>
          <w:color w:val="auto"/>
        </w:rPr>
      </w:pPr>
      <w:r>
        <w:rPr>
          <w:rFonts w:ascii="Arial" w:cs="Arial" w:eastAsia="Arial" w:hAnsi="Arial"/>
          <w:sz w:val="16"/>
          <w:szCs w:val="16"/>
          <w:color w:val="auto"/>
        </w:rPr>
        <w:t>Each of the Audit Committee and the Compensation Committee schedules regular meetings to coincide with the quarterly meetings of the Board and also meets at the request of senior management or at such other times as its Chair determines. The Chair of each Committee, in consultation with our</w:t>
      </w:r>
    </w:p>
    <w:p>
      <w:pPr>
        <w:jc w:val="both"/>
        <w:ind w:right="20"/>
        <w:spacing w:after="0" w:line="234" w:lineRule="auto"/>
        <w:rPr>
          <w:sz w:val="20"/>
          <w:szCs w:val="20"/>
          <w:color w:val="auto"/>
        </w:rPr>
      </w:pPr>
      <w:r>
        <w:rPr>
          <w:rFonts w:ascii="Arial" w:cs="Arial" w:eastAsia="Arial" w:hAnsi="Arial"/>
          <w:sz w:val="16"/>
          <w:szCs w:val="16"/>
          <w:color w:val="auto"/>
        </w:rPr>
        <w:t>Secretary, sets the agendas for the meetings. Each committee reports to the Board on its activities at the next regularly scheduled Board meeting following its committee meetings and when appropriate. During 2022, the Audit Committee held six meetings, and the Compensation Committee held nine meetings. The Board typically conducts an annual multi-day meeting devoted to reviewing the Company’s strategy, macro trends impacting our business, and other</w:t>
      </w:r>
    </w:p>
    <w:p>
      <w:pPr>
        <w:spacing w:after="0" w:line="2" w:lineRule="exact"/>
        <w:rPr>
          <w:sz w:val="20"/>
          <w:szCs w:val="20"/>
          <w:color w:val="auto"/>
        </w:rPr>
      </w:pPr>
    </w:p>
    <w:p>
      <w:pPr>
        <w:ind w:right="80"/>
        <w:spacing w:after="0" w:line="226" w:lineRule="auto"/>
        <w:rPr>
          <w:sz w:val="20"/>
          <w:szCs w:val="20"/>
          <w:color w:val="auto"/>
        </w:rPr>
      </w:pPr>
      <w:r>
        <w:rPr>
          <w:rFonts w:ascii="Arial" w:cs="Arial" w:eastAsia="Arial" w:hAnsi="Arial"/>
          <w:sz w:val="18"/>
          <w:szCs w:val="18"/>
          <w:color w:val="auto"/>
        </w:rPr>
        <w:t>topics of interest to our directors, including relevant continuing education sessions. Following a pause in 2021 due to health risks and logistical constraints resulting from the Covid-19 pandemic (the “Pandemic”), the Board resumed this practice in the second quarter of 2022.</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Each of our independent directors attended all of the meetings of the Board and committees on which he or she served in 2022 with the exception</w:t>
      </w:r>
    </w:p>
    <w:p>
      <w:pPr>
        <w:spacing w:after="0" w:line="21" w:lineRule="exact"/>
        <w:rPr>
          <w:sz w:val="20"/>
          <w:szCs w:val="20"/>
          <w:color w:val="auto"/>
        </w:rPr>
      </w:pPr>
    </w:p>
    <w:p>
      <w:pPr>
        <w:ind w:right="320"/>
        <w:spacing w:after="0" w:line="226" w:lineRule="auto"/>
        <w:rPr>
          <w:sz w:val="20"/>
          <w:szCs w:val="20"/>
          <w:color w:val="auto"/>
        </w:rPr>
      </w:pPr>
      <w:r>
        <w:rPr>
          <w:rFonts w:ascii="Arial" w:cs="Arial" w:eastAsia="Arial" w:hAnsi="Arial"/>
          <w:sz w:val="18"/>
          <w:szCs w:val="18"/>
          <w:color w:val="auto"/>
        </w:rPr>
        <w:t>of one independent director who was unable to attend one special meeting of the Board. Although we do not have a policy on director attendance at the Annual Meeting, directors are encouraged to attend, and each of our directors attended the 2022 Annual Meeting.</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Nomination Process</w:t>
      </w:r>
    </w:p>
    <w:p>
      <w:pPr>
        <w:spacing w:after="0" w:line="94" w:lineRule="exact"/>
        <w:rPr>
          <w:sz w:val="20"/>
          <w:szCs w:val="20"/>
          <w:color w:val="auto"/>
        </w:rPr>
      </w:pPr>
    </w:p>
    <w:p>
      <w:pPr>
        <w:ind w:right="240" w:firstLine="648"/>
        <w:spacing w:after="0" w:line="237" w:lineRule="auto"/>
        <w:rPr>
          <w:sz w:val="20"/>
          <w:szCs w:val="20"/>
          <w:color w:val="auto"/>
        </w:rPr>
      </w:pPr>
      <w:r>
        <w:rPr>
          <w:rFonts w:ascii="Arial" w:cs="Arial" w:eastAsia="Arial" w:hAnsi="Arial"/>
          <w:sz w:val="17"/>
          <w:szCs w:val="17"/>
          <w:color w:val="auto"/>
        </w:rPr>
        <w:t>Nominations for election to the Board may be made by the Compensation Committee or by any common stockholder entitled to vote for the election of directors in accordance with the procedures set forth in our Bylaws and as provided by applicable law. Candidates recommended by common stockholders will be evaluated by the Compensation Committee under the same criteria that are applied to other candidates.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Membership Criteria</w:t>
      </w:r>
    </w:p>
    <w:p>
      <w:pPr>
        <w:spacing w:after="0" w:line="81" w:lineRule="exact"/>
        <w:rPr>
          <w:sz w:val="20"/>
          <w:szCs w:val="20"/>
          <w:color w:val="auto"/>
        </w:rPr>
      </w:pPr>
    </w:p>
    <w:p>
      <w:pPr>
        <w:ind w:right="80" w:firstLine="648"/>
        <w:spacing w:after="0" w:line="248" w:lineRule="auto"/>
        <w:rPr>
          <w:sz w:val="20"/>
          <w:szCs w:val="20"/>
          <w:color w:val="auto"/>
        </w:rPr>
      </w:pPr>
      <w:r>
        <w:rPr>
          <w:rFonts w:ascii="Arial" w:cs="Arial" w:eastAsia="Arial" w:hAnsi="Arial"/>
          <w:sz w:val="16"/>
          <w:szCs w:val="16"/>
          <w:color w:val="auto"/>
        </w:rPr>
        <w:t>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w:t>
      </w:r>
    </w:p>
    <w:p>
      <w:pPr>
        <w:ind w:right="480"/>
        <w:spacing w:after="0" w:line="226" w:lineRule="auto"/>
        <w:rPr>
          <w:sz w:val="20"/>
          <w:szCs w:val="20"/>
          <w:color w:val="auto"/>
        </w:rPr>
      </w:pPr>
      <w:r>
        <w:rPr>
          <w:rFonts w:ascii="Arial" w:cs="Arial" w:eastAsia="Arial" w:hAnsi="Arial"/>
          <w:sz w:val="18"/>
          <w:szCs w:val="18"/>
          <w:color w:val="auto"/>
        </w:rPr>
        <w:t>the Board, including its size and structure, the relative strengths and experience of current directors, and principles of diversity, including diversity of experience, personal and professional backgrounds, race, gender, ethnicity, and age.</w:t>
      </w:r>
    </w:p>
    <w:p>
      <w:pPr>
        <w:spacing w:after="0" w:line="134" w:lineRule="exact"/>
        <w:rPr>
          <w:sz w:val="20"/>
          <w:szCs w:val="20"/>
          <w:color w:val="auto"/>
        </w:rPr>
      </w:pPr>
    </w:p>
    <w:p>
      <w:pPr>
        <w:ind w:right="120" w:firstLine="648"/>
        <w:spacing w:after="0" w:line="241" w:lineRule="auto"/>
        <w:rPr>
          <w:sz w:val="20"/>
          <w:szCs w:val="20"/>
          <w:color w:val="auto"/>
        </w:rPr>
      </w:pPr>
      <w:r>
        <w:rPr>
          <w:rFonts w:ascii="Arial" w:cs="Arial" w:eastAsia="Arial" w:hAnsi="Arial"/>
          <w:sz w:val="16"/>
          <w:szCs w:val="16"/>
          <w:color w:val="auto"/>
        </w:rPr>
        <w:t>The Compensation Committee recognizes the importance of diverse viewpoints, experience, and backgrounds to a well- functioning Board. Although the committee does not have formal objective criteria for diversity on our Board, it is a significant consideration, and since 2017, 60% of new director nominations have been women or minority candidates. Furthering our commitment to diversity, we revised our Corporate Governance Guidelines</w:t>
      </w:r>
    </w:p>
    <w:p>
      <w:pPr>
        <w:spacing w:after="0" w:line="2" w:lineRule="exact"/>
        <w:rPr>
          <w:sz w:val="20"/>
          <w:szCs w:val="20"/>
          <w:color w:val="auto"/>
        </w:rPr>
      </w:pPr>
    </w:p>
    <w:p>
      <w:pPr>
        <w:ind w:right="260"/>
        <w:spacing w:after="0" w:line="234" w:lineRule="auto"/>
        <w:rPr>
          <w:sz w:val="20"/>
          <w:szCs w:val="20"/>
          <w:color w:val="auto"/>
        </w:rPr>
      </w:pPr>
      <w:r>
        <w:rPr>
          <w:rFonts w:ascii="Arial" w:cs="Arial" w:eastAsia="Arial" w:hAnsi="Arial"/>
          <w:sz w:val="16"/>
          <w:szCs w:val="16"/>
          <w:color w:val="auto"/>
        </w:rPr>
        <w:t>in 2021 to reflect the Board’s undertaking to instruct any third-party search firm engaged in a director search on our behalf to include in the initial list of candidates individuals reflecting diverse backgrounds, including diversity of gender, race, or ethnicity. In nominating candidates to the Board, the committee determines whether the incumbent director is willing to stand for re-election. If so, the committee evaluates individual contributions to</w:t>
      </w:r>
    </w:p>
    <w:p>
      <w:pPr>
        <w:spacing w:after="0" w:line="2" w:lineRule="exact"/>
        <w:rPr>
          <w:sz w:val="20"/>
          <w:szCs w:val="20"/>
          <w:color w:val="auto"/>
        </w:rPr>
      </w:pPr>
    </w:p>
    <w:p>
      <w:pPr>
        <w:ind w:right="120"/>
        <w:spacing w:after="0" w:line="226" w:lineRule="auto"/>
        <w:rPr>
          <w:sz w:val="20"/>
          <w:szCs w:val="20"/>
          <w:color w:val="auto"/>
        </w:rPr>
      </w:pPr>
      <w:r>
        <w:rPr>
          <w:rFonts w:ascii="Arial" w:cs="Arial" w:eastAsia="Arial" w:hAnsi="Arial"/>
          <w:sz w:val="18"/>
          <w:szCs w:val="18"/>
          <w:color w:val="auto"/>
        </w:rPr>
        <w:t>determine suitability for continued service, taking into consideration the Board’s criteria for candidates, the Board evaluation process, and other perceived needs of the Board. The Company maintains a corporate membership in the NACD, which provides each director</w:t>
      </w:r>
    </w:p>
    <w:p>
      <w:pPr>
        <w:spacing w:after="0" w:line="332" w:lineRule="exact"/>
        <w:rPr>
          <w:sz w:val="20"/>
          <w:szCs w:val="20"/>
          <w:color w:val="auto"/>
        </w:rPr>
      </w:pPr>
    </w:p>
    <w:p>
      <w:pPr>
        <w:ind w:left="440" w:hanging="414"/>
        <w:spacing w:after="0"/>
        <w:tabs>
          <w:tab w:leader="none" w:pos="440" w:val="left"/>
        </w:tabs>
        <w:numPr>
          <w:ilvl w:val="0"/>
          <w:numId w:val="17"/>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14" w:name="page15"/>
    <w:bookmarkEnd w:id="1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55" w:lineRule="exact"/>
        <w:rPr>
          <w:sz w:val="20"/>
          <w:szCs w:val="20"/>
          <w:color w:val="auto"/>
        </w:rPr>
      </w:pPr>
    </w:p>
    <w:p>
      <w:pPr>
        <w:ind w:right="80"/>
        <w:spacing w:after="0" w:line="259" w:lineRule="auto"/>
        <w:rPr>
          <w:sz w:val="20"/>
          <w:szCs w:val="20"/>
          <w:color w:val="auto"/>
        </w:rPr>
      </w:pPr>
      <w:r>
        <w:rPr>
          <w:rFonts w:ascii="Arial" w:cs="Arial" w:eastAsia="Arial" w:hAnsi="Arial"/>
          <w:sz w:val="16"/>
          <w:szCs w:val="16"/>
          <w:color w:val="auto"/>
        </w:rPr>
        <w:t>with access to continuing education, research materials, and publications relating to corporate governance, board leadership, and other topical information. The Company also reimburses directors for participation in professional development opportunities. In 2022, a number of our directors participated in continuing education and certification programs, including in the areas of cybersecurity, corporate governance, and climate change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136525</wp:posOffset>
            </wp:positionV>
            <wp:extent cx="6172200" cy="21348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172200" cy="213487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2665730</wp:posOffset>
            </wp:positionV>
            <wp:extent cx="5400675"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40067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80"/>
        <w:spacing w:after="0"/>
        <w:tabs>
          <w:tab w:leader="none" w:pos="320" w:val="left"/>
        </w:tabs>
        <w:rPr>
          <w:sz w:val="20"/>
          <w:szCs w:val="20"/>
          <w:color w:val="auto"/>
        </w:rPr>
      </w:pPr>
      <w:r>
        <w:rPr>
          <w:rFonts w:ascii="Arial" w:cs="Arial" w:eastAsia="Arial" w:hAnsi="Arial"/>
          <w:sz w:val="14"/>
          <w:szCs w:val="14"/>
          <w:color w:val="auto"/>
        </w:rPr>
        <w:t>1.</w:t>
      </w:r>
      <w:r>
        <w:rPr>
          <w:sz w:val="20"/>
          <w:szCs w:val="20"/>
          <w:color w:val="auto"/>
        </w:rPr>
        <w:tab/>
      </w:r>
      <w:r>
        <w:rPr>
          <w:rFonts w:ascii="Arial" w:cs="Arial" w:eastAsia="Arial" w:hAnsi="Arial"/>
          <w:sz w:val="13"/>
          <w:szCs w:val="13"/>
          <w:color w:val="auto"/>
        </w:rPr>
        <w:t>Metrics as of February 24, 2023.</w:t>
      </w:r>
    </w:p>
    <w:p>
      <w:pPr>
        <w:spacing w:after="0" w:line="200" w:lineRule="exact"/>
        <w:rPr>
          <w:sz w:val="20"/>
          <w:szCs w:val="20"/>
          <w:color w:val="auto"/>
        </w:rPr>
      </w:pPr>
    </w:p>
    <w:p>
      <w:pPr>
        <w:spacing w:after="0" w:line="27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following table provides characteristics of our directors according to the categories required under Nasdaq listing standards.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83185</wp:posOffset>
            </wp:positionV>
            <wp:extent cx="7003415" cy="2288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003415" cy="2288540"/>
                    </a:xfrm>
                    <a:prstGeom prst="rect">
                      <a:avLst/>
                    </a:prstGeom>
                    <a:noFill/>
                  </pic:spPr>
                </pic:pic>
              </a:graphicData>
            </a:graphic>
          </wp:anchor>
        </w:drawing>
      </w:r>
    </w:p>
    <w:p>
      <w:pPr>
        <w:spacing w:after="0" w:line="120"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Board Diversity Matrix (As of February 24, 2023)</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82"/>
        </w:trPr>
        <w:tc>
          <w:tcPr>
            <w:tcW w:w="3980" w:type="dxa"/>
            <w:vAlign w:val="bottom"/>
            <w:tcBorders>
              <w:top w:val="single" w:sz="8" w:color="auto"/>
              <w:right w:val="single" w:sz="8" w:color="auto"/>
            </w:tcBorders>
          </w:tcPr>
          <w:p>
            <w:pPr>
              <w:spacing w:after="0"/>
              <w:rPr>
                <w:sz w:val="15"/>
                <w:szCs w:val="15"/>
                <w:color w:val="auto"/>
              </w:rPr>
            </w:pPr>
          </w:p>
        </w:tc>
        <w:tc>
          <w:tcPr>
            <w:tcW w:w="1760" w:type="dxa"/>
            <w:vAlign w:val="bottom"/>
            <w:tcBorders>
              <w:top w:val="single" w:sz="8" w:color="auto"/>
              <w:right w:val="single" w:sz="8" w:color="auto"/>
            </w:tcBorders>
          </w:tcPr>
          <w:p>
            <w:pPr>
              <w:spacing w:after="0"/>
              <w:rPr>
                <w:sz w:val="15"/>
                <w:szCs w:val="15"/>
                <w:color w:val="auto"/>
              </w:rPr>
            </w:pPr>
          </w:p>
        </w:tc>
        <w:tc>
          <w:tcPr>
            <w:tcW w:w="1380" w:type="dxa"/>
            <w:vAlign w:val="bottom"/>
            <w:tcBorders>
              <w:top w:val="single" w:sz="8" w:color="auto"/>
            </w:tcBorders>
          </w:tcPr>
          <w:p>
            <w:pPr>
              <w:spacing w:after="0"/>
              <w:rPr>
                <w:sz w:val="15"/>
                <w:szCs w:val="15"/>
                <w:color w:val="auto"/>
              </w:rPr>
            </w:pPr>
          </w:p>
        </w:tc>
        <w:tc>
          <w:tcPr>
            <w:tcW w:w="380" w:type="dxa"/>
            <w:vAlign w:val="bottom"/>
            <w:tcBorders>
              <w:top w:val="single" w:sz="8" w:color="auto"/>
              <w:right w:val="single" w:sz="8" w:color="auto"/>
            </w:tcBorders>
          </w:tcPr>
          <w:p>
            <w:pPr>
              <w:spacing w:after="0"/>
              <w:rPr>
                <w:sz w:val="15"/>
                <w:szCs w:val="15"/>
                <w:color w:val="auto"/>
              </w:rPr>
            </w:pPr>
          </w:p>
        </w:tc>
        <w:tc>
          <w:tcPr>
            <w:tcW w:w="1780" w:type="dxa"/>
            <w:vAlign w:val="bottom"/>
            <w:tcBorders>
              <w:top w:val="single" w:sz="8" w:color="auto"/>
              <w:right w:val="single" w:sz="8" w:color="auto"/>
            </w:tcBorders>
          </w:tcPr>
          <w:p>
            <w:pPr>
              <w:spacing w:after="0"/>
              <w:rPr>
                <w:sz w:val="15"/>
                <w:szCs w:val="15"/>
                <w:color w:val="auto"/>
              </w:rPr>
            </w:pPr>
          </w:p>
        </w:tc>
        <w:tc>
          <w:tcPr>
            <w:tcW w:w="1740" w:type="dxa"/>
            <w:vAlign w:val="bottom"/>
            <w:tcBorders>
              <w:top w:val="single" w:sz="8" w:color="auto"/>
            </w:tcBorders>
          </w:tcPr>
          <w:p>
            <w:pPr>
              <w:jc w:val="center"/>
              <w:spacing w:after="0" w:line="182" w:lineRule="exact"/>
              <w:rPr>
                <w:sz w:val="20"/>
                <w:szCs w:val="20"/>
                <w:color w:val="auto"/>
              </w:rPr>
            </w:pPr>
            <w:r>
              <w:rPr>
                <w:rFonts w:ascii="Arial" w:cs="Arial" w:eastAsia="Arial" w:hAnsi="Arial"/>
                <w:sz w:val="18"/>
                <w:szCs w:val="18"/>
                <w:color w:val="auto"/>
                <w:w w:val="94"/>
              </w:rPr>
              <w:t>Did Not Disclose</w:t>
            </w:r>
          </w:p>
        </w:tc>
        <w:tc>
          <w:tcPr>
            <w:tcW w:w="20" w:type="dxa"/>
            <w:vAlign w:val="bottom"/>
            <w:tcBorders>
              <w:top w:val="single" w:sz="8" w:color="auto"/>
            </w:tcBorders>
          </w:tcPr>
          <w:p>
            <w:pPr>
              <w:spacing w:after="0"/>
              <w:rPr>
                <w:sz w:val="15"/>
                <w:szCs w:val="15"/>
                <w:color w:val="auto"/>
              </w:rPr>
            </w:pPr>
          </w:p>
        </w:tc>
      </w:tr>
      <w:tr>
        <w:trPr>
          <w:trHeight w:val="230"/>
        </w:trPr>
        <w:tc>
          <w:tcPr>
            <w:tcW w:w="3980" w:type="dxa"/>
            <w:vAlign w:val="bottom"/>
            <w:tcBorders>
              <w:bottom w:val="single" w:sz="8" w:color="auto"/>
              <w:right w:val="single" w:sz="8" w:color="auto"/>
            </w:tcBorders>
          </w:tcPr>
          <w:p>
            <w:pPr>
              <w:spacing w:after="0"/>
              <w:rPr>
                <w:sz w:val="20"/>
                <w:szCs w:val="20"/>
                <w:color w:val="auto"/>
              </w:rPr>
            </w:pP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86"/>
              </w:rPr>
              <w:t>Female</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7"/>
              </w:rPr>
              <w:t>Male</w:t>
            </w:r>
          </w:p>
        </w:tc>
        <w:tc>
          <w:tcPr>
            <w:tcW w:w="380" w:type="dxa"/>
            <w:vAlign w:val="bottom"/>
            <w:tcBorders>
              <w:bottom w:val="single" w:sz="8" w:color="auto"/>
              <w:right w:val="single" w:sz="8" w:color="auto"/>
            </w:tcBorders>
          </w:tcPr>
          <w:p>
            <w:pPr>
              <w:spacing w:after="0"/>
              <w:rPr>
                <w:sz w:val="20"/>
                <w:szCs w:val="20"/>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95"/>
              </w:rPr>
              <w:t>Non-Binary</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9"/>
              </w:rPr>
              <w:t>Gender</w:t>
            </w:r>
          </w:p>
        </w:tc>
        <w:tc>
          <w:tcPr>
            <w:tcW w:w="20" w:type="dxa"/>
            <w:vAlign w:val="bottom"/>
            <w:tcBorders>
              <w:bottom w:val="single" w:sz="8" w:color="auto"/>
            </w:tcBorders>
          </w:tcPr>
          <w:p>
            <w:pPr>
              <w:spacing w:after="0"/>
              <w:rPr>
                <w:sz w:val="20"/>
                <w:szCs w:val="20"/>
                <w:color w:val="auto"/>
              </w:rPr>
            </w:pPr>
          </w:p>
        </w:tc>
      </w:tr>
      <w:tr>
        <w:trPr>
          <w:trHeight w:val="223"/>
        </w:trPr>
        <w:tc>
          <w:tcPr>
            <w:tcW w:w="3980" w:type="dxa"/>
            <w:vAlign w:val="bottom"/>
            <w:tcBorders>
              <w:bottom w:val="single" w:sz="8" w:color="auto"/>
              <w:right w:val="single" w:sz="8" w:color="DBDBDB"/>
            </w:tcBorders>
            <w:shd w:val="clear" w:color="auto" w:fill="DBDBDB"/>
          </w:tcPr>
          <w:p>
            <w:pPr>
              <w:ind w:left="40"/>
              <w:spacing w:after="0"/>
              <w:rPr>
                <w:sz w:val="20"/>
                <w:szCs w:val="20"/>
                <w:color w:val="auto"/>
              </w:rPr>
            </w:pPr>
            <w:r>
              <w:rPr>
                <w:rFonts w:ascii="Arial" w:cs="Arial" w:eastAsia="Arial" w:hAnsi="Arial"/>
                <w:sz w:val="18"/>
                <w:szCs w:val="18"/>
                <w:color w:val="auto"/>
              </w:rPr>
              <w:t>Part I: Gender Identity</w:t>
            </w:r>
          </w:p>
        </w:tc>
        <w:tc>
          <w:tcPr>
            <w:tcW w:w="1760" w:type="dxa"/>
            <w:vAlign w:val="bottom"/>
            <w:tcBorders>
              <w:bottom w:val="single" w:sz="8" w:color="auto"/>
              <w:right w:val="single" w:sz="8" w:color="DBDBDB"/>
            </w:tcBorders>
            <w:shd w:val="clear" w:color="auto" w:fill="DBDBDB"/>
          </w:tcPr>
          <w:p>
            <w:pPr>
              <w:spacing w:after="0"/>
              <w:rPr>
                <w:sz w:val="19"/>
                <w:szCs w:val="19"/>
                <w:color w:val="auto"/>
              </w:rPr>
            </w:pPr>
          </w:p>
        </w:tc>
        <w:tc>
          <w:tcPr>
            <w:tcW w:w="1380" w:type="dxa"/>
            <w:vAlign w:val="bottom"/>
            <w:tcBorders>
              <w:bottom w:val="single" w:sz="8" w:color="auto"/>
            </w:tcBorders>
            <w:shd w:val="clear" w:color="auto" w:fill="DBDBDB"/>
          </w:tcPr>
          <w:p>
            <w:pPr>
              <w:spacing w:after="0"/>
              <w:rPr>
                <w:sz w:val="19"/>
                <w:szCs w:val="19"/>
                <w:color w:val="auto"/>
              </w:rPr>
            </w:pPr>
          </w:p>
        </w:tc>
        <w:tc>
          <w:tcPr>
            <w:tcW w:w="380" w:type="dxa"/>
            <w:vAlign w:val="bottom"/>
            <w:tcBorders>
              <w:bottom w:val="single" w:sz="8" w:color="auto"/>
              <w:right w:val="single" w:sz="8" w:color="DBDBDB"/>
            </w:tcBorders>
            <w:shd w:val="clear" w:color="auto" w:fill="DBDBDB"/>
          </w:tcPr>
          <w:p>
            <w:pPr>
              <w:spacing w:after="0"/>
              <w:rPr>
                <w:sz w:val="19"/>
                <w:szCs w:val="19"/>
                <w:color w:val="auto"/>
              </w:rPr>
            </w:pPr>
          </w:p>
        </w:tc>
        <w:tc>
          <w:tcPr>
            <w:tcW w:w="1780" w:type="dxa"/>
            <w:vAlign w:val="bottom"/>
            <w:tcBorders>
              <w:bottom w:val="single" w:sz="8" w:color="auto"/>
              <w:right w:val="single" w:sz="8" w:color="DBDBDB"/>
            </w:tcBorders>
            <w:shd w:val="clear" w:color="auto" w:fill="DBDBDB"/>
          </w:tcPr>
          <w:p>
            <w:pPr>
              <w:spacing w:after="0"/>
              <w:rPr>
                <w:sz w:val="19"/>
                <w:szCs w:val="19"/>
                <w:color w:val="auto"/>
              </w:rPr>
            </w:pPr>
          </w:p>
        </w:tc>
        <w:tc>
          <w:tcPr>
            <w:tcW w:w="1740" w:type="dxa"/>
            <w:vAlign w:val="bottom"/>
            <w:tcBorders>
              <w:bottom w:val="single" w:sz="8" w:color="auto"/>
            </w:tcBorders>
            <w:shd w:val="clear" w:color="auto" w:fill="DBDBDB"/>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Directors</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3</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6</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DBDBDB"/>
            </w:tcBorders>
            <w:shd w:val="clear" w:color="auto" w:fill="DBDBDB"/>
          </w:tcPr>
          <w:p>
            <w:pPr>
              <w:ind w:left="40"/>
              <w:spacing w:after="0"/>
              <w:rPr>
                <w:sz w:val="20"/>
                <w:szCs w:val="20"/>
                <w:color w:val="auto"/>
              </w:rPr>
            </w:pPr>
            <w:r>
              <w:rPr>
                <w:rFonts w:ascii="Arial" w:cs="Arial" w:eastAsia="Arial" w:hAnsi="Arial"/>
                <w:sz w:val="18"/>
                <w:szCs w:val="18"/>
                <w:color w:val="auto"/>
              </w:rPr>
              <w:t>Part II: Demographic Background</w:t>
            </w:r>
          </w:p>
        </w:tc>
        <w:tc>
          <w:tcPr>
            <w:tcW w:w="1760" w:type="dxa"/>
            <w:vAlign w:val="bottom"/>
            <w:tcBorders>
              <w:bottom w:val="single" w:sz="8" w:color="auto"/>
              <w:right w:val="single" w:sz="8" w:color="DBDBDB"/>
            </w:tcBorders>
            <w:shd w:val="clear" w:color="auto" w:fill="DBDBDB"/>
          </w:tcPr>
          <w:p>
            <w:pPr>
              <w:spacing w:after="0"/>
              <w:rPr>
                <w:sz w:val="19"/>
                <w:szCs w:val="19"/>
                <w:color w:val="auto"/>
              </w:rPr>
            </w:pPr>
          </w:p>
        </w:tc>
        <w:tc>
          <w:tcPr>
            <w:tcW w:w="1380" w:type="dxa"/>
            <w:vAlign w:val="bottom"/>
            <w:tcBorders>
              <w:bottom w:val="single" w:sz="8" w:color="auto"/>
            </w:tcBorders>
            <w:shd w:val="clear" w:color="auto" w:fill="DBDBDB"/>
          </w:tcPr>
          <w:p>
            <w:pPr>
              <w:spacing w:after="0"/>
              <w:rPr>
                <w:sz w:val="19"/>
                <w:szCs w:val="19"/>
                <w:color w:val="auto"/>
              </w:rPr>
            </w:pPr>
          </w:p>
        </w:tc>
        <w:tc>
          <w:tcPr>
            <w:tcW w:w="380" w:type="dxa"/>
            <w:vAlign w:val="bottom"/>
            <w:tcBorders>
              <w:bottom w:val="single" w:sz="8" w:color="auto"/>
              <w:right w:val="single" w:sz="8" w:color="DBDBDB"/>
            </w:tcBorders>
            <w:shd w:val="clear" w:color="auto" w:fill="DBDBDB"/>
          </w:tcPr>
          <w:p>
            <w:pPr>
              <w:spacing w:after="0"/>
              <w:rPr>
                <w:sz w:val="19"/>
                <w:szCs w:val="19"/>
                <w:color w:val="auto"/>
              </w:rPr>
            </w:pPr>
          </w:p>
        </w:tc>
        <w:tc>
          <w:tcPr>
            <w:tcW w:w="1780" w:type="dxa"/>
            <w:vAlign w:val="bottom"/>
            <w:tcBorders>
              <w:bottom w:val="single" w:sz="8" w:color="auto"/>
              <w:right w:val="single" w:sz="8" w:color="DBDBDB"/>
            </w:tcBorders>
            <w:shd w:val="clear" w:color="auto" w:fill="DBDBDB"/>
          </w:tcPr>
          <w:p>
            <w:pPr>
              <w:spacing w:after="0"/>
              <w:rPr>
                <w:sz w:val="19"/>
                <w:szCs w:val="19"/>
                <w:color w:val="auto"/>
              </w:rPr>
            </w:pPr>
          </w:p>
        </w:tc>
        <w:tc>
          <w:tcPr>
            <w:tcW w:w="1740" w:type="dxa"/>
            <w:vAlign w:val="bottom"/>
            <w:tcBorders>
              <w:bottom w:val="single" w:sz="8" w:color="auto"/>
            </w:tcBorders>
            <w:shd w:val="clear" w:color="auto" w:fill="DBDBDB"/>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African American or Black</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2</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Alaskan Native or Native American</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Asian</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Hispanic or Latinx</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Native Hawaiian or Pacific Islander</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White</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3</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4</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Two or More Races or Ethnicities</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LGBTQ+</w:t>
            </w:r>
          </w:p>
        </w:tc>
        <w:tc>
          <w:tcPr>
            <w:tcW w:w="176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380" w:type="dxa"/>
            <w:vAlign w:val="bottom"/>
            <w:tcBorders>
              <w:bottom w:val="single" w:sz="8" w:color="auto"/>
            </w:tcBorders>
          </w:tcPr>
          <w:p>
            <w:pPr>
              <w:jc w:val="center"/>
              <w:ind w:left="270"/>
              <w:spacing w:after="0"/>
              <w:rPr>
                <w:sz w:val="20"/>
                <w:szCs w:val="20"/>
                <w:color w:val="auto"/>
              </w:rPr>
            </w:pPr>
            <w:r>
              <w:rPr>
                <w:rFonts w:ascii="Arial" w:cs="Arial" w:eastAsia="Arial" w:hAnsi="Arial"/>
                <w:sz w:val="18"/>
                <w:szCs w:val="18"/>
                <w:color w:val="auto"/>
                <w:w w:val="99"/>
              </w:rPr>
              <w:t>0</w:t>
            </w:r>
          </w:p>
        </w:tc>
        <w:tc>
          <w:tcPr>
            <w:tcW w:w="380" w:type="dxa"/>
            <w:vAlign w:val="bottom"/>
            <w:tcBorders>
              <w:bottom w:val="single" w:sz="8" w:color="auto"/>
              <w:right w:val="single" w:sz="8" w:color="auto"/>
            </w:tcBorders>
          </w:tcPr>
          <w:p>
            <w:pPr>
              <w:spacing w:after="0"/>
              <w:rPr>
                <w:sz w:val="19"/>
                <w:szCs w:val="19"/>
                <w:color w:val="auto"/>
              </w:rPr>
            </w:pPr>
          </w:p>
        </w:tc>
        <w:tc>
          <w:tcPr>
            <w:tcW w:w="17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8"/>
                <w:szCs w:val="18"/>
                <w:color w:val="auto"/>
                <w:w w:val="79"/>
              </w:rPr>
              <w:t>0</w:t>
            </w:r>
          </w:p>
        </w:tc>
        <w:tc>
          <w:tcPr>
            <w:tcW w:w="1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0</w:t>
            </w:r>
          </w:p>
        </w:tc>
        <w:tc>
          <w:tcPr>
            <w:tcW w:w="20" w:type="dxa"/>
            <w:vAlign w:val="bottom"/>
            <w:tcBorders>
              <w:bottom w:val="single" w:sz="8" w:color="auto"/>
            </w:tcBorders>
          </w:tcPr>
          <w:p>
            <w:pPr>
              <w:spacing w:after="0"/>
              <w:rPr>
                <w:sz w:val="19"/>
                <w:szCs w:val="19"/>
                <w:color w:val="auto"/>
              </w:rPr>
            </w:pPr>
          </w:p>
        </w:tc>
      </w:tr>
      <w:tr>
        <w:trPr>
          <w:trHeight w:val="223"/>
        </w:trPr>
        <w:tc>
          <w:tcPr>
            <w:tcW w:w="3980" w:type="dxa"/>
            <w:vAlign w:val="bottom"/>
            <w:tcBorders>
              <w:bottom w:val="single" w:sz="8" w:color="auto"/>
              <w:right w:val="single" w:sz="8" w:color="auto"/>
            </w:tcBorders>
          </w:tcPr>
          <w:p>
            <w:pPr>
              <w:ind w:left="40"/>
              <w:spacing w:after="0"/>
              <w:rPr>
                <w:sz w:val="20"/>
                <w:szCs w:val="20"/>
                <w:color w:val="auto"/>
              </w:rPr>
            </w:pPr>
            <w:r>
              <w:rPr>
                <w:rFonts w:ascii="Arial" w:cs="Arial" w:eastAsia="Arial" w:hAnsi="Arial"/>
                <w:sz w:val="18"/>
                <w:szCs w:val="18"/>
                <w:color w:val="auto"/>
              </w:rPr>
              <w:t>Did Not Disclose Demographic Background</w:t>
            </w:r>
          </w:p>
        </w:tc>
        <w:tc>
          <w:tcPr>
            <w:tcW w:w="1760" w:type="dxa"/>
            <w:vAlign w:val="bottom"/>
            <w:tcBorders>
              <w:bottom w:val="single" w:sz="8" w:color="auto"/>
            </w:tcBorders>
          </w:tcPr>
          <w:p>
            <w:pPr>
              <w:spacing w:after="0"/>
              <w:rPr>
                <w:sz w:val="19"/>
                <w:szCs w:val="19"/>
                <w:color w:val="auto"/>
              </w:rPr>
            </w:pPr>
          </w:p>
        </w:tc>
        <w:tc>
          <w:tcPr>
            <w:tcW w:w="1380" w:type="dxa"/>
            <w:vAlign w:val="bottom"/>
            <w:tcBorders>
              <w:bottom w:val="single" w:sz="8" w:color="auto"/>
            </w:tcBorders>
          </w:tcPr>
          <w:p>
            <w:pPr>
              <w:spacing w:after="0"/>
              <w:rPr>
                <w:sz w:val="19"/>
                <w:szCs w:val="19"/>
                <w:color w:val="auto"/>
              </w:rPr>
            </w:pPr>
          </w:p>
        </w:tc>
        <w:tc>
          <w:tcPr>
            <w:tcW w:w="2160" w:type="dxa"/>
            <w:vAlign w:val="bottom"/>
            <w:tcBorders>
              <w:bottom w:val="single" w:sz="8" w:color="auto"/>
            </w:tcBorders>
            <w:gridSpan w:val="2"/>
          </w:tcPr>
          <w:p>
            <w:pPr>
              <w:jc w:val="right"/>
              <w:ind w:right="1650"/>
              <w:spacing w:after="0"/>
              <w:rPr>
                <w:sz w:val="20"/>
                <w:szCs w:val="20"/>
                <w:color w:val="auto"/>
              </w:rPr>
            </w:pPr>
            <w:r>
              <w:rPr>
                <w:rFonts w:ascii="Arial" w:cs="Arial" w:eastAsia="Arial" w:hAnsi="Arial"/>
                <w:sz w:val="18"/>
                <w:szCs w:val="18"/>
                <w:color w:val="auto"/>
              </w:rPr>
              <w:t>0</w:t>
            </w:r>
          </w:p>
        </w:tc>
        <w:tc>
          <w:tcPr>
            <w:tcW w:w="174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r>
    </w:tbl>
    <w:p>
      <w:pPr>
        <w:spacing w:after="0" w:line="3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Oversight of Strategy and Key Risks</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Our Board is responsible for the general oversight of the Company, including our strategic direction, the performance of our executive officers,</w:t>
      </w:r>
    </w:p>
    <w:p>
      <w:pPr>
        <w:spacing w:after="0" w:line="21" w:lineRule="exact"/>
        <w:rPr>
          <w:sz w:val="20"/>
          <w:szCs w:val="20"/>
          <w:color w:val="auto"/>
        </w:rPr>
      </w:pPr>
    </w:p>
    <w:p>
      <w:pPr>
        <w:ind w:right="20"/>
        <w:spacing w:after="0" w:line="231" w:lineRule="auto"/>
        <w:rPr>
          <w:sz w:val="20"/>
          <w:szCs w:val="20"/>
          <w:color w:val="auto"/>
        </w:rPr>
      </w:pPr>
      <w:r>
        <w:rPr>
          <w:rFonts w:ascii="Arial" w:cs="Arial" w:eastAsia="Arial" w:hAnsi="Arial"/>
          <w:sz w:val="17"/>
          <w:szCs w:val="17"/>
          <w:color w:val="auto"/>
        </w:rPr>
        <w:t>environmental and social initiatives,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76" w:lineRule="exact"/>
        <w:rPr>
          <w:sz w:val="20"/>
          <w:szCs w:val="20"/>
          <w:color w:val="auto"/>
        </w:rPr>
      </w:pPr>
    </w:p>
    <w:p>
      <w:pPr>
        <w:ind w:right="160" w:firstLine="648"/>
        <w:spacing w:after="0" w:line="238" w:lineRule="auto"/>
        <w:rPr>
          <w:sz w:val="20"/>
          <w:szCs w:val="20"/>
          <w:color w:val="auto"/>
        </w:rPr>
      </w:pPr>
      <w:r>
        <w:rPr>
          <w:rFonts w:ascii="Arial" w:cs="Arial" w:eastAsia="Arial" w:hAnsi="Arial"/>
          <w:sz w:val="16"/>
          <w:szCs w:val="16"/>
          <w:color w:val="auto"/>
        </w:rPr>
        <w:t>The Board receives updates from management at each regular meeting on the Company’s performance, market conditions, and other recent developments, including, among other things, risks and opportunities facing us, as well as the strategies used to hedge the Company’s exposure to market risks, including interest rate, spread, prepayment, and extension risks. The Board periodically reviews and discusses our broader business strategy with management and in executive session. The Board also regularly reviews our compliance with policies, procedures, risk limits, and processes addressing</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other operational risks.</w:t>
      </w:r>
    </w:p>
    <w:p>
      <w:pPr>
        <w:sectPr>
          <w:pgSz w:w="11900" w:h="16838" w:orient="portrait"/>
          <w:cols w:equalWidth="0" w:num="1">
            <w:col w:w="11220"/>
          </w:cols>
          <w:pgMar w:left="320" w:top="108"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794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15" w:name="page16"/>
    <w:bookmarkEnd w:id="1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55" w:lineRule="exact"/>
        <w:rPr>
          <w:sz w:val="20"/>
          <w:szCs w:val="20"/>
          <w:color w:val="auto"/>
        </w:rPr>
      </w:pPr>
    </w:p>
    <w:p>
      <w:pPr>
        <w:ind w:firstLine="648"/>
        <w:spacing w:after="0" w:line="241" w:lineRule="auto"/>
        <w:rPr>
          <w:sz w:val="20"/>
          <w:szCs w:val="20"/>
          <w:color w:val="auto"/>
        </w:rPr>
      </w:pPr>
      <w:r>
        <w:rPr>
          <w:rFonts w:ascii="Arial" w:cs="Arial" w:eastAsia="Arial" w:hAnsi="Arial"/>
          <w:sz w:val="16"/>
          <w:szCs w:val="16"/>
          <w:color w:val="auto"/>
        </w:rPr>
        <w:t>The Board considers the Company’s cybersecurity posture and risk exposure with management taking into consideration our operations and the types of data retained on our systems as part of its periodic review of enterprise-wide risk management. Our primary business involves investments in mortgages and mortgage-related instruments. We do not currently perform mortgage servicing, maintain customer accounts, or provide any direct mortgage</w:t>
      </w:r>
    </w:p>
    <w:p>
      <w:pPr>
        <w:spacing w:after="0" w:line="2" w:lineRule="exact"/>
        <w:rPr>
          <w:sz w:val="20"/>
          <w:szCs w:val="20"/>
          <w:color w:val="auto"/>
        </w:rPr>
      </w:pPr>
    </w:p>
    <w:p>
      <w:pPr>
        <w:ind w:right="180"/>
        <w:spacing w:after="0" w:line="234" w:lineRule="auto"/>
        <w:rPr>
          <w:sz w:val="20"/>
          <w:szCs w:val="20"/>
          <w:color w:val="auto"/>
        </w:rPr>
      </w:pPr>
      <w:r>
        <w:rPr>
          <w:rFonts w:ascii="Arial" w:cs="Arial" w:eastAsia="Arial" w:hAnsi="Arial"/>
          <w:sz w:val="16"/>
          <w:szCs w:val="16"/>
          <w:color w:val="auto"/>
        </w:rPr>
        <w:t>lending, and thus we do not receive personal information on individual mortgage borrowers as part of our regular operations. The Company has implemented a comprehensive cybersecurity program aligned with the NIST Cybersecurity Framework and routinely engages with third parties to test its effectiveness. The Board recognizes that the cornerstone of an effective information security program is security awareness at every level of the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organization, and the Company regularly tests and trains employees on cybersecurity best practices.</w:t>
      </w:r>
    </w:p>
    <w:p>
      <w:pPr>
        <w:spacing w:after="0" w:line="196" w:lineRule="exact"/>
        <w:rPr>
          <w:sz w:val="20"/>
          <w:szCs w:val="20"/>
          <w:color w:val="auto"/>
        </w:rPr>
      </w:pPr>
    </w:p>
    <w:p>
      <w:pPr>
        <w:ind w:right="160" w:firstLine="648"/>
        <w:spacing w:after="0" w:line="248" w:lineRule="auto"/>
        <w:rPr>
          <w:sz w:val="20"/>
          <w:szCs w:val="20"/>
          <w:color w:val="auto"/>
        </w:rPr>
      </w:pPr>
      <w:r>
        <w:rPr>
          <w:rFonts w:ascii="Arial" w:cs="Arial" w:eastAsia="Arial" w:hAnsi="Arial"/>
          <w:sz w:val="16"/>
          <w:szCs w:val="16"/>
          <w:color w:val="auto"/>
        </w:rPr>
        <w:t>The Board has delegated oversight of AGNC’s cybersecurity risk to the Audit Committee, which is also responsible for oversight of information technology and data security controls related to our financial reporting. The Audit Committee reviews the Company’s cybersecurity program and risk</w:t>
      </w:r>
    </w:p>
    <w:p>
      <w:pPr>
        <w:jc w:val="both"/>
        <w:ind w:right="400"/>
        <w:spacing w:after="0" w:line="218" w:lineRule="auto"/>
        <w:rPr>
          <w:sz w:val="20"/>
          <w:szCs w:val="20"/>
          <w:color w:val="auto"/>
        </w:rPr>
      </w:pPr>
      <w:r>
        <w:rPr>
          <w:rFonts w:ascii="Arial" w:cs="Arial" w:eastAsia="Arial" w:hAnsi="Arial"/>
          <w:sz w:val="18"/>
          <w:szCs w:val="18"/>
          <w:color w:val="auto"/>
        </w:rPr>
        <w:t>exposure with the Company’s Senior Vice President for Information Technology on at least an annual basis, and it receives reports from him on these matters at least quarterly. The Audit Committee may also conduct additional cybersecurity reviews or receive additional updates or reports as it deems necessary.</w:t>
      </w:r>
    </w:p>
    <w:p>
      <w:pPr>
        <w:spacing w:after="0" w:line="176" w:lineRule="exact"/>
        <w:rPr>
          <w:sz w:val="20"/>
          <w:szCs w:val="20"/>
          <w:color w:val="auto"/>
        </w:rPr>
      </w:pPr>
    </w:p>
    <w:p>
      <w:pPr>
        <w:ind w:right="180" w:firstLine="648"/>
        <w:spacing w:after="0" w:line="241" w:lineRule="auto"/>
        <w:rPr>
          <w:sz w:val="20"/>
          <w:szCs w:val="20"/>
          <w:color w:val="auto"/>
        </w:rPr>
      </w:pPr>
      <w:r>
        <w:rPr>
          <w:rFonts w:ascii="Arial" w:cs="Arial" w:eastAsia="Arial" w:hAnsi="Arial"/>
          <w:sz w:val="16"/>
          <w:szCs w:val="16"/>
          <w:color w:val="auto"/>
        </w:rPr>
        <w:t>The Board recognizes the importance of effective executive leadership and the promotion of an ethical and professional culture throughout our organization. The Board and the Compensation Committee are actively engaged in overseeing succession planning, including a routine review of staffing for critical roles, considering the operational needs of the Company and the potential leadership, industry knowledge, and investment skills of existing</w:t>
      </w:r>
    </w:p>
    <w:p>
      <w:pPr>
        <w:spacing w:after="0" w:line="2" w:lineRule="exact"/>
        <w:rPr>
          <w:sz w:val="20"/>
          <w:szCs w:val="20"/>
          <w:color w:val="auto"/>
        </w:rPr>
      </w:pPr>
    </w:p>
    <w:p>
      <w:pPr>
        <w:jc w:val="both"/>
        <w:ind w:right="20"/>
        <w:spacing w:after="0" w:line="234" w:lineRule="auto"/>
        <w:rPr>
          <w:sz w:val="20"/>
          <w:szCs w:val="20"/>
          <w:color w:val="auto"/>
        </w:rPr>
      </w:pPr>
      <w:r>
        <w:rPr>
          <w:rFonts w:ascii="Arial" w:cs="Arial" w:eastAsia="Arial" w:hAnsi="Arial"/>
          <w:sz w:val="16"/>
          <w:szCs w:val="16"/>
          <w:color w:val="auto"/>
        </w:rPr>
        <w:t>employees. The completed transition of Mr. Kain to Executive Chair of the Board and the promotion of Messrs. Federico and Kuehl that took effect in July 2021 were consistent with our Board’s long-term commitment to sound succession planning and effective development of employees. Executives and other key employees in the Company are given exposure to the Board during meetings and other events to assist with their development and the Board’s</w:t>
      </w:r>
    </w:p>
    <w:p>
      <w:pPr>
        <w:spacing w:after="0" w:line="2" w:lineRule="exact"/>
        <w:rPr>
          <w:sz w:val="20"/>
          <w:szCs w:val="20"/>
          <w:color w:val="auto"/>
        </w:rPr>
      </w:pPr>
    </w:p>
    <w:p>
      <w:pPr>
        <w:ind w:right="460"/>
        <w:spacing w:after="0" w:line="218" w:lineRule="auto"/>
        <w:rPr>
          <w:sz w:val="20"/>
          <w:szCs w:val="20"/>
          <w:color w:val="auto"/>
        </w:rPr>
      </w:pPr>
      <w:r>
        <w:rPr>
          <w:rFonts w:ascii="Arial" w:cs="Arial" w:eastAsia="Arial" w:hAnsi="Arial"/>
          <w:sz w:val="18"/>
          <w:szCs w:val="18"/>
          <w:color w:val="auto"/>
        </w:rPr>
        <w:t>evaluation. In addition, the Board receives updates on management’s strategies for recruiting, developing, and retaining outstanding personnel and minimizing employee turnover, as applicable. At least annually, the Audit Committee reviews employee compliance with our Code of Ethics, and the Compensation Committee annually reviews the sufficiency of the Code of Ethics.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-6985</wp:posOffset>
            </wp:positionV>
            <wp:extent cx="6172200" cy="3086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172200" cy="3086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The Board has delegated certain risk management oversight responsibility to its committees as follows:</w:t>
      </w:r>
    </w:p>
    <w:p>
      <w:pPr>
        <w:spacing w:after="0" w:line="90" w:lineRule="exact"/>
        <w:rPr>
          <w:sz w:val="20"/>
          <w:szCs w:val="20"/>
          <w:color w:val="auto"/>
        </w:rPr>
      </w:pPr>
    </w:p>
    <w:p>
      <w:pPr>
        <w:ind w:left="900" w:right="160" w:hanging="325"/>
        <w:spacing w:after="0" w:line="237" w:lineRule="auto"/>
        <w:tabs>
          <w:tab w:leader="none" w:pos="895" w:val="left"/>
        </w:tabs>
        <w:numPr>
          <w:ilvl w:val="0"/>
          <w:numId w:val="18"/>
        </w:numPr>
        <w:rPr>
          <w:rFonts w:ascii="Arial" w:cs="Arial" w:eastAsia="Arial" w:hAnsi="Arial"/>
          <w:sz w:val="17"/>
          <w:szCs w:val="17"/>
          <w:color w:val="auto"/>
        </w:rPr>
      </w:pPr>
      <w:r>
        <w:rPr>
          <w:rFonts w:ascii="Arial" w:cs="Arial" w:eastAsia="Arial" w:hAnsi="Arial"/>
          <w:sz w:val="17"/>
          <w:szCs w:val="17"/>
          <w:i w:val="1"/>
          <w:iCs w:val="1"/>
          <w:color w:val="407CCA"/>
        </w:rPr>
        <w:t xml:space="preserve">Regulatory Compliance Risk: </w:t>
      </w:r>
      <w:r>
        <w:rPr>
          <w:rFonts w:ascii="Arial" w:cs="Arial" w:eastAsia="Arial" w:hAnsi="Arial"/>
          <w:sz w:val="17"/>
          <w:szCs w:val="17"/>
          <w:color w:val="000000"/>
        </w:rPr>
        <w:t>The Board, both directly and through the Audit Committee, receives regular reports from the Company’s legal,</w:t>
      </w:r>
      <w:r>
        <w:rPr>
          <w:rFonts w:ascii="Arial" w:cs="Arial" w:eastAsia="Arial" w:hAnsi="Arial"/>
          <w:sz w:val="17"/>
          <w:szCs w:val="17"/>
          <w:i w:val="1"/>
          <w:iCs w:val="1"/>
          <w:color w:val="407CCA"/>
        </w:rPr>
        <w:t xml:space="preserve"> </w:t>
      </w:r>
      <w:r>
        <w:rPr>
          <w:rFonts w:ascii="Arial" w:cs="Arial" w:eastAsia="Arial" w:hAnsi="Arial"/>
          <w:sz w:val="17"/>
          <w:szCs w:val="17"/>
          <w:color w:val="000000"/>
        </w:rPr>
        <w:t>accounting, tax, and internal audit representatives on regulatory compliance matters, including the Company’s compliance with its REIT qualification and exemption from the Investment Company Act of 1940 and compliance with our Code of Ethics.</w:t>
      </w:r>
    </w:p>
    <w:p>
      <w:pPr>
        <w:spacing w:after="0" w:line="68" w:lineRule="exact"/>
        <w:rPr>
          <w:rFonts w:ascii="Arial" w:cs="Arial" w:eastAsia="Arial" w:hAnsi="Arial"/>
          <w:sz w:val="17"/>
          <w:szCs w:val="17"/>
          <w:color w:val="auto"/>
        </w:rPr>
      </w:pPr>
    </w:p>
    <w:p>
      <w:pPr>
        <w:ind w:left="900" w:right="160" w:hanging="325"/>
        <w:spacing w:after="0" w:line="223" w:lineRule="auto"/>
        <w:tabs>
          <w:tab w:leader="none" w:pos="895" w:val="left"/>
        </w:tabs>
        <w:numPr>
          <w:ilvl w:val="0"/>
          <w:numId w:val="18"/>
        </w:numPr>
        <w:rPr>
          <w:rFonts w:ascii="Arial" w:cs="Arial" w:eastAsia="Arial" w:hAnsi="Arial"/>
          <w:sz w:val="18"/>
          <w:szCs w:val="18"/>
          <w:color w:val="auto"/>
        </w:rPr>
      </w:pPr>
      <w:r>
        <w:rPr>
          <w:rFonts w:ascii="Arial" w:cs="Arial" w:eastAsia="Arial" w:hAnsi="Arial"/>
          <w:sz w:val="18"/>
          <w:szCs w:val="18"/>
          <w:i w:val="1"/>
          <w:iCs w:val="1"/>
          <w:color w:val="407CCA"/>
        </w:rPr>
        <w:t xml:space="preserve">Financial and Accounting Risk: </w:t>
      </w:r>
      <w:r>
        <w:rPr>
          <w:rFonts w:ascii="Arial" w:cs="Arial" w:eastAsia="Arial" w:hAnsi="Arial"/>
          <w:sz w:val="18"/>
          <w:szCs w:val="18"/>
          <w:color w:val="000000"/>
        </w:rPr>
        <w:t>The Audit Committee oversees the Company’s management of its financial and accounting systems, its</w:t>
      </w:r>
      <w:r>
        <w:rPr>
          <w:rFonts w:ascii="Arial" w:cs="Arial" w:eastAsia="Arial" w:hAnsi="Arial"/>
          <w:sz w:val="18"/>
          <w:szCs w:val="18"/>
          <w:i w:val="1"/>
          <w:iCs w:val="1"/>
          <w:color w:val="407CCA"/>
        </w:rPr>
        <w:t xml:space="preserve"> </w:t>
      </w:r>
      <w:r>
        <w:rPr>
          <w:rFonts w:ascii="Arial" w:cs="Arial" w:eastAsia="Arial" w:hAnsi="Arial"/>
          <w:sz w:val="18"/>
          <w:szCs w:val="18"/>
          <w:color w:val="000000"/>
        </w:rPr>
        <w:t>internal control over financial reporting, and disclosure controls and procedures through regular meetings with our Chief Financial Officer, senior representatives of the Company’s accounting, internal audit, and legal departments, and representatives of the Company’s independent public accountant.</w:t>
      </w:r>
    </w:p>
    <w:p>
      <w:pPr>
        <w:spacing w:after="0" w:line="54" w:lineRule="exact"/>
        <w:rPr>
          <w:rFonts w:ascii="Arial" w:cs="Arial" w:eastAsia="Arial" w:hAnsi="Arial"/>
          <w:sz w:val="18"/>
          <w:szCs w:val="18"/>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76" w:lineRule="exact"/>
        <w:rPr>
          <w:rFonts w:ascii="Arial" w:cs="Arial" w:eastAsia="Arial" w:hAnsi="Arial"/>
          <w:sz w:val="18"/>
          <w:szCs w:val="18"/>
          <w:color w:val="auto"/>
        </w:rPr>
      </w:pPr>
    </w:p>
    <w:p>
      <w:pPr>
        <w:ind w:left="900" w:right="480" w:hanging="325"/>
        <w:spacing w:after="0" w:line="246" w:lineRule="auto"/>
        <w:tabs>
          <w:tab w:leader="none" w:pos="895" w:val="left"/>
        </w:tabs>
        <w:numPr>
          <w:ilvl w:val="0"/>
          <w:numId w:val="18"/>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spacing w:after="0" w:line="314" w:lineRule="exact"/>
        <w:rPr>
          <w:sz w:val="20"/>
          <w:szCs w:val="20"/>
          <w:color w:val="auto"/>
        </w:rPr>
      </w:pPr>
    </w:p>
    <w:p>
      <w:pPr>
        <w:ind w:left="440" w:hanging="414"/>
        <w:spacing w:after="0"/>
        <w:tabs>
          <w:tab w:leader="none" w:pos="440" w:val="left"/>
        </w:tabs>
        <w:numPr>
          <w:ilvl w:val="0"/>
          <w:numId w:val="19"/>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16" w:name="page17"/>
    <w:bookmarkEnd w:id="1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86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63" w:lineRule="exact"/>
        <w:rPr>
          <w:sz w:val="20"/>
          <w:szCs w:val="20"/>
          <w:color w:val="auto"/>
        </w:rPr>
      </w:pPr>
    </w:p>
    <w:p>
      <w:pPr>
        <w:ind w:left="900" w:right="120" w:hanging="325"/>
        <w:spacing w:after="0" w:line="289" w:lineRule="auto"/>
        <w:tabs>
          <w:tab w:leader="none" w:pos="895" w:val="left"/>
        </w:tabs>
        <w:numPr>
          <w:ilvl w:val="0"/>
          <w:numId w:val="20"/>
        </w:numPr>
        <w:rPr>
          <w:rFonts w:ascii="Arial" w:cs="Arial" w:eastAsia="Arial" w:hAnsi="Arial"/>
          <w:sz w:val="16"/>
          <w:szCs w:val="16"/>
          <w:color w:val="auto"/>
        </w:rPr>
      </w:pPr>
      <w:r>
        <w:rPr>
          <w:rFonts w:ascii="Arial" w:cs="Arial" w:eastAsia="Arial" w:hAnsi="Arial"/>
          <w:sz w:val="16"/>
          <w:szCs w:val="16"/>
          <w:i w:val="1"/>
          <w:iCs w:val="1"/>
          <w:color w:val="407CCA"/>
        </w:rPr>
        <w:t xml:space="preserve">Succession Planning and Human Capital Risk: </w:t>
      </w:r>
      <w:r>
        <w:rPr>
          <w:rFonts w:ascii="Arial" w:cs="Arial" w:eastAsia="Arial" w:hAnsi="Arial"/>
          <w:sz w:val="16"/>
          <w:szCs w:val="16"/>
          <w:color w:val="000000"/>
        </w:rPr>
        <w:t>The Compensation Committee is responsible for ensuring that a succession plan is in place for</w:t>
      </w:r>
      <w:r>
        <w:rPr>
          <w:rFonts w:ascii="Arial" w:cs="Arial" w:eastAsia="Arial" w:hAnsi="Arial"/>
          <w:sz w:val="16"/>
          <w:szCs w:val="16"/>
          <w:i w:val="1"/>
          <w:iCs w:val="1"/>
          <w:color w:val="407CCA"/>
        </w:rPr>
        <w:t xml:space="preserve"> </w:t>
      </w:r>
      <w:r>
        <w:rPr>
          <w:rFonts w:ascii="Arial" w:cs="Arial" w:eastAsia="Arial" w:hAnsi="Arial"/>
          <w:sz w:val="16"/>
          <w:szCs w:val="16"/>
          <w:color w:val="000000"/>
        </w:rPr>
        <w:t>our executive officers and other key employees and overseeing the Company’s management and development of its human capital.</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ESG and Corporate Responsibility</w:t>
      </w:r>
    </w:p>
    <w:p>
      <w:pPr>
        <w:spacing w:after="0" w:line="94" w:lineRule="exact"/>
        <w:rPr>
          <w:sz w:val="20"/>
          <w:szCs w:val="20"/>
          <w:color w:val="auto"/>
        </w:rPr>
      </w:pPr>
    </w:p>
    <w:p>
      <w:pPr>
        <w:ind w:right="60" w:firstLine="648"/>
        <w:spacing w:after="0" w:line="241" w:lineRule="auto"/>
        <w:rPr>
          <w:sz w:val="20"/>
          <w:szCs w:val="20"/>
          <w:color w:val="auto"/>
        </w:rPr>
      </w:pPr>
      <w:r>
        <w:rPr>
          <w:rFonts w:ascii="Arial" w:cs="Arial" w:eastAsia="Arial" w:hAnsi="Arial"/>
          <w:sz w:val="16"/>
          <w:szCs w:val="16"/>
          <w:color w:val="auto"/>
        </w:rPr>
        <w:t>We understand the importance of incorporating environmental, social, and governance considerations into our business and day-to-day operations, and we appreciate the increased interest of our stockholders in these matters. We consider the interests of all our stakeholders—our stockholders, employees, lenders, other counterparties, vendors, and community—in pursuing the long-term success of our business. Our review and evaluation of</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corporate social responsibility is focused on two areas: our business operations and our investment activity.</w:t>
      </w:r>
    </w:p>
    <w:p>
      <w:pPr>
        <w:spacing w:after="0" w:line="169" w:lineRule="exact"/>
        <w:rPr>
          <w:sz w:val="20"/>
          <w:szCs w:val="20"/>
          <w:color w:val="auto"/>
        </w:rPr>
      </w:pPr>
    </w:p>
    <w:p>
      <w:pPr>
        <w:ind w:right="20" w:firstLine="648"/>
        <w:spacing w:after="0" w:line="241" w:lineRule="auto"/>
        <w:rPr>
          <w:sz w:val="20"/>
          <w:szCs w:val="20"/>
          <w:color w:val="auto"/>
        </w:rPr>
      </w:pPr>
      <w:r>
        <w:rPr>
          <w:rFonts w:ascii="Arial" w:cs="Arial" w:eastAsia="Arial" w:hAnsi="Arial"/>
          <w:sz w:val="17"/>
          <w:szCs w:val="17"/>
          <w:color w:val="auto"/>
        </w:rPr>
        <w:t>Our primary operational focus from a social perspective is our human capital. AGNC is committed to providing our employees an engaging, supportive, and inclusive atmosphere in which to grow professionally and contribute to our corporate objectives. We pride ourselves on providing a wide selection of resources to protect and promote our employees’ professional development, health, well-being, financial security, safety, and work-life balance. We offer our employees comprehensive benefits and participation in our long-term equity incentive program, and we have implemented programs that promote cross training, collaboration, and professional growth. We have also approached the workplace disruptions of the Pandemic with flexibility and ensured that the health and safety of our workforce is protected, while our business operations continue uninterrupted. In 2022, we continued our hybrid work model which allows for meaningful collaboration among employees while also promoting flexibility in individual employee schedules. As a 51 person organization engaged in managing a portfolio primarily consisting of Agency mortgage-backed securities, our business operations have a limited environmental impact, but we continuously evaluate opportunities to minimize our direct environmental effects.</w:t>
      </w:r>
    </w:p>
    <w:p>
      <w:pPr>
        <w:spacing w:after="0" w:line="177" w:lineRule="exact"/>
        <w:rPr>
          <w:sz w:val="20"/>
          <w:szCs w:val="20"/>
          <w:color w:val="auto"/>
        </w:rPr>
      </w:pPr>
    </w:p>
    <w:p>
      <w:pPr>
        <w:ind w:right="100" w:firstLine="648"/>
        <w:spacing w:after="0" w:line="231" w:lineRule="auto"/>
        <w:rPr>
          <w:sz w:val="20"/>
          <w:szCs w:val="20"/>
          <w:color w:val="auto"/>
        </w:rPr>
      </w:pPr>
      <w:r>
        <w:rPr>
          <w:rFonts w:ascii="Arial" w:cs="Arial" w:eastAsia="Arial" w:hAnsi="Arial"/>
          <w:sz w:val="18"/>
          <w:szCs w:val="18"/>
          <w:color w:val="auto"/>
        </w:rPr>
        <w:t>From an investment perspective, our business supports home ownership in the United States, which has long been viewed as an important vehicle of individual wealth creation and aids in the development of strong communities. Our investments in residential mortgage-backed securities and other mortgage related instruments play a meaningful role in helping Americans become homeowners. As an investor predominantly in Agency mortgage-backed securities, we have limited insight into the location, age, or other characteristics of individual homes or the identity of the mortgage borrowers included in these investments.</w:t>
      </w:r>
    </w:p>
    <w:p>
      <w:pPr>
        <w:spacing w:after="0" w:line="192" w:lineRule="exact"/>
        <w:rPr>
          <w:sz w:val="20"/>
          <w:szCs w:val="20"/>
          <w:color w:val="auto"/>
        </w:rPr>
      </w:pPr>
    </w:p>
    <w:p>
      <w:pPr>
        <w:ind w:right="520" w:firstLine="648"/>
        <w:spacing w:after="0" w:line="285" w:lineRule="auto"/>
        <w:rPr>
          <w:sz w:val="20"/>
          <w:szCs w:val="20"/>
          <w:color w:val="auto"/>
        </w:rPr>
      </w:pPr>
      <w:r>
        <w:rPr>
          <w:rFonts w:ascii="Arial" w:cs="Arial" w:eastAsia="Arial" w:hAnsi="Arial"/>
          <w:sz w:val="16"/>
          <w:szCs w:val="16"/>
          <w:color w:val="auto"/>
        </w:rPr>
        <w:t>Our Board has elected to allocate oversight of ESG matters amongst the Board and our Compensation and Audit Committees rather than delegating responsibility for oversight of all ESG matters to a single committee. By separating areas of focus and attention encompassed within ESG considerations, each of these Committees and the Board govern and oversee areas of corporate responsibility within their respective areas of focus.</w:t>
      </w:r>
    </w:p>
    <w:p>
      <w:pPr>
        <w:spacing w:after="0" w:line="155" w:lineRule="exact"/>
        <w:rPr>
          <w:sz w:val="20"/>
          <w:szCs w:val="20"/>
          <w:color w:val="auto"/>
        </w:rPr>
      </w:pPr>
    </w:p>
    <w:p>
      <w:pPr>
        <w:ind w:right="20" w:firstLine="648"/>
        <w:spacing w:after="0" w:line="244" w:lineRule="auto"/>
        <w:rPr>
          <w:sz w:val="20"/>
          <w:szCs w:val="20"/>
          <w:color w:val="auto"/>
        </w:rPr>
      </w:pPr>
      <w:r>
        <w:rPr>
          <w:rFonts w:ascii="Arial" w:cs="Arial" w:eastAsia="Arial" w:hAnsi="Arial"/>
          <w:sz w:val="17"/>
          <w:szCs w:val="17"/>
          <w:color w:val="auto"/>
        </w:rPr>
        <w:t>Our Compensation Committee oversees our approach to human capital management and development, the governance and operations of our Board (including its governance and oversight of corporate social responsibility and sustainability), and the composition and diversity of our Board. As part of its oversight of human capital management and corporate responsibility, the Compensation Committee receives reports on the results of employee surveys and updates from management regarding actions taken to promote development and engagement of our workforce. Our Audit Committee oversees our management’s governance of our business conduct in the areas of financial reporting, information security, legal and regulatory compliance, and compliance with our Code of Ethics. Our full Board oversees our investment guidelines, portfolio and risk management framework, and overall strategic direction, which incorporates our responsibility to the people and communities we serve.</w:t>
      </w:r>
    </w:p>
    <w:p>
      <w:pPr>
        <w:spacing w:after="0" w:line="175" w:lineRule="exact"/>
        <w:rPr>
          <w:sz w:val="20"/>
          <w:szCs w:val="20"/>
          <w:color w:val="auto"/>
        </w:rPr>
      </w:pPr>
    </w:p>
    <w:p>
      <w:pPr>
        <w:jc w:val="both"/>
        <w:ind w:right="120" w:firstLine="648"/>
        <w:spacing w:after="0" w:line="251" w:lineRule="auto"/>
        <w:rPr>
          <w:sz w:val="20"/>
          <w:szCs w:val="20"/>
          <w:color w:val="auto"/>
        </w:rPr>
      </w:pPr>
      <w:r>
        <w:rPr>
          <w:rFonts w:ascii="Arial" w:cs="Arial" w:eastAsia="Arial" w:hAnsi="Arial"/>
          <w:sz w:val="17"/>
          <w:szCs w:val="17"/>
          <w:color w:val="auto"/>
        </w:rPr>
        <w:t>In September 2022, we issued our second annual ESG Report, which provides disclosures consistent with the recommendations of the SASB and the TCFD, including Scope 1 and 2 greenhouse gas emissions data. The report provides disclosure on ESG issues and topics most material to our business and operations and further details our ongoing efforts to enhance our corporate responsibility and sustainability practices. Our ESG Report is available in the Corporate Responsibility section of our website at www.AGNC.com/corporate-responsibility.</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94" w:lineRule="exact"/>
        <w:rPr>
          <w:sz w:val="20"/>
          <w:szCs w:val="20"/>
          <w:color w:val="auto"/>
        </w:rPr>
      </w:pPr>
    </w:p>
    <w:p>
      <w:pPr>
        <w:ind w:right="120" w:firstLine="648"/>
        <w:spacing w:after="0" w:line="241" w:lineRule="auto"/>
        <w:rPr>
          <w:sz w:val="20"/>
          <w:szCs w:val="20"/>
          <w:color w:val="auto"/>
        </w:rPr>
      </w:pPr>
      <w:r>
        <w:rPr>
          <w:rFonts w:ascii="Arial" w:cs="Arial" w:eastAsia="Arial" w:hAnsi="Arial"/>
          <w:sz w:val="16"/>
          <w:szCs w:val="16"/>
          <w:color w:val="auto"/>
        </w:rPr>
        <w:t>As described in more detail below, we compensate our independent directors with cash retainers and equity-based awards. Directors who are employees of the Company or our subsidiaries do not receive any compensation for service as a member of the Board, although we reimburse all directors for travel expenses incurred in connection with Board and committee meetings and Board-related functions. The Compensation Committee periodically</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reviews the form and amount of compensation paid to our independent directors to ensure it remains consistent with quality corporate governance practices. In these reviews, the Compensation Committee regularly consults with FW Cook for advice on the design and structure of the program, information on recent trends and developments in non-employee director compensation, general industry data, and analyses of the competitiveness of our non-employee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director compensation levels relative to comparable companies.</w:t>
      </w:r>
    </w:p>
    <w:p>
      <w:pPr>
        <w:spacing w:after="0" w:line="196" w:lineRule="exact"/>
        <w:rPr>
          <w:sz w:val="20"/>
          <w:szCs w:val="20"/>
          <w:color w:val="auto"/>
        </w:rPr>
      </w:pPr>
    </w:p>
    <w:p>
      <w:pPr>
        <w:ind w:right="140" w:firstLine="648"/>
        <w:spacing w:after="0" w:line="248" w:lineRule="auto"/>
        <w:rPr>
          <w:sz w:val="20"/>
          <w:szCs w:val="20"/>
          <w:color w:val="auto"/>
        </w:rPr>
      </w:pPr>
      <w:r>
        <w:rPr>
          <w:rFonts w:ascii="Arial" w:cs="Arial" w:eastAsia="Arial" w:hAnsi="Arial"/>
          <w:sz w:val="16"/>
          <w:szCs w:val="16"/>
          <w:color w:val="auto"/>
        </w:rPr>
        <w:t>In 2022, independent directors received a cash retainer for service on the Board at the annual rate of $112,500, payable quarterly in advance. The cash retainer level was established in 2019 in consultation with FW Cook following the Compensation Committee’s review of market practices at a group</w:t>
      </w:r>
    </w:p>
    <w:p>
      <w:pPr>
        <w:ind w:right="400"/>
        <w:spacing w:after="0" w:line="218" w:lineRule="auto"/>
        <w:rPr>
          <w:sz w:val="20"/>
          <w:szCs w:val="20"/>
          <w:color w:val="auto"/>
        </w:rPr>
      </w:pPr>
      <w:r>
        <w:rPr>
          <w:rFonts w:ascii="Arial" w:cs="Arial" w:eastAsia="Arial" w:hAnsi="Arial"/>
          <w:sz w:val="18"/>
          <w:szCs w:val="18"/>
          <w:color w:val="auto"/>
        </w:rPr>
        <w:t>of comparable companies and taking into consideration the level of work required of our directors. In 2022, the Chairs of our Audit Committee and Compensation Committee each received an additional retainer at an annual rate of $25,000, each payable quarterly in advance, and our Vice Chair and Lead Independent Director received an annual</w:t>
      </w:r>
    </w:p>
    <w:p>
      <w:pPr>
        <w:spacing w:after="0" w:line="334" w:lineRule="exact"/>
        <w:rPr>
          <w:sz w:val="20"/>
          <w:szCs w:val="20"/>
          <w:color w:val="auto"/>
        </w:rPr>
      </w:pPr>
    </w:p>
    <w:tbl>
      <w:tblPr>
        <w:tblLayout w:type="fixed"/>
        <w:tblInd w:w="0" w:type="dxa"/>
        <w:tblCellMar>
          <w:top w:w="0" w:type="dxa"/>
          <w:left w:w="0" w:type="dxa"/>
          <w:bottom w:w="0" w:type="dxa"/>
          <w:right w:w="0" w:type="dxa"/>
        </w:tblCellMar>
      </w:tblPr>
      <w:tr>
        <w:trPr>
          <w:trHeight w:val="182"/>
        </w:trPr>
        <w:tc>
          <w:tcPr>
            <w:tcW w:w="10980" w:type="dxa"/>
            <w:vAlign w:val="bottom"/>
          </w:tcPr>
          <w:p>
            <w:pPr>
              <w:ind w:left="7940"/>
              <w:spacing w:after="0"/>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tc>
        <w:tc>
          <w:tcPr>
            <w:tcW w:w="260" w:type="dxa"/>
            <w:vAlign w:val="bottom"/>
          </w:tcPr>
          <w:p>
            <w:pPr>
              <w:jc w:val="right"/>
              <w:spacing w:after="0"/>
              <w:rPr>
                <w:sz w:val="20"/>
                <w:szCs w:val="20"/>
                <w:color w:val="auto"/>
              </w:rPr>
            </w:pPr>
            <w:r>
              <w:rPr>
                <w:rFonts w:ascii="Arial" w:cs="Arial" w:eastAsia="Arial" w:hAnsi="Arial"/>
                <w:sz w:val="14"/>
                <w:szCs w:val="14"/>
                <w:color w:val="407CCA"/>
              </w:rPr>
              <w:t>7</w:t>
            </w:r>
          </w:p>
        </w:tc>
      </w:tr>
      <w:tr>
        <w:trPr>
          <w:trHeight w:val="235"/>
        </w:trPr>
        <w:tc>
          <w:tcPr>
            <w:tcW w:w="10980" w:type="dxa"/>
            <w:vAlign w:val="bottom"/>
            <w:tcBorders>
              <w:bottom w:val="single" w:sz="8" w:color="9A9A9A"/>
            </w:tcBorders>
          </w:tcPr>
          <w:p>
            <w:pPr>
              <w:spacing w:after="0"/>
              <w:rPr>
                <w:sz w:val="20"/>
                <w:szCs w:val="20"/>
                <w:color w:val="auto"/>
              </w:rPr>
            </w:pPr>
          </w:p>
        </w:tc>
        <w:tc>
          <w:tcPr>
            <w:tcW w:w="260" w:type="dxa"/>
            <w:vAlign w:val="bottom"/>
            <w:tcBorders>
              <w:bottom w:val="single" w:sz="8" w:color="9A9A9A"/>
            </w:tcBorders>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7115810</wp:posOffset>
            </wp:positionH>
            <wp:positionV relativeFrom="paragraph">
              <wp:posOffset>-29210</wp:posOffset>
            </wp:positionV>
            <wp:extent cx="3365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17" w:name="page18"/>
    <w:bookmarkEnd w:id="1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82" w:lineRule="exact"/>
        <w:rPr>
          <w:sz w:val="20"/>
          <w:szCs w:val="20"/>
          <w:color w:val="auto"/>
        </w:rPr>
      </w:pPr>
    </w:p>
    <w:p>
      <w:pPr>
        <w:spacing w:after="0"/>
        <w:rPr>
          <w:sz w:val="20"/>
          <w:szCs w:val="20"/>
          <w:color w:val="auto"/>
        </w:rPr>
      </w:pPr>
      <w:r>
        <w:rPr>
          <w:rFonts w:ascii="Arial" w:cs="Arial" w:eastAsia="Arial" w:hAnsi="Arial"/>
          <w:sz w:val="16"/>
          <w:szCs w:val="16"/>
          <w:color w:val="auto"/>
        </w:rPr>
        <w:t>retainer of $100,000, also payable quarterly in advance. The Compensation Committee, in consultation with FW Cook, concluded that the cash retainers for</w:t>
      </w:r>
    </w:p>
    <w:p>
      <w:pPr>
        <w:spacing w:after="0" w:line="21" w:lineRule="exact"/>
        <w:rPr>
          <w:sz w:val="20"/>
          <w:szCs w:val="20"/>
          <w:color w:val="auto"/>
        </w:rPr>
      </w:pPr>
    </w:p>
    <w:p>
      <w:pPr>
        <w:ind w:right="660"/>
        <w:spacing w:after="0" w:line="226" w:lineRule="auto"/>
        <w:rPr>
          <w:sz w:val="20"/>
          <w:szCs w:val="20"/>
          <w:color w:val="auto"/>
        </w:rPr>
      </w:pPr>
      <w:r>
        <w:rPr>
          <w:rFonts w:ascii="Arial" w:cs="Arial" w:eastAsia="Arial" w:hAnsi="Arial"/>
          <w:sz w:val="18"/>
          <w:szCs w:val="18"/>
          <w:color w:val="auto"/>
        </w:rPr>
        <w:t>independent directors, committee chair positions, and Vice Chair and Lead Independent Director remained reasonable for 2022 in light of the work expected in each role.</w:t>
      </w:r>
    </w:p>
    <w:p>
      <w:pPr>
        <w:spacing w:after="0" w:line="188"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Board believes that a substantial portion of director compensation should consist of equity-based compensation to assist in aligning the long-</w:t>
      </w:r>
    </w:p>
    <w:p>
      <w:pPr>
        <w:spacing w:after="0" w:line="21"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term interests of our directors with those of our stockholders. On April 21, 2022, each of our independent directors serving on the Board at that time received 12,426 RSUs under the Amended and Restated AGNC Investment Corp. 2016 Equity and Incentive Compensation Plan (the “2016 Equity Plan”), which is described in more detail below. The RSUs vest on the earlier of April 21, 2023 or the date of the 2023 Annual Meeting of Stockholders, subject to</w:t>
      </w:r>
    </w:p>
    <w:p>
      <w:pPr>
        <w:spacing w:after="0" w:line="2"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the director’s continued service on our Board through the vesting date. Each RSU represents the right to receive an equivalent number of shares of our common stock, plus dividend equivalents, subject to the terms of the 2016 Equity Plan. The Compensation Committee recommended the amount of annual equity awards in consultation with FW Cook as part of its review of our director compensation relative to our compensation philosophy and objectives,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comparable market practices for independent director compensation, and the work required of our directors.</w:t>
      </w:r>
    </w:p>
    <w:p>
      <w:pPr>
        <w:spacing w:after="0" w:line="128"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2022:</w:t>
      </w:r>
    </w:p>
    <w:p>
      <w:pPr>
        <w:spacing w:after="0" w:line="233" w:lineRule="exact"/>
        <w:rPr>
          <w:sz w:val="20"/>
          <w:szCs w:val="20"/>
          <w:color w:val="auto"/>
        </w:rPr>
      </w:pPr>
    </w:p>
    <w:tbl>
      <w:tblPr>
        <w:tblLayout w:type="fixed"/>
        <w:tblInd w:w="800" w:type="dxa"/>
        <w:tblCellMar>
          <w:top w:w="0" w:type="dxa"/>
          <w:left w:w="0" w:type="dxa"/>
          <w:bottom w:w="0" w:type="dxa"/>
          <w:right w:w="0" w:type="dxa"/>
        </w:tblCellMar>
      </w:tblPr>
      <w:tr>
        <w:trPr>
          <w:trHeight w:val="135"/>
        </w:trPr>
        <w:tc>
          <w:tcPr>
            <w:tcW w:w="3520" w:type="dxa"/>
            <w:vAlign w:val="bottom"/>
            <w:tcBorders>
              <w:top w:val="single" w:sz="8" w:color="407CCA"/>
            </w:tcBorders>
          </w:tcPr>
          <w:p>
            <w:pPr>
              <w:spacing w:after="0"/>
              <w:rPr>
                <w:sz w:val="11"/>
                <w:szCs w:val="11"/>
                <w:color w:val="auto"/>
              </w:rPr>
            </w:pPr>
          </w:p>
        </w:tc>
        <w:tc>
          <w:tcPr>
            <w:tcW w:w="2680" w:type="dxa"/>
            <w:vAlign w:val="bottom"/>
            <w:tcBorders>
              <w:top w:val="single" w:sz="8" w:color="407CCA"/>
            </w:tcBorders>
          </w:tcPr>
          <w:p>
            <w:pPr>
              <w:jc w:val="center"/>
              <w:ind w:left="1340"/>
              <w:spacing w:after="0" w:line="135" w:lineRule="exact"/>
              <w:rPr>
                <w:sz w:val="20"/>
                <w:szCs w:val="20"/>
                <w:color w:val="auto"/>
              </w:rPr>
            </w:pPr>
            <w:r>
              <w:rPr>
                <w:rFonts w:ascii="Arial" w:cs="Arial" w:eastAsia="Arial" w:hAnsi="Arial"/>
                <w:sz w:val="13"/>
                <w:szCs w:val="13"/>
                <w:b w:val="1"/>
                <w:bCs w:val="1"/>
                <w:color w:val="auto"/>
                <w:w w:val="85"/>
              </w:rPr>
              <w:t>Fees Earned</w:t>
            </w:r>
          </w:p>
        </w:tc>
        <w:tc>
          <w:tcPr>
            <w:tcW w:w="1200" w:type="dxa"/>
            <w:vAlign w:val="bottom"/>
            <w:tcBorders>
              <w:top w:val="single" w:sz="8" w:color="407CCA"/>
            </w:tcBorders>
            <w:vMerge w:val="restart"/>
          </w:tcPr>
          <w:p>
            <w:pPr>
              <w:jc w:val="center"/>
              <w:spacing w:after="0"/>
              <w:rPr>
                <w:sz w:val="20"/>
                <w:szCs w:val="20"/>
                <w:color w:val="auto"/>
              </w:rPr>
            </w:pPr>
            <w:r>
              <w:rPr>
                <w:rFonts w:ascii="Arial" w:cs="Arial" w:eastAsia="Arial" w:hAnsi="Arial"/>
                <w:sz w:val="13"/>
                <w:szCs w:val="13"/>
                <w:b w:val="1"/>
                <w:bCs w:val="1"/>
                <w:color w:val="auto"/>
                <w:w w:val="84"/>
              </w:rPr>
              <w:t>Stock</w:t>
            </w:r>
          </w:p>
        </w:tc>
        <w:tc>
          <w:tcPr>
            <w:tcW w:w="138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3520" w:type="dxa"/>
            <w:vAlign w:val="bottom"/>
          </w:tcPr>
          <w:p>
            <w:pPr>
              <w:spacing w:after="0"/>
              <w:rPr>
                <w:sz w:val="10"/>
                <w:szCs w:val="10"/>
                <w:color w:val="auto"/>
              </w:rPr>
            </w:pPr>
          </w:p>
        </w:tc>
        <w:tc>
          <w:tcPr>
            <w:tcW w:w="2680" w:type="dxa"/>
            <w:vAlign w:val="bottom"/>
          </w:tcPr>
          <w:p>
            <w:pPr>
              <w:jc w:val="center"/>
              <w:ind w:left="1340"/>
              <w:spacing w:after="0" w:line="122" w:lineRule="exact"/>
              <w:rPr>
                <w:sz w:val="20"/>
                <w:szCs w:val="20"/>
                <w:color w:val="auto"/>
              </w:rPr>
            </w:pPr>
            <w:r>
              <w:rPr>
                <w:rFonts w:ascii="Arial" w:cs="Arial" w:eastAsia="Arial" w:hAnsi="Arial"/>
                <w:sz w:val="13"/>
                <w:szCs w:val="13"/>
                <w:b w:val="1"/>
                <w:bCs w:val="1"/>
                <w:color w:val="auto"/>
                <w:w w:val="91"/>
              </w:rPr>
              <w:t>or Paid in</w:t>
            </w:r>
          </w:p>
        </w:tc>
        <w:tc>
          <w:tcPr>
            <w:tcW w:w="1200" w:type="dxa"/>
            <w:vAlign w:val="bottom"/>
            <w:vMerge w:val="continue"/>
          </w:tcPr>
          <w:p>
            <w:pPr>
              <w:spacing w:after="0"/>
              <w:rPr>
                <w:sz w:val="10"/>
                <w:szCs w:val="10"/>
                <w:color w:val="auto"/>
              </w:rPr>
            </w:pPr>
          </w:p>
        </w:tc>
        <w:tc>
          <w:tcPr>
            <w:tcW w:w="1380" w:type="dxa"/>
            <w:vAlign w:val="bottom"/>
            <w:vMerge w:val="restart"/>
          </w:tcPr>
          <w:p>
            <w:pPr>
              <w:ind w:left="46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2"/>
        </w:trPr>
        <w:tc>
          <w:tcPr>
            <w:tcW w:w="352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2680" w:type="dxa"/>
            <w:vAlign w:val="bottom"/>
          </w:tcPr>
          <w:p>
            <w:pPr>
              <w:jc w:val="center"/>
              <w:ind w:left="1360"/>
              <w:spacing w:after="0" w:line="122" w:lineRule="exact"/>
              <w:rPr>
                <w:sz w:val="20"/>
                <w:szCs w:val="20"/>
                <w:color w:val="auto"/>
              </w:rPr>
            </w:pPr>
            <w:r>
              <w:rPr>
                <w:rFonts w:ascii="Arial" w:cs="Arial" w:eastAsia="Arial" w:hAnsi="Arial"/>
                <w:sz w:val="13"/>
                <w:szCs w:val="13"/>
                <w:b w:val="1"/>
                <w:bCs w:val="1"/>
                <w:color w:val="auto"/>
                <w:w w:val="87"/>
              </w:rPr>
              <w:t>Cash</w:t>
            </w:r>
          </w:p>
        </w:tc>
        <w:tc>
          <w:tcPr>
            <w:tcW w:w="120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9"/>
              </w:rPr>
              <w:t>Awards</w:t>
            </w:r>
          </w:p>
        </w:tc>
        <w:tc>
          <w:tcPr>
            <w:tcW w:w="13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9"/>
        </w:trPr>
        <w:tc>
          <w:tcPr>
            <w:tcW w:w="3520" w:type="dxa"/>
            <w:vAlign w:val="bottom"/>
            <w:tcBorders>
              <w:bottom w:val="single" w:sz="8" w:color="407CCA"/>
            </w:tcBorders>
            <w:vMerge w:val="continue"/>
          </w:tcPr>
          <w:p>
            <w:pPr>
              <w:spacing w:after="0"/>
              <w:rPr>
                <w:sz w:val="16"/>
                <w:szCs w:val="16"/>
                <w:color w:val="auto"/>
              </w:rPr>
            </w:pPr>
          </w:p>
        </w:tc>
        <w:tc>
          <w:tcPr>
            <w:tcW w:w="2680" w:type="dxa"/>
            <w:vAlign w:val="bottom"/>
            <w:tcBorders>
              <w:bottom w:val="single" w:sz="8" w:color="407CCA"/>
            </w:tcBorders>
          </w:tcPr>
          <w:p>
            <w:pPr>
              <w:jc w:val="center"/>
              <w:ind w:left="1340"/>
              <w:spacing w:after="0"/>
              <w:rPr>
                <w:sz w:val="20"/>
                <w:szCs w:val="20"/>
                <w:color w:val="auto"/>
              </w:rPr>
            </w:pPr>
            <w:r>
              <w:rPr>
                <w:rFonts w:ascii="Arial" w:cs="Arial" w:eastAsia="Arial" w:hAnsi="Arial"/>
                <w:sz w:val="13"/>
                <w:szCs w:val="13"/>
                <w:b w:val="1"/>
                <w:bCs w:val="1"/>
                <w:color w:val="auto"/>
                <w:w w:val="87"/>
              </w:rPr>
              <w:t>($)</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3"/>
              </w:rPr>
              <w:t xml:space="preserve">($) </w:t>
            </w:r>
            <w:r>
              <w:rPr>
                <w:rFonts w:ascii="Arial" w:cs="Arial" w:eastAsia="Arial" w:hAnsi="Arial"/>
                <w:sz w:val="7"/>
                <w:szCs w:val="7"/>
                <w:b w:val="1"/>
                <w:bCs w:val="1"/>
                <w:color w:val="auto"/>
                <w:w w:val="93"/>
              </w:rPr>
              <w:t>1</w:t>
            </w:r>
          </w:p>
        </w:tc>
        <w:tc>
          <w:tcPr>
            <w:tcW w:w="1380" w:type="dxa"/>
            <w:vAlign w:val="bottom"/>
            <w:tcBorders>
              <w:bottom w:val="single" w:sz="8" w:color="407CCA"/>
            </w:tcBorders>
          </w:tcPr>
          <w:p>
            <w:pPr>
              <w:jc w:val="center"/>
              <w:ind w:right="76"/>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91"/>
        </w:trPr>
        <w:tc>
          <w:tcPr>
            <w:tcW w:w="3520" w:type="dxa"/>
            <w:vAlign w:val="bottom"/>
          </w:tcPr>
          <w:p>
            <w:pPr>
              <w:ind w:left="100"/>
              <w:spacing w:after="0"/>
              <w:rPr>
                <w:sz w:val="20"/>
                <w:szCs w:val="20"/>
                <w:color w:val="auto"/>
              </w:rPr>
            </w:pPr>
            <w:r>
              <w:rPr>
                <w:rFonts w:ascii="Arial" w:cs="Arial" w:eastAsia="Arial" w:hAnsi="Arial"/>
                <w:sz w:val="18"/>
                <w:szCs w:val="18"/>
                <w:color w:val="auto"/>
              </w:rPr>
              <w:t>Donna J. Blank</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137,500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285,000</w:t>
            </w:r>
          </w:p>
        </w:tc>
        <w:tc>
          <w:tcPr>
            <w:tcW w:w="0" w:type="dxa"/>
            <w:vAlign w:val="bottom"/>
          </w:tcPr>
          <w:p>
            <w:pPr>
              <w:spacing w:after="0"/>
              <w:rPr>
                <w:sz w:val="1"/>
                <w:szCs w:val="1"/>
                <w:color w:val="auto"/>
              </w:rPr>
            </w:pPr>
          </w:p>
        </w:tc>
      </w:tr>
      <w:tr>
        <w:trPr>
          <w:trHeight w:val="95"/>
        </w:trPr>
        <w:tc>
          <w:tcPr>
            <w:tcW w:w="3520" w:type="dxa"/>
            <w:vAlign w:val="bottom"/>
          </w:tcPr>
          <w:p>
            <w:pPr>
              <w:spacing w:after="0"/>
              <w:rPr>
                <w:sz w:val="8"/>
                <w:szCs w:val="8"/>
                <w:color w:val="auto"/>
              </w:rPr>
            </w:pPr>
          </w:p>
        </w:tc>
        <w:tc>
          <w:tcPr>
            <w:tcW w:w="268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1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352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137,500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285,000</w:t>
            </w:r>
          </w:p>
        </w:tc>
        <w:tc>
          <w:tcPr>
            <w:tcW w:w="0" w:type="dxa"/>
            <w:vAlign w:val="bottom"/>
          </w:tcPr>
          <w:p>
            <w:pPr>
              <w:spacing w:after="0"/>
              <w:rPr>
                <w:sz w:val="1"/>
                <w:szCs w:val="1"/>
                <w:color w:val="auto"/>
              </w:rPr>
            </w:pPr>
          </w:p>
        </w:tc>
      </w:tr>
      <w:tr>
        <w:trPr>
          <w:trHeight w:val="94"/>
        </w:trPr>
        <w:tc>
          <w:tcPr>
            <w:tcW w:w="3520" w:type="dxa"/>
            <w:vAlign w:val="bottom"/>
          </w:tcPr>
          <w:p>
            <w:pPr>
              <w:spacing w:after="0"/>
              <w:rPr>
                <w:sz w:val="8"/>
                <w:szCs w:val="8"/>
                <w:color w:val="auto"/>
              </w:rPr>
            </w:pPr>
          </w:p>
        </w:tc>
        <w:tc>
          <w:tcPr>
            <w:tcW w:w="268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1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3520" w:type="dxa"/>
            <w:vAlign w:val="bottom"/>
          </w:tcPr>
          <w:p>
            <w:pPr>
              <w:ind w:left="100"/>
              <w:spacing w:after="0"/>
              <w:rPr>
                <w:sz w:val="20"/>
                <w:szCs w:val="20"/>
                <w:color w:val="auto"/>
              </w:rPr>
            </w:pPr>
            <w:r>
              <w:rPr>
                <w:rFonts w:ascii="Arial" w:cs="Arial" w:eastAsia="Arial" w:hAnsi="Arial"/>
                <w:sz w:val="18"/>
                <w:szCs w:val="18"/>
                <w:color w:val="auto"/>
              </w:rPr>
              <w:t>John D. Fisk</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112,500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260,000</w:t>
            </w:r>
          </w:p>
        </w:tc>
        <w:tc>
          <w:tcPr>
            <w:tcW w:w="0" w:type="dxa"/>
            <w:vAlign w:val="bottom"/>
          </w:tcPr>
          <w:p>
            <w:pPr>
              <w:spacing w:after="0"/>
              <w:rPr>
                <w:sz w:val="1"/>
                <w:szCs w:val="1"/>
                <w:color w:val="auto"/>
              </w:rPr>
            </w:pPr>
          </w:p>
        </w:tc>
      </w:tr>
      <w:tr>
        <w:trPr>
          <w:trHeight w:val="94"/>
        </w:trPr>
        <w:tc>
          <w:tcPr>
            <w:tcW w:w="3520" w:type="dxa"/>
            <w:vAlign w:val="bottom"/>
          </w:tcPr>
          <w:p>
            <w:pPr>
              <w:spacing w:after="0"/>
              <w:rPr>
                <w:sz w:val="8"/>
                <w:szCs w:val="8"/>
                <w:color w:val="auto"/>
              </w:rPr>
            </w:pPr>
          </w:p>
        </w:tc>
        <w:tc>
          <w:tcPr>
            <w:tcW w:w="268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1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00"/>
              <w:spacing w:after="0"/>
              <w:rPr>
                <w:sz w:val="20"/>
                <w:szCs w:val="20"/>
                <w:color w:val="auto"/>
              </w:rPr>
            </w:pPr>
            <w:r>
              <w:rPr>
                <w:rFonts w:ascii="Arial" w:cs="Arial" w:eastAsia="Arial" w:hAnsi="Arial"/>
                <w:sz w:val="18"/>
                <w:szCs w:val="18"/>
                <w:color w:val="auto"/>
              </w:rPr>
              <w:t>Andrew A. Johnson, Jr.</w:t>
            </w:r>
          </w:p>
        </w:tc>
        <w:tc>
          <w:tcPr>
            <w:tcW w:w="2680" w:type="dxa"/>
            <w:vAlign w:val="bottom"/>
          </w:tcPr>
          <w:p>
            <w:pPr>
              <w:jc w:val="center"/>
              <w:ind w:left="1340"/>
              <w:spacing w:after="0"/>
              <w:rPr>
                <w:sz w:val="20"/>
                <w:szCs w:val="20"/>
                <w:color w:val="auto"/>
              </w:rPr>
            </w:pPr>
            <w:r>
              <w:rPr>
                <w:rFonts w:ascii="Arial" w:cs="Arial" w:eastAsia="Arial" w:hAnsi="Arial"/>
                <w:sz w:val="18"/>
                <w:szCs w:val="18"/>
                <w:color w:val="auto"/>
                <w:w w:val="89"/>
              </w:rPr>
              <w:t>112,500</w:t>
            </w:r>
          </w:p>
        </w:tc>
        <w:tc>
          <w:tcPr>
            <w:tcW w:w="1200" w:type="dxa"/>
            <w:vAlign w:val="bottom"/>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tcPr>
          <w:p>
            <w:pPr>
              <w:jc w:val="center"/>
              <w:ind w:right="76"/>
              <w:spacing w:after="0"/>
              <w:rPr>
                <w:sz w:val="20"/>
                <w:szCs w:val="20"/>
                <w:color w:val="auto"/>
              </w:rPr>
            </w:pPr>
            <w:r>
              <w:rPr>
                <w:rFonts w:ascii="Arial" w:cs="Arial" w:eastAsia="Arial" w:hAnsi="Arial"/>
                <w:sz w:val="18"/>
                <w:szCs w:val="18"/>
                <w:color w:val="auto"/>
                <w:w w:val="89"/>
              </w:rPr>
              <w:t>260,000</w:t>
            </w:r>
          </w:p>
        </w:tc>
        <w:tc>
          <w:tcPr>
            <w:tcW w:w="0" w:type="dxa"/>
            <w:vAlign w:val="bottom"/>
          </w:tcPr>
          <w:p>
            <w:pPr>
              <w:spacing w:after="0"/>
              <w:rPr>
                <w:sz w:val="1"/>
                <w:szCs w:val="1"/>
                <w:color w:val="auto"/>
              </w:rPr>
            </w:pPr>
          </w:p>
        </w:tc>
      </w:tr>
      <w:tr>
        <w:trPr>
          <w:trHeight w:val="297"/>
        </w:trPr>
        <w:tc>
          <w:tcPr>
            <w:tcW w:w="3520" w:type="dxa"/>
            <w:vAlign w:val="bottom"/>
          </w:tcPr>
          <w:p>
            <w:pPr>
              <w:ind w:left="100"/>
              <w:spacing w:after="0"/>
              <w:rPr>
                <w:sz w:val="20"/>
                <w:szCs w:val="20"/>
                <w:color w:val="auto"/>
              </w:rPr>
            </w:pPr>
            <w:r>
              <w:rPr>
                <w:rFonts w:ascii="Arial" w:cs="Arial" w:eastAsia="Arial" w:hAnsi="Arial"/>
                <w:sz w:val="18"/>
                <w:szCs w:val="18"/>
                <w:color w:val="auto"/>
              </w:rPr>
              <w:t>Prue B. Larocca</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212,500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360,000</w:t>
            </w:r>
          </w:p>
        </w:tc>
        <w:tc>
          <w:tcPr>
            <w:tcW w:w="0" w:type="dxa"/>
            <w:vAlign w:val="bottom"/>
          </w:tcPr>
          <w:p>
            <w:pPr>
              <w:spacing w:after="0"/>
              <w:rPr>
                <w:sz w:val="1"/>
                <w:szCs w:val="1"/>
                <w:color w:val="auto"/>
              </w:rPr>
            </w:pPr>
          </w:p>
        </w:tc>
      </w:tr>
      <w:tr>
        <w:trPr>
          <w:trHeight w:val="94"/>
        </w:trPr>
        <w:tc>
          <w:tcPr>
            <w:tcW w:w="3520" w:type="dxa"/>
            <w:vAlign w:val="bottom"/>
          </w:tcPr>
          <w:p>
            <w:pPr>
              <w:spacing w:after="0"/>
              <w:rPr>
                <w:sz w:val="8"/>
                <w:szCs w:val="8"/>
                <w:color w:val="auto"/>
              </w:rPr>
            </w:pPr>
          </w:p>
        </w:tc>
        <w:tc>
          <w:tcPr>
            <w:tcW w:w="268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1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3520" w:type="dxa"/>
            <w:vAlign w:val="bottom"/>
          </w:tcPr>
          <w:p>
            <w:pPr>
              <w:ind w:left="100"/>
              <w:spacing w:after="0"/>
              <w:rPr>
                <w:sz w:val="20"/>
                <w:szCs w:val="20"/>
                <w:color w:val="auto"/>
              </w:rPr>
            </w:pPr>
            <w:r>
              <w:rPr>
                <w:rFonts w:ascii="Arial" w:cs="Arial" w:eastAsia="Arial" w:hAnsi="Arial"/>
                <w:sz w:val="18"/>
                <w:szCs w:val="18"/>
                <w:color w:val="auto"/>
              </w:rPr>
              <w:t>Paul E. Mullings</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112,500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260,000</w:t>
            </w:r>
          </w:p>
        </w:tc>
        <w:tc>
          <w:tcPr>
            <w:tcW w:w="0" w:type="dxa"/>
            <w:vAlign w:val="bottom"/>
          </w:tcPr>
          <w:p>
            <w:pPr>
              <w:spacing w:after="0"/>
              <w:rPr>
                <w:sz w:val="1"/>
                <w:szCs w:val="1"/>
                <w:color w:val="auto"/>
              </w:rPr>
            </w:pPr>
          </w:p>
        </w:tc>
      </w:tr>
      <w:tr>
        <w:trPr>
          <w:trHeight w:val="94"/>
        </w:trPr>
        <w:tc>
          <w:tcPr>
            <w:tcW w:w="3520" w:type="dxa"/>
            <w:vAlign w:val="bottom"/>
          </w:tcPr>
          <w:p>
            <w:pPr>
              <w:spacing w:after="0"/>
              <w:rPr>
                <w:sz w:val="8"/>
                <w:szCs w:val="8"/>
                <w:color w:val="auto"/>
              </w:rPr>
            </w:pPr>
          </w:p>
        </w:tc>
        <w:tc>
          <w:tcPr>
            <w:tcW w:w="268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1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3520" w:type="dxa"/>
            <w:vAlign w:val="bottom"/>
          </w:tcPr>
          <w:p>
            <w:pPr>
              <w:ind w:left="100"/>
              <w:spacing w:after="0"/>
              <w:rPr>
                <w:sz w:val="20"/>
                <w:szCs w:val="20"/>
                <w:color w:val="auto"/>
              </w:rPr>
            </w:pPr>
            <w:r>
              <w:rPr>
                <w:rFonts w:ascii="Arial" w:cs="Arial" w:eastAsia="Arial" w:hAnsi="Arial"/>
                <w:sz w:val="18"/>
                <w:szCs w:val="18"/>
                <w:color w:val="auto"/>
              </w:rPr>
              <w:t>Frances R. Spark</w:t>
            </w:r>
          </w:p>
        </w:tc>
        <w:tc>
          <w:tcPr>
            <w:tcW w:w="2680" w:type="dxa"/>
            <w:vAlign w:val="bottom"/>
            <w:vMerge w:val="restart"/>
          </w:tcPr>
          <w:p>
            <w:pPr>
              <w:jc w:val="center"/>
              <w:ind w:left="1340"/>
              <w:spacing w:after="0"/>
              <w:rPr>
                <w:sz w:val="20"/>
                <w:szCs w:val="20"/>
                <w:color w:val="auto"/>
              </w:rPr>
            </w:pPr>
            <w:r>
              <w:rPr>
                <w:rFonts w:ascii="Arial" w:cs="Arial" w:eastAsia="Arial" w:hAnsi="Arial"/>
                <w:sz w:val="18"/>
                <w:szCs w:val="18"/>
                <w:color w:val="auto"/>
                <w:w w:val="89"/>
              </w:rPr>
              <w:t>112,500</w:t>
            </w:r>
          </w:p>
        </w:tc>
        <w:tc>
          <w:tcPr>
            <w:tcW w:w="1200" w:type="dxa"/>
            <w:vAlign w:val="bottom"/>
            <w:vMerge w:val="restart"/>
          </w:tcPr>
          <w:p>
            <w:pPr>
              <w:jc w:val="center"/>
              <w:spacing w:after="0"/>
              <w:rPr>
                <w:sz w:val="20"/>
                <w:szCs w:val="20"/>
                <w:color w:val="auto"/>
              </w:rPr>
            </w:pPr>
            <w:r>
              <w:rPr>
                <w:rFonts w:ascii="Arial" w:cs="Arial" w:eastAsia="Arial" w:hAnsi="Arial"/>
                <w:sz w:val="18"/>
                <w:szCs w:val="18"/>
                <w:color w:val="auto"/>
                <w:w w:val="89"/>
              </w:rPr>
              <w:t>147,500</w:t>
            </w:r>
          </w:p>
        </w:tc>
        <w:tc>
          <w:tcPr>
            <w:tcW w:w="1380" w:type="dxa"/>
            <w:vAlign w:val="bottom"/>
            <w:vMerge w:val="restart"/>
          </w:tcPr>
          <w:p>
            <w:pPr>
              <w:jc w:val="center"/>
              <w:ind w:right="76"/>
              <w:spacing w:after="0"/>
              <w:rPr>
                <w:sz w:val="20"/>
                <w:szCs w:val="20"/>
                <w:color w:val="auto"/>
              </w:rPr>
            </w:pPr>
            <w:r>
              <w:rPr>
                <w:rFonts w:ascii="Arial" w:cs="Arial" w:eastAsia="Arial" w:hAnsi="Arial"/>
                <w:sz w:val="18"/>
                <w:szCs w:val="18"/>
                <w:color w:val="auto"/>
                <w:w w:val="89"/>
              </w:rPr>
              <w:t>260,000</w:t>
            </w:r>
          </w:p>
        </w:tc>
        <w:tc>
          <w:tcPr>
            <w:tcW w:w="0" w:type="dxa"/>
            <w:vAlign w:val="bottom"/>
          </w:tcPr>
          <w:p>
            <w:pPr>
              <w:spacing w:after="0"/>
              <w:rPr>
                <w:sz w:val="1"/>
                <w:szCs w:val="1"/>
                <w:color w:val="auto"/>
              </w:rPr>
            </w:pPr>
          </w:p>
        </w:tc>
      </w:tr>
      <w:tr>
        <w:trPr>
          <w:trHeight w:val="94"/>
        </w:trPr>
        <w:tc>
          <w:tcPr>
            <w:tcW w:w="3520" w:type="dxa"/>
            <w:vAlign w:val="bottom"/>
            <w:tcBorders>
              <w:bottom w:val="single" w:sz="8" w:color="407CCA"/>
            </w:tcBorders>
          </w:tcPr>
          <w:p>
            <w:pPr>
              <w:spacing w:after="0"/>
              <w:rPr>
                <w:sz w:val="8"/>
                <w:szCs w:val="8"/>
                <w:color w:val="auto"/>
              </w:rPr>
            </w:pPr>
          </w:p>
        </w:tc>
        <w:tc>
          <w:tcPr>
            <w:tcW w:w="2680" w:type="dxa"/>
            <w:vAlign w:val="bottom"/>
            <w:tcBorders>
              <w:bottom w:val="single" w:sz="8" w:color="407CCA"/>
            </w:tcBorders>
            <w:vMerge w:val="continue"/>
          </w:tcPr>
          <w:p>
            <w:pPr>
              <w:spacing w:after="0"/>
              <w:rPr>
                <w:sz w:val="8"/>
                <w:szCs w:val="8"/>
                <w:color w:val="auto"/>
              </w:rPr>
            </w:pPr>
          </w:p>
        </w:tc>
        <w:tc>
          <w:tcPr>
            <w:tcW w:w="1200" w:type="dxa"/>
            <w:vAlign w:val="bottom"/>
            <w:tcBorders>
              <w:bottom w:val="single" w:sz="8" w:color="407CCA"/>
            </w:tcBorders>
            <w:vMerge w:val="continue"/>
          </w:tcPr>
          <w:p>
            <w:pPr>
              <w:spacing w:after="0"/>
              <w:rPr>
                <w:sz w:val="8"/>
                <w:szCs w:val="8"/>
                <w:color w:val="auto"/>
              </w:rPr>
            </w:pPr>
          </w:p>
        </w:tc>
        <w:tc>
          <w:tcPr>
            <w:tcW w:w="1380" w:type="dxa"/>
            <w:vAlign w:val="bottom"/>
            <w:tcBorders>
              <w:bottom w:val="single" w:sz="8" w:color="407CCA"/>
            </w:tcBorders>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292" w:lineRule="exact"/>
        <w:rPr>
          <w:sz w:val="20"/>
          <w:szCs w:val="20"/>
          <w:color w:val="auto"/>
        </w:rPr>
      </w:pPr>
    </w:p>
    <w:p>
      <w:pPr>
        <w:ind w:left="340" w:hanging="251"/>
        <w:spacing w:after="0" w:line="276" w:lineRule="auto"/>
        <w:tabs>
          <w:tab w:leader="none" w:pos="346" w:val="left"/>
        </w:tabs>
        <w:numPr>
          <w:ilvl w:val="0"/>
          <w:numId w:val="21"/>
        </w:numPr>
        <w:rPr>
          <w:rFonts w:ascii="Arial" w:cs="Arial" w:eastAsia="Arial" w:hAnsi="Arial"/>
          <w:sz w:val="12"/>
          <w:szCs w:val="12"/>
          <w:color w:val="auto"/>
        </w:rPr>
      </w:pPr>
      <w:r>
        <w:rPr>
          <w:rFonts w:ascii="Arial" w:cs="Arial" w:eastAsia="Arial" w:hAnsi="Arial"/>
          <w:sz w:val="12"/>
          <w:szCs w:val="12"/>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2"/>
          <w:szCs w:val="12"/>
          <w:i w:val="1"/>
          <w:iCs w:val="1"/>
          <w:color w:val="auto"/>
        </w:rPr>
        <w:t>Compensation-Stock Compensation</w:t>
      </w:r>
      <w:r>
        <w:rPr>
          <w:rFonts w:ascii="Arial" w:cs="Arial" w:eastAsia="Arial" w:hAnsi="Arial"/>
          <w:sz w:val="12"/>
          <w:szCs w:val="12"/>
          <w:color w:val="auto"/>
        </w:rPr>
        <w:t xml:space="preserve"> (“ASC 718”), as required by Securities and Exchange Commission (“SEC”) regulations. Each award represents the right to receive 12,426 shares of common stock (calculated by dividing the value of the award by the closing price of a share of common stock on the grant date, which was $11.87 on April 21, 2022). As of December 31, 2022, in connection with these awards, each independent director had unvested RSUs relating to 13,751 shares of common stock, including dividend equivalents on the RSUs.</w:t>
      </w:r>
    </w:p>
    <w:p>
      <w:pPr>
        <w:spacing w:after="0" w:line="200" w:lineRule="exact"/>
        <w:rPr>
          <w:sz w:val="20"/>
          <w:szCs w:val="20"/>
          <w:color w:val="auto"/>
        </w:rPr>
      </w:pPr>
    </w:p>
    <w:p>
      <w:pPr>
        <w:spacing w:after="0" w:line="20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The 2016 Equity Plan</w:t>
      </w:r>
    </w:p>
    <w:p>
      <w:pPr>
        <w:spacing w:after="0" w:line="7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Company maintains the 2016 Equity Plan to provide our directors, executive officers, and other employees with equity incentive</w:t>
      </w:r>
    </w:p>
    <w:p>
      <w:pPr>
        <w:ind w:right="80"/>
        <w:spacing w:after="0" w:line="234" w:lineRule="auto"/>
        <w:rPr>
          <w:sz w:val="20"/>
          <w:szCs w:val="20"/>
          <w:color w:val="auto"/>
        </w:rPr>
      </w:pPr>
      <w:r>
        <w:rPr>
          <w:rFonts w:ascii="Arial" w:cs="Arial" w:eastAsia="Arial" w:hAnsi="Arial"/>
          <w:sz w:val="16"/>
          <w:szCs w:val="16"/>
          <w:color w:val="auto"/>
        </w:rPr>
        <w:t>compensation. Stockholders initially approved the Company’s equity plan in December 2016 and subsequently approved an amendment and restatement with 91.7% of the shares voted in support at the 2021 Annual Meeting. Subject to adjustment as described in the 2016 Equity Plan, total awards under the 2016 Equity Plan are currently limited to 40,000,000 shares, inclusive of dividend equivalents paid on such awards. These shares may be shares of original</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issuance or treasury shares or a combination of the two, and awards may be time-vested or performance-vested.</w:t>
      </w:r>
    </w:p>
    <w:p>
      <w:pPr>
        <w:spacing w:after="0" w:line="169" w:lineRule="exact"/>
        <w:rPr>
          <w:sz w:val="20"/>
          <w:szCs w:val="20"/>
          <w:color w:val="auto"/>
        </w:rPr>
      </w:pPr>
    </w:p>
    <w:p>
      <w:pPr>
        <w:ind w:right="220" w:firstLine="648"/>
        <w:spacing w:after="0" w:line="248" w:lineRule="auto"/>
        <w:rPr>
          <w:sz w:val="20"/>
          <w:szCs w:val="20"/>
          <w:color w:val="auto"/>
        </w:rPr>
      </w:pPr>
      <w:r>
        <w:rPr>
          <w:rFonts w:ascii="Arial" w:cs="Arial" w:eastAsia="Arial" w:hAnsi="Arial"/>
          <w:sz w:val="16"/>
          <w:szCs w:val="16"/>
          <w:color w:val="auto"/>
        </w:rPr>
        <w:t>The 2016 Equity Plan authorizes the Compensation Committee to provide equity-based compensation in the form of stock options, appreciation rights, restricted shares, restricted stock units, performance shares, performance units, dividend equivalents, and certain other awards denominated or</w:t>
      </w:r>
    </w:p>
    <w:p>
      <w:pPr>
        <w:ind w:right="140"/>
        <w:spacing w:after="0" w:line="234" w:lineRule="auto"/>
        <w:rPr>
          <w:sz w:val="20"/>
          <w:szCs w:val="20"/>
          <w:color w:val="auto"/>
        </w:rPr>
      </w:pPr>
      <w:r>
        <w:rPr>
          <w:rFonts w:ascii="Arial" w:cs="Arial" w:eastAsia="Arial" w:hAnsi="Arial"/>
          <w:sz w:val="16"/>
          <w:szCs w:val="16"/>
          <w:color w:val="auto"/>
        </w:rPr>
        <w:t>payable in, or otherwise based on, shares of common stock, plus cash incentive awards, for the purpose of providing our non-employee directors, officers, and other employees, and those of our subsidiaries, incentives and rewards for service or performance. The 2016 Equity Plan places a limit on the dollar value of awards and other compensation that may be made to a director in any year. Members of our Board may elect to defer distribution of their awards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under the 2016 Equity Plan for a period of up to ten years; deferred awards are non-forfeitable following the vesting date.</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Independent Director Plan</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American Capital Agency Corp. Equity Incentive Plan for Independent Directors (the “Independent Director Plan”), created at the time of our</w:t>
      </w:r>
    </w:p>
    <w:p>
      <w:pPr>
        <w:spacing w:after="0" w:line="21" w:lineRule="exact"/>
        <w:rPr>
          <w:sz w:val="20"/>
          <w:szCs w:val="20"/>
          <w:color w:val="auto"/>
        </w:rPr>
      </w:pPr>
    </w:p>
    <w:p>
      <w:pPr>
        <w:ind w:right="120"/>
        <w:spacing w:after="0" w:line="234" w:lineRule="auto"/>
        <w:rPr>
          <w:sz w:val="20"/>
          <w:szCs w:val="20"/>
          <w:color w:val="auto"/>
        </w:rPr>
      </w:pPr>
      <w:r>
        <w:rPr>
          <w:rFonts w:ascii="Arial" w:cs="Arial" w:eastAsia="Arial" w:hAnsi="Arial"/>
          <w:sz w:val="16"/>
          <w:szCs w:val="16"/>
          <w:color w:val="auto"/>
        </w:rPr>
        <w:t>IPO, provided for the issuance of equity-based awards to our independent directors and was terminated when our stockholders approved the 2016 Equity Plan, except with respect to then outstanding awards. Restricted stock units awarded under the Independent Director Plan conferred to the participant the right to receive common stock having a value equal to the number of shares of our common stock that were subject to the award. The holders of awards of</w:t>
      </w:r>
    </w:p>
    <w:p>
      <w:pPr>
        <w:spacing w:after="0" w:line="2" w:lineRule="exact"/>
        <w:rPr>
          <w:sz w:val="20"/>
          <w:szCs w:val="20"/>
          <w:color w:val="auto"/>
        </w:rPr>
      </w:pPr>
    </w:p>
    <w:p>
      <w:pPr>
        <w:ind w:right="140"/>
        <w:spacing w:after="0" w:line="226" w:lineRule="auto"/>
        <w:rPr>
          <w:sz w:val="20"/>
          <w:szCs w:val="20"/>
          <w:color w:val="auto"/>
        </w:rPr>
      </w:pPr>
      <w:r>
        <w:rPr>
          <w:rFonts w:ascii="Arial" w:cs="Arial" w:eastAsia="Arial" w:hAnsi="Arial"/>
          <w:sz w:val="18"/>
          <w:szCs w:val="18"/>
          <w:color w:val="auto"/>
        </w:rPr>
        <w:t>restricted stock units were also entitled to receive dividend equivalents and could elect to defer distribution of their equity-based awards for a period of up to ten years. Deferred awards are non-forfeitable after the vesting date.</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Ownership Guidelines</w:t>
      </w:r>
    </w:p>
    <w:p>
      <w:pPr>
        <w:spacing w:after="0" w:line="94" w:lineRule="exact"/>
        <w:rPr>
          <w:sz w:val="20"/>
          <w:szCs w:val="20"/>
          <w:color w:val="auto"/>
        </w:rPr>
      </w:pPr>
    </w:p>
    <w:p>
      <w:pPr>
        <w:ind w:right="200" w:firstLine="648"/>
        <w:spacing w:after="0" w:line="224" w:lineRule="auto"/>
        <w:rPr>
          <w:sz w:val="20"/>
          <w:szCs w:val="20"/>
          <w:color w:val="auto"/>
        </w:rPr>
      </w:pPr>
      <w:r>
        <w:rPr>
          <w:rFonts w:ascii="Arial" w:cs="Arial" w:eastAsia="Arial" w:hAnsi="Arial"/>
          <w:sz w:val="18"/>
          <w:szCs w:val="18"/>
          <w:color w:val="auto"/>
        </w:rPr>
        <w:t>Our Board believes that directors more effectively represent the best interests of the Company if they are stockholders themselves. Thus, each independent director is encouraged to own shares of our common stock equal in value to at least 5x the annual cash retainer paid to independent directors (which was $112,500 in 2022). Shares of deferred or restricted stock or stock units (both</w:t>
      </w:r>
    </w:p>
    <w:p>
      <w:pPr>
        <w:sectPr>
          <w:pgSz w:w="11900" w:h="16838" w:orient="portrait"/>
          <w:cols w:equalWidth="0" w:num="1">
            <w:col w:w="11240"/>
          </w:cols>
          <w:pgMar w:left="320" w:top="108" w:right="339" w:bottom="1440" w:gutter="0" w:footer="0" w:header="0"/>
        </w:sectPr>
      </w:pPr>
    </w:p>
    <w:p>
      <w:pPr>
        <w:spacing w:after="0" w:line="334" w:lineRule="exact"/>
        <w:rPr>
          <w:sz w:val="20"/>
          <w:szCs w:val="20"/>
          <w:color w:val="auto"/>
        </w:rPr>
      </w:pPr>
    </w:p>
    <w:p>
      <w:pPr>
        <w:ind w:left="440" w:hanging="414"/>
        <w:spacing w:after="0"/>
        <w:tabs>
          <w:tab w:leader="none" w:pos="440" w:val="left"/>
        </w:tabs>
        <w:numPr>
          <w:ilvl w:val="0"/>
          <w:numId w:val="22"/>
        </w:numPr>
        <w:rPr>
          <w:rFonts w:ascii="Arial" w:cs="Arial" w:eastAsia="Arial" w:hAnsi="Arial"/>
          <w:sz w:val="13"/>
          <w:szCs w:val="13"/>
          <w:color w:val="407CCA"/>
        </w:rPr>
      </w:pP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153035</wp:posOffset>
            </wp:positionV>
            <wp:extent cx="7157720" cy="425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type w:val="continuous"/>
        </w:sectPr>
      </w:pPr>
    </w:p>
    <w:bookmarkStart w:id="18" w:name="page19"/>
    <w:bookmarkEnd w:id="1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63" w:lineRule="exact"/>
        <w:rPr>
          <w:sz w:val="20"/>
          <w:szCs w:val="20"/>
          <w:color w:val="auto"/>
        </w:rPr>
      </w:pPr>
    </w:p>
    <w:p>
      <w:pPr>
        <w:ind w:right="40"/>
        <w:spacing w:after="0" w:line="241" w:lineRule="auto"/>
        <w:rPr>
          <w:sz w:val="20"/>
          <w:szCs w:val="20"/>
          <w:color w:val="auto"/>
        </w:rPr>
      </w:pPr>
      <w:r>
        <w:rPr>
          <w:rFonts w:ascii="Arial" w:cs="Arial" w:eastAsia="Arial" w:hAnsi="Arial"/>
          <w:sz w:val="16"/>
          <w:szCs w:val="16"/>
          <w:color w:val="auto"/>
        </w:rPr>
        <w:t>vested and unvested and including shares for which a deferral election was made) granted to directors under the Independent Director Plan and the 2016 Equity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 As of</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February 24, 2023, all of our directors were in compliance with their obligations under our stock ownership guidelines.</w:t>
      </w:r>
    </w:p>
    <w:p>
      <w:pPr>
        <w:spacing w:after="0" w:line="169" w:lineRule="exact"/>
        <w:rPr>
          <w:sz w:val="20"/>
          <w:szCs w:val="20"/>
          <w:color w:val="auto"/>
        </w:rPr>
      </w:pPr>
    </w:p>
    <w:p>
      <w:pPr>
        <w:ind w:right="180" w:firstLine="648"/>
        <w:spacing w:after="0" w:line="248" w:lineRule="auto"/>
        <w:rPr>
          <w:sz w:val="20"/>
          <w:szCs w:val="20"/>
          <w:color w:val="auto"/>
        </w:rPr>
      </w:pPr>
      <w:r>
        <w:rPr>
          <w:rFonts w:ascii="Arial" w:cs="Arial" w:eastAsia="Arial" w:hAnsi="Arial"/>
          <w:sz w:val="16"/>
          <w:szCs w:val="16"/>
          <w:color w:val="auto"/>
        </w:rPr>
        <w:t>In addition, our Board has adopted a policy prohibiting our executive officers and directors from any hedging, pledging, or entering into margin loans with respect to any shares of our common stock (regardless of whether such stock is owned directly or indirectly, as such terms are used in the SEC</w:t>
      </w:r>
    </w:p>
    <w:p>
      <w:pPr>
        <w:ind w:right="540"/>
        <w:spacing w:after="0" w:line="226" w:lineRule="auto"/>
        <w:rPr>
          <w:sz w:val="20"/>
          <w:szCs w:val="20"/>
          <w:color w:val="auto"/>
        </w:rPr>
      </w:pPr>
      <w:r>
        <w:rPr>
          <w:rFonts w:ascii="Arial" w:cs="Arial" w:eastAsia="Arial" w:hAnsi="Arial"/>
          <w:sz w:val="18"/>
          <w:szCs w:val="18"/>
          <w:color w:val="auto"/>
        </w:rPr>
        <w:t>rules promulgated under the Exchange Act) or from engaging in short sales of our common stock or entering into any other transaction or derivative agreement where he or she would earn a profit or offset losses due to a decline of our stock price.</w:t>
      </w:r>
    </w:p>
    <w:p>
      <w:pPr>
        <w:spacing w:after="0" w:line="161" w:lineRule="exact"/>
        <w:rPr>
          <w:sz w:val="20"/>
          <w:szCs w:val="20"/>
          <w:color w:val="auto"/>
        </w:rPr>
      </w:pPr>
    </w:p>
    <w:p>
      <w:pPr>
        <w:ind w:right="60" w:firstLine="648"/>
        <w:spacing w:after="0" w:line="246" w:lineRule="auto"/>
        <w:rPr>
          <w:sz w:val="20"/>
          <w:szCs w:val="20"/>
          <w:color w:val="auto"/>
        </w:rPr>
      </w:pPr>
      <w:r>
        <w:rPr>
          <w:rFonts w:ascii="Arial" w:cs="Arial" w:eastAsia="Arial" w:hAnsi="Arial"/>
          <w:sz w:val="18"/>
          <w:szCs w:val="18"/>
          <w:color w:val="auto"/>
        </w:rPr>
        <w:t>The following table sets forth the total stock ownership of our independent directors, including beneficially owned, unvested, and deferred shares, as calculated pursuant to our stock ownership guidelines as of February 24, 2023:</w:t>
      </w:r>
    </w:p>
    <w:p>
      <w:pPr>
        <w:spacing w:after="0" w:line="200" w:lineRule="exact"/>
        <w:rPr>
          <w:sz w:val="20"/>
          <w:szCs w:val="20"/>
          <w:color w:val="auto"/>
        </w:rPr>
      </w:pPr>
    </w:p>
    <w:p>
      <w:pPr>
        <w:spacing w:after="0" w:line="261" w:lineRule="exact"/>
        <w:rPr>
          <w:sz w:val="20"/>
          <w:szCs w:val="20"/>
          <w:color w:val="auto"/>
        </w:rPr>
      </w:pPr>
    </w:p>
    <w:tbl>
      <w:tblPr>
        <w:tblLayout w:type="fixed"/>
        <w:tblInd w:w="400" w:type="dxa"/>
        <w:tblCellMar>
          <w:top w:w="0" w:type="dxa"/>
          <w:left w:w="0" w:type="dxa"/>
          <w:bottom w:w="0" w:type="dxa"/>
          <w:right w:w="0" w:type="dxa"/>
        </w:tblCellMar>
      </w:tblPr>
      <w:tr>
        <w:trPr>
          <w:trHeight w:val="148"/>
        </w:trPr>
        <w:tc>
          <w:tcPr>
            <w:tcW w:w="3260" w:type="dxa"/>
            <w:vAlign w:val="bottom"/>
            <w:tcBorders>
              <w:top w:val="single" w:sz="8" w:color="407CCA"/>
            </w:tcBorders>
          </w:tcPr>
          <w:p>
            <w:pPr>
              <w:spacing w:after="0"/>
              <w:rPr>
                <w:sz w:val="12"/>
                <w:szCs w:val="12"/>
                <w:color w:val="auto"/>
              </w:rPr>
            </w:pPr>
          </w:p>
        </w:tc>
        <w:tc>
          <w:tcPr>
            <w:tcW w:w="3620" w:type="dxa"/>
            <w:vAlign w:val="bottom"/>
            <w:tcBorders>
              <w:top w:val="single" w:sz="8" w:color="407CCA"/>
            </w:tcBorders>
          </w:tcPr>
          <w:p>
            <w:pPr>
              <w:jc w:val="center"/>
              <w:ind w:left="2377"/>
              <w:spacing w:after="0"/>
              <w:rPr>
                <w:sz w:val="20"/>
                <w:szCs w:val="20"/>
                <w:color w:val="auto"/>
              </w:rPr>
            </w:pPr>
            <w:r>
              <w:rPr>
                <w:rFonts w:ascii="Arial" w:cs="Arial" w:eastAsia="Arial" w:hAnsi="Arial"/>
                <w:sz w:val="13"/>
                <w:szCs w:val="13"/>
                <w:b w:val="1"/>
                <w:bCs w:val="1"/>
                <w:color w:val="auto"/>
                <w:w w:val="85"/>
              </w:rPr>
              <w:t>Beneficially</w:t>
            </w:r>
          </w:p>
        </w:tc>
        <w:tc>
          <w:tcPr>
            <w:tcW w:w="940" w:type="dxa"/>
            <w:vAlign w:val="bottom"/>
            <w:tcBorders>
              <w:top w:val="single" w:sz="8" w:color="407CCA"/>
            </w:tcBorders>
          </w:tcPr>
          <w:p>
            <w:pPr>
              <w:jc w:val="center"/>
              <w:ind w:left="57"/>
              <w:spacing w:after="0"/>
              <w:rPr>
                <w:sz w:val="20"/>
                <w:szCs w:val="20"/>
                <w:color w:val="auto"/>
              </w:rPr>
            </w:pPr>
            <w:r>
              <w:rPr>
                <w:rFonts w:ascii="Arial" w:cs="Arial" w:eastAsia="Arial" w:hAnsi="Arial"/>
                <w:sz w:val="13"/>
                <w:szCs w:val="13"/>
                <w:b w:val="1"/>
                <w:bCs w:val="1"/>
                <w:color w:val="auto"/>
                <w:w w:val="85"/>
              </w:rPr>
              <w:t>Unvested</w:t>
            </w:r>
          </w:p>
        </w:tc>
        <w:tc>
          <w:tcPr>
            <w:tcW w:w="1280" w:type="dxa"/>
            <w:vAlign w:val="bottom"/>
            <w:tcBorders>
              <w:top w:val="single" w:sz="8" w:color="407CCA"/>
            </w:tcBorders>
          </w:tcPr>
          <w:p>
            <w:pPr>
              <w:jc w:val="center"/>
              <w:spacing w:after="0"/>
              <w:rPr>
                <w:sz w:val="20"/>
                <w:szCs w:val="20"/>
                <w:color w:val="auto"/>
              </w:rPr>
            </w:pPr>
            <w:r>
              <w:rPr>
                <w:rFonts w:ascii="Arial" w:cs="Arial" w:eastAsia="Arial" w:hAnsi="Arial"/>
                <w:sz w:val="13"/>
                <w:szCs w:val="13"/>
                <w:b w:val="1"/>
                <w:bCs w:val="1"/>
                <w:color w:val="auto"/>
                <w:w w:val="88"/>
              </w:rPr>
              <w:t>Vested/Deferred</w:t>
            </w:r>
          </w:p>
        </w:tc>
        <w:tc>
          <w:tcPr>
            <w:tcW w:w="900" w:type="dxa"/>
            <w:vAlign w:val="bottom"/>
            <w:tcBorders>
              <w:top w:val="single" w:sz="8" w:color="407CCA"/>
            </w:tcBorders>
            <w:vMerge w:val="restart"/>
          </w:tcPr>
          <w:p>
            <w:pPr>
              <w:jc w:val="center"/>
              <w:ind w:right="77"/>
              <w:spacing w:after="0"/>
              <w:rPr>
                <w:sz w:val="20"/>
                <w:szCs w:val="20"/>
                <w:color w:val="auto"/>
              </w:rPr>
            </w:pPr>
            <w:r>
              <w:rPr>
                <w:rFonts w:ascii="Arial" w:cs="Arial" w:eastAsia="Arial" w:hAnsi="Arial"/>
                <w:sz w:val="13"/>
                <w:szCs w:val="13"/>
                <w:b w:val="1"/>
                <w:bCs w:val="1"/>
                <w:color w:val="auto"/>
                <w:w w:val="89"/>
              </w:rPr>
              <w:t>Total</w:t>
            </w:r>
          </w:p>
        </w:tc>
        <w:tc>
          <w:tcPr>
            <w:tcW w:w="0" w:type="dxa"/>
            <w:vAlign w:val="bottom"/>
          </w:tcPr>
          <w:p>
            <w:pPr>
              <w:spacing w:after="0"/>
              <w:rPr>
                <w:sz w:val="1"/>
                <w:szCs w:val="1"/>
                <w:color w:val="auto"/>
              </w:rPr>
            </w:pPr>
          </w:p>
        </w:tc>
      </w:tr>
      <w:tr>
        <w:trPr>
          <w:trHeight w:val="122"/>
        </w:trPr>
        <w:tc>
          <w:tcPr>
            <w:tcW w:w="326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620" w:type="dxa"/>
            <w:vAlign w:val="bottom"/>
          </w:tcPr>
          <w:p>
            <w:pPr>
              <w:jc w:val="center"/>
              <w:ind w:left="2377"/>
              <w:spacing w:after="0" w:line="122" w:lineRule="exact"/>
              <w:rPr>
                <w:sz w:val="20"/>
                <w:szCs w:val="20"/>
                <w:color w:val="auto"/>
              </w:rPr>
            </w:pPr>
            <w:r>
              <w:rPr>
                <w:rFonts w:ascii="Arial" w:cs="Arial" w:eastAsia="Arial" w:hAnsi="Arial"/>
                <w:sz w:val="13"/>
                <w:szCs w:val="13"/>
                <w:b w:val="1"/>
                <w:bCs w:val="1"/>
                <w:color w:val="auto"/>
                <w:w w:val="87"/>
              </w:rPr>
              <w:t>Owned</w:t>
            </w:r>
          </w:p>
        </w:tc>
        <w:tc>
          <w:tcPr>
            <w:tcW w:w="940" w:type="dxa"/>
            <w:vAlign w:val="bottom"/>
          </w:tcPr>
          <w:p>
            <w:pPr>
              <w:jc w:val="center"/>
              <w:ind w:left="37"/>
              <w:spacing w:after="0" w:line="122" w:lineRule="exact"/>
              <w:rPr>
                <w:sz w:val="20"/>
                <w:szCs w:val="20"/>
                <w:color w:val="auto"/>
              </w:rPr>
            </w:pPr>
            <w:r>
              <w:rPr>
                <w:rFonts w:ascii="Arial" w:cs="Arial" w:eastAsia="Arial" w:hAnsi="Arial"/>
                <w:sz w:val="13"/>
                <w:szCs w:val="13"/>
                <w:b w:val="1"/>
                <w:bCs w:val="1"/>
                <w:color w:val="auto"/>
                <w:w w:val="82"/>
              </w:rPr>
              <w:t>Shares</w:t>
            </w:r>
          </w:p>
        </w:tc>
        <w:tc>
          <w:tcPr>
            <w:tcW w:w="12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1"/>
              </w:rPr>
              <w:t>Shares</w:t>
            </w:r>
            <w:r>
              <w:rPr>
                <w:rFonts w:ascii="Arial" w:cs="Arial" w:eastAsia="Arial" w:hAnsi="Arial"/>
                <w:sz w:val="14"/>
                <w:szCs w:val="14"/>
                <w:b w:val="1"/>
                <w:bCs w:val="1"/>
                <w:color w:val="auto"/>
                <w:w w:val="91"/>
                <w:vertAlign w:val="superscript"/>
              </w:rPr>
              <w:t>(1)</w:t>
            </w:r>
          </w:p>
        </w:tc>
        <w:tc>
          <w:tcPr>
            <w:tcW w:w="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9"/>
        </w:trPr>
        <w:tc>
          <w:tcPr>
            <w:tcW w:w="3260" w:type="dxa"/>
            <w:vAlign w:val="bottom"/>
            <w:tcBorders>
              <w:bottom w:val="single" w:sz="8" w:color="407CCA"/>
            </w:tcBorders>
            <w:vMerge w:val="continue"/>
          </w:tcPr>
          <w:p>
            <w:pPr>
              <w:spacing w:after="0"/>
              <w:rPr>
                <w:sz w:val="16"/>
                <w:szCs w:val="16"/>
                <w:color w:val="auto"/>
              </w:rPr>
            </w:pPr>
          </w:p>
        </w:tc>
        <w:tc>
          <w:tcPr>
            <w:tcW w:w="3620" w:type="dxa"/>
            <w:vAlign w:val="bottom"/>
            <w:tcBorders>
              <w:bottom w:val="single" w:sz="8" w:color="407CCA"/>
            </w:tcBorders>
          </w:tcPr>
          <w:p>
            <w:pPr>
              <w:jc w:val="center"/>
              <w:ind w:left="2377"/>
              <w:spacing w:after="0"/>
              <w:rPr>
                <w:sz w:val="20"/>
                <w:szCs w:val="20"/>
                <w:color w:val="auto"/>
              </w:rPr>
            </w:pPr>
            <w:r>
              <w:rPr>
                <w:rFonts w:ascii="Arial" w:cs="Arial" w:eastAsia="Arial" w:hAnsi="Arial"/>
                <w:sz w:val="13"/>
                <w:szCs w:val="13"/>
                <w:b w:val="1"/>
                <w:bCs w:val="1"/>
                <w:color w:val="auto"/>
                <w:w w:val="85"/>
              </w:rPr>
              <w:t>Shares (#)</w:t>
            </w:r>
          </w:p>
        </w:tc>
        <w:tc>
          <w:tcPr>
            <w:tcW w:w="940" w:type="dxa"/>
            <w:vAlign w:val="bottom"/>
            <w:tcBorders>
              <w:bottom w:val="single" w:sz="8" w:color="407CCA"/>
            </w:tcBorders>
          </w:tcPr>
          <w:p>
            <w:pPr>
              <w:jc w:val="center"/>
              <w:ind w:left="37"/>
              <w:spacing w:after="0"/>
              <w:rPr>
                <w:sz w:val="20"/>
                <w:szCs w:val="20"/>
                <w:color w:val="auto"/>
              </w:rPr>
            </w:pPr>
            <w:r>
              <w:rPr>
                <w:rFonts w:ascii="Arial" w:cs="Arial" w:eastAsia="Arial" w:hAnsi="Arial"/>
                <w:sz w:val="13"/>
                <w:szCs w:val="13"/>
                <w:b w:val="1"/>
                <w:bCs w:val="1"/>
                <w:color w:val="auto"/>
              </w:rPr>
              <w:t>(#)</w:t>
            </w:r>
          </w:p>
        </w:tc>
        <w:tc>
          <w:tcPr>
            <w:tcW w:w="12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rPr>
              <w:t>(#)</w:t>
            </w:r>
          </w:p>
        </w:tc>
        <w:tc>
          <w:tcPr>
            <w:tcW w:w="900" w:type="dxa"/>
            <w:vAlign w:val="bottom"/>
            <w:tcBorders>
              <w:bottom w:val="single" w:sz="8" w:color="407CCA"/>
            </w:tcBorders>
          </w:tcPr>
          <w:p>
            <w:pPr>
              <w:jc w:val="right"/>
              <w:ind w:right="37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bl>
    <w:p>
      <w:pPr>
        <w:spacing w:after="0" w:line="67" w:lineRule="exact"/>
        <w:rPr>
          <w:sz w:val="20"/>
          <w:szCs w:val="20"/>
          <w:color w:val="auto"/>
        </w:rPr>
      </w:pPr>
    </w:p>
    <w:p>
      <w:pPr>
        <w:ind w:left="500"/>
        <w:spacing w:after="0"/>
        <w:rPr>
          <w:sz w:val="20"/>
          <w:szCs w:val="20"/>
          <w:color w:val="auto"/>
        </w:rPr>
      </w:pPr>
      <w:r>
        <w:rPr>
          <w:rFonts w:ascii="Arial" w:cs="Arial" w:eastAsia="Arial" w:hAnsi="Arial"/>
          <w:sz w:val="18"/>
          <w:szCs w:val="18"/>
          <w:color w:val="auto"/>
        </w:rPr>
        <w:t>Donna J. Blank</w:t>
      </w:r>
    </w:p>
    <w:p>
      <w:pPr>
        <w:spacing w:after="0" w:line="185" w:lineRule="exact"/>
        <w:rPr>
          <w:sz w:val="20"/>
          <w:szCs w:val="20"/>
          <w:color w:val="auto"/>
        </w:rPr>
      </w:pPr>
    </w:p>
    <w:p>
      <w:pPr>
        <w:ind w:left="500"/>
        <w:spacing w:after="0"/>
        <w:rPr>
          <w:sz w:val="20"/>
          <w:szCs w:val="20"/>
          <w:color w:val="auto"/>
        </w:rPr>
      </w:pPr>
      <w:r>
        <w:rPr>
          <w:rFonts w:ascii="Arial" w:cs="Arial" w:eastAsia="Arial" w:hAnsi="Arial"/>
          <w:sz w:val="18"/>
          <w:szCs w:val="18"/>
          <w:color w:val="auto"/>
        </w:rPr>
        <w:t>Morris A. Davis</w:t>
      </w:r>
    </w:p>
    <w:p>
      <w:pPr>
        <w:spacing w:after="0" w:line="185" w:lineRule="exact"/>
        <w:rPr>
          <w:sz w:val="20"/>
          <w:szCs w:val="20"/>
          <w:color w:val="auto"/>
        </w:rPr>
      </w:pPr>
    </w:p>
    <w:p>
      <w:pPr>
        <w:ind w:left="500"/>
        <w:spacing w:after="0"/>
        <w:rPr>
          <w:sz w:val="20"/>
          <w:szCs w:val="20"/>
          <w:color w:val="auto"/>
        </w:rPr>
      </w:pPr>
      <w:r>
        <w:rPr>
          <w:rFonts w:ascii="Arial" w:cs="Arial" w:eastAsia="Arial" w:hAnsi="Arial"/>
          <w:sz w:val="18"/>
          <w:szCs w:val="18"/>
          <w:color w:val="auto"/>
        </w:rPr>
        <w:t>John D. Fisk</w:t>
      </w:r>
    </w:p>
    <w:p>
      <w:pPr>
        <w:spacing w:after="0" w:line="117" w:lineRule="exact"/>
        <w:rPr>
          <w:sz w:val="20"/>
          <w:szCs w:val="20"/>
          <w:color w:val="auto"/>
        </w:rPr>
      </w:pPr>
    </w:p>
    <w:p>
      <w:pPr>
        <w:ind w:left="500"/>
        <w:spacing w:after="0"/>
        <w:rPr>
          <w:sz w:val="20"/>
          <w:szCs w:val="20"/>
          <w:color w:val="auto"/>
        </w:rPr>
      </w:pPr>
      <w:r>
        <w:rPr>
          <w:rFonts w:ascii="Arial" w:cs="Arial" w:eastAsia="Arial" w:hAnsi="Arial"/>
          <w:sz w:val="18"/>
          <w:szCs w:val="18"/>
          <w:color w:val="auto"/>
        </w:rPr>
        <w:t>Andrew A. Johnson, Jr.</w:t>
      </w:r>
    </w:p>
    <w:p>
      <w:pPr>
        <w:spacing w:after="0" w:line="90" w:lineRule="exact"/>
        <w:rPr>
          <w:sz w:val="20"/>
          <w:szCs w:val="20"/>
          <w:color w:val="auto"/>
        </w:rPr>
      </w:pPr>
    </w:p>
    <w:p>
      <w:pPr>
        <w:ind w:left="500"/>
        <w:spacing w:after="0"/>
        <w:rPr>
          <w:sz w:val="20"/>
          <w:szCs w:val="20"/>
          <w:color w:val="auto"/>
        </w:rPr>
      </w:pPr>
      <w:r>
        <w:rPr>
          <w:rFonts w:ascii="Arial" w:cs="Arial" w:eastAsia="Arial" w:hAnsi="Arial"/>
          <w:sz w:val="18"/>
          <w:szCs w:val="18"/>
          <w:color w:val="auto"/>
        </w:rPr>
        <w:t>Prue B. Larocca</w:t>
      </w:r>
    </w:p>
    <w:p>
      <w:pPr>
        <w:spacing w:after="0" w:line="185" w:lineRule="exact"/>
        <w:rPr>
          <w:sz w:val="20"/>
          <w:szCs w:val="20"/>
          <w:color w:val="auto"/>
        </w:rPr>
      </w:pPr>
    </w:p>
    <w:p>
      <w:pPr>
        <w:ind w:left="500"/>
        <w:spacing w:after="0"/>
        <w:rPr>
          <w:sz w:val="20"/>
          <w:szCs w:val="20"/>
          <w:color w:val="auto"/>
        </w:rPr>
      </w:pPr>
      <w:r>
        <w:rPr>
          <w:rFonts w:ascii="Arial" w:cs="Arial" w:eastAsia="Arial" w:hAnsi="Arial"/>
          <w:sz w:val="18"/>
          <w:szCs w:val="18"/>
          <w:color w:val="auto"/>
        </w:rPr>
        <w:t>Paul E. Mullings</w:t>
      </w:r>
    </w:p>
    <w:p>
      <w:pPr>
        <w:spacing w:after="0" w:line="185" w:lineRule="exact"/>
        <w:rPr>
          <w:sz w:val="20"/>
          <w:szCs w:val="20"/>
          <w:color w:val="auto"/>
        </w:rPr>
      </w:pPr>
    </w:p>
    <w:p>
      <w:pPr>
        <w:ind w:left="500"/>
        <w:spacing w:after="0"/>
        <w:rPr>
          <w:sz w:val="20"/>
          <w:szCs w:val="20"/>
          <w:color w:val="auto"/>
        </w:rPr>
      </w:pPr>
      <w:r>
        <w:rPr>
          <w:rFonts w:ascii="Arial" w:cs="Arial" w:eastAsia="Arial" w:hAnsi="Arial"/>
          <w:sz w:val="18"/>
          <w:szCs w:val="18"/>
          <w:color w:val="auto"/>
        </w:rPr>
        <w:t>Frances R. Spark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253365</wp:posOffset>
            </wp:positionH>
            <wp:positionV relativeFrom="paragraph">
              <wp:posOffset>74930</wp:posOffset>
            </wp:positionV>
            <wp:extent cx="6351905"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351905" cy="8255"/>
                    </a:xfrm>
                    <a:prstGeom prst="rect">
                      <a:avLst/>
                    </a:prstGeom>
                    <a:noFill/>
                  </pic:spPr>
                </pic:pic>
              </a:graphicData>
            </a:graphic>
          </wp:anchor>
        </w:drawing>
      </w:r>
    </w:p>
    <w:p>
      <w:pPr>
        <w:spacing w:after="0" w:line="228" w:lineRule="exact"/>
        <w:rPr>
          <w:sz w:val="20"/>
          <w:szCs w:val="20"/>
          <w:color w:val="auto"/>
        </w:rPr>
      </w:pPr>
    </w:p>
    <w:p>
      <w:pPr>
        <w:ind w:left="340" w:right="520" w:hanging="251"/>
        <w:spacing w:after="0" w:line="269" w:lineRule="auto"/>
        <w:tabs>
          <w:tab w:leader="none" w:pos="349" w:val="left"/>
        </w:tabs>
        <w:numPr>
          <w:ilvl w:val="0"/>
          <w:numId w:val="23"/>
        </w:numPr>
        <w:rPr>
          <w:rFonts w:ascii="Arial" w:cs="Arial" w:eastAsia="Arial" w:hAnsi="Arial"/>
          <w:sz w:val="13"/>
          <w:szCs w:val="13"/>
          <w:color w:val="auto"/>
        </w:rPr>
      </w:pPr>
      <w:r>
        <w:rPr>
          <w:rFonts w:ascii="Arial" w:cs="Arial" w:eastAsia="Arial" w:hAnsi="Arial"/>
          <w:sz w:val="13"/>
          <w:szCs w:val="13"/>
          <w:color w:val="auto"/>
        </w:rPr>
        <w:t>Reflects shares that are fully vested but distribution has been deferred. Pursuant to the terms of the 2016 Equity Plan and the Independent Director Plan, directors may elect to defer distribution of their awards for a period of up to ten years. Deferral does not alter the vesting schedule, and vested and deferred shares are non-forfeitable.</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Resignation Policy</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Our Bylaws require a candidate in an uncontested election for director to receive a majority of the votes cast in order to be elected as a director.</w:t>
      </w:r>
    </w:p>
    <w:p>
      <w:pPr>
        <w:spacing w:after="0" w:line="21" w:lineRule="exact"/>
        <w:rPr>
          <w:sz w:val="20"/>
          <w:szCs w:val="20"/>
          <w:color w:val="auto"/>
        </w:rPr>
      </w:pPr>
    </w:p>
    <w:p>
      <w:pPr>
        <w:ind w:right="140"/>
        <w:spacing w:after="0" w:line="234" w:lineRule="auto"/>
        <w:rPr>
          <w:sz w:val="20"/>
          <w:szCs w:val="20"/>
          <w:color w:val="auto"/>
        </w:rPr>
      </w:pPr>
      <w:r>
        <w:rPr>
          <w:rFonts w:ascii="Arial" w:cs="Arial" w:eastAsia="Arial" w:hAnsi="Arial"/>
          <w:sz w:val="16"/>
          <w:szCs w:val="16"/>
          <w:color w:val="auto"/>
        </w:rPr>
        <w:t>Under this provision, each vote is specifically counted “for” or “against” the director’s election, unless a common stockholder abstains from voting with respect to the matter.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w:t>
      </w:r>
    </w:p>
    <w:p>
      <w:pPr>
        <w:spacing w:after="0" w:line="2" w:lineRule="exact"/>
        <w:rPr>
          <w:sz w:val="20"/>
          <w:szCs w:val="20"/>
          <w:color w:val="auto"/>
        </w:rPr>
      </w:pPr>
    </w:p>
    <w:p>
      <w:pPr>
        <w:ind w:right="160"/>
        <w:spacing w:after="0" w:line="233" w:lineRule="auto"/>
        <w:rPr>
          <w:sz w:val="20"/>
          <w:szCs w:val="20"/>
          <w:color w:val="auto"/>
        </w:rPr>
      </w:pPr>
      <w:r>
        <w:rPr>
          <w:rFonts w:ascii="Arial" w:cs="Arial" w:eastAsia="Arial" w:hAnsi="Arial"/>
          <w:sz w:val="16"/>
          <w:szCs w:val="16"/>
          <w:color w:val="auto"/>
        </w:rPr>
        <w:t>could have a “holdover” director. However, pursuant to our Board-approved director resignation policy, an incumbent director must tender his or her resignation to the Board if the director is nominated but not re-elected. The policy also requires the Compensation Committee to make a recommendation to the full Board on whether to accept or reject the resignation within 90 days of receipt of the tendered resignation and the full Board to make that determination. The Board would publicly disclose its decision by filing a Current Report on Form 8-K with the SEC within four days of making its</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determination.</w:t>
      </w:r>
    </w:p>
    <w:p>
      <w:pPr>
        <w:spacing w:after="0" w:line="169" w:lineRule="exact"/>
        <w:rPr>
          <w:sz w:val="20"/>
          <w:szCs w:val="20"/>
          <w:color w:val="auto"/>
        </w:rPr>
      </w:pPr>
    </w:p>
    <w:p>
      <w:pPr>
        <w:ind w:right="220" w:firstLine="648"/>
        <w:spacing w:after="0" w:line="248" w:lineRule="auto"/>
        <w:rPr>
          <w:sz w:val="20"/>
          <w:szCs w:val="20"/>
          <w:color w:val="auto"/>
        </w:rPr>
      </w:pPr>
      <w:r>
        <w:rPr>
          <w:rFonts w:ascii="Arial" w:cs="Arial" w:eastAsia="Arial" w:hAnsi="Arial"/>
          <w:sz w:val="16"/>
          <w:szCs w:val="16"/>
          <w:color w:val="auto"/>
        </w:rPr>
        <w:t>Any director who tenders his or her resignation pursuant to this policy may not participate in the Compensation Committee recommendation or Board action regarding whether to accept the resignation offer. If each member of the Compensation Committee does not receive a vote sufficient for re-</w:t>
      </w:r>
    </w:p>
    <w:p>
      <w:pPr>
        <w:jc w:val="both"/>
        <w:ind w:right="180"/>
        <w:spacing w:after="0" w:line="248" w:lineRule="auto"/>
        <w:rPr>
          <w:sz w:val="20"/>
          <w:szCs w:val="20"/>
          <w:color w:val="auto"/>
        </w:rPr>
      </w:pPr>
      <w:r>
        <w:rPr>
          <w:rFonts w:ascii="Arial" w:cs="Arial" w:eastAsia="Arial" w:hAnsi="Arial"/>
          <w:sz w:val="16"/>
          <w:szCs w:val="16"/>
          <w:color w:val="auto"/>
        </w:rPr>
        <w:t>election, then the independent directors who did receive a sufficient vote shall appoint a committee amongst themselves to consider the resignation offers and recommend to the Board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Our Board has adopted a policy regarding the approval of any “related person transaction,” which is any transaction or series of transactions in</w:t>
      </w:r>
    </w:p>
    <w:p>
      <w:pPr>
        <w:spacing w:after="0" w:line="21" w:lineRule="exact"/>
        <w:rPr>
          <w:sz w:val="20"/>
          <w:szCs w:val="20"/>
          <w:color w:val="auto"/>
        </w:rPr>
      </w:pPr>
    </w:p>
    <w:p>
      <w:pPr>
        <w:jc w:val="both"/>
        <w:ind w:right="420"/>
        <w:spacing w:after="0" w:line="234" w:lineRule="auto"/>
        <w:rPr>
          <w:sz w:val="20"/>
          <w:szCs w:val="20"/>
          <w:color w:val="auto"/>
        </w:rPr>
      </w:pPr>
      <w:r>
        <w:rPr>
          <w:rFonts w:ascii="Arial" w:cs="Arial" w:eastAsia="Arial" w:hAnsi="Arial"/>
          <w:sz w:val="16"/>
          <w:szCs w:val="16"/>
          <w:color w:val="auto"/>
        </w:rPr>
        <w:t>which we or any of our subsidiaries is or are to be a 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promptly assess and communicate that information to the Audit</w:t>
      </w:r>
    </w:p>
    <w:p>
      <w:pPr>
        <w:spacing w:after="0" w:line="2" w:lineRule="exact"/>
        <w:rPr>
          <w:sz w:val="20"/>
          <w:szCs w:val="20"/>
          <w:color w:val="auto"/>
        </w:rPr>
      </w:pPr>
    </w:p>
    <w:p>
      <w:pPr>
        <w:jc w:val="both"/>
        <w:ind w:right="360"/>
        <w:spacing w:after="0" w:line="234" w:lineRule="auto"/>
        <w:rPr>
          <w:sz w:val="20"/>
          <w:szCs w:val="20"/>
          <w:color w:val="auto"/>
        </w:rPr>
      </w:pPr>
      <w:r>
        <w:rPr>
          <w:rFonts w:ascii="Arial" w:cs="Arial" w:eastAsia="Arial" w:hAnsi="Arial"/>
          <w:sz w:val="16"/>
          <w:szCs w:val="16"/>
          <w:color w:val="auto"/>
        </w:rPr>
        <w:t>Committee. Based on its consideration of all of the relevant facts and circumstances, the Audit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Audit Committee, which will evaluate all options</w:t>
      </w:r>
    </w:p>
    <w:p>
      <w:pPr>
        <w:spacing w:after="0" w:line="2" w:lineRule="exact"/>
        <w:rPr>
          <w:sz w:val="20"/>
          <w:szCs w:val="20"/>
          <w:color w:val="auto"/>
        </w:rPr>
      </w:pPr>
    </w:p>
    <w:p>
      <w:pPr>
        <w:ind w:right="340"/>
        <w:spacing w:after="0" w:line="226" w:lineRule="auto"/>
        <w:rPr>
          <w:sz w:val="20"/>
          <w:szCs w:val="20"/>
          <w:color w:val="auto"/>
        </w:rPr>
      </w:pPr>
      <w:r>
        <w:rPr>
          <w:rFonts w:ascii="Arial" w:cs="Arial" w:eastAsia="Arial" w:hAnsi="Arial"/>
          <w:sz w:val="18"/>
          <w:szCs w:val="18"/>
          <w:color w:val="auto"/>
        </w:rPr>
        <w:t>available, including ratification, revision, or termination of such transaction. Our policy requires any director who may be interested in a related person transaction to recuse himself or herself from any consideration of such related person transaction.</w:t>
      </w:r>
    </w:p>
    <w:p>
      <w:pPr>
        <w:sectPr>
          <w:pgSz w:w="11900" w:h="16838" w:orient="portrait"/>
          <w:cols w:equalWidth="0" w:num="1">
            <w:col w:w="11220"/>
          </w:cols>
          <w:pgMar w:left="320" w:top="108" w:right="359" w:bottom="1440" w:gutter="0" w:footer="0" w:header="0"/>
        </w:sectPr>
      </w:pPr>
    </w:p>
    <w:p>
      <w:pPr>
        <w:spacing w:after="0" w:line="332" w:lineRule="exact"/>
        <w:rPr>
          <w:sz w:val="20"/>
          <w:szCs w:val="20"/>
          <w:color w:val="auto"/>
        </w:rPr>
      </w:pPr>
    </w:p>
    <w:p>
      <w:pPr>
        <w:ind w:left="794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19" w:name="page20"/>
    <w:bookmarkEnd w:id="1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71" w:lineRule="exact"/>
        <w:rPr>
          <w:sz w:val="20"/>
          <w:szCs w:val="20"/>
          <w:color w:val="auto"/>
        </w:rPr>
      </w:pPr>
    </w:p>
    <w:p>
      <w:pPr>
        <w:jc w:val="both"/>
        <w:ind w:right="100" w:firstLine="648"/>
        <w:spacing w:after="0" w:line="241" w:lineRule="auto"/>
        <w:rPr>
          <w:sz w:val="20"/>
          <w:szCs w:val="20"/>
          <w:color w:val="auto"/>
        </w:rPr>
      </w:pPr>
      <w:r>
        <w:rPr>
          <w:rFonts w:ascii="Arial" w:cs="Arial" w:eastAsia="Arial" w:hAnsi="Arial"/>
          <w:sz w:val="16"/>
          <w:szCs w:val="16"/>
          <w:color w:val="auto"/>
        </w:rPr>
        <w:t>Our Code of Ethics, which is reviewed annually by our Board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relationships that might give rise to a conflict, to their supervisor or our chief compliance officer. If a conflict is determined to exist, the person must disengage from the conflict situation or terminate his or her provision of services to us. Our president and chief executive officer, chief financial officer and principal accounting officer, controller, directors and certain other persons who may be designated by our Board or its Audit Committee, whom we</w:t>
      </w:r>
    </w:p>
    <w:p>
      <w:pPr>
        <w:spacing w:after="0" w:line="2"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collectively refer to as our financial executives, must consult with our chief compliance officer with respect to any proposed actions or arrangements that are not clearly consistent with our Code of Ethics. In the event that a financial executive desires to engage in a proposed action or arrangement that is not consistent with our Code of Ethics, the financial executive must obtain a waiver of the relevant provisions of our Code of Ethics in advance from our Audit</w:t>
      </w:r>
    </w:p>
    <w:p>
      <w:pPr>
        <w:spacing w:after="0" w:line="2" w:lineRule="exact"/>
        <w:rPr>
          <w:sz w:val="20"/>
          <w:szCs w:val="20"/>
          <w:color w:val="auto"/>
        </w:rPr>
      </w:pPr>
    </w:p>
    <w:p>
      <w:pPr>
        <w:ind w:right="220"/>
        <w:spacing w:after="0" w:line="226" w:lineRule="auto"/>
        <w:rPr>
          <w:sz w:val="20"/>
          <w:szCs w:val="20"/>
          <w:color w:val="auto"/>
        </w:rPr>
      </w:pPr>
      <w:r>
        <w:rPr>
          <w:rFonts w:ascii="Arial" w:cs="Arial" w:eastAsia="Arial" w:hAnsi="Arial"/>
          <w:sz w:val="18"/>
          <w:szCs w:val="18"/>
          <w:color w:val="auto"/>
        </w:rPr>
        <w:t>Committee. We intend to post amendments to or waivers from the Code of Ethics (to the extent applicable to our financial executives) on our web site at www.AGNC.com.</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Related Person Transactions</w:t>
      </w:r>
    </w:p>
    <w:p>
      <w:pPr>
        <w:spacing w:after="0" w:line="9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did not enter into any transactions in 2022 in which any related person of ours had any material interest.</w:t>
      </w:r>
    </w:p>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No member of the Compensation Committee during fiscal year 2022 served as an officer, former officer, or employee of ours or had a relationship</w:t>
      </w:r>
    </w:p>
    <w:p>
      <w:pPr>
        <w:spacing w:after="0" w:line="21" w:lineRule="exact"/>
        <w:rPr>
          <w:sz w:val="20"/>
          <w:szCs w:val="20"/>
          <w:color w:val="auto"/>
        </w:rPr>
      </w:pPr>
    </w:p>
    <w:p>
      <w:pPr>
        <w:ind w:right="100"/>
        <w:spacing w:after="0" w:line="226" w:lineRule="auto"/>
        <w:rPr>
          <w:sz w:val="20"/>
          <w:szCs w:val="20"/>
          <w:color w:val="auto"/>
        </w:rPr>
      </w:pPr>
      <w:r>
        <w:rPr>
          <w:rFonts w:ascii="Arial" w:cs="Arial" w:eastAsia="Arial" w:hAnsi="Arial"/>
          <w:sz w:val="18"/>
          <w:szCs w:val="18"/>
          <w:color w:val="auto"/>
        </w:rPr>
        <w:t>required to be disclosed under “Board and Governance Matters—Certain Transactions with Related Persons.” Further, during 2022, none of our executive officers served as:</w:t>
      </w:r>
    </w:p>
    <w:p>
      <w:pPr>
        <w:spacing w:after="0" w:line="53" w:lineRule="exact"/>
        <w:rPr>
          <w:sz w:val="20"/>
          <w:szCs w:val="20"/>
          <w:color w:val="auto"/>
        </w:rPr>
      </w:pPr>
    </w:p>
    <w:p>
      <w:pPr>
        <w:ind w:left="900" w:right="80" w:hanging="406"/>
        <w:spacing w:after="0" w:line="246" w:lineRule="auto"/>
        <w:tabs>
          <w:tab w:leader="none" w:pos="895" w:val="left"/>
        </w:tabs>
        <w:numPr>
          <w:ilvl w:val="0"/>
          <w:numId w:val="24"/>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48" w:lineRule="exact"/>
        <w:rPr>
          <w:rFonts w:ascii="Arial" w:cs="Arial" w:eastAsia="Arial" w:hAnsi="Arial"/>
          <w:sz w:val="18"/>
          <w:szCs w:val="18"/>
          <w:color w:val="auto"/>
        </w:rPr>
      </w:pPr>
    </w:p>
    <w:p>
      <w:pPr>
        <w:ind w:left="900" w:hanging="406"/>
        <w:spacing w:after="0"/>
        <w:tabs>
          <w:tab w:leader="none" w:pos="900" w:val="left"/>
        </w:tabs>
        <w:numPr>
          <w:ilvl w:val="0"/>
          <w:numId w:val="24"/>
        </w:numPr>
        <w:rPr>
          <w:rFonts w:ascii="Arial" w:cs="Arial" w:eastAsia="Arial" w:hAnsi="Arial"/>
          <w:sz w:val="17"/>
          <w:szCs w:val="17"/>
          <w:color w:val="auto"/>
        </w:rPr>
      </w:pPr>
      <w:r>
        <w:rPr>
          <w:rFonts w:ascii="Arial" w:cs="Arial" w:eastAsia="Arial" w:hAnsi="Arial"/>
          <w:sz w:val="17"/>
          <w:szCs w:val="17"/>
          <w:color w:val="auto"/>
        </w:rPr>
        <w:t>a director of any other entity, one of whose executive officers or their immediate family member served on our Compensation Committee.</w:t>
      </w:r>
    </w:p>
    <w:p>
      <w:pPr>
        <w:spacing w:after="0" w:line="367"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00"/>
          </w:cols>
          <w:pgMar w:left="320" w:top="108" w:right="379" w:bottom="1440" w:gutter="0" w:footer="0" w:header="0"/>
        </w:sectPr>
      </w:pPr>
    </w:p>
    <w:bookmarkStart w:id="20" w:name="page21"/>
    <w:bookmarkEnd w:id="2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PROPOSAL 1: ELECTION OF DIRECTORS</w:t>
      </w:r>
    </w:p>
    <w:p>
      <w:pPr>
        <w:spacing w:after="0" w:line="84" w:lineRule="exact"/>
        <w:rPr>
          <w:sz w:val="20"/>
          <w:szCs w:val="20"/>
          <w:color w:val="auto"/>
        </w:rPr>
      </w:pPr>
    </w:p>
    <w:p>
      <w:pPr>
        <w:ind w:right="40" w:firstLine="648"/>
        <w:spacing w:after="0" w:line="241" w:lineRule="auto"/>
        <w:rPr>
          <w:sz w:val="20"/>
          <w:szCs w:val="20"/>
          <w:color w:val="auto"/>
        </w:rPr>
      </w:pPr>
      <w:r>
        <w:rPr>
          <w:rFonts w:ascii="Arial" w:cs="Arial" w:eastAsia="Arial" w:hAnsi="Arial"/>
          <w:sz w:val="16"/>
          <w:szCs w:val="16"/>
          <w:color w:val="auto"/>
        </w:rPr>
        <w:t>Pursuant to our Certificate of Incorporation, our common stockholders elect each of the members of the Board annually. The term of each director will expire at the Annual Meeting. Each director has been nominated by the Compensation Committee of the Board, in accordance with our Bylaws, to stand for re-election at the Annual Meeting and to serve as a director until our Annual Meeting to be held in 2024 and until his or her successor is elected</w:t>
      </w:r>
    </w:p>
    <w:p>
      <w:pPr>
        <w:spacing w:after="0" w:line="2" w:lineRule="exact"/>
        <w:rPr>
          <w:sz w:val="20"/>
          <w:szCs w:val="20"/>
          <w:color w:val="auto"/>
        </w:rPr>
      </w:pPr>
    </w:p>
    <w:p>
      <w:pPr>
        <w:ind w:right="200"/>
        <w:spacing w:after="0" w:line="218" w:lineRule="auto"/>
        <w:rPr>
          <w:sz w:val="20"/>
          <w:szCs w:val="20"/>
          <w:color w:val="auto"/>
        </w:rPr>
      </w:pPr>
      <w:r>
        <w:rPr>
          <w:rFonts w:ascii="Arial" w:cs="Arial" w:eastAsia="Arial" w:hAnsi="Arial"/>
          <w:sz w:val="18"/>
          <w:szCs w:val="18"/>
          <w:color w:val="auto"/>
        </w:rPr>
        <w:t>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176" w:lineRule="exact"/>
        <w:rPr>
          <w:sz w:val="20"/>
          <w:szCs w:val="20"/>
          <w:color w:val="auto"/>
        </w:rPr>
      </w:pPr>
    </w:p>
    <w:p>
      <w:pPr>
        <w:ind w:right="20" w:firstLine="648"/>
        <w:spacing w:after="0" w:line="241" w:lineRule="auto"/>
        <w:rPr>
          <w:sz w:val="20"/>
          <w:szCs w:val="20"/>
          <w:color w:val="auto"/>
        </w:rPr>
      </w:pPr>
      <w:r>
        <w:rPr>
          <w:rFonts w:ascii="Arial" w:cs="Arial" w:eastAsia="Arial" w:hAnsi="Arial"/>
          <w:sz w:val="16"/>
          <w:szCs w:val="16"/>
          <w:color w:val="auto"/>
        </w:rPr>
        <w:t>We believe that all of our nominees possess the personal and professional qualifications necessary to serve as a member of our Board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6"/>
          <w:szCs w:val="16"/>
          <w:b w:val="1"/>
          <w:bCs w:val="1"/>
          <w:color w:val="auto"/>
        </w:rPr>
        <w:t>—</w:t>
      </w:r>
      <w:r>
        <w:rPr>
          <w:rFonts w:ascii="Arial" w:cs="Arial" w:eastAsia="Arial" w:hAnsi="Arial"/>
          <w:sz w:val="16"/>
          <w:szCs w:val="16"/>
          <w:color w:val="auto"/>
        </w:rPr>
        <w:t>Board Membership Criteria,” and the determination was made that each of them</w:t>
      </w:r>
    </w:p>
    <w:p>
      <w:pPr>
        <w:spacing w:after="0" w:line="2" w:lineRule="exact"/>
        <w:rPr>
          <w:sz w:val="20"/>
          <w:szCs w:val="20"/>
          <w:color w:val="auto"/>
        </w:rPr>
      </w:pPr>
    </w:p>
    <w:p>
      <w:pPr>
        <w:ind w:right="220"/>
        <w:spacing w:after="0" w:line="226" w:lineRule="auto"/>
        <w:rPr>
          <w:sz w:val="20"/>
          <w:szCs w:val="20"/>
          <w:color w:val="auto"/>
        </w:rPr>
      </w:pPr>
      <w:r>
        <w:rPr>
          <w:rFonts w:ascii="Arial" w:cs="Arial" w:eastAsia="Arial" w:hAnsi="Arial"/>
          <w:sz w:val="18"/>
          <w:szCs w:val="18"/>
          <w:color w:val="auto"/>
        </w:rPr>
        <w:t>fulfills and exceeds the qualities that we look for in members of our Board. Mr. Kain is our Executive Chair, and Mr. Federico is our President and Chief Executive Officer. All other nominees are independent as defined in the Nasdaq rules.</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94" w:lineRule="exact"/>
        <w:rPr>
          <w:sz w:val="20"/>
          <w:szCs w:val="20"/>
          <w:color w:val="auto"/>
        </w:rPr>
      </w:pPr>
    </w:p>
    <w:p>
      <w:pPr>
        <w:ind w:right="200" w:firstLine="648"/>
        <w:spacing w:after="0" w:line="235" w:lineRule="auto"/>
        <w:rPr>
          <w:sz w:val="20"/>
          <w:szCs w:val="20"/>
          <w:color w:val="auto"/>
        </w:rPr>
      </w:pPr>
      <w:r>
        <w:rPr>
          <w:rFonts w:ascii="Arial" w:cs="Arial" w:eastAsia="Arial" w:hAnsi="Arial"/>
          <w:sz w:val="18"/>
          <w:szCs w:val="18"/>
          <w:color w:val="auto"/>
        </w:rPr>
        <w:t>We believe that our directors have a diversity of experience and a wide variety of skills and qualifications that strengthen their ability to provide guidance and oversight to the Company and management on behalf of stockholders.</w:t>
      </w:r>
    </w:p>
    <w:p>
      <w:pPr>
        <w:spacing w:after="0" w:line="135" w:lineRule="exact"/>
        <w:rPr>
          <w:sz w:val="20"/>
          <w:szCs w:val="20"/>
          <w:color w:val="auto"/>
        </w:rPr>
      </w:pPr>
    </w:p>
    <w:p>
      <w:pPr>
        <w:jc w:val="both"/>
        <w:ind w:right="440" w:firstLine="648"/>
        <w:spacing w:after="0" w:line="224"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24, 2023. The business address of each nominee is c/o AGNC Investment Corp., 2 Bethesda Metro Center, 12th Floor, Bethesda, Maryland 20814. We have highlighted specific attributes for each Board member below.</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1796415</wp:posOffset>
            </wp:positionH>
            <wp:positionV relativeFrom="paragraph">
              <wp:posOffset>120015</wp:posOffset>
            </wp:positionV>
            <wp:extent cx="534035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5340350" cy="8255"/>
                    </a:xfrm>
                    <a:prstGeom prst="rect">
                      <a:avLst/>
                    </a:prstGeom>
                    <a:noFill/>
                  </pic:spPr>
                </pic:pic>
              </a:graphicData>
            </a:graphic>
          </wp:anchor>
        </w:drawing>
      </w:r>
    </w:p>
    <w:p>
      <w:pPr>
        <w:spacing w:after="0" w:line="300"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auto"/>
        </w:rPr>
        <w:t>DONNA J. BLANK, 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-110490</wp:posOffset>
            </wp:positionV>
            <wp:extent cx="7115175" cy="25717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15175" cy="2571750"/>
                    </a:xfrm>
                    <a:prstGeom prst="rect">
                      <a:avLst/>
                    </a:prstGeom>
                    <a:noFill/>
                  </pic:spPr>
                </pic:pic>
              </a:graphicData>
            </a:graphic>
          </wp:anchor>
        </w:drawing>
      </w:r>
    </w:p>
    <w:p>
      <w:pPr>
        <w:spacing w:after="0" w:line="113"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407CCA"/>
        </w:rPr>
        <w:t>Professional Experience:</w:t>
      </w:r>
    </w:p>
    <w:p>
      <w:pPr>
        <w:ind w:left="2840"/>
        <w:spacing w:after="0"/>
        <w:rPr>
          <w:sz w:val="20"/>
          <w:szCs w:val="20"/>
          <w:color w:val="auto"/>
        </w:rPr>
      </w:pPr>
      <w:r>
        <w:rPr>
          <w:rFonts w:ascii="Arial" w:cs="Arial" w:eastAsia="Arial" w:hAnsi="Arial"/>
          <w:sz w:val="16"/>
          <w:szCs w:val="16"/>
          <w:color w:val="auto"/>
        </w:rPr>
        <w:t>Ms. Blank is a finance executive with over 30 years of financial and operational experience, primarily in financial</w:t>
      </w:r>
    </w:p>
    <w:p>
      <w:pPr>
        <w:spacing w:after="0" w:line="5" w:lineRule="exact"/>
        <w:rPr>
          <w:sz w:val="20"/>
          <w:szCs w:val="20"/>
          <w:color w:val="auto"/>
        </w:rPr>
      </w:pPr>
    </w:p>
    <w:p>
      <w:pPr>
        <w:ind w:left="2840" w:right="240"/>
        <w:spacing w:after="0" w:line="234" w:lineRule="auto"/>
        <w:rPr>
          <w:sz w:val="20"/>
          <w:szCs w:val="20"/>
          <w:color w:val="auto"/>
        </w:rPr>
      </w:pPr>
      <w:r>
        <w:rPr>
          <w:rFonts w:ascii="Arial" w:cs="Arial" w:eastAsia="Arial" w:hAnsi="Arial"/>
          <w:sz w:val="16"/>
          <w:szCs w:val="16"/>
          <w:color w:val="auto"/>
        </w:rPr>
        <w:t>services. From 2015 through 2016, she was Chief Financial Officer at ZAIS Group, LLC, an alternative asset manager. While at ZAIS, Ms. Blank also served as the Chief Financial Officer of its externally managed publicly traded residential mortgage REIT and its public holding company. Prior to her role at ZAIS, she served as Chief</w:t>
      </w:r>
    </w:p>
    <w:p>
      <w:pPr>
        <w:spacing w:after="0" w:line="2" w:lineRule="exact"/>
        <w:rPr>
          <w:sz w:val="20"/>
          <w:szCs w:val="20"/>
          <w:color w:val="auto"/>
        </w:rPr>
      </w:pPr>
    </w:p>
    <w:p>
      <w:pPr>
        <w:ind w:left="2840" w:right="160"/>
        <w:spacing w:after="0" w:line="234" w:lineRule="auto"/>
        <w:rPr>
          <w:sz w:val="20"/>
          <w:szCs w:val="20"/>
          <w:color w:val="auto"/>
        </w:rPr>
      </w:pPr>
      <w:r>
        <w:rPr>
          <w:rFonts w:ascii="Arial" w:cs="Arial" w:eastAsia="Arial" w:hAnsi="Arial"/>
          <w:sz w:val="16"/>
          <w:szCs w:val="16"/>
          <w:color w:val="auto"/>
        </w:rPr>
        <w:t>Financial Officer and Executive Vice President at NFP Corp., a publicly traded insurance brokerage, from 2008 until 2013. From 2003 to 2008, Ms. Blank was Chief Financial Officer at Financial Guaranty Insurance Company, both before and subsequent to its sale by GE Capital to an investor group in late 2003. She has served as an</w:t>
      </w:r>
    </w:p>
    <w:p>
      <w:pPr>
        <w:spacing w:after="0" w:line="2" w:lineRule="exact"/>
        <w:rPr>
          <w:sz w:val="20"/>
          <w:szCs w:val="20"/>
          <w:color w:val="auto"/>
        </w:rPr>
      </w:pPr>
    </w:p>
    <w:p>
      <w:pPr>
        <w:ind w:left="2840" w:right="160"/>
        <w:spacing w:after="0" w:line="234" w:lineRule="auto"/>
        <w:rPr>
          <w:sz w:val="20"/>
          <w:szCs w:val="20"/>
          <w:color w:val="auto"/>
        </w:rPr>
      </w:pPr>
      <w:r>
        <w:rPr>
          <w:rFonts w:ascii="Arial" w:cs="Arial" w:eastAsia="Arial" w:hAnsi="Arial"/>
          <w:sz w:val="16"/>
          <w:szCs w:val="16"/>
          <w:color w:val="auto"/>
        </w:rPr>
        <w:t>independent director and member of the Audit and Risk Committee at American Enterprise Mutual Holding Company since March 2018 and has also served as chair of the Audit and Risk Committee since March 2020. Ms. Blank will also assume the role of Lead Independent Director at American Enterprise in March 2023. Ms. Blank</w:t>
      </w:r>
    </w:p>
    <w:p>
      <w:pPr>
        <w:spacing w:after="0" w:line="2" w:lineRule="exact"/>
        <w:rPr>
          <w:sz w:val="20"/>
          <w:szCs w:val="20"/>
          <w:color w:val="auto"/>
        </w:rPr>
      </w:pPr>
    </w:p>
    <w:p>
      <w:pPr>
        <w:ind w:left="2840" w:right="60"/>
        <w:spacing w:after="0" w:line="248" w:lineRule="auto"/>
        <w:rPr>
          <w:sz w:val="20"/>
          <w:szCs w:val="20"/>
          <w:color w:val="auto"/>
        </w:rPr>
      </w:pPr>
      <w:r>
        <w:rPr>
          <w:rFonts w:ascii="Arial" w:cs="Arial" w:eastAsia="Arial" w:hAnsi="Arial"/>
          <w:sz w:val="16"/>
          <w:szCs w:val="16"/>
          <w:color w:val="auto"/>
        </w:rPr>
        <w:t>holds an MBA in Finance and a Master of International Affairs, both from Columbia University. In 2022, she completed the MIT Sloan School of Management Executive Education program in Cybersecurity Leadership. Ms. Blank is an “audit committee financial expert” (as defined in Item 407 of Regulation S-K under the Securities Act).</w:t>
      </w:r>
    </w:p>
    <w:p>
      <w:pPr>
        <w:spacing w:after="0" w:line="154"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407CCA"/>
        </w:rPr>
        <w:t>Director Qualifications:</w:t>
      </w:r>
    </w:p>
    <w:p>
      <w:pPr>
        <w:ind w:left="2840"/>
        <w:spacing w:after="0" w:line="232" w:lineRule="auto"/>
        <w:rPr>
          <w:sz w:val="20"/>
          <w:szCs w:val="20"/>
          <w:color w:val="auto"/>
        </w:rPr>
      </w:pPr>
      <w:r>
        <w:rPr>
          <w:rFonts w:ascii="Arial" w:cs="Arial" w:eastAsia="Arial" w:hAnsi="Arial"/>
          <w:sz w:val="17"/>
          <w:szCs w:val="17"/>
          <w:color w:val="auto"/>
        </w:rPr>
        <w:t>Ms. Blank’s extensive public company accounting and operational experience in the financial services sector,</w:t>
      </w:r>
    </w:p>
    <w:p>
      <w:pPr>
        <w:ind w:left="2840" w:right="700"/>
        <w:spacing w:after="0" w:line="226" w:lineRule="auto"/>
        <w:rPr>
          <w:sz w:val="20"/>
          <w:szCs w:val="20"/>
          <w:color w:val="auto"/>
        </w:rPr>
      </w:pPr>
      <w:r>
        <w:rPr>
          <w:rFonts w:ascii="Arial" w:cs="Arial" w:eastAsia="Arial" w:hAnsi="Arial"/>
          <w:sz w:val="18"/>
          <w:szCs w:val="18"/>
          <w:color w:val="auto"/>
        </w:rPr>
        <w:t>including her senior executive role at a publicly traded residential mortgage REIT,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21" w:name="page22"/>
    <w:bookmarkEnd w:id="2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1693545</wp:posOffset>
            </wp:positionH>
            <wp:positionV relativeFrom="paragraph">
              <wp:posOffset>346710</wp:posOffset>
            </wp:positionV>
            <wp:extent cx="544322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4432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MORRIS A. DAVIS, 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1693545</wp:posOffset>
            </wp:positionH>
            <wp:positionV relativeFrom="paragraph">
              <wp:posOffset>17145</wp:posOffset>
            </wp:positionV>
            <wp:extent cx="544322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443220" cy="8255"/>
                    </a:xfrm>
                    <a:prstGeom prst="rect">
                      <a:avLst/>
                    </a:prstGeom>
                    <a:noFill/>
                  </pic:spPr>
                </pic:pic>
              </a:graphicData>
            </a:graphic>
          </wp:anchor>
        </w:drawing>
      </w:r>
    </w:p>
    <w:p>
      <w:pPr>
        <w:spacing w:after="0" w:line="113"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407CCA"/>
        </w:rPr>
        <w:t>Professional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262255</wp:posOffset>
            </wp:positionH>
            <wp:positionV relativeFrom="paragraph">
              <wp:posOffset>-34925</wp:posOffset>
            </wp:positionV>
            <wp:extent cx="1371600" cy="22288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371600" cy="2228850"/>
                    </a:xfrm>
                    <a:prstGeom prst="rect">
                      <a:avLst/>
                    </a:prstGeom>
                    <a:noFill/>
                  </pic:spPr>
                </pic:pic>
              </a:graphicData>
            </a:graphic>
          </wp:anchor>
        </w:drawing>
      </w:r>
    </w:p>
    <w:p>
      <w:pPr>
        <w:ind w:left="2680" w:right="140"/>
        <w:spacing w:after="0" w:line="237" w:lineRule="auto"/>
        <w:rPr>
          <w:sz w:val="20"/>
          <w:szCs w:val="20"/>
          <w:color w:val="auto"/>
        </w:rPr>
      </w:pPr>
      <w:r>
        <w:rPr>
          <w:rFonts w:ascii="Arial" w:cs="Arial" w:eastAsia="Arial" w:hAnsi="Arial"/>
          <w:sz w:val="16"/>
          <w:szCs w:val="16"/>
          <w:color w:val="auto"/>
        </w:rPr>
        <w:t>Dr. Davis is the Paul V. Profeta Chair of Real Estate and Academic Director of the Center for Real Estate at Rutgers Business School, where he has worked since September 2014. Dr. Davis is also currently an Adjunct Scholar at the</w:t>
      </w:r>
    </w:p>
    <w:p>
      <w:pPr>
        <w:spacing w:after="0" w:line="1" w:lineRule="exact"/>
        <w:rPr>
          <w:sz w:val="20"/>
          <w:szCs w:val="20"/>
          <w:color w:val="auto"/>
        </w:rPr>
      </w:pPr>
    </w:p>
    <w:p>
      <w:pPr>
        <w:ind w:left="2680"/>
        <w:spacing w:after="0" w:line="234" w:lineRule="auto"/>
        <w:rPr>
          <w:sz w:val="20"/>
          <w:szCs w:val="20"/>
          <w:color w:val="auto"/>
        </w:rPr>
      </w:pPr>
      <w:r>
        <w:rPr>
          <w:rFonts w:ascii="Arial" w:cs="Arial" w:eastAsia="Arial" w:hAnsi="Arial"/>
          <w:sz w:val="16"/>
          <w:szCs w:val="16"/>
          <w:color w:val="auto"/>
        </w:rPr>
        <w:t>American Enterprise Institute and is a Senior Scholar of the Opportunity and Inclusive Growth Institute of the Federal Reserve Bank of Minneapolis. Previously, Dr. Davis was the James A. Graaskamp Chair of Real Estate in the Department of Real Estate at the University of Wisconsin-Madison, where he worked from September 2006 through</w:t>
      </w:r>
    </w:p>
    <w:p>
      <w:pPr>
        <w:spacing w:after="0" w:line="2" w:lineRule="exact"/>
        <w:rPr>
          <w:sz w:val="20"/>
          <w:szCs w:val="20"/>
          <w:color w:val="auto"/>
        </w:rPr>
      </w:pPr>
    </w:p>
    <w:p>
      <w:pPr>
        <w:ind w:left="2680" w:right="340"/>
        <w:spacing w:after="0" w:line="234" w:lineRule="auto"/>
        <w:rPr>
          <w:sz w:val="20"/>
          <w:szCs w:val="20"/>
          <w:color w:val="auto"/>
        </w:rPr>
      </w:pPr>
      <w:r>
        <w:rPr>
          <w:rFonts w:ascii="Arial" w:cs="Arial" w:eastAsia="Arial" w:hAnsi="Arial"/>
          <w:sz w:val="16"/>
          <w:szCs w:val="16"/>
          <w:color w:val="auto"/>
        </w:rPr>
        <w:t>August 2014. Dr. Davis was also the Academic Director of the James A. Graaskamp Center for Real Estate at the University of Wisconsin-Madison. From July 2002 to August 2006, Dr. Davis was an economist at the Federal Reserve Board working in the Flow of Funds Section. From October 2001 to July 2002, he was Director of Yield</w:t>
      </w:r>
    </w:p>
    <w:p>
      <w:pPr>
        <w:spacing w:after="0" w:line="2" w:lineRule="exact"/>
        <w:rPr>
          <w:sz w:val="20"/>
          <w:szCs w:val="20"/>
          <w:color w:val="auto"/>
        </w:rPr>
      </w:pPr>
    </w:p>
    <w:p>
      <w:pPr>
        <w:ind w:left="2680" w:right="140"/>
        <w:spacing w:after="0" w:line="234" w:lineRule="auto"/>
        <w:rPr>
          <w:sz w:val="20"/>
          <w:szCs w:val="20"/>
          <w:color w:val="auto"/>
        </w:rPr>
      </w:pPr>
      <w:r>
        <w:rPr>
          <w:rFonts w:ascii="Arial" w:cs="Arial" w:eastAsia="Arial" w:hAnsi="Arial"/>
          <w:sz w:val="16"/>
          <w:szCs w:val="16"/>
          <w:color w:val="auto"/>
        </w:rPr>
        <w:t>Optimization at Return Buy, Inc. and from August 1998 to October 2001, Dr. Davis was an economist at the Macroeconomics and Quantitative Studies Section of the Federal Reserve Board. Dr. Davis also served on the board of directors of the SkyBridge Opportunity Zone Real Estate Investment Trust, Inc., a private REIT, from November</w:t>
      </w:r>
    </w:p>
    <w:p>
      <w:pPr>
        <w:spacing w:after="0" w:line="2" w:lineRule="exact"/>
        <w:rPr>
          <w:sz w:val="20"/>
          <w:szCs w:val="20"/>
          <w:color w:val="auto"/>
        </w:rPr>
      </w:pPr>
    </w:p>
    <w:p>
      <w:pPr>
        <w:ind w:left="2680"/>
        <w:spacing w:after="0" w:line="234" w:lineRule="auto"/>
        <w:rPr>
          <w:sz w:val="20"/>
          <w:szCs w:val="20"/>
          <w:color w:val="auto"/>
        </w:rPr>
      </w:pPr>
      <w:r>
        <w:rPr>
          <w:rFonts w:ascii="Arial" w:cs="Arial" w:eastAsia="Arial" w:hAnsi="Arial"/>
          <w:sz w:val="16"/>
          <w:szCs w:val="16"/>
          <w:color w:val="auto"/>
        </w:rPr>
        <w:t>2018 until September 2019 where he was the chair of the valuation committee. Dr. Davis was also formerly on the Academic Advisory Council of the Federal Reserve Bank of Chicago and served as a Research Associate at the Federal Reserve Bank of Cleveland. Dr. Davis is widely published on issues related to the U.S. housing markets and a</w:t>
      </w:r>
    </w:p>
    <w:p>
      <w:pPr>
        <w:spacing w:after="0" w:line="2"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frequent lecturer. He holds a Ph.D. in Economics from the University of Pennsylvania.</w:t>
      </w:r>
    </w:p>
    <w:p>
      <w:pPr>
        <w:spacing w:after="0" w:line="16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407CCA"/>
        </w:rPr>
        <w:t>Director Qualifications:</w:t>
      </w:r>
    </w:p>
    <w:p>
      <w:pPr>
        <w:spacing w:after="0" w:line="2" w:lineRule="exact"/>
        <w:rPr>
          <w:sz w:val="20"/>
          <w:szCs w:val="20"/>
          <w:color w:val="auto"/>
        </w:rPr>
      </w:pPr>
    </w:p>
    <w:p>
      <w:pPr>
        <w:ind w:left="2680" w:right="120"/>
        <w:spacing w:after="0" w:line="226"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565785</wp:posOffset>
            </wp:positionV>
            <wp:extent cx="5434965"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43496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PETER J. FEDERICO, 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17145</wp:posOffset>
            </wp:positionV>
            <wp:extent cx="5434965"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434965" cy="8255"/>
                    </a:xfrm>
                    <a:prstGeom prst="rect">
                      <a:avLst/>
                    </a:prstGeom>
                    <a:noFill/>
                  </pic:spPr>
                </pic:pic>
              </a:graphicData>
            </a:graphic>
          </wp:anchor>
        </w:drawing>
      </w:r>
    </w:p>
    <w:p>
      <w:pPr>
        <w:spacing w:after="0" w:line="124"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spacing w:after="0" w:line="2" w:lineRule="exact"/>
        <w:rPr>
          <w:sz w:val="20"/>
          <w:szCs w:val="20"/>
          <w:color w:val="auto"/>
        </w:rPr>
      </w:pPr>
    </w:p>
    <w:p>
      <w:pPr>
        <w:ind w:left="2700" w:right="80"/>
        <w:spacing w:after="0" w:line="234" w:lineRule="auto"/>
        <w:rPr>
          <w:sz w:val="20"/>
          <w:szCs w:val="20"/>
          <w:color w:val="auto"/>
        </w:rPr>
      </w:pPr>
      <w:r>
        <w:rPr>
          <w:rFonts w:ascii="Arial" w:cs="Arial" w:eastAsia="Arial" w:hAnsi="Arial"/>
          <w:sz w:val="18"/>
          <w:szCs w:val="18"/>
          <w:color w:val="auto"/>
        </w:rPr>
        <w:t>Mr. Federico has served as a Director and our Chief Executive Officer since July 2021 and as our President since March 2018. He previously served as our Chief Operating Officer from March 2018 until July 2021, as Executive Vice President and Chief Financial Officer from July 2016 until March 2018, and as Senior Vice President and Chief Risk Officer from June 2011 until our internalization in July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-444500</wp:posOffset>
            </wp:positionV>
            <wp:extent cx="1371600" cy="219456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371600" cy="2194560"/>
                    </a:xfrm>
                    <a:prstGeom prst="rect">
                      <a:avLst/>
                    </a:prstGeom>
                    <a:noFill/>
                  </pic:spPr>
                </pic:pic>
              </a:graphicData>
            </a:graphic>
          </wp:anchor>
        </w:drawing>
      </w:r>
    </w:p>
    <w:p>
      <w:pPr>
        <w:spacing w:after="0" w:line="196" w:lineRule="exact"/>
        <w:rPr>
          <w:sz w:val="20"/>
          <w:szCs w:val="20"/>
          <w:color w:val="auto"/>
        </w:rPr>
      </w:pPr>
    </w:p>
    <w:p>
      <w:pPr>
        <w:ind w:left="2700"/>
        <w:spacing w:after="0" w:line="253"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 and long-term debt issuance programs. Mr. Federico also served in a number of other capacities at Freddie Mac, including as Senior Vice President, Asset &amp; Liability Management, during his tenure with the company, which began in 1988. Mr. Federico previously served as President and Chief Operating Officer of MTGE Investment Corp. from March 2018 until May 2018 and as Executive Vice President and Chief Financial Officer of MTGE Investment Corp. from July 2016 until March 2018.</w:t>
      </w:r>
    </w:p>
    <w:p>
      <w:pPr>
        <w:spacing w:after="0" w:line="168"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ind w:left="2700" w:right="260"/>
        <w:spacing w:after="0" w:line="239" w:lineRule="auto"/>
        <w:rPr>
          <w:sz w:val="20"/>
          <w:szCs w:val="20"/>
          <w:color w:val="auto"/>
        </w:rPr>
      </w:pPr>
      <w:r>
        <w:rPr>
          <w:rFonts w:ascii="Arial" w:cs="Arial" w:eastAsia="Arial" w:hAnsi="Arial"/>
          <w:sz w:val="18"/>
          <w:szCs w:val="18"/>
          <w:color w:val="auto"/>
        </w:rPr>
        <w:t>Mr. Federico’s knowledge and understanding of our business as our President and Chief Executive Officer and his expertise in risk mitigation strategies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sectPr>
      </w:pPr>
    </w:p>
    <w:bookmarkStart w:id="22" w:name="page23"/>
    <w:bookmarkEnd w:id="2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346710</wp:posOffset>
            </wp:positionV>
            <wp:extent cx="5426075"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200" w:lineRule="exact"/>
        <w:rPr>
          <w:sz w:val="20"/>
          <w:szCs w:val="20"/>
          <w:color w:val="auto"/>
        </w:rPr>
      </w:pPr>
    </w:p>
    <w:p>
      <w:pPr>
        <w:spacing w:after="0" w:line="348"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JOHN D. FISK, 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17145</wp:posOffset>
            </wp:positionV>
            <wp:extent cx="5426075"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426075" cy="8890"/>
                    </a:xfrm>
                    <a:prstGeom prst="rect">
                      <a:avLst/>
                    </a:prstGeom>
                    <a:noFill/>
                  </pic:spPr>
                </pic:pic>
              </a:graphicData>
            </a:graphic>
          </wp:anchor>
        </w:drawing>
      </w:r>
    </w:p>
    <w:p>
      <w:pPr>
        <w:spacing w:after="0" w:line="113"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-120650</wp:posOffset>
            </wp:positionV>
            <wp:extent cx="1371600" cy="21431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371600" cy="2143125"/>
                    </a:xfrm>
                    <a:prstGeom prst="rect">
                      <a:avLst/>
                    </a:prstGeom>
                    <a:noFill/>
                  </pic:spPr>
                </pic:pic>
              </a:graphicData>
            </a:graphic>
          </wp:anchor>
        </w:drawing>
      </w:r>
    </w:p>
    <w:p>
      <w:pPr>
        <w:ind w:left="2700" w:right="200"/>
        <w:spacing w:after="0" w:line="237" w:lineRule="auto"/>
        <w:rPr>
          <w:sz w:val="20"/>
          <w:szCs w:val="20"/>
          <w:color w:val="auto"/>
        </w:rPr>
      </w:pPr>
      <w:r>
        <w:rPr>
          <w:rFonts w:ascii="Arial" w:cs="Arial" w:eastAsia="Arial" w:hAnsi="Arial"/>
          <w:sz w:val="16"/>
          <w:szCs w:val="16"/>
          <w:color w:val="auto"/>
        </w:rPr>
        <w:t>Mr. Fisk retired in March 2019 as the Chief Executive Officer of the FHLBanks Office of Finance, a division of the Federal Home Loan Banks that issues and services all debt securities for the regional Federal Home Loan Banks,</w:t>
      </w:r>
    </w:p>
    <w:p>
      <w:pPr>
        <w:spacing w:after="0" w:line="1" w:lineRule="exact"/>
        <w:rPr>
          <w:sz w:val="20"/>
          <w:szCs w:val="20"/>
          <w:color w:val="auto"/>
        </w:rPr>
      </w:pPr>
    </w:p>
    <w:p>
      <w:pPr>
        <w:ind w:left="2700" w:right="340"/>
        <w:spacing w:after="0" w:line="234" w:lineRule="auto"/>
        <w:rPr>
          <w:sz w:val="20"/>
          <w:szCs w:val="20"/>
          <w:color w:val="auto"/>
        </w:rPr>
      </w:pPr>
      <w:r>
        <w:rPr>
          <w:rFonts w:ascii="Arial" w:cs="Arial" w:eastAsia="Arial" w:hAnsi="Arial"/>
          <w:sz w:val="16"/>
          <w:szCs w:val="16"/>
          <w:color w:val="auto"/>
        </w:rPr>
        <w:t>supporting borrowings of $1 trillion. Mr. Fisk had previously served as the Deputy Managing Director and Chief Operating Officer of the FHLBanks Office of Finance from 2004 until 2007 when he became the Chief Executive Officer. Prior to joining the FHLBanks Office of Finance, Mr. Fisk was the Executive Vice President of Strategic</w:t>
      </w:r>
    </w:p>
    <w:p>
      <w:pPr>
        <w:spacing w:after="0" w:line="2" w:lineRule="exact"/>
        <w:rPr>
          <w:sz w:val="20"/>
          <w:szCs w:val="20"/>
          <w:color w:val="auto"/>
        </w:rPr>
      </w:pPr>
    </w:p>
    <w:p>
      <w:pPr>
        <w:ind w:left="2700" w:right="260"/>
        <w:spacing w:after="0" w:line="234" w:lineRule="auto"/>
        <w:rPr>
          <w:sz w:val="20"/>
          <w:szCs w:val="20"/>
          <w:color w:val="auto"/>
        </w:rPr>
      </w:pPr>
      <w:r>
        <w:rPr>
          <w:rFonts w:ascii="Arial" w:cs="Arial" w:eastAsia="Arial" w:hAnsi="Arial"/>
          <w:sz w:val="16"/>
          <w:szCs w:val="16"/>
          <w:color w:val="auto"/>
        </w:rPr>
        <w:t>Planning at MGIC Investment Corporation, one of the nation’s largest providers of mortgage insurance, from 2002 until 2004. Mr. Fisk also serves on the Board of Directors of Enact Holdings, Inc., where he chairs the Risk Committee and is a member of the Independent Capital Committee. Mr. Fisk holds an MBA in Finance and Public</w:t>
      </w:r>
    </w:p>
    <w:p>
      <w:pPr>
        <w:spacing w:after="0" w:line="2" w:lineRule="exact"/>
        <w:rPr>
          <w:sz w:val="20"/>
          <w:szCs w:val="20"/>
          <w:color w:val="auto"/>
        </w:rPr>
      </w:pPr>
    </w:p>
    <w:p>
      <w:pPr>
        <w:ind w:left="2700"/>
        <w:spacing w:after="0"/>
        <w:rPr>
          <w:sz w:val="20"/>
          <w:szCs w:val="20"/>
          <w:color w:val="auto"/>
        </w:rPr>
      </w:pPr>
      <w:r>
        <w:rPr>
          <w:rFonts w:ascii="Arial" w:cs="Arial" w:eastAsia="Arial" w:hAnsi="Arial"/>
          <w:sz w:val="18"/>
          <w:szCs w:val="18"/>
          <w:color w:val="auto"/>
        </w:rPr>
        <w:t>Management from The Wharton School at the University of Pennsylvania and a BA from Yale University.</w:t>
      </w:r>
    </w:p>
    <w:p>
      <w:pPr>
        <w:spacing w:after="0" w:line="165"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spacing w:after="0" w:line="2" w:lineRule="exact"/>
        <w:rPr>
          <w:sz w:val="20"/>
          <w:szCs w:val="20"/>
          <w:color w:val="auto"/>
        </w:rPr>
      </w:pPr>
    </w:p>
    <w:p>
      <w:pPr>
        <w:ind w:left="2700" w:right="80"/>
        <w:spacing w:after="0" w:line="218" w:lineRule="auto"/>
        <w:rPr>
          <w:sz w:val="20"/>
          <w:szCs w:val="20"/>
          <w:color w:val="auto"/>
        </w:rPr>
      </w:pPr>
      <w:r>
        <w:rPr>
          <w:rFonts w:ascii="Arial" w:cs="Arial" w:eastAsia="Arial" w:hAnsi="Arial"/>
          <w:sz w:val="18"/>
          <w:szCs w:val="18"/>
          <w:color w:val="auto"/>
        </w:rPr>
        <w:t>Mr. Fisk’s expertise in the US housing sector, including debt issuance and mortgage insurance, and his senior executive officer experience overseeing human capital management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926465</wp:posOffset>
            </wp:positionV>
            <wp:extent cx="5426075"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ANDREW A. JOHNSON, JR., 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-33655</wp:posOffset>
            </wp:positionV>
            <wp:extent cx="6858000" cy="22288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858000" cy="2228850"/>
                    </a:xfrm>
                    <a:prstGeom prst="rect">
                      <a:avLst/>
                    </a:prstGeom>
                    <a:noFill/>
                  </pic:spPr>
                </pic:pic>
              </a:graphicData>
            </a:graphic>
          </wp:anchor>
        </w:drawing>
      </w:r>
    </w:p>
    <w:p>
      <w:pPr>
        <w:spacing w:after="0" w:line="124"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spacing w:after="0" w:line="2" w:lineRule="exact"/>
        <w:rPr>
          <w:sz w:val="20"/>
          <w:szCs w:val="20"/>
          <w:color w:val="auto"/>
        </w:rPr>
      </w:pPr>
    </w:p>
    <w:p>
      <w:pPr>
        <w:ind w:left="2700" w:right="80"/>
        <w:spacing w:after="0" w:line="249" w:lineRule="auto"/>
        <w:rPr>
          <w:sz w:val="20"/>
          <w:szCs w:val="20"/>
          <w:color w:val="auto"/>
        </w:rPr>
      </w:pPr>
      <w:r>
        <w:rPr>
          <w:rFonts w:ascii="Arial" w:cs="Arial" w:eastAsia="Arial" w:hAnsi="Arial"/>
          <w:sz w:val="17"/>
          <w:szCs w:val="17"/>
          <w:color w:val="auto"/>
        </w:rPr>
        <w:t>Mr. Johnson is an investment professional with over 20 years’ experience leading teams focused on fixed income investments. Mr. Johnson served as Managing Director, Head of Global Investment Grade Fixed Income and Chief Investment Officer for Neuberger Berman Investment Advisers, LLC and Neuberger Berman Fixed Income LLC from 2009 to 2019. He retired from his role as Managing Director and Chief Investment Officer in 2019 and transitioned to the role of Senior Diversity and Inclusion Leader at Neuberger Berman Services. In his current position, Mr. Johnson leads the firm’s efforts to improve diversity and inclusion in the workforce across Neuberger Berman entities. Prior to his roles at Neuberger Berman, from 2003 to 2009 Mr. Johnson was a Managing Director, Co-Head Investment Grade Fixed Income and Chief Investment Officer at Lehman Brothers Asset Management, LLC. He currently serves as a Non-Interested Trustee on the Board of Trustees of certain mutual funds advised by Hartford Mutual Funds, Inc. Mr. Johnson holds an MBA in Finance from the University of Chicago and a MSEE and BSEE from Illinois Institute of Technology.</w:t>
      </w:r>
    </w:p>
    <w:p>
      <w:pPr>
        <w:spacing w:after="0" w:line="168"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jc w:val="both"/>
        <w:ind w:left="2700" w:right="240"/>
        <w:spacing w:after="0" w:line="303" w:lineRule="auto"/>
        <w:rPr>
          <w:sz w:val="20"/>
          <w:szCs w:val="20"/>
          <w:color w:val="auto"/>
        </w:rPr>
      </w:pPr>
      <w:r>
        <w:rPr>
          <w:rFonts w:ascii="Arial" w:cs="Arial" w:eastAsia="Arial" w:hAnsi="Arial"/>
          <w:sz w:val="16"/>
          <w:szCs w:val="16"/>
          <w:color w:val="auto"/>
        </w:rPr>
        <w:t>Mr. Johnson’s extensive background in fixed income investments and his experience working to improve diversity and inclusion in the workforce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23" w:name="page24"/>
    <w:bookmarkEnd w:id="2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1788160</wp:posOffset>
            </wp:positionH>
            <wp:positionV relativeFrom="paragraph">
              <wp:posOffset>243840</wp:posOffset>
            </wp:positionV>
            <wp:extent cx="534035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340350" cy="8890"/>
                    </a:xfrm>
                    <a:prstGeom prst="rect">
                      <a:avLst/>
                    </a:prstGeom>
                    <a:noFill/>
                  </pic:spPr>
                </pic:pic>
              </a:graphicData>
            </a:graphic>
          </wp:anchor>
        </w:drawing>
      </w:r>
    </w:p>
    <w:p>
      <w:pPr>
        <w:spacing w:after="0" w:line="200" w:lineRule="exact"/>
        <w:rPr>
          <w:sz w:val="20"/>
          <w:szCs w:val="20"/>
          <w:color w:val="auto"/>
        </w:rPr>
      </w:pPr>
    </w:p>
    <w:p>
      <w:pPr>
        <w:spacing w:after="0" w:line="294"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auto"/>
        </w:rPr>
        <w:t>GARY D. KAIN, 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1788160</wp:posOffset>
            </wp:positionH>
            <wp:positionV relativeFrom="paragraph">
              <wp:posOffset>17145</wp:posOffset>
            </wp:positionV>
            <wp:extent cx="5340350"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5340350" cy="8255"/>
                    </a:xfrm>
                    <a:prstGeom prst="rect">
                      <a:avLst/>
                    </a:prstGeom>
                    <a:noFill/>
                  </pic:spPr>
                </pic:pic>
              </a:graphicData>
            </a:graphic>
          </wp:anchor>
        </w:drawing>
      </w:r>
    </w:p>
    <w:p>
      <w:pPr>
        <w:spacing w:after="0" w:line="113"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407CCA"/>
        </w:rPr>
        <w:t>Professional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-8890</wp:posOffset>
            </wp:positionV>
            <wp:extent cx="1371600" cy="219456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371600" cy="2194560"/>
                    </a:xfrm>
                    <a:prstGeom prst="rect">
                      <a:avLst/>
                    </a:prstGeom>
                    <a:noFill/>
                  </pic:spPr>
                </pic:pic>
              </a:graphicData>
            </a:graphic>
          </wp:anchor>
        </w:drawing>
      </w:r>
    </w:p>
    <w:p>
      <w:pPr>
        <w:ind w:left="2840" w:right="60"/>
        <w:spacing w:after="0" w:line="237" w:lineRule="auto"/>
        <w:rPr>
          <w:sz w:val="20"/>
          <w:szCs w:val="20"/>
          <w:color w:val="auto"/>
        </w:rPr>
      </w:pPr>
      <w:r>
        <w:rPr>
          <w:rFonts w:ascii="Arial" w:cs="Arial" w:eastAsia="Arial" w:hAnsi="Arial"/>
          <w:sz w:val="16"/>
          <w:szCs w:val="16"/>
          <w:color w:val="auto"/>
        </w:rPr>
        <w:t>Mr. Kain has served as the Executive Chair of our Board of Directors since July 2021 and has been a Director since March 2016. Previously, he was our Chief Executive Officer from March 2016 until July 2021, Chief Investment</w:t>
      </w:r>
    </w:p>
    <w:p>
      <w:pPr>
        <w:spacing w:after="0" w:line="1" w:lineRule="exact"/>
        <w:rPr>
          <w:sz w:val="20"/>
          <w:szCs w:val="20"/>
          <w:color w:val="auto"/>
        </w:rPr>
      </w:pPr>
    </w:p>
    <w:p>
      <w:pPr>
        <w:ind w:left="2840"/>
        <w:spacing w:after="0"/>
        <w:rPr>
          <w:sz w:val="20"/>
          <w:szCs w:val="20"/>
          <w:color w:val="auto"/>
        </w:rPr>
      </w:pPr>
      <w:r>
        <w:rPr>
          <w:rFonts w:ascii="Arial" w:cs="Arial" w:eastAsia="Arial" w:hAnsi="Arial"/>
          <w:sz w:val="18"/>
          <w:szCs w:val="18"/>
          <w:color w:val="auto"/>
        </w:rPr>
        <w:t>Officer from January 2009 until July 2021, and President from April 2011 until March 2018.</w:t>
      </w:r>
    </w:p>
    <w:p>
      <w:pPr>
        <w:spacing w:after="0" w:line="169" w:lineRule="exact"/>
        <w:rPr>
          <w:sz w:val="20"/>
          <w:szCs w:val="20"/>
          <w:color w:val="auto"/>
        </w:rPr>
      </w:pPr>
    </w:p>
    <w:p>
      <w:pPr>
        <w:ind w:left="2840" w:right="140"/>
        <w:spacing w:after="0" w:line="248" w:lineRule="auto"/>
        <w:rPr>
          <w:sz w:val="20"/>
          <w:szCs w:val="20"/>
          <w:color w:val="auto"/>
        </w:rPr>
      </w:pPr>
      <w:r>
        <w:rPr>
          <w:rFonts w:ascii="Arial" w:cs="Arial" w:eastAsia="Arial" w:hAnsi="Arial"/>
          <w:sz w:val="16"/>
          <w:szCs w:val="16"/>
          <w:color w:val="auto"/>
        </w:rPr>
        <w:t>Prior to joining AGNC Investment Corp., Mr. Kain was Senior Vice President of Investments and Capital Markets of Freddie Mac from May 2008 to January 2009. He also served as Senior Vice President of Mortgage</w:t>
      </w:r>
    </w:p>
    <w:p>
      <w:pPr>
        <w:ind w:left="2840" w:right="60"/>
        <w:spacing w:after="0" w:line="234" w:lineRule="auto"/>
        <w:rPr>
          <w:sz w:val="20"/>
          <w:szCs w:val="20"/>
          <w:color w:val="auto"/>
        </w:rPr>
      </w:pPr>
      <w:r>
        <w:rPr>
          <w:rFonts w:ascii="Arial" w:cs="Arial" w:eastAsia="Arial" w:hAnsi="Arial"/>
          <w:sz w:val="16"/>
          <w:szCs w:val="16"/>
          <w:color w:val="auto"/>
        </w:rPr>
        <w:t>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w:t>
      </w:r>
    </w:p>
    <w:p>
      <w:pPr>
        <w:spacing w:after="0" w:line="2" w:lineRule="exact"/>
        <w:rPr>
          <w:sz w:val="20"/>
          <w:szCs w:val="20"/>
          <w:color w:val="auto"/>
        </w:rPr>
      </w:pPr>
    </w:p>
    <w:p>
      <w:pPr>
        <w:ind w:left="2840" w:right="40"/>
        <w:spacing w:after="0" w:line="234" w:lineRule="auto"/>
        <w:rPr>
          <w:sz w:val="20"/>
          <w:szCs w:val="20"/>
          <w:color w:val="auto"/>
        </w:rPr>
      </w:pPr>
      <w:r>
        <w:rPr>
          <w:rFonts w:ascii="Arial" w:cs="Arial" w:eastAsia="Arial" w:hAnsi="Arial"/>
          <w:sz w:val="16"/>
          <w:szCs w:val="16"/>
          <w:color w:val="auto"/>
        </w:rPr>
        <w:t>Mac. From 1995 to 2001, he was the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w:t>
      </w:r>
    </w:p>
    <w:p>
      <w:pPr>
        <w:spacing w:after="0" w:line="2" w:lineRule="exact"/>
        <w:rPr>
          <w:sz w:val="20"/>
          <w:szCs w:val="20"/>
          <w:color w:val="auto"/>
        </w:rPr>
      </w:pPr>
    </w:p>
    <w:p>
      <w:pPr>
        <w:ind w:left="2840"/>
        <w:spacing w:after="0" w:line="248" w:lineRule="auto"/>
        <w:rPr>
          <w:sz w:val="20"/>
          <w:szCs w:val="20"/>
          <w:color w:val="auto"/>
        </w:rPr>
      </w:pPr>
      <w:r>
        <w:rPr>
          <w:rFonts w:ascii="Arial" w:cs="Arial" w:eastAsia="Arial" w:hAnsi="Arial"/>
          <w:sz w:val="16"/>
          <w:szCs w:val="16"/>
          <w:color w:val="auto"/>
        </w:rPr>
        <w:t>for managing the adjustable-rate mortgage and REMIC sectors. Mr. Kain previously served as a Director and Chief Executive Officer of MTGE Investment Corp. (from March 2016 until May 2018 and as Chief Investment Officer from March 2011 until May 2018. In addition, he served as President of MTGE from March 2011 until March 2018.</w:t>
      </w:r>
    </w:p>
    <w:p>
      <w:pPr>
        <w:spacing w:after="0" w:line="154" w:lineRule="exact"/>
        <w:rPr>
          <w:sz w:val="20"/>
          <w:szCs w:val="20"/>
          <w:color w:val="auto"/>
        </w:rPr>
      </w:pPr>
    </w:p>
    <w:p>
      <w:pPr>
        <w:ind w:left="2840"/>
        <w:spacing w:after="0"/>
        <w:rPr>
          <w:sz w:val="20"/>
          <w:szCs w:val="20"/>
          <w:color w:val="auto"/>
        </w:rPr>
      </w:pPr>
      <w:r>
        <w:rPr>
          <w:rFonts w:ascii="Arial" w:cs="Arial" w:eastAsia="Arial" w:hAnsi="Arial"/>
          <w:sz w:val="18"/>
          <w:szCs w:val="18"/>
          <w:b w:val="1"/>
          <w:bCs w:val="1"/>
          <w:color w:val="407CCA"/>
        </w:rPr>
        <w:t>Director Qualifications:</w:t>
      </w:r>
    </w:p>
    <w:p>
      <w:pPr>
        <w:ind w:left="2840" w:right="120"/>
        <w:spacing w:after="0" w:line="237" w:lineRule="auto"/>
        <w:rPr>
          <w:sz w:val="20"/>
          <w:szCs w:val="20"/>
          <w:color w:val="auto"/>
        </w:rPr>
      </w:pPr>
      <w:r>
        <w:rPr>
          <w:rFonts w:ascii="Arial" w:cs="Arial" w:eastAsia="Arial" w:hAnsi="Arial"/>
          <w:sz w:val="16"/>
          <w:szCs w:val="16"/>
          <w:color w:val="auto"/>
        </w:rPr>
        <w:t>Mr. Kain’s extensive and lengthy expertise in the Agency mortgage sector and his deep knowledge of our business as our former Chief Executive Officer and Chief Investment Officer strengthens our Board’s collective</w:t>
      </w:r>
    </w:p>
    <w:p>
      <w:pPr>
        <w:spacing w:after="0" w:line="1" w:lineRule="exact"/>
        <w:rPr>
          <w:sz w:val="20"/>
          <w:szCs w:val="20"/>
          <w:color w:val="auto"/>
        </w:rPr>
      </w:pPr>
    </w:p>
    <w:p>
      <w:pPr>
        <w:ind w:left="2840"/>
        <w:spacing w:after="0"/>
        <w:rPr>
          <w:sz w:val="20"/>
          <w:szCs w:val="20"/>
          <w:color w:val="auto"/>
        </w:rPr>
      </w:pPr>
      <w:r>
        <w:rPr>
          <w:rFonts w:ascii="Arial" w:cs="Arial" w:eastAsia="Arial" w:hAnsi="Arial"/>
          <w:sz w:val="18"/>
          <w:szCs w:val="18"/>
          <w:color w:val="auto"/>
        </w:rPr>
        <w:t>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561975</wp:posOffset>
            </wp:positionV>
            <wp:extent cx="5426075"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PRUE B. LAROCCA, 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8890</wp:posOffset>
            </wp:positionV>
            <wp:extent cx="6858000" cy="23317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858000" cy="2331720"/>
                    </a:xfrm>
                    <a:prstGeom prst="rect">
                      <a:avLst/>
                    </a:prstGeom>
                    <a:noFill/>
                  </pic:spPr>
                </pic:pic>
              </a:graphicData>
            </a:graphic>
          </wp:anchor>
        </w:drawing>
      </w:r>
    </w:p>
    <w:p>
      <w:pPr>
        <w:spacing w:after="0" w:line="111"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spacing w:after="0" w:line="2" w:lineRule="exact"/>
        <w:rPr>
          <w:sz w:val="20"/>
          <w:szCs w:val="20"/>
          <w:color w:val="auto"/>
        </w:rPr>
      </w:pPr>
    </w:p>
    <w:p>
      <w:pPr>
        <w:ind w:left="2700" w:right="160"/>
        <w:spacing w:after="0" w:line="234" w:lineRule="auto"/>
        <w:rPr>
          <w:sz w:val="20"/>
          <w:szCs w:val="20"/>
          <w:color w:val="auto"/>
        </w:rPr>
      </w:pPr>
      <w:r>
        <w:rPr>
          <w:rFonts w:ascii="Arial" w:cs="Arial" w:eastAsia="Arial" w:hAnsi="Arial"/>
          <w:sz w:val="16"/>
          <w:szCs w:val="16"/>
          <w:color w:val="auto"/>
        </w:rPr>
        <w:t>Ms. Larocca has served as our Lead Independent Director since May 2016 and has served as our Vice Chair since July 2021. She previously served as our Chair from May 2016 until July 2021. She is a retired investment banking executive and a widely recognized expert in the areas of housing finance and securitization. Ms. Larocca previously</w:t>
      </w:r>
    </w:p>
    <w:p>
      <w:pPr>
        <w:spacing w:after="0" w:line="2" w:lineRule="exact"/>
        <w:rPr>
          <w:sz w:val="20"/>
          <w:szCs w:val="20"/>
          <w:color w:val="auto"/>
        </w:rPr>
      </w:pPr>
    </w:p>
    <w:p>
      <w:pPr>
        <w:ind w:left="2700"/>
        <w:spacing w:after="0" w:line="234" w:lineRule="auto"/>
        <w:rPr>
          <w:sz w:val="20"/>
          <w:szCs w:val="20"/>
          <w:color w:val="auto"/>
        </w:rPr>
      </w:pPr>
      <w:r>
        <w:rPr>
          <w:rFonts w:ascii="Arial" w:cs="Arial" w:eastAsia="Arial" w:hAnsi="Arial"/>
          <w:sz w:val="16"/>
          <w:szCs w:val="16"/>
          <w:color w:val="auto"/>
        </w:rPr>
        <w:t>served as a member of the board of the Housing Preservation Foundation, the Washington School for Girls, and the American Securitization Trade Association. Ms. Larocca was a Managing Director of Royal Bank of Scotland (“RBS”) in the Mortgage Backed and Asset Backed Finance Group from 1997 until her retirement from RBS in 2011.</w:t>
      </w:r>
    </w:p>
    <w:p>
      <w:pPr>
        <w:spacing w:after="0" w:line="2" w:lineRule="exact"/>
        <w:rPr>
          <w:sz w:val="20"/>
          <w:szCs w:val="20"/>
          <w:color w:val="auto"/>
        </w:rPr>
      </w:pPr>
    </w:p>
    <w:p>
      <w:pPr>
        <w:jc w:val="both"/>
        <w:ind w:left="2700" w:right="60"/>
        <w:spacing w:after="0" w:line="234" w:lineRule="auto"/>
        <w:rPr>
          <w:sz w:val="20"/>
          <w:szCs w:val="20"/>
          <w:color w:val="auto"/>
        </w:rPr>
      </w:pPr>
      <w:r>
        <w:rPr>
          <w:rFonts w:ascii="Arial" w:cs="Arial" w:eastAsia="Arial" w:hAnsi="Arial"/>
          <w:sz w:val="16"/>
          <w:szCs w:val="16"/>
          <w:color w:val="auto"/>
        </w:rPr>
        <w:t>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w:t>
      </w:r>
    </w:p>
    <w:p>
      <w:pPr>
        <w:spacing w:after="0" w:line="2" w:lineRule="exact"/>
        <w:rPr>
          <w:sz w:val="20"/>
          <w:szCs w:val="20"/>
          <w:color w:val="auto"/>
        </w:rPr>
      </w:pPr>
    </w:p>
    <w:p>
      <w:pPr>
        <w:ind w:left="2700"/>
        <w:spacing w:after="0"/>
        <w:rPr>
          <w:sz w:val="20"/>
          <w:szCs w:val="20"/>
          <w:color w:val="auto"/>
        </w:rPr>
      </w:pPr>
      <w:r>
        <w:rPr>
          <w:rFonts w:ascii="Arial" w:cs="Arial" w:eastAsia="Arial" w:hAnsi="Arial"/>
          <w:sz w:val="18"/>
          <w:szCs w:val="18"/>
          <w:color w:val="auto"/>
        </w:rPr>
        <w:t>University Law Center and Indiana University.</w:t>
      </w:r>
    </w:p>
    <w:p>
      <w:pPr>
        <w:spacing w:after="0" w:line="165"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spacing w:after="0" w:line="2" w:lineRule="exact"/>
        <w:rPr>
          <w:sz w:val="20"/>
          <w:szCs w:val="20"/>
          <w:color w:val="auto"/>
        </w:rPr>
      </w:pPr>
    </w:p>
    <w:p>
      <w:pPr>
        <w:ind w:left="2700" w:right="220"/>
        <w:spacing w:after="0" w:line="226"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00"/>
          </w:cols>
          <w:pgMar w:left="320" w:top="108" w:right="379" w:bottom="1440" w:gutter="0" w:footer="0" w:header="0"/>
        </w:sectPr>
      </w:pPr>
    </w:p>
    <w:bookmarkStart w:id="24" w:name="page25"/>
    <w:bookmarkEnd w:id="2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8540"/>
        <w:spacing w:after="0"/>
        <w:rPr>
          <w:sz w:val="20"/>
          <w:szCs w:val="20"/>
          <w:color w:val="auto"/>
        </w:rPr>
      </w:pPr>
      <w:r>
        <w:rPr>
          <w:rFonts w:ascii="Arial" w:cs="Arial" w:eastAsia="Arial" w:hAnsi="Arial"/>
          <w:sz w:val="13"/>
          <w:szCs w:val="13"/>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36830</wp:posOffset>
            </wp:positionV>
            <wp:extent cx="713232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1702435</wp:posOffset>
            </wp:positionH>
            <wp:positionV relativeFrom="paragraph">
              <wp:posOffset>354330</wp:posOffset>
            </wp:positionV>
            <wp:extent cx="5434965"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43496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PAUL E. MULLINGS, 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-41910</wp:posOffset>
            </wp:positionV>
            <wp:extent cx="6866255" cy="219456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866255" cy="2194560"/>
                    </a:xfrm>
                    <a:prstGeom prst="rect">
                      <a:avLst/>
                    </a:prstGeom>
                    <a:noFill/>
                  </pic:spPr>
                </pic:pic>
              </a:graphicData>
            </a:graphic>
          </wp:anchor>
        </w:drawing>
      </w:r>
    </w:p>
    <w:p>
      <w:pPr>
        <w:spacing w:after="0" w:line="113"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ind w:left="2700" w:right="160"/>
        <w:spacing w:after="0" w:line="237" w:lineRule="auto"/>
        <w:rPr>
          <w:sz w:val="20"/>
          <w:szCs w:val="20"/>
          <w:color w:val="auto"/>
        </w:rPr>
      </w:pPr>
      <w:r>
        <w:rPr>
          <w:rFonts w:ascii="Arial" w:cs="Arial" w:eastAsia="Arial" w:hAnsi="Arial"/>
          <w:sz w:val="16"/>
          <w:szCs w:val="16"/>
          <w:color w:val="auto"/>
        </w:rPr>
        <w:t>Mr. Mullings has over 40 years’ experience in the mortgage banking sector. Mr. Mullings served from 2015 until his retirement in 2020 as a Managing Director of The Collingwood Group, a SitusAMC company, a business advisory</w:t>
      </w:r>
    </w:p>
    <w:p>
      <w:pPr>
        <w:spacing w:after="0" w:line="1" w:lineRule="exact"/>
        <w:rPr>
          <w:sz w:val="20"/>
          <w:szCs w:val="20"/>
          <w:color w:val="auto"/>
        </w:rPr>
      </w:pPr>
    </w:p>
    <w:p>
      <w:pPr>
        <w:ind w:left="2700" w:right="60"/>
        <w:spacing w:after="0" w:line="234" w:lineRule="auto"/>
        <w:rPr>
          <w:sz w:val="20"/>
          <w:szCs w:val="20"/>
          <w:color w:val="auto"/>
        </w:rPr>
      </w:pPr>
      <w:r>
        <w:rPr>
          <w:rFonts w:ascii="Arial" w:cs="Arial" w:eastAsia="Arial" w:hAnsi="Arial"/>
          <w:sz w:val="16"/>
          <w:szCs w:val="16"/>
          <w:color w:val="auto"/>
        </w:rPr>
        <w:t>and risk management firm focused on the financial services industry. From 2005 to 2015, Mr. Mullings served as a Senior Vice President of Freddie Mac in the Single-Family Business division. While at Freddie Mac, he also served on the Operating, Management and Credit Risk Committees. Prior to joining Freddie Mac, Mr. Mullings was a Senior</w:t>
      </w:r>
    </w:p>
    <w:p>
      <w:pPr>
        <w:spacing w:after="0" w:line="2" w:lineRule="exact"/>
        <w:rPr>
          <w:sz w:val="20"/>
          <w:szCs w:val="20"/>
          <w:color w:val="auto"/>
        </w:rPr>
      </w:pPr>
    </w:p>
    <w:p>
      <w:pPr>
        <w:ind w:left="2700" w:right="40"/>
        <w:spacing w:after="0" w:line="221" w:lineRule="auto"/>
        <w:rPr>
          <w:sz w:val="20"/>
          <w:szCs w:val="20"/>
          <w:color w:val="auto"/>
        </w:rPr>
      </w:pPr>
      <w:r>
        <w:rPr>
          <w:rFonts w:ascii="Arial" w:cs="Arial" w:eastAsia="Arial" w:hAnsi="Arial"/>
          <w:sz w:val="17"/>
          <w:szCs w:val="17"/>
          <w:color w:val="auto"/>
        </w:rPr>
        <w:t>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w:t>
      </w:r>
    </w:p>
    <w:p>
      <w:pPr>
        <w:ind w:left="2700" w:right="280"/>
        <w:spacing w:after="0" w:line="218" w:lineRule="auto"/>
        <w:rPr>
          <w:sz w:val="20"/>
          <w:szCs w:val="20"/>
          <w:color w:val="auto"/>
        </w:rPr>
      </w:pPr>
      <w:r>
        <w:rPr>
          <w:rFonts w:ascii="Arial" w:cs="Arial" w:eastAsia="Arial" w:hAnsi="Arial"/>
          <w:sz w:val="18"/>
          <w:szCs w:val="18"/>
          <w:color w:val="auto"/>
        </w:rPr>
        <w:t>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160"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ind w:left="2700" w:right="620"/>
        <w:spacing w:after="0" w:line="286" w:lineRule="auto"/>
        <w:rPr>
          <w:sz w:val="20"/>
          <w:szCs w:val="20"/>
          <w:color w:val="auto"/>
        </w:rPr>
      </w:pPr>
      <w:r>
        <w:rPr>
          <w:rFonts w:ascii="Arial" w:cs="Arial" w:eastAsia="Arial" w:hAnsi="Arial"/>
          <w:sz w:val="16"/>
          <w:szCs w:val="16"/>
          <w:color w:val="auto"/>
        </w:rPr>
        <w:t>Mr. Mullings’ extensive senior executive officer experience in the mortgage banking sector and the secondary mortgage market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620395</wp:posOffset>
            </wp:positionV>
            <wp:extent cx="5426075"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auto"/>
        </w:rPr>
        <w:t>FRANCES R. SPARK, 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1702435</wp:posOffset>
            </wp:positionH>
            <wp:positionV relativeFrom="paragraph">
              <wp:posOffset>17145</wp:posOffset>
            </wp:positionV>
            <wp:extent cx="5426075"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5426075" cy="8255"/>
                    </a:xfrm>
                    <a:prstGeom prst="rect">
                      <a:avLst/>
                    </a:prstGeom>
                    <a:noFill/>
                  </pic:spPr>
                </pic:pic>
              </a:graphicData>
            </a:graphic>
          </wp:anchor>
        </w:drawing>
      </w:r>
    </w:p>
    <w:p>
      <w:pPr>
        <w:spacing w:after="0" w:line="124"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Professional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270510</wp:posOffset>
            </wp:positionH>
            <wp:positionV relativeFrom="paragraph">
              <wp:posOffset>-85090</wp:posOffset>
            </wp:positionV>
            <wp:extent cx="1371600" cy="219456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371600" cy="2194560"/>
                    </a:xfrm>
                    <a:prstGeom prst="rect">
                      <a:avLst/>
                    </a:prstGeom>
                    <a:noFill/>
                  </pic:spPr>
                </pic:pic>
              </a:graphicData>
            </a:graphic>
          </wp:anchor>
        </w:drawing>
      </w:r>
    </w:p>
    <w:p>
      <w:pPr>
        <w:jc w:val="both"/>
        <w:ind w:left="2700" w:right="80"/>
        <w:spacing w:after="0" w:line="234" w:lineRule="auto"/>
        <w:rPr>
          <w:sz w:val="20"/>
          <w:szCs w:val="20"/>
          <w:color w:val="auto"/>
        </w:rPr>
      </w:pPr>
      <w:r>
        <w:rPr>
          <w:rFonts w:ascii="Arial" w:cs="Arial" w:eastAsia="Arial" w:hAnsi="Arial"/>
          <w:sz w:val="16"/>
          <w:szCs w:val="16"/>
          <w:color w:val="auto"/>
        </w:rPr>
        <w:t>Ms. Spark is an experienced finance professional with broad expertise in mortgage finance and financial reporting for publicly traded companies, including mortgage REITs. Ms. Spark served as the Chief Financial Officer and Treasurer for CYS Investments, Inc., a publicly traded mortgage REIT that invested predominantly in Agency MBS, from 2009</w:t>
      </w:r>
    </w:p>
    <w:p>
      <w:pPr>
        <w:spacing w:after="0" w:line="2" w:lineRule="exact"/>
        <w:rPr>
          <w:sz w:val="20"/>
          <w:szCs w:val="20"/>
          <w:color w:val="auto"/>
        </w:rPr>
      </w:pPr>
    </w:p>
    <w:p>
      <w:pPr>
        <w:ind w:left="2700" w:right="40"/>
        <w:spacing w:after="0" w:line="234" w:lineRule="auto"/>
        <w:rPr>
          <w:sz w:val="20"/>
          <w:szCs w:val="20"/>
          <w:color w:val="auto"/>
        </w:rPr>
      </w:pPr>
      <w:r>
        <w:rPr>
          <w:rFonts w:ascii="Arial" w:cs="Arial" w:eastAsia="Arial" w:hAnsi="Arial"/>
          <w:sz w:val="16"/>
          <w:szCs w:val="16"/>
          <w:color w:val="auto"/>
        </w:rPr>
        <w:t>through 2016. Prior to the internalization of CYS’s management in 2011, Ms. Spark also served as the Chief Financial Officer and Treasurer of CYS’s external manager, Sharpridge Capital Management, LP. She had served as a director and Audit Committee chair of CYS from its initial capitalization in 2006 until shortly after its initial public offering.</w:t>
      </w:r>
    </w:p>
    <w:p>
      <w:pPr>
        <w:spacing w:after="0" w:line="2" w:lineRule="exact"/>
        <w:rPr>
          <w:sz w:val="20"/>
          <w:szCs w:val="20"/>
          <w:color w:val="auto"/>
        </w:rPr>
      </w:pPr>
    </w:p>
    <w:p>
      <w:pPr>
        <w:ind w:left="2700" w:right="180"/>
        <w:spacing w:after="0" w:line="234" w:lineRule="auto"/>
        <w:rPr>
          <w:sz w:val="20"/>
          <w:szCs w:val="20"/>
          <w:color w:val="auto"/>
        </w:rPr>
      </w:pPr>
      <w:r>
        <w:rPr>
          <w:rFonts w:ascii="Arial" w:cs="Arial" w:eastAsia="Arial" w:hAnsi="Arial"/>
          <w:sz w:val="16"/>
          <w:szCs w:val="16"/>
          <w:color w:val="auto"/>
        </w:rPr>
        <w:t>Prior to CYS, Ms. Spark was the Chief Financial Officer for MVC Capital, Inc., a business development company, from 2003 until 2005. Ms. Spark’s career has included managing Spark Consulting, a privately owned strategic advisory and business consulting firm, and executive positions with financial services firms in the United States and</w:t>
      </w:r>
    </w:p>
    <w:p>
      <w:pPr>
        <w:spacing w:after="0" w:line="2" w:lineRule="exact"/>
        <w:rPr>
          <w:sz w:val="20"/>
          <w:szCs w:val="20"/>
          <w:color w:val="auto"/>
        </w:rPr>
      </w:pPr>
    </w:p>
    <w:p>
      <w:pPr>
        <w:ind w:left="2700" w:right="140"/>
        <w:spacing w:after="0" w:line="234" w:lineRule="auto"/>
        <w:rPr>
          <w:sz w:val="20"/>
          <w:szCs w:val="20"/>
          <w:color w:val="auto"/>
        </w:rPr>
      </w:pPr>
      <w:r>
        <w:rPr>
          <w:rFonts w:ascii="Arial" w:cs="Arial" w:eastAsia="Arial" w:hAnsi="Arial"/>
          <w:sz w:val="16"/>
          <w:szCs w:val="16"/>
          <w:color w:val="auto"/>
        </w:rPr>
        <w:t>the United Kingdom. She also served as an independent director and a member of the Audit and Risk Committees of Reverse Mortgage Investment Trust, a private finance company operating in the reverse mortgage industry, from 2015 to 2020. Ms. Spark is a Chartered Accountant and previously worked as an auditor with KPMG in the United</w:t>
      </w:r>
    </w:p>
    <w:p>
      <w:pPr>
        <w:spacing w:after="0" w:line="2" w:lineRule="exact"/>
        <w:rPr>
          <w:sz w:val="20"/>
          <w:szCs w:val="20"/>
          <w:color w:val="auto"/>
        </w:rPr>
      </w:pPr>
    </w:p>
    <w:p>
      <w:pPr>
        <w:ind w:left="2700" w:right="600"/>
        <w:spacing w:after="0" w:line="239" w:lineRule="auto"/>
        <w:rPr>
          <w:sz w:val="20"/>
          <w:szCs w:val="20"/>
          <w:color w:val="auto"/>
        </w:rPr>
      </w:pPr>
      <w:r>
        <w:rPr>
          <w:rFonts w:ascii="Arial" w:cs="Arial" w:eastAsia="Arial" w:hAnsi="Arial"/>
          <w:sz w:val="17"/>
          <w:szCs w:val="17"/>
          <w:color w:val="auto"/>
        </w:rPr>
        <w:t>Kingdom. She holds a BS from the University of Southampton in the United Kingdom. Ms. Spark is an “audit committee financial expert” (as defined in Item 407 of Regulation S-K under the Securities Act).</w:t>
      </w:r>
    </w:p>
    <w:p>
      <w:pPr>
        <w:spacing w:after="0" w:line="160" w:lineRule="exact"/>
        <w:rPr>
          <w:sz w:val="20"/>
          <w:szCs w:val="20"/>
          <w:color w:val="auto"/>
        </w:rPr>
      </w:pPr>
    </w:p>
    <w:p>
      <w:pPr>
        <w:ind w:left="2700"/>
        <w:spacing w:after="0"/>
        <w:rPr>
          <w:sz w:val="20"/>
          <w:szCs w:val="20"/>
          <w:color w:val="auto"/>
        </w:rPr>
      </w:pPr>
      <w:r>
        <w:rPr>
          <w:rFonts w:ascii="Arial" w:cs="Arial" w:eastAsia="Arial" w:hAnsi="Arial"/>
          <w:sz w:val="18"/>
          <w:szCs w:val="18"/>
          <w:b w:val="1"/>
          <w:bCs w:val="1"/>
          <w:color w:val="407CCA"/>
        </w:rPr>
        <w:t>Director Qualifications:</w:t>
      </w:r>
    </w:p>
    <w:p>
      <w:pPr>
        <w:ind w:left="2700" w:right="580"/>
        <w:spacing w:after="0" w:line="237" w:lineRule="auto"/>
        <w:rPr>
          <w:sz w:val="20"/>
          <w:szCs w:val="20"/>
          <w:color w:val="auto"/>
        </w:rPr>
      </w:pPr>
      <w:r>
        <w:rPr>
          <w:rFonts w:ascii="Arial" w:cs="Arial" w:eastAsia="Arial" w:hAnsi="Arial"/>
          <w:sz w:val="16"/>
          <w:szCs w:val="16"/>
          <w:color w:val="auto"/>
        </w:rPr>
        <w:t>Ms. Spark’s public company accounting, finance, and risk management expertise in the mortgage REIT sector, including her role as a senior executive officer at a publicly traded residential mortgage REIT, strengthens our</w:t>
      </w:r>
    </w:p>
    <w:p>
      <w:pPr>
        <w:spacing w:after="0" w:line="1" w:lineRule="exact"/>
        <w:rPr>
          <w:sz w:val="20"/>
          <w:szCs w:val="20"/>
          <w:color w:val="auto"/>
        </w:rPr>
      </w:pPr>
    </w:p>
    <w:p>
      <w:pPr>
        <w:ind w:left="2700"/>
        <w:spacing w:after="0"/>
        <w:rPr>
          <w:sz w:val="20"/>
          <w:szCs w:val="20"/>
          <w:color w:val="auto"/>
        </w:rPr>
      </w:pPr>
      <w:r>
        <w:rPr>
          <w:rFonts w:ascii="Arial" w:cs="Arial" w:eastAsia="Arial" w:hAnsi="Arial"/>
          <w:sz w:val="18"/>
          <w:szCs w:val="18"/>
          <w:color w:val="auto"/>
        </w:rPr>
        <w:t>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election of directors nominated in Proposal 1 requires the affirmative vote of a majority of the votes cast by holders of our common stock at</w:t>
      </w:r>
    </w:p>
    <w:p>
      <w:pPr>
        <w:spacing w:after="0" w:line="21"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the Annual Meeting. The affirmative vote of a “majority” of the votes cast means that the number of votes cast “for” a director nominee must exceed the votes cast “against” that nominee. In the context of the election of nine directors at the Annual Meeting, it will mean that each of the nine candidates will be required to receive more votes “for” than “against” to be elected. Abstentions and broker non-votes will have no effect on the outcome of the proposal.</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ELECTION OF ALL THE NOMINEES NAMED ABOVE.</w:t>
      </w:r>
    </w:p>
    <w:p>
      <w:pPr>
        <w:spacing w:after="0" w:line="200" w:lineRule="exact"/>
        <w:rPr>
          <w:sz w:val="20"/>
          <w:szCs w:val="20"/>
          <w:color w:val="auto"/>
        </w:rPr>
      </w:pPr>
    </w:p>
    <w:p>
      <w:pPr>
        <w:spacing w:after="0" w:line="369"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25" w:name="page26"/>
    <w:bookmarkEnd w:id="2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PROPOSAL 2: ADVISORY RESOLUTION TO APPROVE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29"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PROPOSAL 2:</w:t>
      </w:r>
    </w:p>
    <w:p>
      <w:pPr>
        <w:jc w:val="center"/>
        <w:ind w:right="-99"/>
        <w:spacing w:after="0"/>
        <w:rPr>
          <w:sz w:val="20"/>
          <w:szCs w:val="20"/>
          <w:color w:val="auto"/>
        </w:rPr>
      </w:pPr>
      <w:r>
        <w:rPr>
          <w:rFonts w:ascii="Arial" w:cs="Arial" w:eastAsia="Arial" w:hAnsi="Arial"/>
          <w:sz w:val="22"/>
          <w:szCs w:val="22"/>
          <w:b w:val="1"/>
          <w:bCs w:val="1"/>
          <w:color w:val="407CCA"/>
        </w:rPr>
        <w:t>ADVISORY RESOLUTION TO APPROVE EXECUTIVE COMPENSATION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Information</w:t>
      </w:r>
    </w:p>
    <w:p>
      <w:pPr>
        <w:spacing w:after="0" w:line="81" w:lineRule="exact"/>
        <w:rPr>
          <w:sz w:val="20"/>
          <w:szCs w:val="20"/>
          <w:color w:val="auto"/>
        </w:rPr>
      </w:pPr>
    </w:p>
    <w:p>
      <w:pPr>
        <w:ind w:right="40" w:firstLine="648"/>
        <w:spacing w:after="0" w:line="235" w:lineRule="auto"/>
        <w:rPr>
          <w:sz w:val="20"/>
          <w:szCs w:val="20"/>
          <w:color w:val="auto"/>
        </w:rPr>
      </w:pPr>
      <w:r>
        <w:rPr>
          <w:rFonts w:ascii="Arial" w:cs="Arial" w:eastAsia="Arial" w:hAnsi="Arial"/>
          <w:sz w:val="18"/>
          <w:szCs w:val="18"/>
          <w:color w:val="auto"/>
        </w:rPr>
        <w:t>As required by Section 14A of the Exchange Act, we are asking for your advisory vote to approve the compensation paid to our named executive officers as disclosed in this proxy statement. Our Board has determined to hold this “say-on-pay” vote every year.</w:t>
      </w:r>
    </w:p>
    <w:p>
      <w:pPr>
        <w:spacing w:after="0" w:line="175" w:lineRule="exact"/>
        <w:rPr>
          <w:sz w:val="20"/>
          <w:szCs w:val="20"/>
          <w:color w:val="auto"/>
        </w:rPr>
      </w:pPr>
    </w:p>
    <w:p>
      <w:pPr>
        <w:ind w:right="140" w:firstLine="648"/>
        <w:spacing w:after="0" w:line="239" w:lineRule="auto"/>
        <w:rPr>
          <w:sz w:val="20"/>
          <w:szCs w:val="20"/>
          <w:color w:val="auto"/>
        </w:rPr>
      </w:pPr>
      <w:r>
        <w:rPr>
          <w:rFonts w:ascii="Arial" w:cs="Arial" w:eastAsia="Arial" w:hAnsi="Arial"/>
          <w:sz w:val="16"/>
          <w:szCs w:val="16"/>
          <w:color w:val="auto"/>
        </w:rPr>
        <w:t>We urge you to review carefully our compensation policies and decisions regarding our named executive officers as presented in the “Compensation Discussion and Analysis,” the accompanying compensation tables, and the related narrative disclosures section appearing on pages 25 to</w:t>
      </w:r>
    </w:p>
    <w:p>
      <w:pPr>
        <w:spacing w:after="0" w:line="1" w:lineRule="exact"/>
        <w:rPr>
          <w:sz w:val="20"/>
          <w:szCs w:val="20"/>
          <w:color w:val="auto"/>
        </w:rPr>
      </w:pPr>
    </w:p>
    <w:p>
      <w:pPr>
        <w:jc w:val="both"/>
        <w:ind w:right="340" w:firstLine="8"/>
        <w:spacing w:after="0" w:line="223" w:lineRule="auto"/>
        <w:tabs>
          <w:tab w:leader="none" w:pos="27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 executives with the skills and experience necessary to achieve our key business objectives.</w:t>
      </w:r>
    </w:p>
    <w:p>
      <w:pPr>
        <w:spacing w:after="0" w:line="163" w:lineRule="exact"/>
        <w:rPr>
          <w:sz w:val="20"/>
          <w:szCs w:val="20"/>
          <w:color w:val="auto"/>
        </w:rPr>
      </w:pPr>
    </w:p>
    <w:p>
      <w:pPr>
        <w:ind w:firstLine="648"/>
        <w:spacing w:after="0" w:line="246" w:lineRule="auto"/>
        <w:rPr>
          <w:sz w:val="20"/>
          <w:szCs w:val="20"/>
          <w:color w:val="auto"/>
        </w:rPr>
      </w:pPr>
      <w:r>
        <w:rPr>
          <w:rFonts w:ascii="Arial" w:cs="Arial" w:eastAsia="Arial" w:hAnsi="Arial"/>
          <w:sz w:val="18"/>
          <w:szCs w:val="18"/>
          <w:color w:val="auto"/>
        </w:rPr>
        <w:t>While the vote on this proposal is advisory in nature and not binding, the Board and the Compensation Committee will take the results of the vote into account in making future compensation decisions.</w:t>
      </w:r>
    </w:p>
    <w:p>
      <w:pPr>
        <w:spacing w:after="0" w:line="15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185"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“RESOLVED, that the stockholders of the Company hereby approve the compensation paid to our named executive officers, as disclosed in</w:t>
      </w:r>
    </w:p>
    <w:p>
      <w:pPr>
        <w:spacing w:after="0" w:line="21" w:lineRule="exact"/>
        <w:rPr>
          <w:sz w:val="20"/>
          <w:szCs w:val="20"/>
          <w:color w:val="auto"/>
        </w:rPr>
      </w:pPr>
    </w:p>
    <w:p>
      <w:pPr>
        <w:ind w:left="1000" w:right="620"/>
        <w:spacing w:after="0" w:line="218" w:lineRule="auto"/>
        <w:rPr>
          <w:sz w:val="20"/>
          <w:szCs w:val="20"/>
          <w:color w:val="auto"/>
        </w:rPr>
      </w:pPr>
      <w:r>
        <w:rPr>
          <w:rFonts w:ascii="Arial" w:cs="Arial" w:eastAsia="Arial" w:hAnsi="Arial"/>
          <w:sz w:val="18"/>
          <w:szCs w:val="18"/>
          <w:color w:val="auto"/>
        </w:rPr>
        <w:t>the proxy statement for the 2023 Annual Meeting of Stockholders pursuant to the disclosure rules of the Securities and Exchange Commission, including the Compensation Discussion and Analysis, compensation tables, and related material disclosed in the proxy statement.”</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81" w:lineRule="exact"/>
        <w:rPr>
          <w:sz w:val="20"/>
          <w:szCs w:val="20"/>
          <w:color w:val="auto"/>
        </w:rPr>
      </w:pPr>
    </w:p>
    <w:p>
      <w:pPr>
        <w:ind w:right="180" w:firstLine="648"/>
        <w:spacing w:after="0" w:line="248" w:lineRule="auto"/>
        <w:rPr>
          <w:sz w:val="20"/>
          <w:szCs w:val="20"/>
          <w:color w:val="auto"/>
        </w:rPr>
      </w:pPr>
      <w:r>
        <w:rPr>
          <w:rFonts w:ascii="Arial" w:cs="Arial" w:eastAsia="Arial" w:hAnsi="Arial"/>
          <w:sz w:val="16"/>
          <w:szCs w:val="16"/>
          <w:color w:val="auto"/>
        </w:rPr>
        <w:t xml:space="preserve">The affirmative vote of a majority of all shares of common stock cast on the proposal is required for advisory approval of this proposal. Abstentions and broker non-votes will have no effect on the outcome of the proposal. THE BOARD OF DIRECTORS RECOMMENDS A VOTE </w:t>
      </w:r>
      <w:r>
        <w:rPr>
          <w:rFonts w:ascii="Arial" w:cs="Arial" w:eastAsia="Arial" w:hAnsi="Arial"/>
          <w:sz w:val="16"/>
          <w:szCs w:val="16"/>
          <w:b w:val="1"/>
          <w:bCs w:val="1"/>
          <w:color w:val="auto"/>
        </w:rPr>
        <w:t>FOR</w:t>
      </w:r>
    </w:p>
    <w:p>
      <w:pPr>
        <w:spacing w:after="0"/>
        <w:rPr>
          <w:sz w:val="20"/>
          <w:szCs w:val="20"/>
          <w:color w:val="auto"/>
        </w:rPr>
      </w:pPr>
      <w:r>
        <w:rPr>
          <w:rFonts w:ascii="Arial" w:cs="Arial" w:eastAsia="Arial" w:hAnsi="Arial"/>
          <w:sz w:val="18"/>
          <w:szCs w:val="18"/>
          <w:color w:val="auto"/>
        </w:rPr>
        <w:t>APPROVAL OF THE ADVISORY RESOLUTION ON EXECUTIVE COMPENSATION.</w:t>
      </w:r>
    </w:p>
    <w:p>
      <w:pPr>
        <w:spacing w:after="0" w:line="200" w:lineRule="exact"/>
        <w:rPr>
          <w:sz w:val="20"/>
          <w:szCs w:val="20"/>
          <w:color w:val="auto"/>
        </w:rPr>
      </w:pPr>
    </w:p>
    <w:p>
      <w:pPr>
        <w:spacing w:after="0" w:line="369"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60"/>
          </w:cols>
          <w:pgMar w:left="320" w:top="108" w:right="419" w:bottom="1440" w:gutter="0" w:footer="0" w:header="0"/>
        </w:sectPr>
      </w:pPr>
    </w:p>
    <w:bookmarkStart w:id="26" w:name="page27"/>
    <w:bookmarkEnd w:id="26"/>
    <w:p>
      <w:pPr>
        <w:jc w:val="right"/>
        <w:spacing w:after="0"/>
        <w:rPr>
          <w:sz w:val="20"/>
          <w:szCs w:val="20"/>
          <w:color w:val="auto"/>
        </w:rPr>
      </w:pPr>
      <w:r>
        <w:rPr>
          <w:rFonts w:ascii="Arial" w:cs="Arial" w:eastAsia="Arial" w:hAnsi="Arial"/>
          <w:sz w:val="14"/>
          <w:szCs w:val="14"/>
          <w:color w:val="407CCA"/>
        </w:rPr>
        <w:t>PROPOSAL 3: ADVISORY VOTE ON THE FREQUENCY OF FUTURE ADVISORY VOTES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91"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PROPOSAL 3:</w:t>
      </w:r>
    </w:p>
    <w:p>
      <w:pPr>
        <w:jc w:val="center"/>
        <w:ind w:right="-19"/>
        <w:spacing w:after="0" w:line="204" w:lineRule="auto"/>
        <w:rPr>
          <w:sz w:val="20"/>
          <w:szCs w:val="20"/>
          <w:color w:val="auto"/>
        </w:rPr>
      </w:pPr>
      <w:r>
        <w:rPr>
          <w:rFonts w:ascii="Arial" w:cs="Arial" w:eastAsia="Arial" w:hAnsi="Arial"/>
          <w:sz w:val="22"/>
          <w:szCs w:val="22"/>
          <w:b w:val="1"/>
          <w:bCs w:val="1"/>
          <w:color w:val="407CCA"/>
        </w:rPr>
        <w:t>ADVISORY VOTE ON THE FREQUENCY OF</w:t>
      </w:r>
    </w:p>
    <w:p>
      <w:pPr>
        <w:spacing w:after="0" w:line="1"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FUTURE ADVISORY VOTES ON EXECUTIVE COMPENSATION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Information</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As required by Section 14A of the Exchange Act and SEC rules, we are asking stockholders to recommend, on a non-binding, advisory basis,</w:t>
      </w:r>
    </w:p>
    <w:p>
      <w:pPr>
        <w:spacing w:after="0" w:line="21" w:lineRule="exact"/>
        <w:rPr>
          <w:sz w:val="20"/>
          <w:szCs w:val="20"/>
          <w:color w:val="auto"/>
        </w:rPr>
      </w:pPr>
    </w:p>
    <w:p>
      <w:pPr>
        <w:spacing w:after="0" w:line="218" w:lineRule="auto"/>
        <w:rPr>
          <w:sz w:val="20"/>
          <w:szCs w:val="20"/>
          <w:color w:val="auto"/>
        </w:rPr>
      </w:pPr>
      <w:r>
        <w:rPr>
          <w:rFonts w:ascii="Arial" w:cs="Arial" w:eastAsia="Arial" w:hAnsi="Arial"/>
          <w:sz w:val="18"/>
          <w:szCs w:val="18"/>
          <w:color w:val="auto"/>
        </w:rPr>
        <w:t>whether the required say-on-pay vote in proposal 2 should occur every one, two or three years. SEC rules require us to submit this vote, commonly referred to as a “say-on-frequency” vote, to stockholders at least once every six years. We previously held a say-on-frequency vote at our 2017 Annual Meeting, where stockholders voted overwhelmingly in favor of conducting the vote every year.</w:t>
      </w:r>
    </w:p>
    <w:p>
      <w:pPr>
        <w:spacing w:after="0" w:line="203" w:lineRule="exact"/>
        <w:rPr>
          <w:sz w:val="20"/>
          <w:szCs w:val="20"/>
          <w:color w:val="auto"/>
        </w:rPr>
      </w:pPr>
    </w:p>
    <w:p>
      <w:pPr>
        <w:ind w:right="280" w:firstLine="648"/>
        <w:spacing w:after="0" w:line="224" w:lineRule="auto"/>
        <w:rPr>
          <w:sz w:val="20"/>
          <w:szCs w:val="20"/>
          <w:color w:val="auto"/>
        </w:rPr>
      </w:pPr>
      <w:r>
        <w:rPr>
          <w:rFonts w:ascii="Arial" w:cs="Arial" w:eastAsia="Arial" w:hAnsi="Arial"/>
          <w:sz w:val="18"/>
          <w:szCs w:val="18"/>
          <w:color w:val="auto"/>
        </w:rPr>
        <w:t>You have the option to vote for any one of the three options: every year, every other year or every third year. The Board has determined that an annual advisory vote on executive compensation is the best approach for the Company at this time based on a number of considerations, including the following:</w:t>
      </w:r>
    </w:p>
    <w:p>
      <w:pPr>
        <w:spacing w:after="0" w:line="203" w:lineRule="exact"/>
        <w:rPr>
          <w:sz w:val="20"/>
          <w:szCs w:val="20"/>
          <w:color w:val="auto"/>
        </w:rPr>
      </w:pPr>
    </w:p>
    <w:p>
      <w:pPr>
        <w:ind w:left="1300" w:right="380" w:hanging="644"/>
        <w:spacing w:after="0" w:line="233" w:lineRule="auto"/>
        <w:tabs>
          <w:tab w:leader="none" w:pos="892" w:val="left"/>
        </w:tabs>
        <w:numPr>
          <w:ilvl w:val="0"/>
          <w:numId w:val="26"/>
        </w:numPr>
        <w:rPr>
          <w:rFonts w:ascii="Arial" w:cs="Arial" w:eastAsia="Arial" w:hAnsi="Arial"/>
          <w:sz w:val="17"/>
          <w:szCs w:val="17"/>
          <w:color w:val="auto"/>
        </w:rPr>
      </w:pPr>
      <w:r>
        <w:rPr>
          <w:rFonts w:ascii="Arial" w:cs="Arial" w:eastAsia="Arial" w:hAnsi="Arial"/>
          <w:sz w:val="17"/>
          <w:szCs w:val="17"/>
          <w:color w:val="auto"/>
        </w:rPr>
        <w:t>While our compensation strategies are intended to align our executives’ pay with the interests of stockholders and compensation decisions relate to both our near-term and longer-term performance, the Board makes compensation decisions annually;</w:t>
      </w:r>
    </w:p>
    <w:p>
      <w:pPr>
        <w:ind w:left="880" w:hanging="224"/>
        <w:spacing w:after="0" w:line="228" w:lineRule="auto"/>
        <w:tabs>
          <w:tab w:leader="none" w:pos="8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An annual vote provides stockholders the opportunity to evaluate our performance and executive compensation program more frequently; and</w:t>
      </w:r>
    </w:p>
    <w:p>
      <w:pPr>
        <w:ind w:left="1300" w:right="260" w:hanging="644"/>
        <w:spacing w:after="0" w:line="236" w:lineRule="auto"/>
        <w:tabs>
          <w:tab w:leader="none" w:pos="885" w:val="left"/>
        </w:tabs>
        <w:numPr>
          <w:ilvl w:val="0"/>
          <w:numId w:val="26"/>
        </w:numPr>
        <w:rPr>
          <w:rFonts w:ascii="Arial" w:cs="Arial" w:eastAsia="Arial" w:hAnsi="Arial"/>
          <w:sz w:val="17"/>
          <w:szCs w:val="17"/>
          <w:color w:val="auto"/>
        </w:rPr>
      </w:pPr>
      <w:r>
        <w:rPr>
          <w:rFonts w:ascii="Arial" w:cs="Arial" w:eastAsia="Arial" w:hAnsi="Arial"/>
          <w:sz w:val="17"/>
          <w:szCs w:val="17"/>
          <w:color w:val="auto"/>
        </w:rPr>
        <w:t>An annual advisory vote provides us with more frequent feedback on our compensation disclosures and the compensation of our named executive officers. Although the vote on executive compensation is non-binding, our Board takes into account the outcome of the vote when making future decisions about the Company’s executive compensation policies and procedures.</w:t>
      </w:r>
    </w:p>
    <w:p>
      <w:pPr>
        <w:spacing w:after="0" w:line="190" w:lineRule="exact"/>
        <w:rPr>
          <w:sz w:val="20"/>
          <w:szCs w:val="20"/>
          <w:color w:val="auto"/>
        </w:rPr>
      </w:pPr>
    </w:p>
    <w:p>
      <w:pPr>
        <w:ind w:right="200" w:firstLine="648"/>
        <w:spacing w:after="0" w:line="248" w:lineRule="auto"/>
        <w:rPr>
          <w:sz w:val="20"/>
          <w:szCs w:val="20"/>
          <w:color w:val="auto"/>
        </w:rPr>
      </w:pPr>
      <w:r>
        <w:rPr>
          <w:rFonts w:ascii="Arial" w:cs="Arial" w:eastAsia="Arial" w:hAnsi="Arial"/>
          <w:sz w:val="16"/>
          <w:szCs w:val="16"/>
          <w:color w:val="auto"/>
        </w:rPr>
        <w:t>Accordingly, we are recommending that our stockholders vote to conduct an advisory vote on executive compensation every year. Our Board of Directors will carefully consider the outcome of this vote when making future decisions regarding the frequency of advisory votes on executive</w:t>
      </w:r>
    </w:p>
    <w:p>
      <w:pPr>
        <w:ind w:right="520"/>
        <w:spacing w:after="0" w:line="268" w:lineRule="auto"/>
        <w:rPr>
          <w:sz w:val="20"/>
          <w:szCs w:val="20"/>
          <w:color w:val="auto"/>
        </w:rPr>
      </w:pPr>
      <w:r>
        <w:rPr>
          <w:rFonts w:ascii="Arial" w:cs="Arial" w:eastAsia="Arial" w:hAnsi="Arial"/>
          <w:sz w:val="16"/>
          <w:szCs w:val="16"/>
          <w:color w:val="auto"/>
        </w:rPr>
        <w:t>compensation. However, because this vote is advisory and not binding, our Board of Directors may decide that it is in the best interests of us and our stockholders to hold an advisory vote on executive compensation more or less frequently than the alternative selected by our stockholders.</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229" w:lineRule="exact"/>
        <w:rPr>
          <w:sz w:val="20"/>
          <w:szCs w:val="20"/>
          <w:color w:val="auto"/>
        </w:rPr>
      </w:pPr>
    </w:p>
    <w:p>
      <w:pPr>
        <w:ind w:right="280" w:firstLine="648"/>
        <w:spacing w:after="0" w:line="248" w:lineRule="auto"/>
        <w:rPr>
          <w:sz w:val="20"/>
          <w:szCs w:val="20"/>
          <w:color w:val="auto"/>
        </w:rPr>
      </w:pPr>
      <w:r>
        <w:rPr>
          <w:rFonts w:ascii="Arial" w:cs="Arial" w:eastAsia="Arial" w:hAnsi="Arial"/>
          <w:sz w:val="16"/>
          <w:szCs w:val="16"/>
          <w:color w:val="auto"/>
        </w:rPr>
        <w:t>The affirmative vote of a majority of all shares of common stock cast on the proposal is required for advisory approval of this proposal. Abstentions and broker non-votes will have no effect on the outcome of the proposal. THE BOARD OF DIRECTORS RECOMMENDS A VOTE FOR</w:t>
      </w:r>
    </w:p>
    <w:p>
      <w:pPr>
        <w:spacing w:after="0"/>
        <w:rPr>
          <w:sz w:val="20"/>
          <w:szCs w:val="20"/>
          <w:color w:val="auto"/>
        </w:rPr>
      </w:pPr>
      <w:r>
        <w:rPr>
          <w:rFonts w:ascii="Arial" w:cs="Arial" w:eastAsia="Arial" w:hAnsi="Arial"/>
          <w:sz w:val="18"/>
          <w:szCs w:val="18"/>
          <w:color w:val="auto"/>
        </w:rPr>
        <w:t>“EVERY YEAR” TO CONDUCT AN ADVISORY VOTE ON EXECUTIVE COMPENSATION.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404" w:right="359" w:bottom="1440" w:gutter="0" w:footer="0" w:header="0"/>
        </w:sectPr>
      </w:pPr>
    </w:p>
    <w:bookmarkStart w:id="27" w:name="page28"/>
    <w:bookmarkEnd w:id="2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PROPOSAL 4:</w:t>
      </w:r>
    </w:p>
    <w:p>
      <w:pPr>
        <w:jc w:val="center"/>
        <w:ind w:right="-19"/>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68" w:lineRule="exact"/>
        <w:rPr>
          <w:sz w:val="20"/>
          <w:szCs w:val="20"/>
          <w:color w:val="auto"/>
        </w:rPr>
      </w:pPr>
    </w:p>
    <w:p>
      <w:pPr>
        <w:ind w:right="40" w:firstLine="648"/>
        <w:spacing w:after="0" w:line="241" w:lineRule="auto"/>
        <w:rPr>
          <w:sz w:val="20"/>
          <w:szCs w:val="20"/>
          <w:color w:val="auto"/>
        </w:rPr>
      </w:pPr>
      <w:r>
        <w:rPr>
          <w:rFonts w:ascii="Arial" w:cs="Arial" w:eastAsia="Arial" w:hAnsi="Arial"/>
          <w:sz w:val="16"/>
          <w:szCs w:val="16"/>
          <w:color w:val="auto"/>
        </w:rPr>
        <w:t>Ernst &amp; Young LLP (“EY”) has served as our independent public accountant since our IPO. The Audit Committee evaluates EY’s performance on an annual basis and makes a determination as to whether the Company should re-engage EY or consider the engagement of another audit firm. At a meeting on February 17, 2023, the Audit Committee approved the appointment of EY to audit our financial statements for 2023. In making this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determination, the Audit Committee carefully considered a number of factors including:</w:t>
      </w:r>
    </w:p>
    <w:p>
      <w:pPr>
        <w:spacing w:after="0" w:line="45" w:lineRule="exact"/>
        <w:rPr>
          <w:sz w:val="20"/>
          <w:szCs w:val="20"/>
          <w:color w:val="auto"/>
        </w:rPr>
      </w:pPr>
    </w:p>
    <w:p>
      <w:pPr>
        <w:ind w:left="980" w:hanging="405"/>
        <w:spacing w:after="0"/>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independence, objectivity, and professional skepticism;</w:t>
      </w:r>
    </w:p>
    <w:p>
      <w:pPr>
        <w:ind w:left="980" w:right="660" w:hanging="405"/>
        <w:spacing w:after="0" w:line="211" w:lineRule="auto"/>
        <w:tabs>
          <w:tab w:leader="none" w:pos="975"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significant knowledge of the Company’s operations, personnel, accounting policies and practices, internal control over financial reporting, and the impact of such knowledge on audit quality;</w:t>
      </w:r>
    </w:p>
    <w:p>
      <w:pPr>
        <w:ind w:left="980" w:hanging="405"/>
        <w:spacing w:after="0" w:line="203"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significant industry and sector specific experience, including the number of other mortgage REITs audited by EY;</w:t>
      </w:r>
    </w:p>
    <w:p>
      <w:pPr>
        <w:ind w:left="980" w:hanging="405"/>
        <w:spacing w:after="0" w:line="219"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quality and efficiency of services provided by EY based on feedback from Audit Committee members and management;</w:t>
      </w:r>
    </w:p>
    <w:p>
      <w:pPr>
        <w:ind w:left="980" w:right="40" w:hanging="405"/>
        <w:spacing w:after="0" w:line="203" w:lineRule="auto"/>
        <w:tabs>
          <w:tab w:leader="none" w:pos="975"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resources, capabilities, technical expertise, including sharing industry insights, trends, and latest practices with the Audit Committee and management;</w:t>
      </w:r>
    </w:p>
    <w:p>
      <w:pPr>
        <w:ind w:left="980" w:hanging="405"/>
        <w:spacing w:after="0" w:line="219"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efforts to use technology to increase efficiencies and improve audit quality;</w:t>
      </w:r>
    </w:p>
    <w:p>
      <w:pPr>
        <w:ind w:left="980" w:hanging="405"/>
        <w:spacing w:after="0" w:line="203"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quality and candor of EY’s communications;</w:t>
      </w:r>
    </w:p>
    <w:p>
      <w:pPr>
        <w:ind w:left="980" w:hanging="405"/>
        <w:spacing w:after="0" w:line="219"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recent Public Company Accounting Oversight Board (PCAOB) reports and other publicly available information on the firm;</w:t>
      </w:r>
    </w:p>
    <w:p>
      <w:pPr>
        <w:ind w:left="980" w:hanging="405"/>
        <w:spacing w:after="0" w:line="203"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appropriateness of fees charged for audit and non-audit services;</w:t>
      </w:r>
    </w:p>
    <w:p>
      <w:pPr>
        <w:ind w:left="980" w:hanging="405"/>
        <w:spacing w:after="0" w:line="203" w:lineRule="auto"/>
        <w:tabs>
          <w:tab w:leader="none" w:pos="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EY’s compliance with, and practices regarding, the SEC’s rules requiring lead engagement partner rotation every five years; and</w:t>
      </w:r>
    </w:p>
    <w:p>
      <w:pPr>
        <w:ind w:left="980" w:hanging="405"/>
        <w:spacing w:after="0"/>
        <w:tabs>
          <w:tab w:leader="none" w:pos="9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the length of time EY has served as our independent public accountant, the benefits of longer tenure, and the impact of changing auditors.</w:t>
      </w:r>
    </w:p>
    <w:p>
      <w:pPr>
        <w:spacing w:after="0" w:line="205" w:lineRule="exact"/>
        <w:rPr>
          <w:sz w:val="20"/>
          <w:szCs w:val="20"/>
          <w:color w:val="auto"/>
        </w:rPr>
      </w:pPr>
    </w:p>
    <w:p>
      <w:pPr>
        <w:ind w:firstLine="648"/>
        <w:spacing w:after="0" w:line="241" w:lineRule="auto"/>
        <w:rPr>
          <w:sz w:val="20"/>
          <w:szCs w:val="20"/>
          <w:color w:val="auto"/>
        </w:rPr>
      </w:pPr>
      <w:r>
        <w:rPr>
          <w:rFonts w:ascii="Arial" w:cs="Arial" w:eastAsia="Arial" w:hAnsi="Arial"/>
          <w:sz w:val="16"/>
          <w:szCs w:val="16"/>
          <w:color w:val="auto"/>
        </w:rPr>
        <w:t>Based on this evaluation, the Audit Committee determined that it was in the best interests of the Company and our stockholders to continue to engage EY as our independent public accountant. This appointment is subject to ratification or rejection by our common stockholders. A representative of Ernst &amp; Young LLP is expected to be present at the Annual Meeting. The representative will have an opportunity to make a statement if he or she so desires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and is expected to be available to respond to appropriate questions.</w:t>
      </w:r>
    </w:p>
    <w:p>
      <w:pPr>
        <w:spacing w:after="0" w:line="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Public Accountant’s Fees</w:t>
      </w:r>
    </w:p>
    <w:p>
      <w:pPr>
        <w:spacing w:after="0" w:line="81" w:lineRule="exact"/>
        <w:rPr>
          <w:sz w:val="20"/>
          <w:szCs w:val="20"/>
          <w:color w:val="auto"/>
        </w:rPr>
      </w:pPr>
    </w:p>
    <w:p>
      <w:pPr>
        <w:ind w:right="240" w:firstLine="648"/>
        <w:spacing w:after="0" w:line="246" w:lineRule="auto"/>
        <w:rPr>
          <w:sz w:val="20"/>
          <w:szCs w:val="20"/>
          <w:color w:val="auto"/>
        </w:rPr>
      </w:pPr>
      <w:r>
        <w:rPr>
          <w:rFonts w:ascii="Arial" w:cs="Arial" w:eastAsia="Arial" w:hAnsi="Arial"/>
          <w:sz w:val="18"/>
          <w:szCs w:val="18"/>
          <w:color w:val="auto"/>
        </w:rPr>
        <w:t>EY performed various audit and other services for us during 2022 and 2021. Fees for professional services provided by EY in 2022 and 2021 in each of the following categories were:</w:t>
      </w:r>
    </w:p>
    <w:p>
      <w:pPr>
        <w:spacing w:after="0" w:line="191" w:lineRule="exact"/>
        <w:rPr>
          <w:sz w:val="20"/>
          <w:szCs w:val="20"/>
          <w:color w:val="auto"/>
        </w:rPr>
      </w:pPr>
    </w:p>
    <w:tbl>
      <w:tblPr>
        <w:tblLayout w:type="fixed"/>
        <w:tblInd w:w="0" w:type="dxa"/>
        <w:tblCellMar>
          <w:top w:w="0" w:type="dxa"/>
          <w:left w:w="0" w:type="dxa"/>
          <w:bottom w:w="0" w:type="dxa"/>
          <w:right w:w="0" w:type="dxa"/>
        </w:tblCellMar>
      </w:tblPr>
      <w:tr>
        <w:trPr>
          <w:trHeight w:val="183"/>
        </w:trPr>
        <w:tc>
          <w:tcPr>
            <w:tcW w:w="5020" w:type="dxa"/>
            <w:vAlign w:val="bottom"/>
            <w:tcBorders>
              <w:top w:val="single" w:sz="8" w:color="407CCA"/>
              <w:bottom w:val="single" w:sz="8" w:color="407CCA"/>
            </w:tcBorders>
          </w:tcPr>
          <w:p>
            <w:pPr>
              <w:spacing w:after="0"/>
              <w:rPr>
                <w:sz w:val="15"/>
                <w:szCs w:val="15"/>
                <w:color w:val="auto"/>
              </w:rPr>
            </w:pPr>
          </w:p>
        </w:tc>
        <w:tc>
          <w:tcPr>
            <w:tcW w:w="4740" w:type="dxa"/>
            <w:vAlign w:val="bottom"/>
            <w:tcBorders>
              <w:top w:val="single" w:sz="8" w:color="407CCA"/>
              <w:bottom w:val="single" w:sz="8" w:color="407CCA"/>
            </w:tcBorders>
          </w:tcPr>
          <w:p>
            <w:pPr>
              <w:jc w:val="right"/>
              <w:ind w:right="815"/>
              <w:spacing w:after="0"/>
              <w:rPr>
                <w:sz w:val="20"/>
                <w:szCs w:val="20"/>
                <w:color w:val="auto"/>
              </w:rPr>
            </w:pPr>
            <w:r>
              <w:rPr>
                <w:rFonts w:ascii="Arial" w:cs="Arial" w:eastAsia="Arial" w:hAnsi="Arial"/>
                <w:sz w:val="13"/>
                <w:szCs w:val="13"/>
                <w:b w:val="1"/>
                <w:bCs w:val="1"/>
                <w:color w:val="auto"/>
              </w:rPr>
              <w:t>2022</w:t>
            </w:r>
          </w:p>
        </w:tc>
        <w:tc>
          <w:tcPr>
            <w:tcW w:w="1460" w:type="dxa"/>
            <w:vAlign w:val="bottom"/>
            <w:tcBorders>
              <w:top w:val="single" w:sz="8" w:color="407CCA"/>
              <w:bottom w:val="single" w:sz="8" w:color="407CCA"/>
            </w:tcBorders>
          </w:tcPr>
          <w:p>
            <w:pPr>
              <w:jc w:val="right"/>
              <w:ind w:right="615"/>
              <w:spacing w:after="0"/>
              <w:rPr>
                <w:sz w:val="20"/>
                <w:szCs w:val="20"/>
                <w:color w:val="auto"/>
              </w:rPr>
            </w:pPr>
            <w:r>
              <w:rPr>
                <w:rFonts w:ascii="Arial" w:cs="Arial" w:eastAsia="Arial" w:hAnsi="Arial"/>
                <w:sz w:val="13"/>
                <w:szCs w:val="13"/>
                <w:b w:val="1"/>
                <w:bCs w:val="1"/>
                <w:color w:val="auto"/>
              </w:rPr>
              <w:t>2021</w:t>
            </w:r>
          </w:p>
        </w:tc>
        <w:tc>
          <w:tcPr>
            <w:tcW w:w="0" w:type="dxa"/>
            <w:vAlign w:val="bottom"/>
          </w:tcPr>
          <w:p>
            <w:pPr>
              <w:spacing w:after="0"/>
              <w:rPr>
                <w:sz w:val="1"/>
                <w:szCs w:val="1"/>
                <w:color w:val="auto"/>
              </w:rPr>
            </w:pPr>
          </w:p>
        </w:tc>
      </w:tr>
      <w:tr>
        <w:trPr>
          <w:trHeight w:val="296"/>
        </w:trPr>
        <w:tc>
          <w:tcPr>
            <w:tcW w:w="5020" w:type="dxa"/>
            <w:vAlign w:val="bottom"/>
          </w:tcPr>
          <w:p>
            <w:pPr>
              <w:ind w:left="100"/>
              <w:spacing w:after="0"/>
              <w:rPr>
                <w:sz w:val="20"/>
                <w:szCs w:val="20"/>
                <w:color w:val="auto"/>
              </w:rPr>
            </w:pPr>
            <w:r>
              <w:rPr>
                <w:rFonts w:ascii="Arial" w:cs="Arial" w:eastAsia="Arial" w:hAnsi="Arial"/>
                <w:sz w:val="18"/>
                <w:szCs w:val="18"/>
                <w:color w:val="auto"/>
              </w:rPr>
              <w:t>Audit Fees</w:t>
            </w:r>
          </w:p>
        </w:tc>
        <w:tc>
          <w:tcPr>
            <w:tcW w:w="4740" w:type="dxa"/>
            <w:vAlign w:val="bottom"/>
            <w:vMerge w:val="restart"/>
          </w:tcPr>
          <w:p>
            <w:pPr>
              <w:jc w:val="right"/>
              <w:ind w:right="335"/>
              <w:spacing w:after="0"/>
              <w:rPr>
                <w:sz w:val="20"/>
                <w:szCs w:val="20"/>
                <w:color w:val="auto"/>
              </w:rPr>
            </w:pPr>
            <w:r>
              <w:rPr>
                <w:rFonts w:ascii="Arial" w:cs="Arial" w:eastAsia="Arial" w:hAnsi="Arial"/>
                <w:sz w:val="18"/>
                <w:szCs w:val="18"/>
                <w:color w:val="auto"/>
              </w:rPr>
              <w:t>$1,875,500</w:t>
            </w:r>
          </w:p>
        </w:tc>
        <w:tc>
          <w:tcPr>
            <w:tcW w:w="1460" w:type="dxa"/>
            <w:vAlign w:val="bottom"/>
            <w:vMerge w:val="restart"/>
          </w:tcPr>
          <w:p>
            <w:pPr>
              <w:jc w:val="right"/>
              <w:ind w:right="135"/>
              <w:spacing w:after="0"/>
              <w:rPr>
                <w:sz w:val="20"/>
                <w:szCs w:val="20"/>
                <w:color w:val="auto"/>
              </w:rPr>
            </w:pPr>
            <w:r>
              <w:rPr>
                <w:rFonts w:ascii="Arial" w:cs="Arial" w:eastAsia="Arial" w:hAnsi="Arial"/>
                <w:sz w:val="18"/>
                <w:szCs w:val="18"/>
                <w:color w:val="auto"/>
              </w:rPr>
              <w:t>$1,756,000</w:t>
            </w:r>
          </w:p>
        </w:tc>
        <w:tc>
          <w:tcPr>
            <w:tcW w:w="0" w:type="dxa"/>
            <w:vAlign w:val="bottom"/>
          </w:tcPr>
          <w:p>
            <w:pPr>
              <w:spacing w:after="0"/>
              <w:rPr>
                <w:sz w:val="1"/>
                <w:szCs w:val="1"/>
                <w:color w:val="auto"/>
              </w:rPr>
            </w:pPr>
          </w:p>
        </w:tc>
      </w:tr>
      <w:tr>
        <w:trPr>
          <w:trHeight w:val="95"/>
        </w:trPr>
        <w:tc>
          <w:tcPr>
            <w:tcW w:w="5020" w:type="dxa"/>
            <w:vAlign w:val="bottom"/>
          </w:tcPr>
          <w:p>
            <w:pPr>
              <w:spacing w:after="0"/>
              <w:rPr>
                <w:sz w:val="8"/>
                <w:szCs w:val="8"/>
                <w:color w:val="auto"/>
              </w:rPr>
            </w:pPr>
          </w:p>
        </w:tc>
        <w:tc>
          <w:tcPr>
            <w:tcW w:w="4740" w:type="dxa"/>
            <w:vAlign w:val="bottom"/>
            <w:vMerge w:val="continue"/>
          </w:tcPr>
          <w:p>
            <w:pPr>
              <w:spacing w:after="0"/>
              <w:rPr>
                <w:sz w:val="8"/>
                <w:szCs w:val="8"/>
                <w:color w:val="auto"/>
              </w:rPr>
            </w:pPr>
          </w:p>
        </w:tc>
        <w:tc>
          <w:tcPr>
            <w:tcW w:w="14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5020" w:type="dxa"/>
            <w:vAlign w:val="bottom"/>
          </w:tcPr>
          <w:p>
            <w:pPr>
              <w:ind w:left="100"/>
              <w:spacing w:after="0"/>
              <w:rPr>
                <w:sz w:val="20"/>
                <w:szCs w:val="20"/>
                <w:color w:val="auto"/>
              </w:rPr>
            </w:pPr>
            <w:r>
              <w:rPr>
                <w:rFonts w:ascii="Arial" w:cs="Arial" w:eastAsia="Arial" w:hAnsi="Arial"/>
                <w:sz w:val="18"/>
                <w:szCs w:val="18"/>
                <w:color w:val="auto"/>
              </w:rPr>
              <w:t>Audit-Related Fees</w:t>
            </w:r>
          </w:p>
        </w:tc>
        <w:tc>
          <w:tcPr>
            <w:tcW w:w="4740" w:type="dxa"/>
            <w:vAlign w:val="bottom"/>
            <w:vMerge w:val="restart"/>
          </w:tcPr>
          <w:p>
            <w:pPr>
              <w:jc w:val="right"/>
              <w:ind w:right="335"/>
              <w:spacing w:after="0"/>
              <w:rPr>
                <w:sz w:val="20"/>
                <w:szCs w:val="20"/>
                <w:color w:val="auto"/>
              </w:rPr>
            </w:pPr>
            <w:r>
              <w:rPr>
                <w:rFonts w:ascii="Arial" w:cs="Arial" w:eastAsia="Arial" w:hAnsi="Arial"/>
                <w:sz w:val="18"/>
                <w:szCs w:val="18"/>
                <w:color w:val="auto"/>
              </w:rPr>
              <w:t>—</w:t>
            </w:r>
          </w:p>
        </w:tc>
        <w:tc>
          <w:tcPr>
            <w:tcW w:w="1460" w:type="dxa"/>
            <w:vAlign w:val="bottom"/>
            <w:vMerge w:val="restart"/>
          </w:tcPr>
          <w:p>
            <w:pPr>
              <w:jc w:val="right"/>
              <w:ind w:right="135"/>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5"/>
        </w:trPr>
        <w:tc>
          <w:tcPr>
            <w:tcW w:w="5020" w:type="dxa"/>
            <w:vAlign w:val="bottom"/>
          </w:tcPr>
          <w:p>
            <w:pPr>
              <w:spacing w:after="0"/>
              <w:rPr>
                <w:sz w:val="8"/>
                <w:szCs w:val="8"/>
                <w:color w:val="auto"/>
              </w:rPr>
            </w:pPr>
          </w:p>
        </w:tc>
        <w:tc>
          <w:tcPr>
            <w:tcW w:w="4740" w:type="dxa"/>
            <w:vAlign w:val="bottom"/>
            <w:vMerge w:val="continue"/>
          </w:tcPr>
          <w:p>
            <w:pPr>
              <w:spacing w:after="0"/>
              <w:rPr>
                <w:sz w:val="8"/>
                <w:szCs w:val="8"/>
                <w:color w:val="auto"/>
              </w:rPr>
            </w:pPr>
          </w:p>
        </w:tc>
        <w:tc>
          <w:tcPr>
            <w:tcW w:w="14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5020" w:type="dxa"/>
            <w:vAlign w:val="bottom"/>
          </w:tcPr>
          <w:p>
            <w:pPr>
              <w:ind w:left="120"/>
              <w:spacing w:after="0"/>
              <w:rPr>
                <w:sz w:val="20"/>
                <w:szCs w:val="20"/>
                <w:color w:val="auto"/>
              </w:rPr>
            </w:pPr>
            <w:r>
              <w:rPr>
                <w:rFonts w:ascii="Arial" w:cs="Arial" w:eastAsia="Arial" w:hAnsi="Arial"/>
                <w:sz w:val="18"/>
                <w:szCs w:val="18"/>
                <w:color w:val="auto"/>
              </w:rPr>
              <w:t>Tax Fees</w:t>
            </w:r>
          </w:p>
        </w:tc>
        <w:tc>
          <w:tcPr>
            <w:tcW w:w="4740" w:type="dxa"/>
            <w:vAlign w:val="bottom"/>
            <w:vMerge w:val="restart"/>
          </w:tcPr>
          <w:p>
            <w:pPr>
              <w:jc w:val="right"/>
              <w:ind w:right="335"/>
              <w:spacing w:after="0"/>
              <w:rPr>
                <w:sz w:val="20"/>
                <w:szCs w:val="20"/>
                <w:color w:val="auto"/>
              </w:rPr>
            </w:pPr>
            <w:r>
              <w:rPr>
                <w:rFonts w:ascii="Arial" w:cs="Arial" w:eastAsia="Arial" w:hAnsi="Arial"/>
                <w:sz w:val="18"/>
                <w:szCs w:val="18"/>
                <w:color w:val="auto"/>
              </w:rPr>
              <w:t>201,316</w:t>
            </w:r>
          </w:p>
        </w:tc>
        <w:tc>
          <w:tcPr>
            <w:tcW w:w="1460" w:type="dxa"/>
            <w:vAlign w:val="bottom"/>
            <w:vMerge w:val="restart"/>
          </w:tcPr>
          <w:p>
            <w:pPr>
              <w:jc w:val="right"/>
              <w:ind w:right="135"/>
              <w:spacing w:after="0"/>
              <w:rPr>
                <w:sz w:val="20"/>
                <w:szCs w:val="20"/>
                <w:color w:val="auto"/>
              </w:rPr>
            </w:pPr>
            <w:r>
              <w:rPr>
                <w:rFonts w:ascii="Arial" w:cs="Arial" w:eastAsia="Arial" w:hAnsi="Arial"/>
                <w:sz w:val="18"/>
                <w:szCs w:val="18"/>
                <w:color w:val="auto"/>
              </w:rPr>
              <w:t>82,680</w:t>
            </w:r>
          </w:p>
        </w:tc>
        <w:tc>
          <w:tcPr>
            <w:tcW w:w="0" w:type="dxa"/>
            <w:vAlign w:val="bottom"/>
          </w:tcPr>
          <w:p>
            <w:pPr>
              <w:spacing w:after="0"/>
              <w:rPr>
                <w:sz w:val="1"/>
                <w:szCs w:val="1"/>
                <w:color w:val="auto"/>
              </w:rPr>
            </w:pPr>
          </w:p>
        </w:tc>
      </w:tr>
      <w:tr>
        <w:trPr>
          <w:trHeight w:val="95"/>
        </w:trPr>
        <w:tc>
          <w:tcPr>
            <w:tcW w:w="5020" w:type="dxa"/>
            <w:vAlign w:val="bottom"/>
          </w:tcPr>
          <w:p>
            <w:pPr>
              <w:spacing w:after="0"/>
              <w:rPr>
                <w:sz w:val="8"/>
                <w:szCs w:val="8"/>
                <w:color w:val="auto"/>
              </w:rPr>
            </w:pPr>
          </w:p>
        </w:tc>
        <w:tc>
          <w:tcPr>
            <w:tcW w:w="4740" w:type="dxa"/>
            <w:vAlign w:val="bottom"/>
            <w:vMerge w:val="continue"/>
          </w:tcPr>
          <w:p>
            <w:pPr>
              <w:spacing w:after="0"/>
              <w:rPr>
                <w:sz w:val="8"/>
                <w:szCs w:val="8"/>
                <w:color w:val="auto"/>
              </w:rPr>
            </w:pPr>
          </w:p>
        </w:tc>
        <w:tc>
          <w:tcPr>
            <w:tcW w:w="14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7"/>
        </w:trPr>
        <w:tc>
          <w:tcPr>
            <w:tcW w:w="5020" w:type="dxa"/>
            <w:vAlign w:val="bottom"/>
          </w:tcPr>
          <w:p>
            <w:pPr>
              <w:ind w:left="100"/>
              <w:spacing w:after="0"/>
              <w:rPr>
                <w:sz w:val="20"/>
                <w:szCs w:val="20"/>
                <w:color w:val="auto"/>
              </w:rPr>
            </w:pPr>
            <w:r>
              <w:rPr>
                <w:rFonts w:ascii="Arial" w:cs="Arial" w:eastAsia="Arial" w:hAnsi="Arial"/>
                <w:sz w:val="18"/>
                <w:szCs w:val="18"/>
                <w:color w:val="auto"/>
              </w:rPr>
              <w:t>All Other Fees</w:t>
            </w:r>
          </w:p>
        </w:tc>
        <w:tc>
          <w:tcPr>
            <w:tcW w:w="4740" w:type="dxa"/>
            <w:vAlign w:val="bottom"/>
            <w:vMerge w:val="restart"/>
          </w:tcPr>
          <w:p>
            <w:pPr>
              <w:jc w:val="right"/>
              <w:ind w:right="335"/>
              <w:spacing w:after="0"/>
              <w:rPr>
                <w:sz w:val="20"/>
                <w:szCs w:val="20"/>
                <w:color w:val="auto"/>
              </w:rPr>
            </w:pPr>
            <w:r>
              <w:rPr>
                <w:rFonts w:ascii="Arial" w:cs="Arial" w:eastAsia="Arial" w:hAnsi="Arial"/>
                <w:sz w:val="18"/>
                <w:szCs w:val="18"/>
                <w:color w:val="auto"/>
              </w:rPr>
              <w:t>—</w:t>
            </w:r>
          </w:p>
        </w:tc>
        <w:tc>
          <w:tcPr>
            <w:tcW w:w="1460" w:type="dxa"/>
            <w:vAlign w:val="bottom"/>
            <w:vMerge w:val="restart"/>
          </w:tcPr>
          <w:p>
            <w:pPr>
              <w:jc w:val="right"/>
              <w:ind w:right="135"/>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94"/>
        </w:trPr>
        <w:tc>
          <w:tcPr>
            <w:tcW w:w="5020" w:type="dxa"/>
            <w:vAlign w:val="bottom"/>
            <w:tcBorders>
              <w:bottom w:val="single" w:sz="8" w:color="407CCA"/>
            </w:tcBorders>
          </w:tcPr>
          <w:p>
            <w:pPr>
              <w:spacing w:after="0"/>
              <w:rPr>
                <w:sz w:val="8"/>
                <w:szCs w:val="8"/>
                <w:color w:val="auto"/>
              </w:rPr>
            </w:pPr>
          </w:p>
        </w:tc>
        <w:tc>
          <w:tcPr>
            <w:tcW w:w="4740" w:type="dxa"/>
            <w:vAlign w:val="bottom"/>
            <w:tcBorders>
              <w:bottom w:val="single" w:sz="8" w:color="407CCA"/>
            </w:tcBorders>
            <w:vMerge w:val="continue"/>
          </w:tcPr>
          <w:p>
            <w:pPr>
              <w:spacing w:after="0"/>
              <w:rPr>
                <w:sz w:val="8"/>
                <w:szCs w:val="8"/>
                <w:color w:val="auto"/>
              </w:rPr>
            </w:pPr>
          </w:p>
        </w:tc>
        <w:tc>
          <w:tcPr>
            <w:tcW w:w="1460" w:type="dxa"/>
            <w:vAlign w:val="bottom"/>
            <w:tcBorders>
              <w:bottom w:val="single" w:sz="8" w:color="407CCA"/>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0"/>
        </w:trPr>
        <w:tc>
          <w:tcPr>
            <w:tcW w:w="5020" w:type="dxa"/>
            <w:vAlign w:val="bottom"/>
          </w:tcPr>
          <w:p>
            <w:pPr>
              <w:ind w:left="120"/>
              <w:spacing w:after="0"/>
              <w:rPr>
                <w:sz w:val="20"/>
                <w:szCs w:val="20"/>
                <w:color w:val="auto"/>
              </w:rPr>
            </w:pPr>
            <w:r>
              <w:rPr>
                <w:rFonts w:ascii="Arial" w:cs="Arial" w:eastAsia="Arial" w:hAnsi="Arial"/>
                <w:sz w:val="18"/>
                <w:szCs w:val="18"/>
                <w:color w:val="auto"/>
              </w:rPr>
              <w:t>Total Fees</w:t>
            </w:r>
          </w:p>
        </w:tc>
        <w:tc>
          <w:tcPr>
            <w:tcW w:w="4740" w:type="dxa"/>
            <w:vAlign w:val="bottom"/>
            <w:vMerge w:val="restart"/>
          </w:tcPr>
          <w:p>
            <w:pPr>
              <w:jc w:val="right"/>
              <w:ind w:right="335"/>
              <w:spacing w:after="0"/>
              <w:rPr>
                <w:sz w:val="20"/>
                <w:szCs w:val="20"/>
                <w:color w:val="auto"/>
              </w:rPr>
            </w:pPr>
            <w:r>
              <w:rPr>
                <w:rFonts w:ascii="Arial" w:cs="Arial" w:eastAsia="Arial" w:hAnsi="Arial"/>
                <w:sz w:val="18"/>
                <w:szCs w:val="18"/>
                <w:color w:val="auto"/>
              </w:rPr>
              <w:t>$2,076,816</w:t>
            </w:r>
          </w:p>
        </w:tc>
        <w:tc>
          <w:tcPr>
            <w:tcW w:w="1460" w:type="dxa"/>
            <w:vAlign w:val="bottom"/>
            <w:vMerge w:val="restart"/>
          </w:tcPr>
          <w:p>
            <w:pPr>
              <w:jc w:val="right"/>
              <w:ind w:right="135"/>
              <w:spacing w:after="0"/>
              <w:rPr>
                <w:sz w:val="20"/>
                <w:szCs w:val="20"/>
                <w:color w:val="auto"/>
              </w:rPr>
            </w:pPr>
            <w:r>
              <w:rPr>
                <w:rFonts w:ascii="Arial" w:cs="Arial" w:eastAsia="Arial" w:hAnsi="Arial"/>
                <w:sz w:val="18"/>
                <w:szCs w:val="18"/>
                <w:color w:val="auto"/>
              </w:rPr>
              <w:t>$1,838,680</w:t>
            </w:r>
          </w:p>
        </w:tc>
        <w:tc>
          <w:tcPr>
            <w:tcW w:w="0" w:type="dxa"/>
            <w:vAlign w:val="bottom"/>
          </w:tcPr>
          <w:p>
            <w:pPr>
              <w:spacing w:after="0"/>
              <w:rPr>
                <w:sz w:val="1"/>
                <w:szCs w:val="1"/>
                <w:color w:val="auto"/>
              </w:rPr>
            </w:pPr>
          </w:p>
        </w:tc>
      </w:tr>
      <w:tr>
        <w:trPr>
          <w:trHeight w:val="95"/>
        </w:trPr>
        <w:tc>
          <w:tcPr>
            <w:tcW w:w="5020" w:type="dxa"/>
            <w:vAlign w:val="bottom"/>
            <w:tcBorders>
              <w:bottom w:val="single" w:sz="8" w:color="407CCA"/>
            </w:tcBorders>
          </w:tcPr>
          <w:p>
            <w:pPr>
              <w:spacing w:after="0"/>
              <w:rPr>
                <w:sz w:val="8"/>
                <w:szCs w:val="8"/>
                <w:color w:val="auto"/>
              </w:rPr>
            </w:pPr>
          </w:p>
        </w:tc>
        <w:tc>
          <w:tcPr>
            <w:tcW w:w="4740" w:type="dxa"/>
            <w:vAlign w:val="bottom"/>
            <w:tcBorders>
              <w:bottom w:val="single" w:sz="8" w:color="407CCA"/>
            </w:tcBorders>
            <w:vMerge w:val="continue"/>
          </w:tcPr>
          <w:p>
            <w:pPr>
              <w:spacing w:after="0"/>
              <w:rPr>
                <w:sz w:val="8"/>
                <w:szCs w:val="8"/>
                <w:color w:val="auto"/>
              </w:rPr>
            </w:pPr>
          </w:p>
        </w:tc>
        <w:tc>
          <w:tcPr>
            <w:tcW w:w="1460" w:type="dxa"/>
            <w:vAlign w:val="bottom"/>
            <w:tcBorders>
              <w:bottom w:val="single" w:sz="8" w:color="407CCA"/>
            </w:tcBorders>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39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Audit Fees</w:t>
      </w:r>
    </w:p>
    <w:p>
      <w:pPr>
        <w:spacing w:after="0" w:line="77" w:lineRule="exact"/>
        <w:rPr>
          <w:sz w:val="20"/>
          <w:szCs w:val="20"/>
          <w:color w:val="auto"/>
        </w:rPr>
      </w:pPr>
    </w:p>
    <w:p>
      <w:pPr>
        <w:jc w:val="both"/>
        <w:ind w:right="240" w:firstLine="648"/>
        <w:spacing w:after="0" w:line="248" w:lineRule="auto"/>
        <w:rPr>
          <w:sz w:val="20"/>
          <w:szCs w:val="20"/>
          <w:color w:val="auto"/>
        </w:rPr>
      </w:pPr>
      <w:r>
        <w:rPr>
          <w:rFonts w:ascii="Arial" w:cs="Arial" w:eastAsia="Arial" w:hAnsi="Arial"/>
          <w:sz w:val="16"/>
          <w:szCs w:val="16"/>
          <w:color w:val="auto"/>
        </w:rPr>
        <w:t>“Audit Fees” relate to fees and expenses billed by EY for the annual audit, including the audit of our financial statements, services required by statute and regulation, audit of internal control over financial reporting, review of our quarterly financial statements, and for comfort letters and consents</w:t>
      </w:r>
    </w:p>
    <w:p>
      <w:pPr>
        <w:jc w:val="center"/>
        <w:ind w:right="9360"/>
        <w:spacing w:after="0"/>
        <w:rPr>
          <w:sz w:val="20"/>
          <w:szCs w:val="20"/>
          <w:color w:val="auto"/>
        </w:rPr>
      </w:pPr>
      <w:r>
        <w:rPr>
          <w:rFonts w:ascii="Arial" w:cs="Arial" w:eastAsia="Arial" w:hAnsi="Arial"/>
          <w:sz w:val="15"/>
          <w:szCs w:val="15"/>
          <w:color w:val="auto"/>
        </w:rPr>
        <w:t>related to stock issuances.</w:t>
      </w:r>
    </w:p>
    <w:p>
      <w:pPr>
        <w:spacing w:after="0" w:line="163" w:lineRule="exact"/>
        <w:rPr>
          <w:sz w:val="20"/>
          <w:szCs w:val="20"/>
          <w:color w:val="auto"/>
        </w:rPr>
      </w:pPr>
    </w:p>
    <w:p>
      <w:pPr>
        <w:ind w:left="640"/>
        <w:spacing w:after="0"/>
        <w:rPr>
          <w:sz w:val="20"/>
          <w:szCs w:val="20"/>
          <w:color w:val="auto"/>
        </w:rPr>
      </w:pPr>
      <w:r>
        <w:rPr>
          <w:rFonts w:ascii="Arial" w:cs="Arial" w:eastAsia="Arial" w:hAnsi="Arial"/>
          <w:sz w:val="18"/>
          <w:szCs w:val="18"/>
          <w:i w:val="1"/>
          <w:iCs w:val="1"/>
          <w:color w:val="407CCA"/>
        </w:rPr>
        <w:t>Tax Fees</w:t>
      </w:r>
    </w:p>
    <w:p>
      <w:pPr>
        <w:spacing w:after="0" w:line="9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“Tax Fees” relate to fees billed for professional services for tax compliance and consulting on tax-related matters.</w:t>
      </w:r>
    </w:p>
    <w:p>
      <w:pPr>
        <w:spacing w:after="0" w:line="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Pre-Approval Policy</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All services rendered by EY were permissible under applicable laws and regulations and were pre-approved by the Audit Committee for 2022 in</w:t>
      </w:r>
    </w:p>
    <w:p>
      <w:pPr>
        <w:spacing w:after="0" w:line="21" w:lineRule="exact"/>
        <w:rPr>
          <w:sz w:val="20"/>
          <w:szCs w:val="20"/>
          <w:color w:val="auto"/>
        </w:rPr>
      </w:pPr>
    </w:p>
    <w:p>
      <w:pPr>
        <w:ind w:right="100"/>
        <w:spacing w:after="0" w:line="234" w:lineRule="auto"/>
        <w:rPr>
          <w:sz w:val="20"/>
          <w:szCs w:val="20"/>
          <w:color w:val="auto"/>
        </w:rPr>
      </w:pPr>
      <w:r>
        <w:rPr>
          <w:rFonts w:ascii="Arial" w:cs="Arial" w:eastAsia="Arial" w:hAnsi="Arial"/>
          <w:sz w:val="16"/>
          <w:szCs w:val="16"/>
          <w:color w:val="auto"/>
        </w:rPr>
        <w:t>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w:t>
      </w:r>
    </w:p>
    <w:p>
      <w:pPr>
        <w:spacing w:after="0" w:line="2"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w:t>
      </w:r>
    </w:p>
    <w:p>
      <w:pPr>
        <w:spacing w:after="0" w:line="2" w:lineRule="exact"/>
        <w:rPr>
          <w:sz w:val="20"/>
          <w:szCs w:val="20"/>
          <w:color w:val="auto"/>
        </w:rPr>
      </w:pPr>
    </w:p>
    <w:p>
      <w:pPr>
        <w:ind w:right="160"/>
        <w:spacing w:after="0" w:line="226" w:lineRule="auto"/>
        <w:rPr>
          <w:sz w:val="20"/>
          <w:szCs w:val="20"/>
          <w:color w:val="auto"/>
        </w:rPr>
      </w:pPr>
      <w:r>
        <w:rPr>
          <w:rFonts w:ascii="Arial" w:cs="Arial" w:eastAsia="Arial" w:hAnsi="Arial"/>
          <w:sz w:val="18"/>
          <w:szCs w:val="18"/>
          <w:color w:val="auto"/>
        </w:rPr>
        <w:t xml:space="preserve">non-audit services. In addition, pursuant to the policy, pre-approval is not required for additional non-audit services if such services result in a </w:t>
      </w:r>
      <w:r>
        <w:rPr>
          <w:rFonts w:ascii="Arial" w:cs="Arial" w:eastAsia="Arial" w:hAnsi="Arial"/>
          <w:sz w:val="18"/>
          <w:szCs w:val="18"/>
          <w:i w:val="1"/>
          <w:iCs w:val="1"/>
          <w:color w:val="auto"/>
        </w:rPr>
        <w:t>de minimus</w:t>
      </w:r>
      <w:r>
        <w:rPr>
          <w:rFonts w:ascii="Arial" w:cs="Arial" w:eastAsia="Arial" w:hAnsi="Arial"/>
          <w:sz w:val="18"/>
          <w:szCs w:val="18"/>
          <w:color w:val="auto"/>
        </w:rPr>
        <w:t xml:space="preserve"> amount of less than 5% of the total annual fees paid by us to the independent public accountant during</w:t>
      </w:r>
    </w:p>
    <w:p>
      <w:pPr>
        <w:spacing w:after="0" w:line="332"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28" w:name="page29"/>
    <w:bookmarkEnd w:id="2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5240"/>
        <w:spacing w:after="0"/>
        <w:rPr>
          <w:sz w:val="20"/>
          <w:szCs w:val="20"/>
          <w:color w:val="auto"/>
        </w:rPr>
      </w:pPr>
      <w:r>
        <w:rPr>
          <w:rFonts w:ascii="Arial" w:cs="Arial" w:eastAsia="Arial" w:hAnsi="Arial"/>
          <w:sz w:val="13"/>
          <w:szCs w:val="13"/>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36830</wp:posOffset>
            </wp:positionV>
            <wp:extent cx="7132320" cy="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75"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the fiscal year in which the non-audit services are provided, were not recognized by us at the time of engagement to be non-audit services, and are reported to the Audit Committee promptly thereafter and approved prior to the completion of the annual audit.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94" w:lineRule="exact"/>
        <w:rPr>
          <w:sz w:val="20"/>
          <w:szCs w:val="20"/>
          <w:color w:val="auto"/>
        </w:rPr>
      </w:pPr>
    </w:p>
    <w:p>
      <w:pPr>
        <w:ind w:firstLine="648"/>
        <w:spacing w:after="0" w:line="259" w:lineRule="auto"/>
        <w:rPr>
          <w:sz w:val="20"/>
          <w:szCs w:val="20"/>
          <w:color w:val="auto"/>
        </w:rPr>
      </w:pPr>
      <w:r>
        <w:rPr>
          <w:rFonts w:ascii="Arial" w:cs="Arial" w:eastAsia="Arial" w:hAnsi="Arial"/>
          <w:sz w:val="16"/>
          <w:szCs w:val="16"/>
          <w:color w:val="auto"/>
        </w:rPr>
        <w:t xml:space="preserve">The affirmative vote of the holders of a majority of all shares of our common stock cast on the proposal is required to ratify the appointment of our independent public accountant. Abstentions will have no effect on the outcome of the proposal.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RATIFICATION OF THE APPOINTMENT OF ERNST &amp; YOUNG LLP AS OUR INDEPENDENT PUBLIC ACCOUNTANT FOR 2023.</w:t>
      </w:r>
    </w:p>
    <w:p>
      <w:pPr>
        <w:spacing w:after="0" w:line="200" w:lineRule="exact"/>
        <w:rPr>
          <w:sz w:val="20"/>
          <w:szCs w:val="20"/>
          <w:color w:val="auto"/>
        </w:rPr>
      </w:pPr>
    </w:p>
    <w:p>
      <w:pPr>
        <w:spacing w:after="0" w:line="347"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29" w:name="page30"/>
    <w:bookmarkEnd w:id="29"/>
    <w:p>
      <w:pPr>
        <w:ind w:left="20"/>
        <w:spacing w:after="0"/>
        <w:rPr>
          <w:sz w:val="20"/>
          <w:szCs w:val="20"/>
          <w:color w:val="auto"/>
        </w:rPr>
      </w:pPr>
      <w:r>
        <w:rPr>
          <w:rFonts w:ascii="Arial" w:cs="Arial" w:eastAsia="Arial" w:hAnsi="Arial"/>
          <w:sz w:val="13"/>
          <w:szCs w:val="13"/>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36830</wp:posOffset>
            </wp:positionV>
            <wp:extent cx="7132320"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647" w:right="359" w:bottom="1440" w:gutter="0" w:footer="0" w:header="0"/>
        </w:sectPr>
      </w:pP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407CCA"/>
        </w:rPr>
        <w:t>REPORT OF THE AUDIT COMMITTEE</w:t>
      </w:r>
    </w:p>
    <w:p>
      <w:pPr>
        <w:spacing w:after="0" w:line="177" w:lineRule="exact"/>
        <w:rPr>
          <w:sz w:val="20"/>
          <w:szCs w:val="20"/>
          <w:color w:val="auto"/>
        </w:rPr>
      </w:pPr>
    </w:p>
    <w:p>
      <w:pPr>
        <w:jc w:val="center"/>
        <w:ind w:right="300"/>
        <w:spacing w:after="0"/>
        <w:rPr>
          <w:sz w:val="20"/>
          <w:szCs w:val="20"/>
          <w:color w:val="auto"/>
        </w:rPr>
      </w:pPr>
      <w:r>
        <w:rPr>
          <w:rFonts w:ascii="Arial" w:cs="Arial" w:eastAsia="Arial" w:hAnsi="Arial"/>
          <w:sz w:val="18"/>
          <w:szCs w:val="18"/>
          <w:color w:val="auto"/>
        </w:rPr>
        <w:t>The Board of Directors has appointed an Audit Committee presently composed of four directors, Mss. Blank, Larocca, and Spark and</w:t>
      </w:r>
    </w:p>
    <w:p>
      <w:pPr>
        <w:ind w:right="320"/>
        <w:spacing w:after="0" w:line="226" w:lineRule="auto"/>
        <w:rPr>
          <w:sz w:val="20"/>
          <w:szCs w:val="20"/>
          <w:color w:val="auto"/>
        </w:rPr>
      </w:pPr>
      <w:r>
        <w:rPr>
          <w:rFonts w:ascii="Arial" w:cs="Arial" w:eastAsia="Arial" w:hAnsi="Arial"/>
          <w:sz w:val="18"/>
          <w:szCs w:val="18"/>
          <w:color w:val="auto"/>
        </w:rPr>
        <w:t>Mr. Johnson. Each of the directors is independent as defined in the Nasdaq rules. The Board of Directors has determined that Mss. Blank and Spark are each an “audit committee financial expert” (as defined in Item 407 of Regulation S-K under the Securities Act).</w:t>
      </w:r>
    </w:p>
    <w:p>
      <w:pPr>
        <w:spacing w:after="0" w:line="175" w:lineRule="exact"/>
        <w:rPr>
          <w:sz w:val="20"/>
          <w:szCs w:val="20"/>
          <w:color w:val="auto"/>
        </w:rPr>
      </w:pPr>
    </w:p>
    <w:p>
      <w:pPr>
        <w:ind w:right="60" w:firstLine="648"/>
        <w:spacing w:after="0" w:line="241" w:lineRule="auto"/>
        <w:rPr>
          <w:sz w:val="20"/>
          <w:szCs w:val="20"/>
          <w:color w:val="auto"/>
        </w:rPr>
      </w:pPr>
      <w:r>
        <w:rPr>
          <w:rFonts w:ascii="Arial" w:cs="Arial" w:eastAsia="Arial" w:hAnsi="Arial"/>
          <w:sz w:val="16"/>
          <w:szCs w:val="16"/>
          <w:color w:val="auto"/>
        </w:rPr>
        <w:t>The Audit Committee’s responsibility is one of oversight as set forth in its charter, which is available in the Investors section of our website at ir.agnc.com/corporate-governance-documents. It is not the duty of the Audit Committee to prepare our financial statements, to plan or conduct audits, or to determine that our financial statements are complete and accurate and are in accordance with U.S. generally accepted accounting principles. Our</w:t>
      </w:r>
    </w:p>
    <w:p>
      <w:pPr>
        <w:spacing w:after="0" w:line="2" w:lineRule="exact"/>
        <w:rPr>
          <w:sz w:val="20"/>
          <w:szCs w:val="20"/>
          <w:color w:val="auto"/>
        </w:rPr>
      </w:pPr>
    </w:p>
    <w:p>
      <w:pPr>
        <w:ind w:right="60"/>
        <w:spacing w:after="0" w:line="218" w:lineRule="auto"/>
        <w:rPr>
          <w:sz w:val="20"/>
          <w:szCs w:val="20"/>
          <w:color w:val="auto"/>
        </w:rPr>
      </w:pPr>
      <w:r>
        <w:rPr>
          <w:rFonts w:ascii="Arial" w:cs="Arial" w:eastAsia="Arial" w:hAnsi="Arial"/>
          <w:sz w:val="18"/>
          <w:szCs w:val="18"/>
          <w:color w:val="auto"/>
        </w:rPr>
        <w:t>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76" w:lineRule="exact"/>
        <w:rPr>
          <w:sz w:val="20"/>
          <w:szCs w:val="20"/>
          <w:color w:val="auto"/>
        </w:rPr>
      </w:pPr>
    </w:p>
    <w:p>
      <w:pPr>
        <w:ind w:right="140" w:firstLine="648"/>
        <w:spacing w:after="0" w:line="235"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2022.</w:t>
      </w:r>
    </w:p>
    <w:p>
      <w:pPr>
        <w:spacing w:after="0" w:line="162" w:lineRule="exact"/>
        <w:rPr>
          <w:sz w:val="20"/>
          <w:szCs w:val="20"/>
          <w:color w:val="auto"/>
        </w:rPr>
      </w:pPr>
    </w:p>
    <w:p>
      <w:pPr>
        <w:ind w:right="260" w:firstLine="648"/>
        <w:spacing w:after="0" w:line="246"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the applicable requirements of the Public Company Accounting Oversight Board and the Securities and Exchange Commission.</w:t>
      </w:r>
    </w:p>
    <w:p>
      <w:pPr>
        <w:spacing w:after="0" w:line="156" w:lineRule="exact"/>
        <w:rPr>
          <w:sz w:val="20"/>
          <w:szCs w:val="20"/>
          <w:color w:val="auto"/>
        </w:rPr>
      </w:pPr>
    </w:p>
    <w:p>
      <w:pPr>
        <w:ind w:right="80" w:firstLine="648"/>
        <w:spacing w:after="0" w:line="248" w:lineRule="auto"/>
        <w:rPr>
          <w:sz w:val="20"/>
          <w:szCs w:val="20"/>
          <w:color w:val="auto"/>
        </w:rPr>
      </w:pPr>
      <w:r>
        <w:rPr>
          <w:rFonts w:ascii="Arial" w:cs="Arial" w:eastAsia="Arial" w:hAnsi="Arial"/>
          <w:sz w:val="16"/>
          <w:szCs w:val="16"/>
          <w:color w:val="auto"/>
        </w:rPr>
        <w:t>The Audit Committee has received from Ernst &amp; Young LLP the written statements required by Public Company Accounting Oversight Board Rule No. 3526, “</w:t>
      </w:r>
      <w:r>
        <w:rPr>
          <w:rFonts w:ascii="Arial" w:cs="Arial" w:eastAsia="Arial" w:hAnsi="Arial"/>
          <w:sz w:val="16"/>
          <w:szCs w:val="16"/>
          <w:i w:val="1"/>
          <w:iCs w:val="1"/>
          <w:color w:val="auto"/>
        </w:rPr>
        <w:t>Communications with Audit Committees Concerning Independence</w:t>
      </w:r>
      <w:r>
        <w:rPr>
          <w:rFonts w:ascii="Arial" w:cs="Arial" w:eastAsia="Arial" w:hAnsi="Arial"/>
          <w:sz w:val="16"/>
          <w:szCs w:val="16"/>
          <w:color w:val="auto"/>
        </w:rPr>
        <w:t>,” and has discussed Ernst &amp; Young LLP’s independence with Ernst &amp;</w:t>
      </w:r>
    </w:p>
    <w:p>
      <w:pPr>
        <w:spacing w:after="0"/>
        <w:rPr>
          <w:sz w:val="20"/>
          <w:szCs w:val="20"/>
          <w:color w:val="auto"/>
        </w:rPr>
      </w:pPr>
      <w:r>
        <w:rPr>
          <w:rFonts w:ascii="Arial" w:cs="Arial" w:eastAsia="Arial" w:hAnsi="Arial"/>
          <w:sz w:val="18"/>
          <w:szCs w:val="18"/>
          <w:color w:val="auto"/>
        </w:rPr>
        <w:t>Young LLP, and has considered the compatibility of non-audit services with the auditor’s independence.</w:t>
      </w:r>
    </w:p>
    <w:p>
      <w:pPr>
        <w:spacing w:after="0" w:line="169"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Based on the review and discussions referred to above, the Audit Committee recommended to the Board of Directors that the audited consolidated financial statements for the year ended December 31, 2022 be included in our annual report on Form 10-K for the year ended December 31, 2022, for filing</w:t>
      </w:r>
    </w:p>
    <w:p>
      <w:pPr>
        <w:spacing w:after="0"/>
        <w:rPr>
          <w:sz w:val="20"/>
          <w:szCs w:val="20"/>
          <w:color w:val="auto"/>
        </w:rPr>
      </w:pPr>
      <w:r>
        <w:rPr>
          <w:rFonts w:ascii="Arial" w:cs="Arial" w:eastAsia="Arial" w:hAnsi="Arial"/>
          <w:sz w:val="18"/>
          <w:szCs w:val="18"/>
          <w:color w:val="auto"/>
        </w:rPr>
        <w:t>with the Securities and Exchange Commission.</w:t>
      </w:r>
    </w:p>
    <w:p>
      <w:pPr>
        <w:spacing w:after="0" w:line="169" w:lineRule="exact"/>
        <w:rPr>
          <w:sz w:val="20"/>
          <w:szCs w:val="20"/>
          <w:color w:val="auto"/>
        </w:rPr>
      </w:pPr>
    </w:p>
    <w:p>
      <w:pPr>
        <w:ind w:right="280" w:firstLine="648"/>
        <w:spacing w:after="0" w:line="258" w:lineRule="auto"/>
        <w:rPr>
          <w:sz w:val="20"/>
          <w:szCs w:val="20"/>
          <w:color w:val="auto"/>
        </w:rPr>
      </w:pPr>
      <w:r>
        <w:rPr>
          <w:rFonts w:ascii="Arial" w:cs="Arial" w:eastAsia="Arial" w:hAnsi="Arial"/>
          <w:sz w:val="17"/>
          <w:szCs w:val="17"/>
          <w:color w:val="auto"/>
        </w:rPr>
        <w:t>The Audit Committee has approved the appointment of Ernst &amp; Young LLP to serve as our independent public accountants for the year ending December 31, 2023 and has directed that the appointment of Ernst &amp; Young LLP be submitted to our stockholders for ratification.</w:t>
      </w:r>
    </w:p>
    <w:p>
      <w:pPr>
        <w:spacing w:after="0" w:line="145" w:lineRule="exact"/>
        <w:rPr>
          <w:sz w:val="20"/>
          <w:szCs w:val="20"/>
          <w:color w:val="auto"/>
        </w:rPr>
      </w:pPr>
    </w:p>
    <w:p>
      <w:pPr>
        <w:ind w:left="6480"/>
        <w:spacing w:after="0"/>
        <w:rPr>
          <w:sz w:val="20"/>
          <w:szCs w:val="20"/>
          <w:color w:val="auto"/>
        </w:rPr>
      </w:pPr>
      <w:r>
        <w:rPr>
          <w:rFonts w:ascii="Arial" w:cs="Arial" w:eastAsia="Arial" w:hAnsi="Arial"/>
          <w:sz w:val="18"/>
          <w:szCs w:val="18"/>
          <w:i w:val="1"/>
          <w:iCs w:val="1"/>
          <w:color w:val="auto"/>
        </w:rPr>
        <w:t>By the Audit Committee:</w:t>
      </w:r>
    </w:p>
    <w:p>
      <w:pPr>
        <w:ind w:left="6480"/>
        <w:spacing w:after="0" w:line="203" w:lineRule="auto"/>
        <w:rPr>
          <w:sz w:val="20"/>
          <w:szCs w:val="20"/>
          <w:color w:val="auto"/>
        </w:rPr>
      </w:pPr>
      <w:r>
        <w:rPr>
          <w:rFonts w:ascii="Arial" w:cs="Arial" w:eastAsia="Arial" w:hAnsi="Arial"/>
          <w:sz w:val="18"/>
          <w:szCs w:val="18"/>
          <w:color w:val="auto"/>
        </w:rPr>
        <w:t>Donna J. Blank, Chair</w:t>
      </w:r>
    </w:p>
    <w:p>
      <w:pPr>
        <w:ind w:left="6480"/>
        <w:spacing w:after="0" w:line="219" w:lineRule="auto"/>
        <w:rPr>
          <w:sz w:val="20"/>
          <w:szCs w:val="20"/>
          <w:color w:val="auto"/>
        </w:rPr>
      </w:pPr>
      <w:r>
        <w:rPr>
          <w:rFonts w:ascii="Arial" w:cs="Arial" w:eastAsia="Arial" w:hAnsi="Arial"/>
          <w:sz w:val="18"/>
          <w:szCs w:val="18"/>
          <w:color w:val="auto"/>
        </w:rPr>
        <w:t>Andrew A. Johnson, Jr.</w:t>
      </w:r>
    </w:p>
    <w:p>
      <w:pPr>
        <w:ind w:left="6480"/>
        <w:spacing w:after="0" w:line="204" w:lineRule="auto"/>
        <w:rPr>
          <w:sz w:val="20"/>
          <w:szCs w:val="20"/>
          <w:color w:val="auto"/>
        </w:rPr>
      </w:pPr>
      <w:r>
        <w:rPr>
          <w:rFonts w:ascii="Arial" w:cs="Arial" w:eastAsia="Arial" w:hAnsi="Arial"/>
          <w:sz w:val="18"/>
          <w:szCs w:val="18"/>
          <w:color w:val="auto"/>
        </w:rPr>
        <w:t>Prue B. Larocca</w:t>
      </w:r>
    </w:p>
    <w:p>
      <w:pPr>
        <w:ind w:left="6480"/>
        <w:spacing w:after="0"/>
        <w:rPr>
          <w:sz w:val="20"/>
          <w:szCs w:val="20"/>
          <w:color w:val="auto"/>
        </w:rPr>
      </w:pPr>
      <w:r>
        <w:rPr>
          <w:rFonts w:ascii="Arial" w:cs="Arial" w:eastAsia="Arial" w:hAnsi="Arial"/>
          <w:sz w:val="18"/>
          <w:szCs w:val="18"/>
          <w:color w:val="auto"/>
        </w:rPr>
        <w:t>Frances R. Spark</w:t>
      </w:r>
    </w:p>
    <w:p>
      <w:pPr>
        <w:spacing w:after="0" w:line="340"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647" w:right="359" w:bottom="1440" w:gutter="0" w:footer="0" w:header="0"/>
          <w:type w:val="continuous"/>
        </w:sectPr>
      </w:pPr>
    </w:p>
    <w:bookmarkStart w:id="30" w:name="page31"/>
    <w:bookmarkEnd w:id="3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76" w:lineRule="exact"/>
        <w:rPr>
          <w:sz w:val="20"/>
          <w:szCs w:val="20"/>
          <w:color w:val="auto"/>
        </w:rPr>
      </w:pPr>
    </w:p>
    <w:p>
      <w:pPr>
        <w:jc w:val="right"/>
        <w:ind w:left="760"/>
        <w:spacing w:after="0" w:line="253" w:lineRule="auto"/>
        <w:rPr>
          <w:sz w:val="20"/>
          <w:szCs w:val="20"/>
          <w:color w:val="auto"/>
        </w:rPr>
      </w:pPr>
      <w:r>
        <w:rPr>
          <w:rFonts w:ascii="Arial" w:cs="Arial" w:eastAsia="Arial" w:hAnsi="Arial"/>
          <w:sz w:val="14"/>
          <w:szCs w:val="14"/>
          <w:color w:val="407CCA"/>
        </w:rPr>
        <w:t>PROPOSAL 5: APPROVAL OF AMENDMENTS TO OUR AMENDED AND RESTATED CERTIFICATE OF INCORPORATION ELIMINATING SUPERMAJORITY VOTING REQUIREMENTS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wp:posOffset>
            </wp:positionV>
            <wp:extent cx="7132320"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PROPOSAL 5:</w:t>
      </w:r>
    </w:p>
    <w:p>
      <w:pPr>
        <w:jc w:val="center"/>
        <w:ind w:left="360" w:right="220"/>
        <w:spacing w:after="0" w:line="224" w:lineRule="auto"/>
        <w:rPr>
          <w:sz w:val="20"/>
          <w:szCs w:val="20"/>
          <w:color w:val="auto"/>
        </w:rPr>
      </w:pPr>
      <w:r>
        <w:rPr>
          <w:rFonts w:ascii="Arial" w:cs="Arial" w:eastAsia="Arial" w:hAnsi="Arial"/>
          <w:sz w:val="22"/>
          <w:szCs w:val="22"/>
          <w:b w:val="1"/>
          <w:bCs w:val="1"/>
          <w:color w:val="407CCA"/>
        </w:rPr>
        <w:t>APPROVAL OF AMENDMENTS TO OUR AMENDED AND RESTATED CERTIFICATE OF INCORPORATION ELIMINATING SUPERMAJORITY VOTING REQUIREMENTS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Information</w:t>
      </w:r>
    </w:p>
    <w:p>
      <w:pPr>
        <w:spacing w:after="0" w:line="81" w:lineRule="exact"/>
        <w:rPr>
          <w:sz w:val="20"/>
          <w:szCs w:val="20"/>
          <w:color w:val="auto"/>
        </w:rPr>
      </w:pPr>
    </w:p>
    <w:p>
      <w:pPr>
        <w:ind w:right="20" w:firstLine="648"/>
        <w:spacing w:after="0" w:line="251" w:lineRule="auto"/>
        <w:rPr>
          <w:sz w:val="20"/>
          <w:szCs w:val="20"/>
          <w:color w:val="auto"/>
        </w:rPr>
      </w:pPr>
      <w:r>
        <w:rPr>
          <w:rFonts w:ascii="Arial" w:cs="Arial" w:eastAsia="Arial" w:hAnsi="Arial"/>
          <w:sz w:val="17"/>
          <w:szCs w:val="17"/>
          <w:color w:val="auto"/>
        </w:rPr>
        <w:t>As part of our ongoing review and evaluation of our corporate governance practices, in 2022 the Board considered the advantages and disadvantages of the supermajority voting provisions in our Certificate of Incorporation. At that time, the Board considered that supermajority voting provisions can facilitate corporate governance stability by requiring broad stockholder support in order to effect fundamental changes. However, many investors and others believe that supermajority voting provisions conflict with principles of good corporate governance because the provisions may limit a board’s responsiveness and accountability to stockholders and restrict stockholder participation in corporate governance matters. After considering the advantages and disadvantages of the supermajority voting provisions and evaluating stockholder positions on the issue, the Board recommended that stockholders adopt certain amendments to our Certificate of Incorporation to replace the supermajority voting requirements with a majority voting standard at our 2022 Annual Meeting. While the proposal received overwhelming support from stockholders casting a ballot at the 2022 Annual Meeting, the necessary vote to approve the amendments was not reached, and the proposals were not approved.</w:t>
      </w:r>
    </w:p>
    <w:p>
      <w:pPr>
        <w:spacing w:after="0" w:line="77" w:lineRule="exact"/>
        <w:rPr>
          <w:sz w:val="20"/>
          <w:szCs w:val="20"/>
          <w:color w:val="auto"/>
        </w:rPr>
      </w:pPr>
    </w:p>
    <w:p>
      <w:pPr>
        <w:ind w:right="80" w:firstLine="648"/>
        <w:spacing w:after="0" w:line="259" w:lineRule="auto"/>
        <w:rPr>
          <w:sz w:val="20"/>
          <w:szCs w:val="20"/>
          <w:color w:val="auto"/>
        </w:rPr>
      </w:pPr>
      <w:r>
        <w:rPr>
          <w:rFonts w:ascii="Arial" w:cs="Arial" w:eastAsia="Arial" w:hAnsi="Arial"/>
          <w:sz w:val="17"/>
          <w:szCs w:val="17"/>
          <w:color w:val="auto"/>
        </w:rPr>
        <w:t>At a meeting held on January 26, 2023, our Board again considered the Company’s corporate governance practices and the interests of stockholders in relation to the supermajority voting provisions included in our Certificate of Incorporation. The Board also reviewed the vote results from the 2022 Annual Meeting, and following this review, the Board is again recommending that stockholders at our 2023 Annual Meeting adopt certain amendments to our Certificate of Incorporation to replace the supermajority voting requirements with a majority voting standard. The Company will again engage D.F. King to assist in the solicitation of proxies in an effort to reach the required vote for approval of this Proposal 5.</w:t>
      </w:r>
    </w:p>
    <w:p>
      <w:pPr>
        <w:spacing w:after="0" w:line="201" w:lineRule="exact"/>
        <w:rPr>
          <w:sz w:val="20"/>
          <w:szCs w:val="20"/>
          <w:color w:val="auto"/>
        </w:rPr>
      </w:pPr>
    </w:p>
    <w:p>
      <w:pPr>
        <w:ind w:right="140" w:firstLine="648"/>
        <w:spacing w:after="0"/>
        <w:rPr>
          <w:sz w:val="20"/>
          <w:szCs w:val="20"/>
          <w:color w:val="auto"/>
        </w:rPr>
      </w:pPr>
      <w:r>
        <w:rPr>
          <w:rFonts w:ascii="Arial" w:cs="Arial" w:eastAsia="Arial" w:hAnsi="Arial"/>
          <w:sz w:val="18"/>
          <w:szCs w:val="18"/>
          <w:color w:val="auto"/>
        </w:rPr>
        <w:t>Our Certificate of Incorporation currently includes supermajority voting requirements for amendments to certain provisions of our Certificate of Incorporation, amendments to our Bylaws, and removal of directors with or without cause. The Board is again this year submitting the proposed amendments as three proposals for approval at the Annual Meeting, as described below. Stockholders will vote on Proposals 5A, 5B, and 5C separately, and the approval of each proposal is not conditioned on the approval of the other proposals. The proposed amendments to our Certificate of Incorporation would become effective upon the filing of a Certificate of Amendment with the Secretary of State of Delaware, which we would file promptly following the Annual Meeting if our stockholders approve the amendments.</w:t>
      </w:r>
    </w:p>
    <w:p>
      <w:pPr>
        <w:spacing w:after="0" w:line="17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Proposal 5A: Amendment to Eliminate the Supermajority Voting Standard for Certain Amendments to our Certificate of Incorporation</w:t>
      </w:r>
    </w:p>
    <w:p>
      <w:pPr>
        <w:spacing w:after="0" w:line="214" w:lineRule="exact"/>
        <w:rPr>
          <w:sz w:val="20"/>
          <w:szCs w:val="20"/>
          <w:color w:val="auto"/>
        </w:rPr>
      </w:pPr>
    </w:p>
    <w:p>
      <w:pPr>
        <w:ind w:right="60" w:firstLine="648"/>
        <w:spacing w:after="0" w:line="270" w:lineRule="auto"/>
        <w:rPr>
          <w:sz w:val="20"/>
          <w:szCs w:val="20"/>
          <w:color w:val="auto"/>
        </w:rPr>
      </w:pPr>
      <w:r>
        <w:rPr>
          <w:rFonts w:ascii="Arial" w:cs="Arial" w:eastAsia="Arial" w:hAnsi="Arial"/>
          <w:sz w:val="16"/>
          <w:szCs w:val="16"/>
          <w:color w:val="auto"/>
        </w:rPr>
        <w:t>Article XII of our Certificate of Incorporation currently provides that the affirmative vote of the holders of at least 66% of the shares of all classes of capital stock then entitled to vote shall be required to amend, repeal, or adopt any provision inconsistent with Article V of the Certificate of Incorporation. Article V relates to the Company’s Board of Directors and includes provisions regarding the number, election, term, removal, and vacancies of directors and general powers of the Board. Proposal 5A requests that stockholders approve an amendment to delete the final sentence of Article XII requiring a supermajority vote. As a result of this amendment, the voting standard for amending any provision inconsistent with Article V would be the same standard as for amendments to other provisions of our Certificate of Incorporation and would require the affirmative vote of the holders of a majority of all the shares of the Company’s capital stock then entitled to vote generally in the election of directors. This majority vote requirement reflects the default voting standard under the Delaware General Corporation Law (the “DGCL”) for certificate of incorporation amendments.</w:t>
      </w:r>
    </w:p>
    <w:p>
      <w:pPr>
        <w:spacing w:after="0" w:line="167" w:lineRule="exact"/>
        <w:rPr>
          <w:sz w:val="20"/>
          <w:szCs w:val="20"/>
          <w:color w:val="auto"/>
        </w:rPr>
      </w:pPr>
    </w:p>
    <w:p>
      <w:pPr>
        <w:ind w:right="380" w:firstLine="648"/>
        <w:spacing w:after="0" w:line="261" w:lineRule="auto"/>
        <w:rPr>
          <w:sz w:val="20"/>
          <w:szCs w:val="20"/>
          <w:color w:val="auto"/>
        </w:rPr>
      </w:pPr>
      <w:r>
        <w:rPr>
          <w:rFonts w:ascii="Arial" w:cs="Arial" w:eastAsia="Arial" w:hAnsi="Arial"/>
          <w:sz w:val="18"/>
          <w:szCs w:val="18"/>
          <w:color w:val="auto"/>
        </w:rPr>
        <w:t>The proposed amendment to Article XII also conforms certain language describing the voting standard in that Article to Section 5.5 to ensure identical language is used to describe the same voting standard throughout our Certificate of Incorporation.</w:t>
      </w:r>
    </w:p>
    <w:p>
      <w:pPr>
        <w:spacing w:after="0" w:line="167" w:lineRule="exact"/>
        <w:rPr>
          <w:sz w:val="20"/>
          <w:szCs w:val="20"/>
          <w:color w:val="auto"/>
        </w:rPr>
      </w:pPr>
    </w:p>
    <w:p>
      <w:pPr>
        <w:ind w:right="60" w:firstLine="648"/>
        <w:spacing w:after="0" w:line="272" w:lineRule="auto"/>
        <w:rPr>
          <w:sz w:val="20"/>
          <w:szCs w:val="20"/>
          <w:color w:val="auto"/>
        </w:rPr>
      </w:pPr>
      <w:r>
        <w:rPr>
          <w:rFonts w:ascii="Arial" w:cs="Arial" w:eastAsia="Arial" w:hAnsi="Arial"/>
          <w:sz w:val="17"/>
          <w:szCs w:val="17"/>
          <w:color w:val="auto"/>
        </w:rPr>
        <w:t xml:space="preserve">The full text of the proposed amendment, marked to show the proposed deletion and insertion, is set forth in </w:t>
      </w:r>
      <w:r>
        <w:rPr>
          <w:rFonts w:ascii="Arial" w:cs="Arial" w:eastAsia="Arial" w:hAnsi="Arial"/>
          <w:sz w:val="17"/>
          <w:szCs w:val="17"/>
          <w:b w:val="1"/>
          <w:bCs w:val="1"/>
          <w:u w:val="single" w:color="auto"/>
          <w:color w:val="auto"/>
        </w:rPr>
        <w:t>Appendix A</w:t>
      </w:r>
      <w:r>
        <w:rPr>
          <w:rFonts w:ascii="Arial" w:cs="Arial" w:eastAsia="Arial" w:hAnsi="Arial"/>
          <w:sz w:val="17"/>
          <w:szCs w:val="17"/>
          <w:color w:val="auto"/>
        </w:rPr>
        <w:t xml:space="preserve"> of this proxy statement. The general description above of the amended provision on certain amendments to the Certificate of Incorporation is a summary and should be read in conjunction with, and is qualified in its entirety by reference to, the full text of the proposed amendment attached as </w:t>
      </w:r>
      <w:r>
        <w:rPr>
          <w:rFonts w:ascii="Arial" w:cs="Arial" w:eastAsia="Arial" w:hAnsi="Arial"/>
          <w:sz w:val="17"/>
          <w:szCs w:val="17"/>
          <w:b w:val="1"/>
          <w:bCs w:val="1"/>
          <w:u w:val="single" w:color="auto"/>
          <w:color w:val="auto"/>
        </w:rPr>
        <w:t>Appendix A</w:t>
      </w:r>
      <w:r>
        <w:rPr>
          <w:rFonts w:ascii="Arial" w:cs="Arial" w:eastAsia="Arial" w:hAnsi="Arial"/>
          <w:sz w:val="17"/>
          <w:szCs w:val="17"/>
          <w:color w:val="auto"/>
        </w:rPr>
        <w:t>.</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5B: Amendment to Eliminate the Supermajority Voting Standard for Amendments to Our Bylaws</w:t>
      </w:r>
    </w:p>
    <w:p>
      <w:pPr>
        <w:spacing w:after="0" w:line="189" w:lineRule="exact"/>
        <w:rPr>
          <w:sz w:val="20"/>
          <w:szCs w:val="20"/>
          <w:color w:val="auto"/>
        </w:rPr>
      </w:pPr>
    </w:p>
    <w:p>
      <w:pPr>
        <w:ind w:right="80" w:firstLine="648"/>
        <w:spacing w:after="0" w:line="241" w:lineRule="auto"/>
        <w:rPr>
          <w:sz w:val="20"/>
          <w:szCs w:val="20"/>
          <w:color w:val="auto"/>
        </w:rPr>
      </w:pPr>
      <w:r>
        <w:rPr>
          <w:rFonts w:ascii="Arial" w:cs="Arial" w:eastAsia="Arial" w:hAnsi="Arial"/>
          <w:sz w:val="18"/>
          <w:szCs w:val="18"/>
          <w:color w:val="auto"/>
        </w:rPr>
        <w:t>Article XI of our Certificate of Incorporation currently provides that stockholders may only adopt, amend, alter, change, or repeal the Bylaws of the Company by the affirmative vote of the holders of at least 66% of all classes of the Company’s capital stock entitled to vote generally in the election of directors. Proposal 5B requests that stockholders approve an amendment to Article XI to provide that stockholders may adopt, amend, alter, change, or repeal the Bylaws of the Company by the affirmative vote of the holders of a majority of all the shares of the Company’s capital stock then entitled to vote generally in the election of directors.</w:t>
      </w:r>
    </w:p>
    <w:p>
      <w:pPr>
        <w:spacing w:after="0" w:line="347"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31" w:name="page32"/>
    <w:bookmarkEnd w:id="31"/>
    <w:p>
      <w:pPr>
        <w:ind w:left="20" w:right="640"/>
        <w:spacing w:after="0" w:line="253" w:lineRule="auto"/>
        <w:rPr>
          <w:sz w:val="20"/>
          <w:szCs w:val="20"/>
          <w:color w:val="auto"/>
        </w:rPr>
      </w:pPr>
      <w:r>
        <w:rPr>
          <w:rFonts w:ascii="Arial" w:cs="Arial" w:eastAsia="Arial" w:hAnsi="Arial"/>
          <w:sz w:val="14"/>
          <w:szCs w:val="14"/>
          <w:color w:val="407CCA"/>
        </w:rPr>
        <w:t>PROPOSAL 5: APPROVAL OF AMENDMENTS TO OUR AMENDED AND RESTATED CERTIFICATE OF INCORPORATION ELIMINATING SUPERMAJORITY VOTING REQUIREMENTS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wp:posOffset>
            </wp:positionV>
            <wp:extent cx="713232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68" w:lineRule="exact"/>
        <w:rPr>
          <w:sz w:val="20"/>
          <w:szCs w:val="20"/>
          <w:color w:val="auto"/>
        </w:rPr>
      </w:pPr>
    </w:p>
    <w:p>
      <w:pPr>
        <w:ind w:right="340" w:firstLine="648"/>
        <w:spacing w:after="0" w:line="261" w:lineRule="auto"/>
        <w:rPr>
          <w:sz w:val="20"/>
          <w:szCs w:val="20"/>
          <w:color w:val="auto"/>
        </w:rPr>
      </w:pPr>
      <w:r>
        <w:rPr>
          <w:rFonts w:ascii="Arial" w:cs="Arial" w:eastAsia="Arial" w:hAnsi="Arial"/>
          <w:sz w:val="18"/>
          <w:szCs w:val="18"/>
          <w:color w:val="auto"/>
        </w:rPr>
        <w:t>The proposed amendment to Article XI also conforms certain language describing the voting standard in that Article to Section 5.5 to ensure identical language is used to describe the same voting standard throughout our Certificate of Incorporation.</w:t>
      </w:r>
    </w:p>
    <w:p>
      <w:pPr>
        <w:spacing w:after="0" w:line="153" w:lineRule="exact"/>
        <w:rPr>
          <w:sz w:val="20"/>
          <w:szCs w:val="20"/>
          <w:color w:val="auto"/>
        </w:rPr>
      </w:pPr>
    </w:p>
    <w:p>
      <w:pPr>
        <w:jc w:val="both"/>
        <w:ind w:right="620" w:firstLine="648"/>
        <w:spacing w:after="0" w:line="296" w:lineRule="auto"/>
        <w:rPr>
          <w:sz w:val="20"/>
          <w:szCs w:val="20"/>
          <w:color w:val="auto"/>
        </w:rPr>
      </w:pPr>
      <w:r>
        <w:rPr>
          <w:rFonts w:ascii="Arial" w:cs="Arial" w:eastAsia="Arial" w:hAnsi="Arial"/>
          <w:sz w:val="16"/>
          <w:szCs w:val="16"/>
          <w:color w:val="auto"/>
        </w:rPr>
        <w:t xml:space="preserve">The full text of the proposed amendment, marked to show the proposed deletions and insertions, is set forth in </w:t>
      </w:r>
      <w:r>
        <w:rPr>
          <w:rFonts w:ascii="Arial" w:cs="Arial" w:eastAsia="Arial" w:hAnsi="Arial"/>
          <w:sz w:val="16"/>
          <w:szCs w:val="16"/>
          <w:b w:val="1"/>
          <w:bCs w:val="1"/>
          <w:u w:val="single" w:color="auto"/>
          <w:color w:val="auto"/>
        </w:rPr>
        <w:t>Appendix B</w:t>
      </w:r>
      <w:r>
        <w:rPr>
          <w:rFonts w:ascii="Arial" w:cs="Arial" w:eastAsia="Arial" w:hAnsi="Arial"/>
          <w:sz w:val="16"/>
          <w:szCs w:val="16"/>
          <w:color w:val="auto"/>
        </w:rPr>
        <w:t xml:space="preserve"> of this proxy statement. The general description above of the amended provision on amendment of the Company’s Bylaws is a summary and should be read in conjunction with, and is qualified in its entirety by reference to, the full text of the proposed amendment attached as </w:t>
      </w:r>
      <w:r>
        <w:rPr>
          <w:rFonts w:ascii="Arial" w:cs="Arial" w:eastAsia="Arial" w:hAnsi="Arial"/>
          <w:sz w:val="16"/>
          <w:szCs w:val="16"/>
          <w:b w:val="1"/>
          <w:bCs w:val="1"/>
          <w:u w:val="single" w:color="auto"/>
          <w:color w:val="auto"/>
        </w:rPr>
        <w:t>Appendix B</w:t>
      </w:r>
      <w:r>
        <w:rPr>
          <w:rFonts w:ascii="Arial" w:cs="Arial" w:eastAsia="Arial" w:hAnsi="Arial"/>
          <w:sz w:val="16"/>
          <w:szCs w:val="16"/>
          <w:color w:val="auto"/>
        </w:rPr>
        <w:t>.</w:t>
      </w:r>
    </w:p>
    <w:p>
      <w:pPr>
        <w:spacing w:after="0" w:line="3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5C: Amendment to Eliminate the Supermajority Voting Standard for Removal of Directors</w:t>
      </w:r>
    </w:p>
    <w:p>
      <w:pPr>
        <w:spacing w:after="0" w:line="202" w:lineRule="exact"/>
        <w:rPr>
          <w:sz w:val="20"/>
          <w:szCs w:val="20"/>
          <w:color w:val="auto"/>
        </w:rPr>
      </w:pPr>
    </w:p>
    <w:p>
      <w:pPr>
        <w:ind w:right="20" w:firstLine="648"/>
        <w:spacing w:after="0" w:line="274" w:lineRule="auto"/>
        <w:rPr>
          <w:sz w:val="20"/>
          <w:szCs w:val="20"/>
          <w:color w:val="auto"/>
        </w:rPr>
      </w:pPr>
      <w:r>
        <w:rPr>
          <w:rFonts w:ascii="Arial" w:cs="Arial" w:eastAsia="Arial" w:hAnsi="Arial"/>
          <w:sz w:val="16"/>
          <w:szCs w:val="16"/>
          <w:color w:val="auto"/>
        </w:rPr>
        <w:t>Currently, Section 5.5 of our Certificate of Incorporation provides that stockholders may remove any director or the entire Board from office at any time with or without cause only by the affirmative vote of the holders of at least 66% of all shares of the capital stock of the Company entitled to vote generally in the election of directors. Proposal 5C requests that stockholders approve an amendment to this standard to provide that stockholders may remove directors with or without cause by the affirmative vote of the holders of a majority of all the shares of the Company’s capital stock then entitled to vote generally in the election of directors. This majority vote requirement reflects the default voting standard under the DGCL.</w:t>
      </w:r>
    </w:p>
    <w:p>
      <w:pPr>
        <w:spacing w:after="0" w:line="161" w:lineRule="exact"/>
        <w:rPr>
          <w:sz w:val="20"/>
          <w:szCs w:val="20"/>
          <w:color w:val="auto"/>
        </w:rPr>
      </w:pPr>
    </w:p>
    <w:p>
      <w:pPr>
        <w:ind w:right="180" w:firstLine="648"/>
        <w:spacing w:after="0" w:line="250" w:lineRule="auto"/>
        <w:rPr>
          <w:sz w:val="20"/>
          <w:szCs w:val="20"/>
          <w:color w:val="auto"/>
        </w:rPr>
      </w:pPr>
      <w:r>
        <w:rPr>
          <w:rFonts w:ascii="Arial" w:cs="Arial" w:eastAsia="Arial" w:hAnsi="Arial"/>
          <w:sz w:val="18"/>
          <w:szCs w:val="18"/>
          <w:color w:val="auto"/>
        </w:rPr>
        <w:t xml:space="preserve">The full text of the proposed amendment, marked to show the proposed deletions and insertions, is set forth in </w:t>
      </w:r>
      <w:r>
        <w:rPr>
          <w:rFonts w:ascii="Arial" w:cs="Arial" w:eastAsia="Arial" w:hAnsi="Arial"/>
          <w:sz w:val="18"/>
          <w:szCs w:val="18"/>
          <w:b w:val="1"/>
          <w:bCs w:val="1"/>
          <w:u w:val="single" w:color="auto"/>
          <w:color w:val="auto"/>
        </w:rPr>
        <w:t>Appendix C</w:t>
      </w:r>
      <w:r>
        <w:rPr>
          <w:rFonts w:ascii="Arial" w:cs="Arial" w:eastAsia="Arial" w:hAnsi="Arial"/>
          <w:sz w:val="18"/>
          <w:szCs w:val="18"/>
          <w:color w:val="auto"/>
        </w:rPr>
        <w:t xml:space="preserve"> of this proxy statement. The general description above of the amended provision on removal of directors is a summary and should be read in conjunction with, and is qualified in its entirety by reference to, the full text of the proposed amendment attached as </w:t>
      </w:r>
      <w:r>
        <w:rPr>
          <w:rFonts w:ascii="Arial" w:cs="Arial" w:eastAsia="Arial" w:hAnsi="Arial"/>
          <w:sz w:val="18"/>
          <w:szCs w:val="18"/>
          <w:b w:val="1"/>
          <w:bCs w:val="1"/>
          <w:u w:val="single" w:color="auto"/>
          <w:color w:val="auto"/>
        </w:rPr>
        <w:t>Appendix C</w:t>
      </w:r>
      <w:r>
        <w:rPr>
          <w:rFonts w:ascii="Arial" w:cs="Arial" w:eastAsia="Arial" w:hAnsi="Arial"/>
          <w:sz w:val="18"/>
          <w:szCs w:val="18"/>
          <w:color w:val="auto"/>
        </w:rPr>
        <w:t>.</w:t>
      </w:r>
    </w:p>
    <w:p>
      <w:pPr>
        <w:spacing w:after="0" w:line="181" w:lineRule="exact"/>
        <w:rPr>
          <w:sz w:val="20"/>
          <w:szCs w:val="20"/>
          <w:color w:val="auto"/>
        </w:rPr>
      </w:pPr>
    </w:p>
    <w:p>
      <w:pPr>
        <w:jc w:val="both"/>
        <w:ind w:firstLine="648"/>
        <w:spacing w:after="0" w:line="248" w:lineRule="auto"/>
        <w:rPr>
          <w:sz w:val="20"/>
          <w:szCs w:val="20"/>
          <w:color w:val="auto"/>
        </w:rPr>
      </w:pPr>
      <w:r>
        <w:rPr>
          <w:rFonts w:ascii="Arial" w:cs="Arial" w:eastAsia="Arial" w:hAnsi="Arial"/>
          <w:sz w:val="18"/>
          <w:szCs w:val="18"/>
          <w:color w:val="auto"/>
        </w:rPr>
        <w:t>As previously determined by the Board and announced by the Company, if Proposal 5C is not approved by the stockholders, the Company would continue not to enforce the supermajority voting requirement for the removal of directors reflected in Section 5.5 and will instead, to the extent permitted by law, allow such action, if any, to be determined under a majority voting standard.</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89" w:lineRule="exact"/>
        <w:rPr>
          <w:sz w:val="20"/>
          <w:szCs w:val="20"/>
          <w:color w:val="auto"/>
        </w:rPr>
      </w:pPr>
    </w:p>
    <w:p>
      <w:pPr>
        <w:ind w:firstLine="648"/>
        <w:spacing w:after="0" w:line="239" w:lineRule="auto"/>
        <w:rPr>
          <w:sz w:val="20"/>
          <w:szCs w:val="20"/>
          <w:color w:val="auto"/>
        </w:rPr>
      </w:pPr>
      <w:r>
        <w:rPr>
          <w:rFonts w:ascii="Arial" w:cs="Arial" w:eastAsia="Arial" w:hAnsi="Arial"/>
          <w:sz w:val="18"/>
          <w:szCs w:val="18"/>
          <w:color w:val="auto"/>
        </w:rPr>
        <w:t xml:space="preserve">The Board is submitting and recommending the amendments to the Certificate of Incorporation to replace supermajority voting provisions with a majority voting standard. The approval of Proposals 5A, 5B, and 5C each requires the affirmative vote by the holders of 66% of all shares of our common stock entitled to vote at the Annual Meeting. Abstentions and broker non-votes have the same effect as voting against Proposals 5A, 5B, or 5C. The Board believes that Proposals 5A, 5B, and 5C are each in our best interests and in the best interests of the stockholders and has unanimously approved the proposed amendments to the Certificate of Incorporation. THE BOARD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APPROVAL OF PROPOSALS 5A, 5B, AND 5C TO AMEND THE CERTIFICATE OF INCORPORATION TO REPLACE SUPERMAJORITY VOTING REQUIREMENTS WITH A MAJORITY VOTING STANDARD.</w:t>
      </w: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20"/>
          </w:cols>
          <w:pgMar w:left="320" w:top="404" w:right="459" w:bottom="1440" w:gutter="0" w:footer="0" w:header="0"/>
        </w:sectPr>
      </w:pPr>
    </w:p>
    <w:bookmarkStart w:id="32" w:name="page33"/>
    <w:bookmarkEnd w:id="3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EXECUTIVE OFFICERS OF REGISTRANT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 Biographies</w:t>
      </w:r>
    </w:p>
    <w:p>
      <w:pPr>
        <w:spacing w:after="0" w:line="81" w:lineRule="exact"/>
        <w:rPr>
          <w:sz w:val="20"/>
          <w:szCs w:val="20"/>
          <w:color w:val="auto"/>
        </w:rPr>
      </w:pPr>
    </w:p>
    <w:p>
      <w:pPr>
        <w:ind w:right="220" w:firstLine="648"/>
        <w:spacing w:after="0" w:line="248" w:lineRule="auto"/>
        <w:rPr>
          <w:sz w:val="20"/>
          <w:szCs w:val="20"/>
          <w:color w:val="auto"/>
        </w:rPr>
      </w:pPr>
      <w:r>
        <w:rPr>
          <w:rFonts w:ascii="Arial" w:cs="Arial" w:eastAsia="Arial" w:hAnsi="Arial"/>
          <w:sz w:val="16"/>
          <w:szCs w:val="16"/>
          <w:color w:val="auto"/>
        </w:rPr>
        <w:t>The Board generally elects officers annually following our annual meeting of stockholders to serve until the meeting of the Board following the next annual meeting. Set forth below is certain information about each executive officer as of February 24, 2023. The business address of each executive</w:t>
      </w:r>
    </w:p>
    <w:p>
      <w:pPr>
        <w:spacing w:after="0"/>
        <w:rPr>
          <w:sz w:val="20"/>
          <w:szCs w:val="20"/>
          <w:color w:val="auto"/>
        </w:rPr>
      </w:pPr>
      <w:r>
        <w:rPr>
          <w:rFonts w:ascii="Arial" w:cs="Arial" w:eastAsia="Arial" w:hAnsi="Arial"/>
          <w:sz w:val="18"/>
          <w:szCs w:val="18"/>
          <w:color w:val="auto"/>
        </w:rPr>
        <w:t>officer is c/o AGNC Investment Corp., 2 Bethesda Metro Center, 12th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141605</wp:posOffset>
            </wp:positionV>
            <wp:extent cx="713232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PETER J. FEDERICO, 56</w:t>
      </w:r>
    </w:p>
    <w:p>
      <w:pPr>
        <w:spacing w:after="0"/>
        <w:rPr>
          <w:sz w:val="20"/>
          <w:szCs w:val="20"/>
          <w:color w:val="auto"/>
        </w:rPr>
      </w:pPr>
      <w:r>
        <w:rPr>
          <w:rFonts w:ascii="Arial" w:cs="Arial" w:eastAsia="Arial" w:hAnsi="Arial"/>
          <w:sz w:val="18"/>
          <w:szCs w:val="18"/>
          <w:i w:val="1"/>
          <w:iCs w:val="1"/>
          <w:color w:val="auto"/>
        </w:rPr>
        <w:t>Director, President and Chief Executive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38735</wp:posOffset>
            </wp:positionV>
            <wp:extent cx="7132320"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24" w:lineRule="exact"/>
        <w:rPr>
          <w:sz w:val="20"/>
          <w:szCs w:val="20"/>
          <w:color w:val="auto"/>
        </w:rPr>
      </w:pPr>
    </w:p>
    <w:p>
      <w:pPr>
        <w:ind w:right="60"/>
        <w:spacing w:after="0" w:line="248" w:lineRule="auto"/>
        <w:rPr>
          <w:sz w:val="20"/>
          <w:szCs w:val="20"/>
          <w:color w:val="auto"/>
        </w:rPr>
      </w:pPr>
      <w:r>
        <w:rPr>
          <w:rFonts w:ascii="Arial" w:cs="Arial" w:eastAsia="Arial" w:hAnsi="Arial"/>
          <w:sz w:val="16"/>
          <w:szCs w:val="16"/>
          <w:color w:val="auto"/>
        </w:rPr>
        <w:t>Mr. Federico has served as a Director and as our Chief Executive Officer since July 2021 and as our President since March 2018. He previously served as our Chief Operating Officer from March 2018 until July 2021, Executive Vice President and Chief Financial Officer from July 2016 until March 2018, and</w:t>
      </w:r>
    </w:p>
    <w:p>
      <w:pPr>
        <w:spacing w:after="0" w:line="229" w:lineRule="auto"/>
        <w:rPr>
          <w:sz w:val="20"/>
          <w:szCs w:val="20"/>
          <w:color w:val="auto"/>
        </w:rPr>
      </w:pPr>
      <w:r>
        <w:rPr>
          <w:rFonts w:ascii="Arial" w:cs="Arial" w:eastAsia="Arial" w:hAnsi="Arial"/>
          <w:sz w:val="16"/>
          <w:szCs w:val="16"/>
          <w:color w:val="auto"/>
        </w:rPr>
        <w:t>Senior Vice President and Chief Risk Officer from June 2011 until July 2016. Further information about Mr. Federico may be found under “Proposal 1:</w:t>
      </w:r>
    </w:p>
    <w:p>
      <w:pPr>
        <w:spacing w:after="0"/>
        <w:rPr>
          <w:sz w:val="20"/>
          <w:szCs w:val="20"/>
          <w:color w:val="auto"/>
        </w:rPr>
      </w:pPr>
      <w:r>
        <w:rPr>
          <w:rFonts w:ascii="Arial" w:cs="Arial" w:eastAsia="Arial" w:hAnsi="Arial"/>
          <w:sz w:val="18"/>
          <w:szCs w:val="18"/>
          <w:color w:val="auto"/>
        </w:rPr>
        <w:t>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141605</wp:posOffset>
            </wp:positionV>
            <wp:extent cx="713232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GARY D. KAIN, 58</w:t>
      </w:r>
    </w:p>
    <w:p>
      <w:pPr>
        <w:spacing w:after="0"/>
        <w:rPr>
          <w:sz w:val="20"/>
          <w:szCs w:val="20"/>
          <w:color w:val="auto"/>
        </w:rPr>
      </w:pPr>
      <w:r>
        <w:rPr>
          <w:rFonts w:ascii="Arial" w:cs="Arial" w:eastAsia="Arial" w:hAnsi="Arial"/>
          <w:sz w:val="18"/>
          <w:szCs w:val="18"/>
          <w:i w:val="1"/>
          <w:iCs w:val="1"/>
          <w:color w:val="auto"/>
        </w:rPr>
        <w:t>Director, Executive Chair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24" w:lineRule="exact"/>
        <w:rPr>
          <w:sz w:val="20"/>
          <w:szCs w:val="20"/>
          <w:color w:val="auto"/>
        </w:rPr>
      </w:pPr>
    </w:p>
    <w:p>
      <w:pPr>
        <w:spacing w:after="0"/>
        <w:rPr>
          <w:sz w:val="20"/>
          <w:szCs w:val="20"/>
          <w:color w:val="auto"/>
        </w:rPr>
      </w:pPr>
      <w:r>
        <w:rPr>
          <w:rFonts w:ascii="Arial" w:cs="Arial" w:eastAsia="Arial" w:hAnsi="Arial"/>
          <w:sz w:val="16"/>
          <w:szCs w:val="16"/>
          <w:color w:val="auto"/>
        </w:rPr>
        <w:t>Mr. Kain has served as a Director since 2016 and as our Executive Chair since July 2021. He previously served as our Chief Executive Officer from March</w:t>
      </w:r>
    </w:p>
    <w:p>
      <w:pPr>
        <w:spacing w:after="0" w:line="21" w:lineRule="exact"/>
        <w:rPr>
          <w:sz w:val="20"/>
          <w:szCs w:val="20"/>
          <w:color w:val="auto"/>
        </w:rPr>
      </w:pPr>
    </w:p>
    <w:p>
      <w:pPr>
        <w:ind w:right="540"/>
        <w:spacing w:after="0" w:line="218" w:lineRule="auto"/>
        <w:rPr>
          <w:sz w:val="20"/>
          <w:szCs w:val="20"/>
          <w:color w:val="auto"/>
        </w:rPr>
      </w:pPr>
      <w:r>
        <w:rPr>
          <w:rFonts w:ascii="Arial" w:cs="Arial" w:eastAsia="Arial" w:hAnsi="Arial"/>
          <w:sz w:val="18"/>
          <w:szCs w:val="18"/>
          <w:color w:val="auto"/>
        </w:rPr>
        <w:t>2016 through July 2021, Chief Investment Officer from January 2009 through July 2021, and President from April 2011 until March 2018.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137795</wp:posOffset>
            </wp:positionV>
            <wp:extent cx="7132320"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CHRISTOPHER J. KUEHL, 49</w:t>
      </w:r>
    </w:p>
    <w:p>
      <w:pPr>
        <w:spacing w:after="0"/>
        <w:rPr>
          <w:sz w:val="20"/>
          <w:szCs w:val="20"/>
          <w:color w:val="auto"/>
        </w:rPr>
      </w:pPr>
      <w:r>
        <w:rPr>
          <w:rFonts w:ascii="Arial" w:cs="Arial" w:eastAsia="Arial" w:hAnsi="Arial"/>
          <w:sz w:val="18"/>
          <w:szCs w:val="18"/>
          <w:i w:val="1"/>
          <w:iCs w:val="1"/>
          <w:color w:val="auto"/>
        </w:rPr>
        <w:t>Executive Vice President, Agency Portfolio Investments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24" w:lineRule="exact"/>
        <w:rPr>
          <w:sz w:val="20"/>
          <w:szCs w:val="20"/>
          <w:color w:val="auto"/>
        </w:rPr>
      </w:pPr>
    </w:p>
    <w:p>
      <w:pPr>
        <w:ind w:right="440"/>
        <w:spacing w:after="0" w:line="246" w:lineRule="auto"/>
        <w:rPr>
          <w:sz w:val="20"/>
          <w:szCs w:val="20"/>
          <w:color w:val="auto"/>
        </w:rPr>
      </w:pPr>
      <w:r>
        <w:rPr>
          <w:rFonts w:ascii="Arial" w:cs="Arial" w:eastAsia="Arial" w:hAnsi="Arial"/>
          <w:sz w:val="18"/>
          <w:szCs w:val="18"/>
          <w:color w:val="auto"/>
        </w:rPr>
        <w:t>Mr. Kuehl has served as our Chief Investment Officer since July 2021 and as an Executive Vice President since November 2016. He was previously a Senior Vice President from March 2012 through October 2016.</w:t>
      </w:r>
    </w:p>
    <w:p>
      <w:pPr>
        <w:spacing w:after="0" w:line="156" w:lineRule="exact"/>
        <w:rPr>
          <w:sz w:val="20"/>
          <w:szCs w:val="20"/>
          <w:color w:val="auto"/>
        </w:rPr>
      </w:pPr>
    </w:p>
    <w:p>
      <w:pPr>
        <w:ind w:right="280"/>
        <w:spacing w:after="0" w:line="248" w:lineRule="auto"/>
        <w:rPr>
          <w:sz w:val="20"/>
          <w:szCs w:val="20"/>
          <w:color w:val="auto"/>
        </w:rPr>
      </w:pPr>
      <w:r>
        <w:rPr>
          <w:rFonts w:ascii="Arial" w:cs="Arial" w:eastAsia="Arial" w:hAnsi="Arial"/>
          <w:sz w:val="16"/>
          <w:szCs w:val="16"/>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w:t>
      </w:r>
    </w:p>
    <w:p>
      <w:pPr>
        <w:spacing w:after="0"/>
        <w:rPr>
          <w:sz w:val="20"/>
          <w:szCs w:val="20"/>
          <w:color w:val="auto"/>
        </w:rPr>
      </w:pPr>
      <w:r>
        <w:rPr>
          <w:rFonts w:ascii="Arial" w:cs="Arial" w:eastAsia="Arial" w:hAnsi="Arial"/>
          <w:sz w:val="18"/>
          <w:szCs w:val="18"/>
          <w:color w:val="auto"/>
        </w:rPr>
        <w:t>ARMs, and CMOs. Prior to joining Freddie Mac in 2000, Mr. Kuehl was a Portfolio Manager with TeleBank/Etrade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150495</wp:posOffset>
            </wp:positionV>
            <wp:extent cx="7132320" cy="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2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BERNICE E. BELL, 51</w:t>
      </w:r>
    </w:p>
    <w:p>
      <w:pPr>
        <w:spacing w:after="0"/>
        <w:rPr>
          <w:sz w:val="20"/>
          <w:szCs w:val="20"/>
          <w:color w:val="auto"/>
        </w:rPr>
      </w:pPr>
      <w:r>
        <w:rPr>
          <w:rFonts w:ascii="Arial" w:cs="Arial" w:eastAsia="Arial" w:hAnsi="Arial"/>
          <w:sz w:val="18"/>
          <w:szCs w:val="18"/>
          <w:i w:val="1"/>
          <w:iCs w:val="1"/>
          <w:color w:val="auto"/>
        </w:rPr>
        <w:t>Executive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24" w:lineRule="exact"/>
        <w:rPr>
          <w:sz w:val="20"/>
          <w:szCs w:val="20"/>
          <w:color w:val="auto"/>
        </w:rPr>
      </w:pPr>
    </w:p>
    <w:p>
      <w:pPr>
        <w:spacing w:after="0"/>
        <w:rPr>
          <w:sz w:val="20"/>
          <w:szCs w:val="20"/>
          <w:color w:val="auto"/>
        </w:rPr>
      </w:pPr>
      <w:r>
        <w:rPr>
          <w:rFonts w:ascii="Arial" w:cs="Arial" w:eastAsia="Arial" w:hAnsi="Arial"/>
          <w:sz w:val="17"/>
          <w:szCs w:val="17"/>
          <w:color w:val="auto"/>
        </w:rPr>
        <w:t>Ms. Bell has served as our Executive Vice President since January 2022 and Chief Financial Officer since March 2018. Ms. Bell previously served as</w:t>
      </w:r>
    </w:p>
    <w:p>
      <w:pPr>
        <w:spacing w:after="0" w:line="10" w:lineRule="exact"/>
        <w:rPr>
          <w:sz w:val="20"/>
          <w:szCs w:val="20"/>
          <w:color w:val="auto"/>
        </w:rPr>
      </w:pPr>
    </w:p>
    <w:p>
      <w:pPr>
        <w:ind w:right="80"/>
        <w:spacing w:after="0" w:line="226" w:lineRule="auto"/>
        <w:rPr>
          <w:sz w:val="20"/>
          <w:szCs w:val="20"/>
          <w:color w:val="auto"/>
        </w:rPr>
      </w:pPr>
      <w:r>
        <w:rPr>
          <w:rFonts w:ascii="Arial" w:cs="Arial" w:eastAsia="Arial" w:hAnsi="Arial"/>
          <w:sz w:val="18"/>
          <w:szCs w:val="18"/>
          <w:color w:val="auto"/>
        </w:rPr>
        <w:t>Senior Vice President from January 2016 to January 2022, Chief Accounting Officer from January 2016 to March 2018, Vice President from April 2011 to January 2016, and as our Controller from 2008 through December 2015.</w:t>
      </w:r>
    </w:p>
    <w:p>
      <w:pPr>
        <w:spacing w:after="0" w:line="161" w:lineRule="exact"/>
        <w:rPr>
          <w:sz w:val="20"/>
          <w:szCs w:val="20"/>
          <w:color w:val="auto"/>
        </w:rPr>
      </w:pPr>
    </w:p>
    <w:p>
      <w:pPr>
        <w:spacing w:after="0"/>
        <w:rPr>
          <w:sz w:val="20"/>
          <w:szCs w:val="20"/>
          <w:color w:val="auto"/>
        </w:rPr>
      </w:pPr>
      <w:r>
        <w:rPr>
          <w:rFonts w:ascii="Arial" w:cs="Arial" w:eastAsia="Arial" w:hAnsi="Arial"/>
          <w:sz w:val="17"/>
          <w:szCs w:val="17"/>
          <w:color w:val="auto"/>
        </w:rPr>
        <w:t>Prior to joining AGNC Investment Corp., Ms. Bell served as the Vice President and Controller of American Capital, Ltd. from July 2003 to December</w:t>
      </w:r>
    </w:p>
    <w:p>
      <w:pPr>
        <w:spacing w:after="0" w:line="10" w:lineRule="exact"/>
        <w:rPr>
          <w:sz w:val="20"/>
          <w:szCs w:val="20"/>
          <w:color w:val="auto"/>
        </w:rPr>
      </w:pPr>
    </w:p>
    <w:p>
      <w:pPr>
        <w:ind w:right="220"/>
        <w:spacing w:after="0" w:line="218" w:lineRule="auto"/>
        <w:rPr>
          <w:sz w:val="20"/>
          <w:szCs w:val="20"/>
          <w:color w:val="auto"/>
        </w:rPr>
      </w:pPr>
      <w:r>
        <w:rPr>
          <w:rFonts w:ascii="Arial" w:cs="Arial" w:eastAsia="Arial" w:hAnsi="Arial"/>
          <w:sz w:val="18"/>
          <w:szCs w:val="18"/>
          <w:color w:val="auto"/>
        </w:rPr>
        <w:t>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146685</wp:posOffset>
            </wp:positionV>
            <wp:extent cx="7132320"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1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KENNETH L. POLLACK, 55</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Executive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38735</wp:posOffset>
            </wp:positionV>
            <wp:extent cx="713232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24" w:lineRule="exact"/>
        <w:rPr>
          <w:sz w:val="20"/>
          <w:szCs w:val="20"/>
          <w:color w:val="auto"/>
        </w:rPr>
      </w:pPr>
    </w:p>
    <w:p>
      <w:pPr>
        <w:ind w:right="180"/>
        <w:spacing w:after="0" w:line="235" w:lineRule="auto"/>
        <w:rPr>
          <w:sz w:val="20"/>
          <w:szCs w:val="20"/>
          <w:color w:val="auto"/>
        </w:rPr>
      </w:pPr>
      <w:r>
        <w:rPr>
          <w:rFonts w:ascii="Arial" w:cs="Arial" w:eastAsia="Arial" w:hAnsi="Arial"/>
          <w:sz w:val="18"/>
          <w:szCs w:val="18"/>
          <w:color w:val="auto"/>
        </w:rPr>
        <w:t>Mr. Pollack has served as our Executive Vice President since January 2022 and our General Counsel, Chief Compliance Officer, and Secretary since July 2016. Mr. Pollack previously served as Senior Vice President from July 2016 until January 2022.</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color w:val="auto"/>
        </w:rPr>
        <w:t>Prior to joining AGNC Investment Corp., Mr. Pollack was Senior Vice President and Deputy General Counsel of American Capital, Ltd. At American</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Capital, Mr. Pollack served as lead counsel for American Capital’s portfolio investment activities in the areas of Real Estate, U.S. Sponsor Finance, U.S.</w:t>
      </w:r>
    </w:p>
    <w:p>
      <w:pPr>
        <w:spacing w:after="0"/>
        <w:rPr>
          <w:sz w:val="20"/>
          <w:szCs w:val="20"/>
          <w:color w:val="auto"/>
        </w:rPr>
      </w:pPr>
      <w:r>
        <w:rPr>
          <w:rFonts w:ascii="Arial" w:cs="Arial" w:eastAsia="Arial" w:hAnsi="Arial"/>
          <w:sz w:val="18"/>
          <w:szCs w:val="18"/>
          <w:color w:val="auto"/>
        </w:rPr>
        <w:t>Buyouts, International Power, Special Situations, Operations, and Financial Restructuring.</w:t>
      </w:r>
    </w:p>
    <w:p>
      <w:pPr>
        <w:sectPr>
          <w:pgSz w:w="11900" w:h="16838" w:orient="portrait"/>
          <w:cols w:equalWidth="0" w:num="1">
            <w:col w:w="11220"/>
          </w:cols>
          <w:pgMar w:left="320" w:top="108" w:right="359" w:bottom="1440" w:gutter="0" w:footer="0" w:header="0"/>
        </w:sectPr>
      </w:pPr>
    </w:p>
    <w:p>
      <w:pPr>
        <w:spacing w:after="0" w:line="340"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33" w:name="page34"/>
    <w:bookmarkEnd w:id="3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71" w:lineRule="exact"/>
        <w:rPr>
          <w:sz w:val="20"/>
          <w:szCs w:val="20"/>
          <w:color w:val="auto"/>
        </w:rPr>
      </w:pPr>
    </w:p>
    <w:p>
      <w:pPr>
        <w:ind w:right="380"/>
        <w:spacing w:after="0" w:line="235" w:lineRule="auto"/>
        <w:rPr>
          <w:sz w:val="20"/>
          <w:szCs w:val="20"/>
          <w:color w:val="auto"/>
        </w:rPr>
      </w:pPr>
      <w:r>
        <w:rPr>
          <w:rFonts w:ascii="Arial" w:cs="Arial" w:eastAsia="Arial" w:hAnsi="Arial"/>
          <w:sz w:val="18"/>
          <w:szCs w:val="18"/>
          <w:color w:val="auto"/>
        </w:rPr>
        <w:t>Mr. Pollack joined American Capital in 2004. Prior to American Capital, Mr. Pollack was an Associate in the Corporate and Securities and Real Estate Practice Groups of Arnold &amp; Porter.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137160</wp:posOffset>
            </wp:positionV>
            <wp:extent cx="713232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3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SEAN P. REID, 47</w:t>
      </w:r>
    </w:p>
    <w:p>
      <w:pPr>
        <w:spacing w:after="0"/>
        <w:rPr>
          <w:sz w:val="20"/>
          <w:szCs w:val="20"/>
          <w:color w:val="auto"/>
        </w:rPr>
      </w:pPr>
      <w:r>
        <w:rPr>
          <w:rFonts w:ascii="Arial" w:cs="Arial" w:eastAsia="Arial" w:hAnsi="Arial"/>
          <w:sz w:val="18"/>
          <w:szCs w:val="18"/>
          <w:i w:val="1"/>
          <w:iCs w:val="1"/>
          <w:color w:val="auto"/>
        </w:rPr>
        <w:t>Executive Vice President, Strategy and Corporate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24" w:lineRule="exact"/>
        <w:rPr>
          <w:sz w:val="20"/>
          <w:szCs w:val="20"/>
          <w:color w:val="auto"/>
        </w:rPr>
      </w:pPr>
    </w:p>
    <w:p>
      <w:pPr>
        <w:spacing w:after="0"/>
        <w:rPr>
          <w:sz w:val="20"/>
          <w:szCs w:val="20"/>
          <w:color w:val="auto"/>
        </w:rPr>
      </w:pPr>
      <w:r>
        <w:rPr>
          <w:rFonts w:ascii="Arial" w:cs="Arial" w:eastAsia="Arial" w:hAnsi="Arial"/>
          <w:sz w:val="17"/>
          <w:szCs w:val="17"/>
          <w:color w:val="auto"/>
        </w:rPr>
        <w:t>Mr. Reid has served as our Executive Vice President, Strategy and Corporate Development since January 2022. He previously served as Senior Vice</w:t>
      </w:r>
    </w:p>
    <w:p>
      <w:pPr>
        <w:spacing w:after="0" w:line="10" w:lineRule="exact"/>
        <w:rPr>
          <w:sz w:val="20"/>
          <w:szCs w:val="20"/>
          <w:color w:val="auto"/>
        </w:rPr>
      </w:pPr>
    </w:p>
    <w:p>
      <w:pPr>
        <w:ind w:right="20"/>
        <w:spacing w:after="0" w:line="226" w:lineRule="auto"/>
        <w:rPr>
          <w:sz w:val="20"/>
          <w:szCs w:val="20"/>
          <w:color w:val="auto"/>
        </w:rPr>
      </w:pPr>
      <w:r>
        <w:rPr>
          <w:rFonts w:ascii="Arial" w:cs="Arial" w:eastAsia="Arial" w:hAnsi="Arial"/>
          <w:sz w:val="18"/>
          <w:szCs w:val="18"/>
          <w:color w:val="auto"/>
        </w:rPr>
        <w:t>President from July 2016 until January 2022 and as Senior Vice President, Corporate and Business Development for our former manager from August 2013 to July 2016.</w:t>
      </w:r>
    </w:p>
    <w:p>
      <w:pPr>
        <w:spacing w:after="0" w:line="161" w:lineRule="exact"/>
        <w:rPr>
          <w:sz w:val="20"/>
          <w:szCs w:val="20"/>
          <w:color w:val="auto"/>
        </w:rPr>
      </w:pPr>
    </w:p>
    <w:p>
      <w:pPr>
        <w:spacing w:after="0"/>
        <w:rPr>
          <w:sz w:val="20"/>
          <w:szCs w:val="20"/>
          <w:color w:val="auto"/>
        </w:rPr>
      </w:pPr>
      <w:r>
        <w:rPr>
          <w:rFonts w:ascii="Arial" w:cs="Arial" w:eastAsia="Arial" w:hAnsi="Arial"/>
          <w:sz w:val="16"/>
          <w:szCs w:val="16"/>
          <w:color w:val="auto"/>
        </w:rPr>
        <w:t>Mr. Reid was previously a Vice President in the Washington, D.C. Buyouts group of American Capital, Ltd. and, prior to that, an Assistant General Counsel</w:t>
      </w:r>
    </w:p>
    <w:p>
      <w:pPr>
        <w:spacing w:after="0" w:line="21" w:lineRule="exact"/>
        <w:rPr>
          <w:sz w:val="20"/>
          <w:szCs w:val="20"/>
          <w:color w:val="auto"/>
        </w:rPr>
      </w:pPr>
    </w:p>
    <w:p>
      <w:pPr>
        <w:ind w:right="60"/>
        <w:spacing w:after="0" w:line="226" w:lineRule="auto"/>
        <w:rPr>
          <w:sz w:val="20"/>
          <w:szCs w:val="20"/>
          <w:color w:val="auto"/>
        </w:rPr>
      </w:pPr>
      <w:r>
        <w:rPr>
          <w:rFonts w:ascii="Arial" w:cs="Arial" w:eastAsia="Arial" w:hAnsi="Arial"/>
          <w:sz w:val="18"/>
          <w:szCs w:val="18"/>
          <w:color w:val="auto"/>
        </w:rPr>
        <w:t>with American Capital’s in-house legal team. Prior to joining American Capital, Mr. Reid was an Associate in the Corporate &amp; Securities practice group of Covington &amp; Burling in Washington, D.C.</w:t>
      </w:r>
    </w:p>
    <w:p>
      <w:pPr>
        <w:spacing w:after="0" w:line="332"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34" w:name="page35"/>
    <w:bookmarkEnd w:id="3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280"/>
        </w:trPr>
        <w:tc>
          <w:tcPr>
            <w:tcW w:w="3100" w:type="dxa"/>
            <w:vAlign w:val="bottom"/>
          </w:tcPr>
          <w:p>
            <w:pPr>
              <w:spacing w:after="0"/>
              <w:rPr>
                <w:sz w:val="24"/>
                <w:szCs w:val="24"/>
                <w:color w:val="auto"/>
              </w:rPr>
            </w:pPr>
          </w:p>
        </w:tc>
        <w:tc>
          <w:tcPr>
            <w:tcW w:w="8140" w:type="dxa"/>
            <w:vAlign w:val="bottom"/>
          </w:tcPr>
          <w:p>
            <w:pPr>
              <w:jc w:val="center"/>
              <w:ind w:right="3008"/>
              <w:spacing w:after="0"/>
              <w:rPr>
                <w:sz w:val="20"/>
                <w:szCs w:val="20"/>
                <w:color w:val="auto"/>
              </w:rPr>
            </w:pPr>
            <w:r>
              <w:rPr>
                <w:rFonts w:ascii="Arial" w:cs="Arial" w:eastAsia="Arial" w:hAnsi="Arial"/>
                <w:sz w:val="22"/>
                <w:szCs w:val="22"/>
                <w:b w:val="1"/>
                <w:bCs w:val="1"/>
                <w:color w:val="407CCA"/>
              </w:rPr>
              <w:t>EXECUTIVE COMPENSATION</w:t>
            </w:r>
          </w:p>
        </w:tc>
      </w:tr>
      <w:tr>
        <w:trPr>
          <w:trHeight w:val="395"/>
        </w:trPr>
        <w:tc>
          <w:tcPr>
            <w:tcW w:w="3100" w:type="dxa"/>
            <w:vAlign w:val="bottom"/>
          </w:tcPr>
          <w:p>
            <w:pPr>
              <w:spacing w:after="0"/>
              <w:rPr>
                <w:sz w:val="24"/>
                <w:szCs w:val="24"/>
                <w:color w:val="auto"/>
              </w:rPr>
            </w:pPr>
          </w:p>
        </w:tc>
        <w:tc>
          <w:tcPr>
            <w:tcW w:w="8140" w:type="dxa"/>
            <w:vAlign w:val="bottom"/>
          </w:tcPr>
          <w:p>
            <w:pPr>
              <w:jc w:val="center"/>
              <w:ind w:right="3008"/>
              <w:spacing w:after="0"/>
              <w:rPr>
                <w:sz w:val="20"/>
                <w:szCs w:val="20"/>
                <w:color w:val="auto"/>
              </w:rPr>
            </w:pPr>
            <w:r>
              <w:rPr>
                <w:rFonts w:ascii="Arial" w:cs="Arial" w:eastAsia="Arial" w:hAnsi="Arial"/>
                <w:sz w:val="18"/>
                <w:szCs w:val="18"/>
                <w:b w:val="1"/>
                <w:bCs w:val="1"/>
                <w:color w:val="auto"/>
                <w:w w:val="87"/>
              </w:rPr>
              <w:t>Compensation Discussion and Analysis</w:t>
            </w:r>
          </w:p>
        </w:tc>
      </w:tr>
      <w:tr>
        <w:trPr>
          <w:trHeight w:val="392"/>
        </w:trPr>
        <w:tc>
          <w:tcPr>
            <w:tcW w:w="3100" w:type="dxa"/>
            <w:vAlign w:val="bottom"/>
          </w:tcPr>
          <w:p>
            <w:pPr>
              <w:spacing w:after="0"/>
              <w:rPr>
                <w:sz w:val="20"/>
                <w:szCs w:val="20"/>
                <w:color w:val="auto"/>
              </w:rPr>
            </w:pPr>
            <w:r>
              <w:rPr>
                <w:rFonts w:ascii="Arial" w:cs="Arial" w:eastAsia="Arial" w:hAnsi="Arial"/>
                <w:sz w:val="18"/>
                <w:szCs w:val="18"/>
                <w:b w:val="1"/>
                <w:bCs w:val="1"/>
                <w:color w:val="auto"/>
              </w:rPr>
              <w:t>2022 NEOs</w:t>
            </w:r>
          </w:p>
        </w:tc>
        <w:tc>
          <w:tcPr>
            <w:tcW w:w="8140" w:type="dxa"/>
            <w:vAlign w:val="bottom"/>
          </w:tcPr>
          <w:p>
            <w:pPr>
              <w:spacing w:after="0"/>
              <w:rPr>
                <w:sz w:val="24"/>
                <w:szCs w:val="24"/>
                <w:color w:val="auto"/>
              </w:rPr>
            </w:pPr>
          </w:p>
        </w:tc>
      </w:tr>
      <w:tr>
        <w:trPr>
          <w:trHeight w:val="283"/>
        </w:trPr>
        <w:tc>
          <w:tcPr>
            <w:tcW w:w="3100" w:type="dxa"/>
            <w:vAlign w:val="bottom"/>
          </w:tcPr>
          <w:p>
            <w:pPr>
              <w:ind w:left="660"/>
              <w:spacing w:after="0"/>
              <w:rPr>
                <w:sz w:val="20"/>
                <w:szCs w:val="20"/>
                <w:color w:val="auto"/>
              </w:rPr>
            </w:pPr>
            <w:r>
              <w:rPr>
                <w:rFonts w:ascii="Arial" w:cs="Arial" w:eastAsia="Arial" w:hAnsi="Arial"/>
                <w:sz w:val="18"/>
                <w:szCs w:val="18"/>
                <w:color w:val="auto"/>
              </w:rPr>
              <w:t>Our NEOs for 2022 are:</w:t>
            </w:r>
          </w:p>
        </w:tc>
        <w:tc>
          <w:tcPr>
            <w:tcW w:w="8140" w:type="dxa"/>
            <w:vAlign w:val="bottom"/>
          </w:tcPr>
          <w:p>
            <w:pPr>
              <w:spacing w:after="0"/>
              <w:rPr>
                <w:sz w:val="24"/>
                <w:szCs w:val="24"/>
                <w:color w:val="auto"/>
              </w:rPr>
            </w:pPr>
          </w:p>
        </w:tc>
      </w:tr>
      <w:tr>
        <w:trPr>
          <w:trHeight w:val="229"/>
        </w:trPr>
        <w:tc>
          <w:tcPr>
            <w:tcW w:w="3100" w:type="dxa"/>
            <w:vAlign w:val="bottom"/>
            <w:tcBorders>
              <w:bottom w:val="single" w:sz="8" w:color="auto"/>
            </w:tcBorders>
          </w:tcPr>
          <w:p>
            <w:pPr>
              <w:spacing w:after="0"/>
              <w:rPr>
                <w:sz w:val="19"/>
                <w:szCs w:val="19"/>
                <w:color w:val="auto"/>
              </w:rPr>
            </w:pPr>
          </w:p>
        </w:tc>
        <w:tc>
          <w:tcPr>
            <w:tcW w:w="8140" w:type="dxa"/>
            <w:vAlign w:val="bottom"/>
            <w:tcBorders>
              <w:bottom w:val="single" w:sz="8" w:color="auto"/>
            </w:tcBorders>
          </w:tcPr>
          <w:p>
            <w:pPr>
              <w:spacing w:after="0"/>
              <w:rPr>
                <w:sz w:val="19"/>
                <w:szCs w:val="19"/>
                <w:color w:val="auto"/>
              </w:rPr>
            </w:pPr>
          </w:p>
        </w:tc>
      </w:tr>
      <w:tr>
        <w:trPr>
          <w:trHeight w:val="358"/>
        </w:trPr>
        <w:tc>
          <w:tcPr>
            <w:tcW w:w="3100" w:type="dxa"/>
            <w:vAlign w:val="bottom"/>
            <w:tcBorders>
              <w:bottom w:val="single" w:sz="8" w:color="auto"/>
            </w:tcBorders>
          </w:tcPr>
          <w:p>
            <w:pPr>
              <w:ind w:left="120"/>
              <w:spacing w:after="0"/>
              <w:rPr>
                <w:sz w:val="20"/>
                <w:szCs w:val="20"/>
                <w:color w:val="auto"/>
              </w:rPr>
            </w:pPr>
            <w:r>
              <w:rPr>
                <w:rFonts w:ascii="Arial" w:cs="Arial" w:eastAsia="Arial" w:hAnsi="Arial"/>
                <w:sz w:val="18"/>
                <w:szCs w:val="18"/>
                <w:b w:val="1"/>
                <w:bCs w:val="1"/>
                <w:color w:val="auto"/>
              </w:rPr>
              <w:t>Name</w:t>
            </w:r>
          </w:p>
        </w:tc>
        <w:tc>
          <w:tcPr>
            <w:tcW w:w="8140" w:type="dxa"/>
            <w:vAlign w:val="bottom"/>
            <w:tcBorders>
              <w:bottom w:val="single" w:sz="8" w:color="auto"/>
            </w:tcBorders>
          </w:tcPr>
          <w:p>
            <w:pPr>
              <w:jc w:val="center"/>
              <w:ind w:right="488"/>
              <w:spacing w:after="0"/>
              <w:rPr>
                <w:sz w:val="20"/>
                <w:szCs w:val="20"/>
                <w:color w:val="auto"/>
              </w:rPr>
            </w:pPr>
            <w:r>
              <w:rPr>
                <w:rFonts w:ascii="Arial" w:cs="Arial" w:eastAsia="Arial" w:hAnsi="Arial"/>
                <w:sz w:val="18"/>
                <w:szCs w:val="18"/>
                <w:b w:val="1"/>
                <w:bCs w:val="1"/>
                <w:color w:val="auto"/>
                <w:w w:val="97"/>
              </w:rPr>
              <w:t>Title</w:t>
            </w:r>
          </w:p>
        </w:tc>
      </w:tr>
      <w:tr>
        <w:trPr>
          <w:trHeight w:val="277"/>
        </w:trPr>
        <w:tc>
          <w:tcPr>
            <w:tcW w:w="3100" w:type="dxa"/>
            <w:vAlign w:val="bottom"/>
          </w:tcPr>
          <w:p>
            <w:pPr>
              <w:ind w:left="20"/>
              <w:spacing w:after="0"/>
              <w:rPr>
                <w:sz w:val="20"/>
                <w:szCs w:val="20"/>
                <w:color w:val="auto"/>
              </w:rPr>
            </w:pPr>
            <w:r>
              <w:rPr>
                <w:rFonts w:ascii="Arial" w:cs="Arial" w:eastAsia="Arial" w:hAnsi="Arial"/>
                <w:sz w:val="18"/>
                <w:szCs w:val="18"/>
                <w:color w:val="auto"/>
              </w:rPr>
              <w:t>Peter J. Federico</w:t>
            </w:r>
          </w:p>
        </w:tc>
        <w:tc>
          <w:tcPr>
            <w:tcW w:w="8140" w:type="dxa"/>
            <w:vAlign w:val="bottom"/>
          </w:tcPr>
          <w:p>
            <w:pPr>
              <w:jc w:val="center"/>
              <w:ind w:right="508"/>
              <w:spacing w:after="0"/>
              <w:rPr>
                <w:sz w:val="20"/>
                <w:szCs w:val="20"/>
                <w:color w:val="auto"/>
              </w:rPr>
            </w:pPr>
            <w:r>
              <w:rPr>
                <w:rFonts w:ascii="Arial" w:cs="Arial" w:eastAsia="Arial" w:hAnsi="Arial"/>
                <w:sz w:val="18"/>
                <w:szCs w:val="18"/>
                <w:color w:val="auto"/>
                <w:w w:val="91"/>
              </w:rPr>
              <w:t>President and Chief Executive Officer</w:t>
            </w:r>
          </w:p>
        </w:tc>
      </w:tr>
      <w:tr>
        <w:trPr>
          <w:trHeight w:val="297"/>
        </w:trPr>
        <w:tc>
          <w:tcPr>
            <w:tcW w:w="3100" w:type="dxa"/>
            <w:vAlign w:val="bottom"/>
          </w:tcPr>
          <w:p>
            <w:pPr>
              <w:ind w:left="20"/>
              <w:spacing w:after="0"/>
              <w:rPr>
                <w:sz w:val="20"/>
                <w:szCs w:val="20"/>
                <w:color w:val="auto"/>
              </w:rPr>
            </w:pPr>
            <w:r>
              <w:rPr>
                <w:rFonts w:ascii="Arial" w:cs="Arial" w:eastAsia="Arial" w:hAnsi="Arial"/>
                <w:sz w:val="18"/>
                <w:szCs w:val="18"/>
                <w:color w:val="auto"/>
              </w:rPr>
              <w:t>Gary D. Kain</w:t>
            </w:r>
          </w:p>
        </w:tc>
        <w:tc>
          <w:tcPr>
            <w:tcW w:w="8140" w:type="dxa"/>
            <w:vAlign w:val="bottom"/>
          </w:tcPr>
          <w:p>
            <w:pPr>
              <w:jc w:val="center"/>
              <w:ind w:right="488"/>
              <w:spacing w:after="0"/>
              <w:rPr>
                <w:sz w:val="20"/>
                <w:szCs w:val="20"/>
                <w:color w:val="auto"/>
              </w:rPr>
            </w:pPr>
            <w:r>
              <w:rPr>
                <w:rFonts w:ascii="Arial" w:cs="Arial" w:eastAsia="Arial" w:hAnsi="Arial"/>
                <w:sz w:val="18"/>
                <w:szCs w:val="18"/>
                <w:color w:val="auto"/>
                <w:w w:val="91"/>
              </w:rPr>
              <w:t>Executive Chair</w:t>
            </w:r>
          </w:p>
        </w:tc>
      </w:tr>
      <w:tr>
        <w:trPr>
          <w:trHeight w:val="283"/>
        </w:trPr>
        <w:tc>
          <w:tcPr>
            <w:tcW w:w="3100" w:type="dxa"/>
            <w:vAlign w:val="bottom"/>
          </w:tcPr>
          <w:p>
            <w:pPr>
              <w:ind w:left="20"/>
              <w:spacing w:after="0"/>
              <w:rPr>
                <w:sz w:val="20"/>
                <w:szCs w:val="20"/>
                <w:color w:val="auto"/>
              </w:rPr>
            </w:pPr>
            <w:r>
              <w:rPr>
                <w:rFonts w:ascii="Arial" w:cs="Arial" w:eastAsia="Arial" w:hAnsi="Arial"/>
                <w:sz w:val="18"/>
                <w:szCs w:val="18"/>
                <w:color w:val="auto"/>
              </w:rPr>
              <w:t>Christopher J. Kuehl</w:t>
            </w:r>
          </w:p>
        </w:tc>
        <w:tc>
          <w:tcPr>
            <w:tcW w:w="8140" w:type="dxa"/>
            <w:vAlign w:val="bottom"/>
          </w:tcPr>
          <w:p>
            <w:pPr>
              <w:jc w:val="center"/>
              <w:ind w:right="488"/>
              <w:spacing w:after="0"/>
              <w:rPr>
                <w:sz w:val="20"/>
                <w:szCs w:val="20"/>
                <w:color w:val="auto"/>
              </w:rPr>
            </w:pPr>
            <w:r>
              <w:rPr>
                <w:rFonts w:ascii="Arial" w:cs="Arial" w:eastAsia="Arial" w:hAnsi="Arial"/>
                <w:sz w:val="18"/>
                <w:szCs w:val="18"/>
                <w:color w:val="auto"/>
                <w:w w:val="91"/>
              </w:rPr>
              <w:t>Executive Vice President and Chief Investment Officer</w:t>
            </w:r>
          </w:p>
        </w:tc>
      </w:tr>
      <w:tr>
        <w:trPr>
          <w:trHeight w:val="351"/>
        </w:trPr>
        <w:tc>
          <w:tcPr>
            <w:tcW w:w="3100" w:type="dxa"/>
            <w:vAlign w:val="bottom"/>
          </w:tcPr>
          <w:p>
            <w:pPr>
              <w:ind w:left="20"/>
              <w:spacing w:after="0"/>
              <w:rPr>
                <w:sz w:val="20"/>
                <w:szCs w:val="20"/>
                <w:color w:val="auto"/>
              </w:rPr>
            </w:pPr>
            <w:r>
              <w:rPr>
                <w:rFonts w:ascii="Arial" w:cs="Arial" w:eastAsia="Arial" w:hAnsi="Arial"/>
                <w:sz w:val="18"/>
                <w:szCs w:val="18"/>
                <w:color w:val="auto"/>
              </w:rPr>
              <w:t>Bernice E. Bell</w:t>
            </w:r>
          </w:p>
        </w:tc>
        <w:tc>
          <w:tcPr>
            <w:tcW w:w="8140" w:type="dxa"/>
            <w:vAlign w:val="bottom"/>
          </w:tcPr>
          <w:p>
            <w:pPr>
              <w:jc w:val="center"/>
              <w:ind w:right="508"/>
              <w:spacing w:after="0"/>
              <w:rPr>
                <w:sz w:val="20"/>
                <w:szCs w:val="20"/>
                <w:color w:val="auto"/>
              </w:rPr>
            </w:pPr>
            <w:r>
              <w:rPr>
                <w:rFonts w:ascii="Arial" w:cs="Arial" w:eastAsia="Arial" w:hAnsi="Arial"/>
                <w:sz w:val="18"/>
                <w:szCs w:val="18"/>
                <w:color w:val="auto"/>
                <w:w w:val="91"/>
              </w:rPr>
              <w:t>Executive Vice President and Chief Financial Officer</w:t>
            </w:r>
          </w:p>
        </w:tc>
      </w:tr>
      <w:tr>
        <w:trPr>
          <w:trHeight w:val="351"/>
        </w:trPr>
        <w:tc>
          <w:tcPr>
            <w:tcW w:w="3100" w:type="dxa"/>
            <w:vAlign w:val="bottom"/>
          </w:tcPr>
          <w:p>
            <w:pPr>
              <w:ind w:left="20"/>
              <w:spacing w:after="0"/>
              <w:rPr>
                <w:sz w:val="20"/>
                <w:szCs w:val="20"/>
                <w:color w:val="auto"/>
              </w:rPr>
            </w:pPr>
            <w:r>
              <w:rPr>
                <w:rFonts w:ascii="Arial" w:cs="Arial" w:eastAsia="Arial" w:hAnsi="Arial"/>
                <w:sz w:val="18"/>
                <w:szCs w:val="18"/>
                <w:color w:val="auto"/>
              </w:rPr>
              <w:t>Kenneth L. Pollack</w:t>
            </w:r>
          </w:p>
        </w:tc>
        <w:tc>
          <w:tcPr>
            <w:tcW w:w="8140" w:type="dxa"/>
            <w:vAlign w:val="bottom"/>
          </w:tcPr>
          <w:p>
            <w:pPr>
              <w:jc w:val="center"/>
              <w:ind w:right="508"/>
              <w:spacing w:after="0"/>
              <w:rPr>
                <w:sz w:val="20"/>
                <w:szCs w:val="20"/>
                <w:color w:val="auto"/>
              </w:rPr>
            </w:pPr>
            <w:r>
              <w:rPr>
                <w:rFonts w:ascii="Arial" w:cs="Arial" w:eastAsia="Arial" w:hAnsi="Arial"/>
                <w:sz w:val="18"/>
                <w:szCs w:val="18"/>
                <w:color w:val="auto"/>
                <w:w w:val="90"/>
              </w:rPr>
              <w:t>Executive Vice President, General Counsel, Chief Compliance Officer, and Secretary</w:t>
            </w:r>
          </w:p>
        </w:tc>
      </w:tr>
      <w:tr>
        <w:trPr>
          <w:trHeight w:val="68"/>
        </w:trPr>
        <w:tc>
          <w:tcPr>
            <w:tcW w:w="3100" w:type="dxa"/>
            <w:vAlign w:val="bottom"/>
            <w:tcBorders>
              <w:bottom w:val="single" w:sz="8" w:color="auto"/>
            </w:tcBorders>
          </w:tcPr>
          <w:p>
            <w:pPr>
              <w:spacing w:after="0"/>
              <w:rPr>
                <w:sz w:val="5"/>
                <w:szCs w:val="5"/>
                <w:color w:val="auto"/>
              </w:rPr>
            </w:pPr>
          </w:p>
        </w:tc>
        <w:tc>
          <w:tcPr>
            <w:tcW w:w="8140" w:type="dxa"/>
            <w:vAlign w:val="bottom"/>
            <w:tcBorders>
              <w:bottom w:val="single" w:sz="8" w:color="auto"/>
            </w:tcBorders>
          </w:tcPr>
          <w:p>
            <w:pPr>
              <w:spacing w:after="0"/>
              <w:rPr>
                <w:sz w:val="5"/>
                <w:szCs w:val="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Summary</w:t>
      </w:r>
    </w:p>
    <w:p>
      <w:pPr>
        <w:spacing w:after="0" w:line="94" w:lineRule="exact"/>
        <w:rPr>
          <w:sz w:val="20"/>
          <w:szCs w:val="20"/>
          <w:color w:val="auto"/>
        </w:rPr>
      </w:pPr>
    </w:p>
    <w:p>
      <w:pPr>
        <w:ind w:right="520" w:firstLine="648"/>
        <w:spacing w:after="0" w:line="235" w:lineRule="auto"/>
        <w:rPr>
          <w:sz w:val="20"/>
          <w:szCs w:val="20"/>
          <w:color w:val="auto"/>
        </w:rPr>
      </w:pPr>
      <w:r>
        <w:rPr>
          <w:rFonts w:ascii="Arial" w:cs="Arial" w:eastAsia="Arial" w:hAnsi="Arial"/>
          <w:sz w:val="18"/>
          <w:szCs w:val="18"/>
          <w:color w:val="auto"/>
        </w:rPr>
        <w:t>This Compensation Discussion and Analysis provides information on our executive compensation philosophy, objectives, structure, and our process for setting compensation for our named executive officers, or NEOs.</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Overview</w:t>
      </w:r>
    </w:p>
    <w:p>
      <w:pPr>
        <w:spacing w:after="0" w:line="94" w:lineRule="exact"/>
        <w:rPr>
          <w:sz w:val="20"/>
          <w:szCs w:val="20"/>
          <w:color w:val="auto"/>
        </w:rPr>
      </w:pPr>
    </w:p>
    <w:p>
      <w:pPr>
        <w:jc w:val="both"/>
        <w:ind w:right="120" w:firstLine="648"/>
        <w:spacing w:after="0" w:line="241" w:lineRule="auto"/>
        <w:rPr>
          <w:sz w:val="20"/>
          <w:szCs w:val="20"/>
          <w:color w:val="auto"/>
        </w:rPr>
      </w:pPr>
      <w:r>
        <w:rPr>
          <w:rFonts w:ascii="Arial" w:cs="Arial" w:eastAsia="Arial" w:hAnsi="Arial"/>
          <w:sz w:val="16"/>
          <w:szCs w:val="16"/>
          <w:color w:val="auto"/>
        </w:rPr>
        <w:t>AGNC is a leading provider of private capital to the U.S. housing market, enhancing liquidity in the residential real estate mortgage markets and, in turn, facilitating home ownership in the U.S. AGNC is an internally managed REIT that invests predominantly in Agency residential mortgage-backed securities funded through a combination of equity capital and collateralized borrowings structured as repurchase agreements. We seek to provide investors</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with favorable long-term returns on a risk-adjusted basis through attractive monthly dividends, while maintaining the lowest operating cost structure among residential mortgage REITs. We generate income from the interest earned on our investment assets, net of associated borrowing and hedging costs, and net realized gains and losses on our investments and hedging activities. As such, our business operations are similar to investment managers that focus on fixed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income investments, although we exclusively invest AGNC’s capital rather than third-party client funds.</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Our Business in the Context of our Broader Industry</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We are the second largest residential mortgage REIT overall by market capitalization, total assets, and total equity when compared to the 18 other</w:t>
      </w:r>
    </w:p>
    <w:p>
      <w:pPr>
        <w:spacing w:after="0" w:line="21" w:lineRule="exact"/>
        <w:rPr>
          <w:sz w:val="20"/>
          <w:szCs w:val="20"/>
          <w:color w:val="auto"/>
        </w:rPr>
      </w:pPr>
    </w:p>
    <w:p>
      <w:pPr>
        <w:jc w:val="both"/>
        <w:ind w:right="80"/>
        <w:spacing w:after="0" w:line="216" w:lineRule="auto"/>
        <w:rPr>
          <w:sz w:val="20"/>
          <w:szCs w:val="20"/>
          <w:color w:val="auto"/>
        </w:rPr>
      </w:pPr>
      <w:r>
        <w:rPr>
          <w:rFonts w:ascii="Arial" w:cs="Arial" w:eastAsia="Arial" w:hAnsi="Arial"/>
          <w:sz w:val="16"/>
          <w:szCs w:val="16"/>
          <w:color w:val="auto"/>
        </w:rPr>
        <w:t>residential-focused mortgage REITs included in The Bloomberg Mortgage REIT Index (BBREMTG) as of December 31, 2022, and we refer to these other 18 REITs collectively as the “Resi mREIT Universe.”</w:t>
      </w:r>
      <w:r>
        <w:rPr>
          <w:rFonts w:ascii="Arial" w:cs="Arial" w:eastAsia="Arial" w:hAnsi="Arial"/>
          <w:sz w:val="20"/>
          <w:szCs w:val="20"/>
          <w:color w:val="auto"/>
          <w:vertAlign w:val="superscript"/>
        </w:rPr>
        <w:t>1</w:t>
      </w:r>
      <w:r>
        <w:rPr>
          <w:rFonts w:ascii="Arial" w:cs="Arial" w:eastAsia="Arial" w:hAnsi="Arial"/>
          <w:sz w:val="16"/>
          <w:szCs w:val="16"/>
          <w:color w:val="auto"/>
        </w:rPr>
        <w:t xml:space="preserve"> Some of these 18 REITs have an investment focus similar to AGNC, but most of these REITs have strategies that place a greater emphasis on credit-sensitive assets than our portfolio. Moreover, many of the mortgage REITs in the Resi mREIT Universe</w:t>
      </w:r>
    </w:p>
    <w:p>
      <w:pPr>
        <w:spacing w:after="0" w:line="2" w:lineRule="exact"/>
        <w:rPr>
          <w:sz w:val="20"/>
          <w:szCs w:val="20"/>
          <w:color w:val="auto"/>
        </w:rPr>
      </w:pPr>
    </w:p>
    <w:p>
      <w:pPr>
        <w:ind w:right="140"/>
        <w:spacing w:after="0" w:line="234" w:lineRule="auto"/>
        <w:rPr>
          <w:sz w:val="20"/>
          <w:szCs w:val="20"/>
          <w:color w:val="auto"/>
        </w:rPr>
      </w:pPr>
      <w:r>
        <w:rPr>
          <w:rFonts w:ascii="Arial" w:cs="Arial" w:eastAsia="Arial" w:hAnsi="Arial"/>
          <w:sz w:val="16"/>
          <w:szCs w:val="16"/>
          <w:color w:val="auto"/>
        </w:rPr>
        <w:t>are externally managed by a third party and pay the third party a management fee as a set percentage of equity (plus, in some cases, a performance incentive fee) in lieu of compensating employees directly. In an external management structure, the third-party manager, rather than the REIT, is responsible for the compensation and benefits of its executives and other employees, which are paid out of the management fee. As an internally managed</w:t>
      </w:r>
    </w:p>
    <w:p>
      <w:pPr>
        <w:spacing w:after="0" w:line="2" w:lineRule="exact"/>
        <w:rPr>
          <w:sz w:val="20"/>
          <w:szCs w:val="20"/>
          <w:color w:val="auto"/>
        </w:rPr>
      </w:pPr>
    </w:p>
    <w:p>
      <w:pPr>
        <w:ind w:right="400"/>
        <w:spacing w:after="0" w:line="218" w:lineRule="auto"/>
        <w:rPr>
          <w:sz w:val="20"/>
          <w:szCs w:val="20"/>
          <w:color w:val="auto"/>
        </w:rPr>
      </w:pPr>
      <w:r>
        <w:rPr>
          <w:rFonts w:ascii="Arial" w:cs="Arial" w:eastAsia="Arial" w:hAnsi="Arial"/>
          <w:sz w:val="18"/>
          <w:szCs w:val="18"/>
          <w:color w:val="auto"/>
        </w:rPr>
        <w:t>REIT, AGNC is directly responsible for determining executive compensation and providing disclosure regarding its compensation philosophy and programs. We believe our internal management structure allows us to closely align our compensation programs to our and our stockholders’ long-term interests.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1586865</wp:posOffset>
            </wp:positionV>
            <wp:extent cx="105410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05410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340" w:right="160" w:hanging="251"/>
        <w:spacing w:after="0" w:line="239" w:lineRule="auto"/>
        <w:tabs>
          <w:tab w:leader="none" w:pos="301" w:val="left"/>
        </w:tabs>
        <w:numPr>
          <w:ilvl w:val="0"/>
          <w:numId w:val="28"/>
        </w:numPr>
        <w:rPr>
          <w:rFonts w:ascii="Arial" w:cs="Arial" w:eastAsia="Arial" w:hAnsi="Arial"/>
          <w:sz w:val="14"/>
          <w:szCs w:val="14"/>
          <w:color w:val="auto"/>
        </w:rPr>
      </w:pPr>
      <w:r>
        <w:rPr>
          <w:rFonts w:ascii="Arial" w:cs="Arial" w:eastAsia="Arial" w:hAnsi="Arial"/>
          <w:sz w:val="14"/>
          <w:szCs w:val="14"/>
          <w:color w:val="auto"/>
        </w:rPr>
        <w:t>The residential mREIT universe is unweighted and includes AG Mortgage Investment Trust, Inc. (“MITT”), Annaly Capital Management, Inc. (“NLY”), ARMOUR Residential REIT, Inc. (“ARR”), Chimera Investment Corporation (“CIM”), Dynex Capital, Inc. (“DX”), Cherry Hill Mortgage Investment Corporation (“CHMI”), Ellington Financial, Inc. (“EFC”), Ellington Residential Mortgage REIT (“EARN”), Great Ajax Corp. (“AJX”), Invesco Mortgage Capital Inc. (“IVR”), MFA Financial, Inc. (“MFA”), New York Mortgage Trust, Inc. (“NYMT”), Orchid Island Capital, Inc. ("ORC"), PennyMac Mortgage Investment Trust (“PMT”), Redwood Trust, Inc. (“RWT”), Rithm Capital Corp. (“RITM”), Two Harbors Investment Corp. (“TWO”), and Western Asset Mortgage Capital Corporation (“WMC”, and collectively, the “Resi mREIT Universe”).</w:t>
      </w:r>
    </w:p>
    <w:p>
      <w:pPr>
        <w:sectPr>
          <w:pgSz w:w="11900" w:h="16838" w:orient="portrait"/>
          <w:cols w:equalWidth="0" w:num="1">
            <w:col w:w="11240"/>
          </w:cols>
          <w:pgMar w:left="320" w:top="108" w:right="339" w:bottom="1440" w:gutter="0" w:footer="0" w:header="0"/>
        </w:sectPr>
      </w:pPr>
    </w:p>
    <w:p>
      <w:pPr>
        <w:spacing w:after="0" w:line="332"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type w:val="continuous"/>
        </w:sectPr>
      </w:pPr>
    </w:p>
    <w:bookmarkStart w:id="35" w:name="page36"/>
    <w:bookmarkEnd w:id="3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71" w:lineRule="exact"/>
        <w:rPr>
          <w:sz w:val="20"/>
          <w:szCs w:val="20"/>
          <w:color w:val="auto"/>
        </w:rPr>
      </w:pPr>
    </w:p>
    <w:p>
      <w:pPr>
        <w:jc w:val="both"/>
        <w:ind w:right="60" w:firstLine="648"/>
        <w:spacing w:after="0" w:line="224" w:lineRule="auto"/>
        <w:rPr>
          <w:sz w:val="20"/>
          <w:szCs w:val="20"/>
          <w:color w:val="auto"/>
        </w:rPr>
      </w:pPr>
      <w:r>
        <w:rPr>
          <w:rFonts w:ascii="Arial" w:cs="Arial" w:eastAsia="Arial" w:hAnsi="Arial"/>
          <w:sz w:val="18"/>
          <w:szCs w:val="18"/>
          <w:color w:val="auto"/>
        </w:rPr>
        <w:t>AGNC seeks to generate attractive risk-adjusted returns for our stockholders and offers a track-record of industry leading financial performance and the lowest cost operating structure in the residential mortgage REIT industry. Our value proposition to stockholders includes five key aspects of our business: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146685</wp:posOffset>
            </wp:positionV>
            <wp:extent cx="6652260" cy="42945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652260" cy="4294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340" w:right="40" w:hanging="251"/>
        <w:spacing w:after="0" w:line="230" w:lineRule="auto"/>
        <w:tabs>
          <w:tab w:leader="none" w:pos="341" w:val="left"/>
        </w:tabs>
        <w:numPr>
          <w:ilvl w:val="0"/>
          <w:numId w:val="29"/>
        </w:numPr>
        <w:rPr>
          <w:rFonts w:ascii="Arial" w:cs="Arial" w:eastAsia="Arial" w:hAnsi="Arial"/>
          <w:sz w:val="14"/>
          <w:szCs w:val="14"/>
          <w:color w:val="auto"/>
        </w:rPr>
      </w:pPr>
      <w:r>
        <w:rPr>
          <w:rFonts w:ascii="Arial" w:cs="Arial" w:eastAsia="Arial" w:hAnsi="Arial"/>
          <w:sz w:val="14"/>
          <w:szCs w:val="14"/>
          <w:color w:val="auto"/>
        </w:rPr>
        <w:t>Annualized total stock return is measured from AGNC’s IPO in 2008 through December 31, 2022. Total stock return over a period includes price appreciation and dividend reinvestment; dividends are assumed to be reinvested at the closing price of the security on the ex-dividend date. Source: Bloomberg.</w:t>
      </w:r>
    </w:p>
    <w:p>
      <w:pPr>
        <w:ind w:left="340" w:right="100" w:hanging="251"/>
        <w:spacing w:after="0" w:line="237" w:lineRule="auto"/>
        <w:tabs>
          <w:tab w:leader="none" w:pos="341" w:val="left"/>
        </w:tabs>
        <w:numPr>
          <w:ilvl w:val="0"/>
          <w:numId w:val="29"/>
        </w:numPr>
        <w:rPr>
          <w:rFonts w:ascii="Arial" w:cs="Arial" w:eastAsia="Arial" w:hAnsi="Arial"/>
          <w:sz w:val="14"/>
          <w:szCs w:val="14"/>
          <w:color w:val="auto"/>
        </w:rPr>
      </w:pPr>
      <w:r>
        <w:rPr>
          <w:rFonts w:ascii="Arial" w:cs="Arial" w:eastAsia="Arial" w:hAnsi="Arial"/>
          <w:sz w:val="14"/>
          <w:szCs w:val="14"/>
          <w:color w:val="auto"/>
        </w:rPr>
        <w:t>AGNC’s operating cost structure is based on average stockholders’ equity for the twelve-month period ended December 31, 2022; it includes compensation and benefits and general and administrative expenses.</w:t>
      </w:r>
    </w:p>
    <w:p>
      <w:pPr>
        <w:ind w:left="340" w:hanging="251"/>
        <w:spacing w:after="0" w:line="203" w:lineRule="auto"/>
        <w:tabs>
          <w:tab w:leader="none" w:pos="349" w:val="left"/>
        </w:tabs>
        <w:numPr>
          <w:ilvl w:val="0"/>
          <w:numId w:val="29"/>
        </w:numPr>
        <w:rPr>
          <w:rFonts w:ascii="Arial" w:cs="Arial" w:eastAsia="Arial" w:hAnsi="Arial"/>
          <w:sz w:val="14"/>
          <w:szCs w:val="14"/>
          <w:color w:val="auto"/>
        </w:rPr>
      </w:pPr>
      <w:r>
        <w:rPr>
          <w:rFonts w:ascii="Arial" w:cs="Arial" w:eastAsia="Arial" w:hAnsi="Arial"/>
          <w:sz w:val="14"/>
          <w:szCs w:val="14"/>
          <w:color w:val="auto"/>
        </w:rPr>
        <w:t>Duration is shown as of December 31, 2022; it is a model estimate of interest rate sensitivity measured in years as of a single point in time. AGNC</w:t>
      </w:r>
      <w:r>
        <w:rPr>
          <w:rFonts w:ascii="Arial" w:cs="Arial" w:eastAsia="Arial" w:hAnsi="Arial"/>
          <w:sz w:val="17"/>
          <w:szCs w:val="17"/>
          <w:color w:val="auto"/>
        </w:rPr>
        <w:t>’</w:t>
      </w:r>
      <w:r>
        <w:rPr>
          <w:rFonts w:ascii="Arial" w:cs="Arial" w:eastAsia="Arial" w:hAnsi="Arial"/>
          <w:sz w:val="14"/>
          <w:szCs w:val="14"/>
          <w:color w:val="auto"/>
        </w:rPr>
        <w:t>s Net Duration Gap is a measure of the difference between the interest rate sensitivity of our assets and our liabilities, inclusive of interest rate hedges.</w:t>
      </w:r>
    </w:p>
    <w:p>
      <w:pPr>
        <w:ind w:left="340" w:right="300" w:hanging="251"/>
        <w:spacing w:after="0" w:line="227" w:lineRule="auto"/>
        <w:tabs>
          <w:tab w:leader="none" w:pos="349" w:val="left"/>
        </w:tabs>
        <w:numPr>
          <w:ilvl w:val="0"/>
          <w:numId w:val="29"/>
        </w:numPr>
        <w:rPr>
          <w:rFonts w:ascii="Arial" w:cs="Arial" w:eastAsia="Arial" w:hAnsi="Arial"/>
          <w:sz w:val="14"/>
          <w:szCs w:val="14"/>
          <w:color w:val="auto"/>
        </w:rPr>
      </w:pPr>
      <w:r>
        <w:rPr>
          <w:rFonts w:ascii="Arial" w:cs="Arial" w:eastAsia="Arial" w:hAnsi="Arial"/>
          <w:sz w:val="14"/>
          <w:szCs w:val="14"/>
          <w:color w:val="auto"/>
        </w:rPr>
        <w:t>Hedge Ratio is shown as of December 31, 2022; it is measured as the ratio of interest rate swaps, swaptions, and net U.S. Treasury position to Agency repo, other debt, net TBA, and forward settling securities positions (at cost).</w:t>
      </w:r>
    </w:p>
    <w:p>
      <w:pPr>
        <w:ind w:left="340" w:hanging="251"/>
        <w:spacing w:after="0" w:line="233" w:lineRule="auto"/>
        <w:tabs>
          <w:tab w:leader="none" w:pos="340" w:val="left"/>
        </w:tabs>
        <w:numPr>
          <w:ilvl w:val="0"/>
          <w:numId w:val="29"/>
        </w:numPr>
        <w:rPr>
          <w:rFonts w:ascii="Arial" w:cs="Arial" w:eastAsia="Arial" w:hAnsi="Arial"/>
          <w:sz w:val="14"/>
          <w:szCs w:val="14"/>
          <w:color w:val="auto"/>
        </w:rPr>
      </w:pPr>
      <w:r>
        <w:rPr>
          <w:rFonts w:ascii="Arial" w:cs="Arial" w:eastAsia="Arial" w:hAnsi="Arial"/>
          <w:sz w:val="18"/>
          <w:szCs w:val="18"/>
          <w:color w:val="auto"/>
        </w:rPr>
        <w:t>“</w:t>
      </w:r>
      <w:r>
        <w:rPr>
          <w:rFonts w:ascii="Arial" w:cs="Arial" w:eastAsia="Arial" w:hAnsi="Arial"/>
          <w:sz w:val="14"/>
          <w:szCs w:val="14"/>
          <w:color w:val="auto"/>
        </w:rPr>
        <w:t>Agency residential mortgage REIT</w:t>
      </w:r>
      <w:r>
        <w:rPr>
          <w:rFonts w:ascii="Arial" w:cs="Arial" w:eastAsia="Arial" w:hAnsi="Arial"/>
          <w:sz w:val="18"/>
          <w:szCs w:val="18"/>
          <w:color w:val="auto"/>
        </w:rPr>
        <w:t xml:space="preserve">” </w:t>
      </w:r>
      <w:r>
        <w:rPr>
          <w:rFonts w:ascii="Arial" w:cs="Arial" w:eastAsia="Arial" w:hAnsi="Arial"/>
          <w:sz w:val="14"/>
          <w:szCs w:val="14"/>
          <w:color w:val="auto"/>
        </w:rPr>
        <w:t>includes issuers with greater than 90% of capital invested in Agency MBS.</w:t>
      </w:r>
    </w:p>
    <w:p>
      <w:pPr>
        <w:spacing w:after="0" w:line="200" w:lineRule="exact"/>
        <w:rPr>
          <w:sz w:val="20"/>
          <w:szCs w:val="20"/>
          <w:color w:val="auto"/>
        </w:rPr>
      </w:pPr>
    </w:p>
    <w:p>
      <w:pPr>
        <w:spacing w:after="0" w:line="375"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080"/>
          </w:cols>
          <w:pgMar w:left="320" w:top="108" w:right="499" w:bottom="1440" w:gutter="0" w:footer="0" w:header="0"/>
        </w:sectPr>
      </w:pPr>
    </w:p>
    <w:bookmarkStart w:id="36" w:name="page37"/>
    <w:bookmarkEnd w:id="3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7"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514985</wp:posOffset>
            </wp:positionV>
            <wp:extent cx="7140575" cy="340296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0575" cy="3402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407CCA"/>
        </w:rPr>
        <w:t>2022 Year in Review</w:t>
      </w:r>
    </w:p>
    <w:p>
      <w:pPr>
        <w:spacing w:after="0" w:line="200" w:lineRule="exact"/>
        <w:rPr>
          <w:sz w:val="20"/>
          <w:szCs w:val="20"/>
          <w:color w:val="auto"/>
        </w:rPr>
      </w:pPr>
    </w:p>
    <w:p>
      <w:pPr>
        <w:spacing w:after="0" w:line="272" w:lineRule="exact"/>
        <w:rPr>
          <w:sz w:val="20"/>
          <w:szCs w:val="20"/>
          <w:color w:val="auto"/>
        </w:rPr>
      </w:pPr>
    </w:p>
    <w:p>
      <w:pPr>
        <w:ind w:left="40" w:right="80" w:firstLine="567"/>
        <w:spacing w:after="0" w:line="241" w:lineRule="auto"/>
        <w:rPr>
          <w:sz w:val="20"/>
          <w:szCs w:val="20"/>
          <w:color w:val="auto"/>
        </w:rPr>
      </w:pPr>
      <w:r>
        <w:rPr>
          <w:rFonts w:ascii="Arial" w:cs="Arial" w:eastAsia="Arial" w:hAnsi="Arial"/>
          <w:sz w:val="17"/>
          <w:szCs w:val="17"/>
          <w:color w:val="auto"/>
        </w:rPr>
        <w:t>In 2022, financial markets endured a difficult transition resulting from the Federal Reserve (the “Fed”) policy pivot from an extremely accommodative policy following the Pandemic and the associated economic impact to an aggressive tightening cycle to combat significant inflationary pressures. Interest rates across the yield curve rose materially as the Fed raised the Federal Funds rate by 4.25% in just nine months. The yield on ten-year U.S. Treasury securities rose by nearly 2.5%, generating a total return for these bonds of -15% in 2022, the worst annual performance in decades. In sharp market downturns, Agency MBS tend to initially underperform other fixed income asset classes, and 2022 was no exception. Agency MBS yield spreads to benchmark interest rates across all coupons reached historically wide levels, and the unlevered Bloomberg U.S. MBS Index total return for the year was -12%, its worst annual performance since the Index's inception in 1976.</w:t>
      </w:r>
    </w:p>
    <w:p>
      <w:pPr>
        <w:spacing w:after="0" w:line="219" w:lineRule="exact"/>
        <w:rPr>
          <w:sz w:val="20"/>
          <w:szCs w:val="20"/>
          <w:color w:val="auto"/>
        </w:rPr>
      </w:pPr>
    </w:p>
    <w:p>
      <w:pPr>
        <w:ind w:left="40" w:right="60" w:firstLine="567"/>
        <w:spacing w:after="0" w:line="235" w:lineRule="auto"/>
        <w:rPr>
          <w:sz w:val="20"/>
          <w:szCs w:val="20"/>
          <w:color w:val="auto"/>
        </w:rPr>
      </w:pPr>
      <w:r>
        <w:rPr>
          <w:rFonts w:ascii="Arial" w:cs="Arial" w:eastAsia="Arial" w:hAnsi="Arial"/>
          <w:sz w:val="17"/>
          <w:szCs w:val="17"/>
          <w:color w:val="auto"/>
        </w:rPr>
        <w:t>Against this challenging macroeconomic backdrop, AGNC posted an economic return of -28.4%, comprised of $1.44 of dividends per common share and a $5.91 decrease in tangible net book value per common share. The Company maintained its dividend of $0.12 per common share per month without change despite these economic headwinds. Although AGNC modestly underperformed our Agency REIT Peer Group</w:t>
      </w:r>
      <w:r>
        <w:rPr>
          <w:rFonts w:ascii="Arial" w:cs="Arial" w:eastAsia="Arial" w:hAnsi="Arial"/>
          <w:sz w:val="22"/>
          <w:szCs w:val="22"/>
          <w:color w:val="auto"/>
          <w:vertAlign w:val="superscript"/>
        </w:rPr>
        <w:t>1</w:t>
      </w:r>
      <w:r>
        <w:rPr>
          <w:rFonts w:ascii="Arial" w:cs="Arial" w:eastAsia="Arial" w:hAnsi="Arial"/>
          <w:sz w:val="17"/>
          <w:szCs w:val="17"/>
          <w:color w:val="auto"/>
        </w:rPr>
        <w:t xml:space="preserve"> on an economic return basis in 2022 (-28.4 % for AGNC vs. - % for our Agency REIT Peer Group), AGNC’s total stock return for the year materially exceeded the total stock return of the Agency REIT Peer Group (-22% for AGNC vs. -30% average for Agency REIT Peer Group members). AGNC's outperformance on a total stock return basis is even more notable over the three- and five-year horizons, in which it posted annualized total stock returns of -7% (versus -21% for the Agency REIT Peer Group average) and -2% (versus -14% for the Agency REIT Peer Group average), respectively. In addition, AGNC maintained the lowest operating expense ratio as a percentage of stockholders’ equity among residential mortgage REITs for the sixth consecutive year, comprising every full calendar year since AGNC’s internalization on July 1, 2016.</w:t>
      </w:r>
      <w:r>
        <w:rPr>
          <w:rFonts w:ascii="Arial" w:cs="Arial" w:eastAsia="Arial" w:hAnsi="Arial"/>
          <w:sz w:val="22"/>
          <w:szCs w:val="22"/>
          <w:color w:val="auto"/>
          <w:vertAlign w:val="superscript"/>
        </w:rPr>
        <w:t>2</w:t>
      </w:r>
    </w:p>
    <w:p>
      <w:pPr>
        <w:spacing w:after="0" w:line="136" w:lineRule="exact"/>
        <w:rPr>
          <w:sz w:val="20"/>
          <w:szCs w:val="20"/>
          <w:color w:val="auto"/>
        </w:rPr>
      </w:pPr>
    </w:p>
    <w:p>
      <w:pPr>
        <w:ind w:left="40" w:right="100" w:firstLine="567"/>
        <w:spacing w:after="0" w:line="266" w:lineRule="auto"/>
        <w:rPr>
          <w:sz w:val="20"/>
          <w:szCs w:val="20"/>
          <w:color w:val="auto"/>
        </w:rPr>
      </w:pPr>
      <w:r>
        <w:rPr>
          <w:rFonts w:ascii="Arial" w:cs="Arial" w:eastAsia="Arial" w:hAnsi="Arial"/>
          <w:sz w:val="16"/>
          <w:szCs w:val="16"/>
          <w:color w:val="auto"/>
        </w:rPr>
        <w:t>In addition, bolstering our primary focus on generating favorable risk-adjusted returns for our stockholders, AGNC executed upon a number of strategic and operational initiatives in 2022 to enhance our franchise value, including numerous operational measures implemented to improve operating efficiency and risk management processes, capital activities including accretive common and preferred equity issuances and common stock repurchases, continued improvement of our ESG and sustainability disclosure and practices, and enhancements of our corporate communications and investor outreach initiatives. These activities are described in greater detail in our Strategic and Operational Review on page 35.</w:t>
      </w:r>
    </w:p>
    <w:p>
      <w:pPr>
        <w:spacing w:after="0" w:line="83" w:lineRule="exact"/>
        <w:rPr>
          <w:sz w:val="20"/>
          <w:szCs w:val="20"/>
          <w:color w:val="auto"/>
        </w:rPr>
      </w:pPr>
    </w:p>
    <w:p>
      <w:pPr>
        <w:ind w:left="340" w:right="260" w:hanging="251"/>
        <w:spacing w:after="0" w:line="256" w:lineRule="auto"/>
        <w:tabs>
          <w:tab w:leader="none" w:pos="340" w:val="left"/>
        </w:tabs>
        <w:numPr>
          <w:ilvl w:val="0"/>
          <w:numId w:val="30"/>
        </w:numPr>
        <w:rPr>
          <w:rFonts w:ascii="Arial" w:cs="Arial" w:eastAsia="Arial" w:hAnsi="Arial"/>
          <w:sz w:val="14"/>
          <w:szCs w:val="14"/>
          <w:color w:val="auto"/>
        </w:rPr>
      </w:pPr>
      <w:r>
        <w:rPr>
          <w:rFonts w:ascii="Arial" w:cs="Arial" w:eastAsia="Arial" w:hAnsi="Arial"/>
          <w:sz w:val="14"/>
          <w:szCs w:val="14"/>
          <w:color w:val="auto"/>
        </w:rPr>
        <w:t>Our Agency REIT Peer Group is unweighted and includes Annaly Capital Management, Inc. (“NLY”), ARMOUR Residential REIT, Inc. (“ARR”), Dynex Capital, Inc. (“DX”), Invesco Mortgage Capital Inc. (“IVR”), Orchid Island Capital, Inc. ("ORC"), and Two Harbors Investment Corp. (“TWO” and collectively, the “Agency REIT Peer Group”).</w:t>
      </w:r>
    </w:p>
    <w:p>
      <w:pPr>
        <w:ind w:left="340" w:hanging="251"/>
        <w:spacing w:after="0" w:line="237" w:lineRule="auto"/>
        <w:tabs>
          <w:tab w:leader="none" w:pos="340" w:val="left"/>
        </w:tabs>
        <w:numPr>
          <w:ilvl w:val="0"/>
          <w:numId w:val="30"/>
        </w:numPr>
        <w:rPr>
          <w:rFonts w:ascii="Arial" w:cs="Arial" w:eastAsia="Arial" w:hAnsi="Arial"/>
          <w:sz w:val="16"/>
          <w:szCs w:val="16"/>
          <w:color w:val="auto"/>
        </w:rPr>
      </w:pPr>
      <w:r>
        <w:rPr>
          <w:rFonts w:ascii="Arial" w:cs="Arial" w:eastAsia="Arial" w:hAnsi="Arial"/>
          <w:sz w:val="13"/>
          <w:szCs w:val="13"/>
          <w:color w:val="auto"/>
        </w:rPr>
        <w:t>For mortgage REITs other than AGNC, cost structures are based on operating expenses and average stockholders’ equity (excluding noncontrolling interests, as applicable) over the applicable year as publicly reported by such REITs. Operating costs include expenses for compensation and benefits, management fees, incentive fees (if applicable), and G&amp;A and may include one-time or nonrecurring expenses. Operating costs exclude direct costs associated with operating activities, such as loan acquisition costs, securitization costs, servicing expenses, etc. to the extent publicly disclosed by such REITs. AGNC’s cost structure is based on operating expenses for the applicable year and average stockholders’ equity. AGNC’s net operating expense ratio includes compensation and benefits and G&amp;A, excludes non-cash amortization charges and nonrecurring cash expenses associated with the Company</w:t>
      </w:r>
      <w:r>
        <w:rPr>
          <w:rFonts w:ascii="Arial" w:cs="Arial" w:eastAsia="Arial" w:hAnsi="Arial"/>
          <w:sz w:val="15"/>
          <w:szCs w:val="15"/>
          <w:color w:val="auto"/>
        </w:rPr>
        <w:t>’</w:t>
      </w:r>
      <w:r>
        <w:rPr>
          <w:rFonts w:ascii="Arial" w:cs="Arial" w:eastAsia="Arial" w:hAnsi="Arial"/>
          <w:sz w:val="13"/>
          <w:szCs w:val="13"/>
          <w:color w:val="auto"/>
        </w:rPr>
        <w:t>s internalization in 2016, and was net of management fee income from MTGE Investment Corp. during the period of AGNC’s management of MTGE Investment Corp.</w:t>
      </w:r>
    </w:p>
    <w:p>
      <w:pPr>
        <w:spacing w:after="0" w:line="200" w:lineRule="exact"/>
        <w:rPr>
          <w:sz w:val="20"/>
          <w:szCs w:val="20"/>
          <w:color w:val="auto"/>
        </w:rPr>
      </w:pPr>
    </w:p>
    <w:p>
      <w:pPr>
        <w:spacing w:after="0" w:line="246" w:lineRule="exact"/>
        <w:rPr>
          <w:sz w:val="20"/>
          <w:szCs w:val="20"/>
          <w:color w:val="auto"/>
        </w:rPr>
      </w:pPr>
    </w:p>
    <w:p>
      <w:pPr>
        <w:ind w:right="220" w:firstLine="648"/>
        <w:spacing w:after="0" w:line="274" w:lineRule="auto"/>
        <w:rPr>
          <w:sz w:val="20"/>
          <w:szCs w:val="20"/>
          <w:color w:val="auto"/>
        </w:rPr>
      </w:pPr>
      <w:r>
        <w:rPr>
          <w:rFonts w:ascii="Arial" w:cs="Arial" w:eastAsia="Arial" w:hAnsi="Arial"/>
          <w:sz w:val="17"/>
          <w:szCs w:val="17"/>
          <w:color w:val="auto"/>
        </w:rPr>
        <w:t>Despite the challenges faced in 2022, AGNC’s annualized total stock return since our IPO remains very favorable on an absolute basis at 10.1% and significantly exceeds the Bloomberg Mortgage REIT Index and relevant S&amp;P 500 industry groups (Financials and Real Estate).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37" w:name="page38"/>
    <w:bookmarkEnd w:id="3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41573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32320" cy="41573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340" w:right="520" w:hanging="251"/>
        <w:spacing w:after="0" w:line="253" w:lineRule="auto"/>
        <w:tabs>
          <w:tab w:leader="none" w:pos="346" w:val="left"/>
        </w:tabs>
        <w:numPr>
          <w:ilvl w:val="0"/>
          <w:numId w:val="31"/>
        </w:numPr>
        <w:rPr>
          <w:rFonts w:ascii="Arial" w:cs="Arial" w:eastAsia="Arial" w:hAnsi="Arial"/>
          <w:sz w:val="14"/>
          <w:szCs w:val="14"/>
          <w:color w:val="auto"/>
        </w:rPr>
      </w:pPr>
      <w:r>
        <w:rPr>
          <w:rFonts w:ascii="Arial" w:cs="Arial" w:eastAsia="Arial" w:hAnsi="Arial"/>
          <w:sz w:val="14"/>
          <w:szCs w:val="14"/>
          <w:color w:val="auto"/>
        </w:rPr>
        <w:t>Total stock return is measured from AGNC’s IPO through December 31, 2022. Total stock return over a period includes price appreciation and dividend reinvestment; dividends are assumed to be reinvested at the closing price of the security on the ex-dividend date. Source: Bloomberg.</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9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Compensation Program Objectives</w:t>
      </w:r>
    </w:p>
    <w:p>
      <w:pPr>
        <w:spacing w:after="0" w:line="77" w:lineRule="exact"/>
        <w:rPr>
          <w:sz w:val="20"/>
          <w:szCs w:val="20"/>
          <w:color w:val="auto"/>
        </w:rPr>
      </w:pPr>
    </w:p>
    <w:p>
      <w:pPr>
        <w:ind w:right="680" w:firstLine="648"/>
        <w:spacing w:after="0" w:line="235" w:lineRule="auto"/>
        <w:rPr>
          <w:sz w:val="20"/>
          <w:szCs w:val="20"/>
          <w:color w:val="auto"/>
        </w:rPr>
      </w:pPr>
      <w:r>
        <w:rPr>
          <w:rFonts w:ascii="Arial" w:cs="Arial" w:eastAsia="Arial" w:hAnsi="Arial"/>
          <w:sz w:val="18"/>
          <w:szCs w:val="18"/>
          <w:color w:val="auto"/>
        </w:rPr>
        <w:t>The compensation programs for all of our employees, including our NEOs, are designed to focus on key strategic and financial objectives including:</w:t>
      </w:r>
    </w:p>
    <w:p>
      <w:pPr>
        <w:spacing w:after="0" w:line="210" w:lineRule="exact"/>
        <w:rPr>
          <w:sz w:val="20"/>
          <w:szCs w:val="20"/>
          <w:color w:val="auto"/>
        </w:rPr>
      </w:pPr>
    </w:p>
    <w:tbl>
      <w:tblPr>
        <w:tblLayout w:type="fixed"/>
        <w:tblInd w:w="10" w:type="dxa"/>
        <w:tblCellMar>
          <w:top w:w="0" w:type="dxa"/>
          <w:left w:w="0" w:type="dxa"/>
          <w:bottom w:w="0" w:type="dxa"/>
          <w:right w:w="0" w:type="dxa"/>
        </w:tblCellMar>
      </w:tblPr>
      <w:tr>
        <w:trPr>
          <w:trHeight w:val="310"/>
        </w:trPr>
        <w:tc>
          <w:tcPr>
            <w:tcW w:w="2660" w:type="dxa"/>
            <w:vAlign w:val="bottom"/>
            <w:tcBorders>
              <w:top w:val="single" w:sz="8" w:color="407CCA"/>
              <w:left w:val="single" w:sz="8" w:color="407CCA"/>
              <w:bottom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Pay-for-Performance</w:t>
            </w:r>
          </w:p>
        </w:tc>
        <w:tc>
          <w:tcPr>
            <w:tcW w:w="8580" w:type="dxa"/>
            <w:vAlign w:val="bottom"/>
            <w:tcBorders>
              <w:top w:val="single" w:sz="8" w:color="407CCA"/>
              <w:bottom w:val="single" w:sz="8" w:color="407CCA"/>
              <w:right w:val="single" w:sz="8" w:color="407CCA"/>
            </w:tcBorders>
          </w:tcPr>
          <w:p>
            <w:pPr>
              <w:ind w:left="180"/>
              <w:spacing w:after="0"/>
              <w:rPr>
                <w:sz w:val="20"/>
                <w:szCs w:val="20"/>
                <w:color w:val="auto"/>
              </w:rPr>
            </w:pPr>
            <w:r>
              <w:rPr>
                <w:rFonts w:ascii="Arial" w:cs="Arial" w:eastAsia="Arial" w:hAnsi="Arial"/>
                <w:sz w:val="18"/>
                <w:szCs w:val="18"/>
                <w:color w:val="auto"/>
              </w:rPr>
              <w:t>Link compensation to achievement of short- and long-term financial and strategic goals</w:t>
            </w:r>
          </w:p>
        </w:tc>
      </w:tr>
      <w:tr>
        <w:trPr>
          <w:trHeight w:val="237"/>
        </w:trPr>
        <w:tc>
          <w:tcPr>
            <w:tcW w:w="2660" w:type="dxa"/>
            <w:vAlign w:val="bottom"/>
            <w:tcBorders>
              <w:left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Attraction and Retention</w:t>
            </w:r>
          </w:p>
        </w:tc>
        <w:tc>
          <w:tcPr>
            <w:tcW w:w="858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w w:val="96"/>
              </w:rPr>
              <w:t>Attract and retain a high-quality team with skills necessary to outperform industry peers and achieve AGNC’s</w:t>
            </w:r>
          </w:p>
        </w:tc>
      </w:tr>
      <w:tr>
        <w:trPr>
          <w:trHeight w:val="237"/>
        </w:trPr>
        <w:tc>
          <w:tcPr>
            <w:tcW w:w="300" w:type="dxa"/>
            <w:vAlign w:val="bottom"/>
            <w:tcBorders>
              <w:left w:val="single" w:sz="8" w:color="407CCA"/>
              <w:bottom w:val="single" w:sz="8" w:color="407CCA"/>
            </w:tcBorders>
            <w:shd w:val="clear" w:color="auto" w:fill="BFBFBF"/>
          </w:tcPr>
          <w:p>
            <w:pPr>
              <w:spacing w:after="0"/>
              <w:rPr>
                <w:sz w:val="20"/>
                <w:szCs w:val="20"/>
                <w:color w:val="auto"/>
              </w:rPr>
            </w:pPr>
          </w:p>
        </w:tc>
        <w:tc>
          <w:tcPr>
            <w:tcW w:w="2360" w:type="dxa"/>
            <w:vAlign w:val="bottom"/>
            <w:tcBorders>
              <w:bottom w:val="single" w:sz="8" w:color="407CCA"/>
              <w:right w:val="single" w:sz="8" w:color="407CCA"/>
            </w:tcBorders>
            <w:shd w:val="clear" w:color="auto" w:fill="BFBFBF"/>
          </w:tcPr>
          <w:p>
            <w:pPr>
              <w:spacing w:after="0"/>
              <w:rPr>
                <w:sz w:val="20"/>
                <w:szCs w:val="20"/>
                <w:color w:val="auto"/>
              </w:rPr>
            </w:pPr>
          </w:p>
        </w:tc>
        <w:tc>
          <w:tcPr>
            <w:tcW w:w="8580" w:type="dxa"/>
            <w:vAlign w:val="bottom"/>
            <w:tcBorders>
              <w:bottom w:val="single" w:sz="8" w:color="407CCA"/>
              <w:right w:val="single" w:sz="8" w:color="407CCA"/>
            </w:tcBorders>
          </w:tcPr>
          <w:p>
            <w:pPr>
              <w:ind w:left="180"/>
              <w:spacing w:after="0"/>
              <w:rPr>
                <w:sz w:val="20"/>
                <w:szCs w:val="20"/>
                <w:color w:val="auto"/>
              </w:rPr>
            </w:pPr>
            <w:r>
              <w:rPr>
                <w:rFonts w:ascii="Arial" w:cs="Arial" w:eastAsia="Arial" w:hAnsi="Arial"/>
                <w:sz w:val="18"/>
                <w:szCs w:val="18"/>
                <w:color w:val="auto"/>
              </w:rPr>
              <w:t>strategic objectives</w:t>
            </w:r>
          </w:p>
        </w:tc>
      </w:tr>
      <w:tr>
        <w:trPr>
          <w:trHeight w:val="243"/>
        </w:trPr>
        <w:tc>
          <w:tcPr>
            <w:tcW w:w="2660" w:type="dxa"/>
            <w:vAlign w:val="bottom"/>
            <w:tcBorders>
              <w:left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Alignment with Stockholders</w:t>
            </w:r>
          </w:p>
        </w:tc>
        <w:tc>
          <w:tcPr>
            <w:tcW w:w="858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w w:val="90"/>
              </w:rPr>
              <w:t>Align the interests of executive officers, employees, and stockholders by tying elements of realized compensation to</w:t>
            </w:r>
          </w:p>
        </w:tc>
      </w:tr>
      <w:tr>
        <w:trPr>
          <w:trHeight w:val="237"/>
        </w:trPr>
        <w:tc>
          <w:tcPr>
            <w:tcW w:w="300" w:type="dxa"/>
            <w:vAlign w:val="bottom"/>
            <w:tcBorders>
              <w:left w:val="single" w:sz="8" w:color="407CCA"/>
              <w:bottom w:val="single" w:sz="8" w:color="407CCA"/>
            </w:tcBorders>
            <w:shd w:val="clear" w:color="auto" w:fill="BFBFBF"/>
          </w:tcPr>
          <w:p>
            <w:pPr>
              <w:spacing w:after="0"/>
              <w:rPr>
                <w:sz w:val="20"/>
                <w:szCs w:val="20"/>
                <w:color w:val="auto"/>
              </w:rPr>
            </w:pPr>
          </w:p>
        </w:tc>
        <w:tc>
          <w:tcPr>
            <w:tcW w:w="2360" w:type="dxa"/>
            <w:vAlign w:val="bottom"/>
            <w:tcBorders>
              <w:bottom w:val="single" w:sz="8" w:color="407CCA"/>
              <w:right w:val="single" w:sz="8" w:color="407CCA"/>
            </w:tcBorders>
            <w:shd w:val="clear" w:color="auto" w:fill="BFBFBF"/>
          </w:tcPr>
          <w:p>
            <w:pPr>
              <w:spacing w:after="0"/>
              <w:rPr>
                <w:sz w:val="20"/>
                <w:szCs w:val="20"/>
                <w:color w:val="auto"/>
              </w:rPr>
            </w:pPr>
          </w:p>
        </w:tc>
        <w:tc>
          <w:tcPr>
            <w:tcW w:w="8580" w:type="dxa"/>
            <w:vAlign w:val="bottom"/>
            <w:tcBorders>
              <w:bottom w:val="single" w:sz="8" w:color="407CCA"/>
              <w:right w:val="single" w:sz="8" w:color="407CCA"/>
            </w:tcBorders>
          </w:tcPr>
          <w:p>
            <w:pPr>
              <w:ind w:left="180"/>
              <w:spacing w:after="0"/>
              <w:rPr>
                <w:sz w:val="20"/>
                <w:szCs w:val="20"/>
                <w:color w:val="auto"/>
              </w:rPr>
            </w:pPr>
            <w:r>
              <w:rPr>
                <w:rFonts w:ascii="Arial" w:cs="Arial" w:eastAsia="Arial" w:hAnsi="Arial"/>
                <w:sz w:val="18"/>
                <w:szCs w:val="18"/>
                <w:color w:val="auto"/>
              </w:rPr>
              <w:t>stockholder value</w:t>
            </w:r>
          </w:p>
        </w:tc>
      </w:tr>
      <w:tr>
        <w:trPr>
          <w:trHeight w:val="243"/>
        </w:trPr>
        <w:tc>
          <w:tcPr>
            <w:tcW w:w="2660" w:type="dxa"/>
            <w:vAlign w:val="bottom"/>
            <w:tcBorders>
              <w:left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Financial Efficiency</w:t>
            </w:r>
          </w:p>
        </w:tc>
        <w:tc>
          <w:tcPr>
            <w:tcW w:w="858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w w:val="94"/>
              </w:rPr>
              <w:t>Maintain a low-cost operating structure that maximizes financial efficiency from a tax, accounting, and cash flow</w:t>
            </w:r>
          </w:p>
        </w:tc>
      </w:tr>
      <w:tr>
        <w:trPr>
          <w:trHeight w:val="237"/>
        </w:trPr>
        <w:tc>
          <w:tcPr>
            <w:tcW w:w="300" w:type="dxa"/>
            <w:vAlign w:val="bottom"/>
            <w:tcBorders>
              <w:left w:val="single" w:sz="8" w:color="407CCA"/>
              <w:bottom w:val="single" w:sz="8" w:color="407CCA"/>
            </w:tcBorders>
            <w:shd w:val="clear" w:color="auto" w:fill="BFBFBF"/>
          </w:tcPr>
          <w:p>
            <w:pPr>
              <w:spacing w:after="0"/>
              <w:rPr>
                <w:sz w:val="20"/>
                <w:szCs w:val="20"/>
                <w:color w:val="auto"/>
              </w:rPr>
            </w:pPr>
          </w:p>
        </w:tc>
        <w:tc>
          <w:tcPr>
            <w:tcW w:w="2360" w:type="dxa"/>
            <w:vAlign w:val="bottom"/>
            <w:tcBorders>
              <w:bottom w:val="single" w:sz="8" w:color="407CCA"/>
              <w:right w:val="single" w:sz="8" w:color="407CCA"/>
            </w:tcBorders>
            <w:shd w:val="clear" w:color="auto" w:fill="BFBFBF"/>
          </w:tcPr>
          <w:p>
            <w:pPr>
              <w:spacing w:after="0"/>
              <w:rPr>
                <w:sz w:val="20"/>
                <w:szCs w:val="20"/>
                <w:color w:val="auto"/>
              </w:rPr>
            </w:pPr>
          </w:p>
        </w:tc>
        <w:tc>
          <w:tcPr>
            <w:tcW w:w="8580" w:type="dxa"/>
            <w:vAlign w:val="bottom"/>
            <w:tcBorders>
              <w:bottom w:val="single" w:sz="8" w:color="407CCA"/>
              <w:right w:val="single" w:sz="8" w:color="407CCA"/>
            </w:tcBorders>
          </w:tcPr>
          <w:p>
            <w:pPr>
              <w:ind w:left="180"/>
              <w:spacing w:after="0"/>
              <w:rPr>
                <w:sz w:val="20"/>
                <w:szCs w:val="20"/>
                <w:color w:val="auto"/>
              </w:rPr>
            </w:pPr>
            <w:r>
              <w:rPr>
                <w:rFonts w:ascii="Arial" w:cs="Arial" w:eastAsia="Arial" w:hAnsi="Arial"/>
                <w:sz w:val="18"/>
                <w:szCs w:val="18"/>
                <w:color w:val="auto"/>
              </w:rPr>
              <w:t>perspective</w:t>
            </w:r>
          </w:p>
        </w:tc>
      </w:tr>
      <w:tr>
        <w:trPr>
          <w:trHeight w:val="243"/>
        </w:trPr>
        <w:tc>
          <w:tcPr>
            <w:tcW w:w="2660" w:type="dxa"/>
            <w:vAlign w:val="bottom"/>
            <w:tcBorders>
              <w:left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Strong Compensation</w:t>
            </w:r>
          </w:p>
        </w:tc>
        <w:tc>
          <w:tcPr>
            <w:tcW w:w="8580" w:type="dxa"/>
            <w:vAlign w:val="bottom"/>
            <w:tcBorders>
              <w:right w:val="single" w:sz="8" w:color="407CCA"/>
            </w:tcBorders>
          </w:tcPr>
          <w:p>
            <w:pPr>
              <w:ind w:left="180"/>
              <w:spacing w:after="0"/>
              <w:rPr>
                <w:sz w:val="20"/>
                <w:szCs w:val="20"/>
                <w:color w:val="auto"/>
              </w:rPr>
            </w:pPr>
            <w:r>
              <w:rPr>
                <w:rFonts w:ascii="Arial" w:cs="Arial" w:eastAsia="Arial" w:hAnsi="Arial"/>
                <w:sz w:val="18"/>
                <w:szCs w:val="18"/>
                <w:color w:val="auto"/>
              </w:rPr>
              <w:t>Employ high quality practices in governance of executive compensation</w:t>
            </w:r>
          </w:p>
        </w:tc>
      </w:tr>
      <w:tr>
        <w:trPr>
          <w:trHeight w:val="239"/>
        </w:trPr>
        <w:tc>
          <w:tcPr>
            <w:tcW w:w="2660" w:type="dxa"/>
            <w:vAlign w:val="bottom"/>
            <w:tcBorders>
              <w:left w:val="single" w:sz="8" w:color="407CCA"/>
              <w:bottom w:val="single" w:sz="8" w:color="407CCA"/>
              <w:right w:val="single" w:sz="8" w:color="407CCA"/>
            </w:tcBorders>
            <w:gridSpan w:val="2"/>
            <w:shd w:val="clear" w:color="auto" w:fill="BFBFBF"/>
          </w:tcPr>
          <w:p>
            <w:pPr>
              <w:ind w:left="40"/>
              <w:spacing w:after="0"/>
              <w:rPr>
                <w:sz w:val="20"/>
                <w:szCs w:val="20"/>
                <w:color w:val="auto"/>
              </w:rPr>
            </w:pPr>
            <w:r>
              <w:rPr>
                <w:rFonts w:ascii="Arial" w:cs="Arial" w:eastAsia="Arial" w:hAnsi="Arial"/>
                <w:sz w:val="18"/>
                <w:szCs w:val="18"/>
                <w:b w:val="1"/>
                <w:bCs w:val="1"/>
                <w:color w:val="auto"/>
              </w:rPr>
              <w:t>Governance</w:t>
            </w:r>
          </w:p>
        </w:tc>
        <w:tc>
          <w:tcPr>
            <w:tcW w:w="8580" w:type="dxa"/>
            <w:vAlign w:val="bottom"/>
            <w:tcBorders>
              <w:bottom w:val="single" w:sz="8" w:color="407CCA"/>
              <w:right w:val="single" w:sz="8" w:color="407CCA"/>
            </w:tcBorders>
          </w:tcPr>
          <w:p>
            <w:pPr>
              <w:spacing w:after="0"/>
              <w:rPr>
                <w:sz w:val="20"/>
                <w:szCs w:val="20"/>
                <w:color w:val="auto"/>
              </w:rPr>
            </w:pPr>
          </w:p>
        </w:tc>
      </w:tr>
      <w:tr>
        <w:trPr>
          <w:trHeight w:val="620"/>
        </w:trPr>
        <w:tc>
          <w:tcPr>
            <w:tcW w:w="300" w:type="dxa"/>
            <w:vAlign w:val="bottom"/>
          </w:tcPr>
          <w:p>
            <w:pPr>
              <w:ind w:left="20"/>
              <w:spacing w:after="0"/>
              <w:rPr>
                <w:sz w:val="20"/>
                <w:szCs w:val="20"/>
                <w:color w:val="auto"/>
              </w:rPr>
            </w:pPr>
            <w:r>
              <w:rPr>
                <w:rFonts w:ascii="Arial" w:cs="Arial" w:eastAsia="Arial" w:hAnsi="Arial"/>
                <w:sz w:val="14"/>
                <w:szCs w:val="14"/>
                <w:color w:val="407CCA"/>
              </w:rPr>
              <w:t>28</w:t>
            </w:r>
          </w:p>
        </w:tc>
        <w:tc>
          <w:tcPr>
            <w:tcW w:w="10940" w:type="dxa"/>
            <w:vAlign w:val="bottom"/>
            <w:gridSpan w:val="2"/>
          </w:tcPr>
          <w:p>
            <w:pPr>
              <w:ind w:left="140"/>
              <w:spacing w:after="0"/>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tc>
      </w:tr>
      <w:tr>
        <w:trPr>
          <w:trHeight w:val="221"/>
        </w:trPr>
        <w:tc>
          <w:tcPr>
            <w:tcW w:w="300" w:type="dxa"/>
            <w:vAlign w:val="bottom"/>
            <w:tcBorders>
              <w:bottom w:val="single" w:sz="8" w:color="9A9A9A"/>
            </w:tcBorders>
          </w:tcPr>
          <w:p>
            <w:pPr>
              <w:spacing w:after="0"/>
              <w:rPr>
                <w:sz w:val="19"/>
                <w:szCs w:val="19"/>
                <w:color w:val="auto"/>
              </w:rPr>
            </w:pPr>
          </w:p>
        </w:tc>
        <w:tc>
          <w:tcPr>
            <w:tcW w:w="2360" w:type="dxa"/>
            <w:vAlign w:val="bottom"/>
            <w:tcBorders>
              <w:bottom w:val="single" w:sz="8" w:color="9A9A9A"/>
            </w:tcBorders>
          </w:tcPr>
          <w:p>
            <w:pPr>
              <w:spacing w:after="0"/>
              <w:rPr>
                <w:sz w:val="19"/>
                <w:szCs w:val="19"/>
                <w:color w:val="auto"/>
              </w:rPr>
            </w:pPr>
          </w:p>
        </w:tc>
        <w:tc>
          <w:tcPr>
            <w:tcW w:w="8580" w:type="dxa"/>
            <w:vAlign w:val="bottom"/>
            <w:tcBorders>
              <w:bottom w:val="single" w:sz="8" w:color="9A9A9A"/>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7115810</wp:posOffset>
            </wp:positionH>
            <wp:positionV relativeFrom="paragraph">
              <wp:posOffset>-29210</wp:posOffset>
            </wp:positionV>
            <wp:extent cx="33655" cy="425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38" w:name="page39"/>
    <w:bookmarkEnd w:id="3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right="460" w:firstLine="648"/>
        <w:spacing w:after="0" w:line="258" w:lineRule="auto"/>
        <w:rPr>
          <w:sz w:val="20"/>
          <w:szCs w:val="20"/>
          <w:color w:val="auto"/>
        </w:rPr>
      </w:pPr>
      <w:r>
        <w:rPr>
          <w:rFonts w:ascii="Arial" w:cs="Arial" w:eastAsia="Arial" w:hAnsi="Arial"/>
          <w:sz w:val="17"/>
          <w:szCs w:val="17"/>
          <w:color w:val="auto"/>
        </w:rPr>
        <w:t>In support of these objectives, AGNC provides all of its employees total compensation in the form of base salary, annual performance-based incentives, and long-term incentive awards. The following describes the components of our NEO compensation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128270</wp:posOffset>
            </wp:positionV>
            <wp:extent cx="6172200" cy="54006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172200" cy="5400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 Engagement</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In 2022, 89% of our stockholders present or represented at the annual meeting and entitled to vote on the matter supported our advisory resolution</w:t>
      </w:r>
    </w:p>
    <w:p>
      <w:pPr>
        <w:spacing w:after="0" w:line="21" w:lineRule="exact"/>
        <w:rPr>
          <w:sz w:val="20"/>
          <w:szCs w:val="20"/>
          <w:color w:val="auto"/>
        </w:rPr>
      </w:pPr>
    </w:p>
    <w:p>
      <w:pPr>
        <w:ind w:right="300"/>
        <w:spacing w:after="0" w:line="226" w:lineRule="auto"/>
        <w:rPr>
          <w:sz w:val="20"/>
          <w:szCs w:val="20"/>
          <w:color w:val="auto"/>
        </w:rPr>
      </w:pPr>
      <w:r>
        <w:rPr>
          <w:rFonts w:ascii="Arial" w:cs="Arial" w:eastAsia="Arial" w:hAnsi="Arial"/>
          <w:sz w:val="18"/>
          <w:szCs w:val="18"/>
          <w:color w:val="auto"/>
        </w:rPr>
        <w:t>on executive compensation, which we believe reflects the positive support for the construction of our executive compensation program after taking into account stockholder feedback.</w:t>
      </w:r>
    </w:p>
    <w:p>
      <w:pPr>
        <w:spacing w:after="0" w:line="53" w:lineRule="exact"/>
        <w:rPr>
          <w:sz w:val="20"/>
          <w:szCs w:val="20"/>
          <w:color w:val="auto"/>
        </w:rPr>
      </w:pPr>
    </w:p>
    <w:p>
      <w:pPr>
        <w:ind w:left="660"/>
        <w:spacing w:after="0"/>
        <w:rPr>
          <w:sz w:val="20"/>
          <w:szCs w:val="20"/>
          <w:color w:val="auto"/>
        </w:rPr>
      </w:pPr>
      <w:r>
        <w:rPr>
          <w:rFonts w:ascii="Arial" w:cs="Arial" w:eastAsia="Arial" w:hAnsi="Arial"/>
          <w:sz w:val="17"/>
          <w:szCs w:val="17"/>
          <w:color w:val="auto"/>
        </w:rPr>
        <w:t>We value regular engagement with our stockholders, including through our quarterly earnings calls, investor conferences, fall and spring</w:t>
      </w:r>
    </w:p>
    <w:p>
      <w:pPr>
        <w:spacing w:after="0" w:line="10" w:lineRule="exact"/>
        <w:rPr>
          <w:sz w:val="20"/>
          <w:szCs w:val="20"/>
          <w:color w:val="auto"/>
        </w:rPr>
      </w:pPr>
    </w:p>
    <w:p>
      <w:pPr>
        <w:ind w:right="320"/>
        <w:spacing w:after="0" w:line="234" w:lineRule="auto"/>
        <w:rPr>
          <w:sz w:val="20"/>
          <w:szCs w:val="20"/>
          <w:color w:val="auto"/>
        </w:rPr>
      </w:pPr>
      <w:r>
        <w:rPr>
          <w:rFonts w:ascii="Arial" w:cs="Arial" w:eastAsia="Arial" w:hAnsi="Arial"/>
          <w:sz w:val="16"/>
          <w:szCs w:val="16"/>
          <w:color w:val="auto"/>
        </w:rPr>
        <w:t>engagement campaigns, and outreach through our Investor Relations department. We continued our robust program in 2022. Throughout the year, we participated in 11 investor conferences, including retail network calls hosted by research analysts, held over 125 meetings and calls with institutional investors, and responded to over 360 letters, emails, and calls from retail investors. We engaged with our retail investors through our Investor Relations</w:t>
      </w:r>
    </w:p>
    <w:p>
      <w:pPr>
        <w:spacing w:after="0" w:line="2" w:lineRule="exact"/>
        <w:rPr>
          <w:sz w:val="20"/>
          <w:szCs w:val="20"/>
          <w:color w:val="auto"/>
        </w:rPr>
      </w:pPr>
    </w:p>
    <w:p>
      <w:pPr>
        <w:ind w:right="360"/>
        <w:spacing w:after="0" w:line="234" w:lineRule="auto"/>
        <w:rPr>
          <w:sz w:val="20"/>
          <w:szCs w:val="20"/>
          <w:color w:val="auto"/>
        </w:rPr>
      </w:pPr>
      <w:r>
        <w:rPr>
          <w:rFonts w:ascii="Arial" w:cs="Arial" w:eastAsia="Arial" w:hAnsi="Arial"/>
          <w:sz w:val="16"/>
          <w:szCs w:val="16"/>
          <w:color w:val="auto"/>
        </w:rPr>
        <w:t>Department and as facilitated through collaboration with our proxy solicitor. In the Fall of 2022, we sought meetings with our top 50 institutional stockholders, who collectively hold 81% of our institutionally held common stock, and the two largest proxy advisory firms to engage on governance related topics, including executive compensation. Most of our institutional investors and the two proxy advisory firms declined our request, noting that</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there</w:t>
      </w:r>
    </w:p>
    <w:p>
      <w:pPr>
        <w:sectPr>
          <w:pgSz w:w="11900" w:h="16838" w:orient="portrait"/>
          <w:cols w:equalWidth="0" w:num="1">
            <w:col w:w="11220"/>
          </w:cols>
          <w:pgMar w:left="320" w:top="108" w:right="359" w:bottom="1440" w:gutter="0" w:footer="0" w:header="0"/>
        </w:sectPr>
      </w:pPr>
    </w:p>
    <w:p>
      <w:pPr>
        <w:spacing w:after="0" w:line="326"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39" w:name="page40"/>
    <w:bookmarkEnd w:id="3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was no need to engage this year. Stockholders with whom we met expressed support for our governance initiatives and our approach to ESG disclosure and did not voice concerns about our executive compensation program.</w:t>
      </w:r>
    </w:p>
    <w:p>
      <w:pPr>
        <w:spacing w:after="0" w:line="54"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We continuously work to improve our stockholder engagement efforts and value the feedback provided to us during this process. Engagement with our stockholders regarding our compensation policies and practices has played a significant role in the evolution of our compensation program.</w:t>
      </w:r>
    </w:p>
    <w:p>
      <w:pPr>
        <w:spacing w:after="0"/>
        <w:rPr>
          <w:sz w:val="20"/>
          <w:szCs w:val="20"/>
          <w:color w:val="auto"/>
        </w:rPr>
      </w:pPr>
      <w:r>
        <w:rPr>
          <w:rFonts w:ascii="Arial" w:cs="Arial" w:eastAsia="Arial" w:hAnsi="Arial"/>
          <w:sz w:val="18"/>
          <w:szCs w:val="18"/>
          <w:b w:val="1"/>
          <w:bCs w:val="1"/>
          <w:color w:val="auto"/>
        </w:rPr>
        <w:t>Summary of Compensation Changes in 2022</w:t>
      </w:r>
    </w:p>
    <w:p>
      <w:pPr>
        <w:spacing w:after="0" w:line="84"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The Compensation Committee continually evaluates our compensation program and considers stockholder feedback, industry trends, and</w:t>
      </w:r>
    </w:p>
    <w:p>
      <w:pPr>
        <w:spacing w:after="0"/>
        <w:rPr>
          <w:sz w:val="20"/>
          <w:szCs w:val="20"/>
          <w:color w:val="auto"/>
        </w:rPr>
      </w:pPr>
      <w:r>
        <w:rPr>
          <w:rFonts w:ascii="Arial" w:cs="Arial" w:eastAsia="Arial" w:hAnsi="Arial"/>
          <w:sz w:val="16"/>
          <w:szCs w:val="16"/>
          <w:color w:val="auto"/>
        </w:rPr>
        <w:t>comparative pay analysis. In 2021, the compensation packages for Messrs. Kain, Federico, and Kuehl were adjusted as a result of the promotion of Messrs.</w:t>
      </w:r>
    </w:p>
    <w:p>
      <w:pPr>
        <w:spacing w:after="0" w:line="5" w:lineRule="exact"/>
        <w:rPr>
          <w:sz w:val="20"/>
          <w:szCs w:val="20"/>
          <w:color w:val="auto"/>
        </w:rPr>
      </w:pPr>
    </w:p>
    <w:p>
      <w:pPr>
        <w:ind w:right="240"/>
        <w:spacing w:after="0" w:line="234" w:lineRule="auto"/>
        <w:rPr>
          <w:sz w:val="20"/>
          <w:szCs w:val="20"/>
          <w:color w:val="auto"/>
        </w:rPr>
      </w:pPr>
      <w:r>
        <w:rPr>
          <w:rFonts w:ascii="Arial" w:cs="Arial" w:eastAsia="Arial" w:hAnsi="Arial"/>
          <w:sz w:val="16"/>
          <w:szCs w:val="16"/>
          <w:color w:val="auto"/>
        </w:rPr>
        <w:t>Federico and Kuehl to the roles of Chief Executive Officer and Chief Investment Officer, respectively, and Mr. Kain’s transition to the role of Executive Chair. Messrs. Federico and Kuehl each received increases in their target bonus levels and their target LTI in 2021 commensurate with their mid-year promotions. Although no changes were made to the target compensation of Messrs. Kain, Federico, and Kuehl in 2022, their annual target compensation</w:t>
      </w:r>
    </w:p>
    <w:p>
      <w:pPr>
        <w:spacing w:after="0" w:line="2" w:lineRule="exact"/>
        <w:rPr>
          <w:sz w:val="20"/>
          <w:szCs w:val="20"/>
          <w:color w:val="auto"/>
        </w:rPr>
      </w:pPr>
    </w:p>
    <w:p>
      <w:pPr>
        <w:ind w:right="80"/>
        <w:spacing w:after="0" w:line="234" w:lineRule="auto"/>
        <w:rPr>
          <w:sz w:val="20"/>
          <w:szCs w:val="20"/>
          <w:color w:val="auto"/>
        </w:rPr>
      </w:pPr>
      <w:r>
        <w:rPr>
          <w:rFonts w:ascii="Arial" w:cs="Arial" w:eastAsia="Arial" w:hAnsi="Arial"/>
          <w:sz w:val="16"/>
          <w:szCs w:val="16"/>
          <w:color w:val="auto"/>
        </w:rPr>
        <w:t>changed relative to 2021 as 2022 compensation levels reflected a full-year of service in their new roles and with corresponding pay adjustments. Consequently, Mr. Federico’s target total direct compensation for 2021 was $7,000,000, and his target total direct compensation for 2022 was $9,000,000. Mr. Kain’s base salary, target bonus, and target LTI were reduced as a result of his transition to the role of Executive Chair of our Board and corresponding</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adjustment in his day-to-day responsibilities to the Company, though 67% of his LTI continues to be allocated to performance-based RSUs. Mr. Pollack and Ms. Bell were each promoted to Executive Vice President, and, after examining compensation practices at comparable companies and considering their roles and functions performed, the Compensation Committee also increased target annual compensation for them to the levels reflected in this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Compensation Discussion and Analysis.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Composition of NEO Compensation</w:t>
      </w:r>
    </w:p>
    <w:p>
      <w:pPr>
        <w:spacing w:after="0" w:line="81" w:lineRule="exact"/>
        <w:rPr>
          <w:sz w:val="20"/>
          <w:szCs w:val="20"/>
          <w:color w:val="auto"/>
        </w:rPr>
      </w:pPr>
    </w:p>
    <w:p>
      <w:pPr>
        <w:ind w:right="200" w:firstLine="648"/>
        <w:spacing w:after="0" w:line="248" w:lineRule="auto"/>
        <w:rPr>
          <w:sz w:val="20"/>
          <w:szCs w:val="20"/>
          <w:color w:val="auto"/>
        </w:rPr>
      </w:pPr>
      <w:r>
        <w:rPr>
          <w:rFonts w:ascii="Arial" w:cs="Arial" w:eastAsia="Arial" w:hAnsi="Arial"/>
          <w:sz w:val="18"/>
          <w:szCs w:val="18"/>
          <w:color w:val="auto"/>
        </w:rPr>
        <w:t>The Compensation Committee believes that incentive compensation should be a substantial component of each executive’s total compensation package. In 2022 all executives received at least 40% of their total compensation in the form of LTI, with 67% of LTI awards at target being performance vesting. The charts demonstrate the pay mix for our NEOs in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150495</wp:posOffset>
            </wp:positionV>
            <wp:extent cx="6172200" cy="33343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172200" cy="3334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40" w:name="page41"/>
    <w:bookmarkEnd w:id="4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Governance Practices</w:t>
      </w:r>
    </w:p>
    <w:p>
      <w:pPr>
        <w:spacing w:after="0" w:line="81" w:lineRule="exact"/>
        <w:rPr>
          <w:sz w:val="20"/>
          <w:szCs w:val="20"/>
          <w:color w:val="auto"/>
        </w:rPr>
      </w:pPr>
    </w:p>
    <w:p>
      <w:pPr>
        <w:ind w:left="880"/>
        <w:spacing w:after="0"/>
        <w:rPr>
          <w:sz w:val="20"/>
          <w:szCs w:val="20"/>
          <w:color w:val="auto"/>
        </w:rPr>
      </w:pPr>
      <w:r>
        <w:rPr>
          <w:rFonts w:ascii="Arial" w:cs="Arial" w:eastAsia="Arial" w:hAnsi="Arial"/>
          <w:sz w:val="18"/>
          <w:szCs w:val="18"/>
          <w:color w:val="auto"/>
        </w:rPr>
        <w:t>To support our compensation philosophy and objectives, we are committed to the following compensation governance practices:</w:t>
      </w:r>
    </w:p>
    <w:p>
      <w:pPr>
        <w:spacing w:after="0" w:line="198" w:lineRule="exact"/>
        <w:rPr>
          <w:sz w:val="20"/>
          <w:szCs w:val="20"/>
          <w:color w:val="auto"/>
        </w:rPr>
      </w:pPr>
    </w:p>
    <w:p>
      <w:pPr>
        <w:ind w:left="880"/>
        <w:spacing w:after="0"/>
        <w:rPr>
          <w:sz w:val="20"/>
          <w:szCs w:val="20"/>
          <w:color w:val="auto"/>
        </w:rPr>
      </w:pPr>
      <w:r>
        <w:rPr>
          <w:rFonts w:ascii="Arial" w:cs="Arial" w:eastAsia="Arial" w:hAnsi="Arial"/>
          <w:sz w:val="18"/>
          <w:szCs w:val="18"/>
          <w:i w:val="1"/>
          <w:iCs w:val="1"/>
          <w:color w:val="407CCA"/>
        </w:rPr>
        <w:t>What we do:</w:t>
      </w:r>
    </w:p>
    <w:p>
      <w:pPr>
        <w:spacing w:after="0" w:line="61" w:lineRule="exact"/>
        <w:rPr>
          <w:sz w:val="20"/>
          <w:szCs w:val="20"/>
          <w:color w:val="auto"/>
        </w:rPr>
      </w:pPr>
    </w:p>
    <w:p>
      <w:pPr>
        <w:ind w:left="880" w:hanging="321"/>
        <w:spacing w:after="0"/>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Focus on retention of high-performing employees</w:t>
      </w:r>
    </w:p>
    <w:p>
      <w:pPr>
        <w:ind w:left="880" w:hanging="321"/>
        <w:spacing w:after="0" w:line="219"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Pay for performance</w:t>
      </w:r>
    </w:p>
    <w:p>
      <w:pPr>
        <w:ind w:left="880" w:hanging="321"/>
        <w:spacing w:after="0" w:line="203"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Align executive and stockholder interests</w:t>
      </w:r>
    </w:p>
    <w:p>
      <w:pPr>
        <w:ind w:left="880" w:hanging="321"/>
        <w:spacing w:after="0" w:line="203"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Impose stock ownership guidelines for our executive officers</w:t>
      </w:r>
    </w:p>
    <w:p>
      <w:pPr>
        <w:ind w:left="880" w:hanging="321"/>
        <w:spacing w:after="0" w:line="219"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Prohibit our directors and executive officers from hedging, pledging, and short selling Company stock</w:t>
      </w:r>
    </w:p>
    <w:p>
      <w:pPr>
        <w:ind w:left="880" w:hanging="321"/>
        <w:spacing w:after="0" w:line="203"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Engage an independent compensation consultant</w:t>
      </w:r>
    </w:p>
    <w:p>
      <w:pPr>
        <w:ind w:left="880" w:hanging="321"/>
        <w:spacing w:after="0" w:line="203"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Maintain a clawback policy</w:t>
      </w:r>
    </w:p>
    <w:p>
      <w:pPr>
        <w:ind w:left="880" w:hanging="321"/>
        <w:spacing w:after="0" w:line="219" w:lineRule="auto"/>
        <w:tabs>
          <w:tab w:leader="none" w:pos="880" w:val="left"/>
        </w:tabs>
        <w:numPr>
          <w:ilvl w:val="0"/>
          <w:numId w:val="32"/>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auto"/>
        </w:rPr>
        <w:t>Provide long-term equity incentive compensation to all of our employees</w:t>
      </w:r>
    </w:p>
    <w:p>
      <w:pPr>
        <w:ind w:left="880" w:hanging="321"/>
        <w:spacing w:after="0"/>
        <w:tabs>
          <w:tab w:leader="none" w:pos="880" w:val="left"/>
        </w:tabs>
        <w:numPr>
          <w:ilvl w:val="0"/>
          <w:numId w:val="32"/>
        </w:numPr>
        <w:rPr>
          <w:rFonts w:ascii="MS PGothic" w:cs="MS PGothic" w:eastAsia="MS PGothic" w:hAnsi="MS PGothic"/>
          <w:sz w:val="17"/>
          <w:szCs w:val="17"/>
          <w:color w:val="auto"/>
          <w:shd w:val="clear" w:color="auto" w:fill="00A887"/>
        </w:rPr>
      </w:pPr>
      <w:r>
        <w:rPr>
          <w:rFonts w:ascii="Arial" w:cs="Arial" w:eastAsia="Arial" w:hAnsi="Arial"/>
          <w:sz w:val="17"/>
          <w:szCs w:val="17"/>
          <w:b w:val="1"/>
          <w:bCs w:val="1"/>
          <w:color w:val="auto"/>
        </w:rPr>
        <w:t>Conduct an annual review of our compensation program based on market conditions, performance, and stockholder feedback</w:t>
      </w:r>
    </w:p>
    <w:p>
      <w:pPr>
        <w:spacing w:after="0" w:line="180" w:lineRule="exact"/>
        <w:rPr>
          <w:sz w:val="20"/>
          <w:szCs w:val="20"/>
          <w:color w:val="auto"/>
        </w:rPr>
      </w:pPr>
    </w:p>
    <w:p>
      <w:pPr>
        <w:ind w:left="880"/>
        <w:spacing w:after="0"/>
        <w:rPr>
          <w:sz w:val="20"/>
          <w:szCs w:val="20"/>
          <w:color w:val="auto"/>
        </w:rPr>
      </w:pPr>
      <w:r>
        <w:rPr>
          <w:rFonts w:ascii="Arial" w:cs="Arial" w:eastAsia="Arial" w:hAnsi="Arial"/>
          <w:sz w:val="18"/>
          <w:szCs w:val="18"/>
          <w:i w:val="1"/>
          <w:iCs w:val="1"/>
          <w:color w:val="407CCA"/>
        </w:rPr>
        <w:t>What we don’t do:</w:t>
      </w:r>
    </w:p>
    <w:p>
      <w:pPr>
        <w:spacing w:after="0" w:line="79" w:lineRule="exact"/>
        <w:rPr>
          <w:sz w:val="20"/>
          <w:szCs w:val="20"/>
          <w:color w:val="auto"/>
        </w:rPr>
      </w:pPr>
    </w:p>
    <w:p>
      <w:pPr>
        <w:ind w:left="860" w:hanging="301"/>
        <w:spacing w:after="0"/>
        <w:tabs>
          <w:tab w:leader="none" w:pos="860" w:val="left"/>
        </w:tabs>
        <w:numPr>
          <w:ilvl w:val="0"/>
          <w:numId w:val="33"/>
        </w:numPr>
        <w:rPr>
          <w:rFonts w:ascii="Arial" w:cs="Arial" w:eastAsia="Arial" w:hAnsi="Arial"/>
          <w:sz w:val="20"/>
          <w:szCs w:val="20"/>
          <w:b w:val="1"/>
          <w:bCs w:val="1"/>
          <w:color w:val="FF0000"/>
        </w:rPr>
      </w:pPr>
      <w:r>
        <w:rPr>
          <w:rFonts w:ascii="Arial" w:cs="Arial" w:eastAsia="Arial" w:hAnsi="Arial"/>
          <w:sz w:val="18"/>
          <w:szCs w:val="18"/>
          <w:b w:val="1"/>
          <w:bCs w:val="1"/>
          <w:color w:val="auto"/>
        </w:rPr>
        <w:t>Pay based on a percentage of assets under management</w:t>
      </w:r>
    </w:p>
    <w:p>
      <w:pPr>
        <w:ind w:left="860" w:hanging="301"/>
        <w:spacing w:after="0" w:line="211"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Provide tax gross-ups</w:t>
      </w:r>
    </w:p>
    <w:p>
      <w:pPr>
        <w:ind w:left="860" w:hanging="301"/>
        <w:spacing w:after="0" w:line="197"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Provide special perquisites for executives</w:t>
      </w:r>
    </w:p>
    <w:p>
      <w:pPr>
        <w:ind w:left="860" w:hanging="301"/>
        <w:spacing w:after="0" w:line="211"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Maintain supplemental retirement benefit plans</w:t>
      </w:r>
    </w:p>
    <w:p>
      <w:pPr>
        <w:ind w:left="860" w:hanging="301"/>
        <w:spacing w:after="0" w:line="211"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Make option grants below fair market value</w:t>
      </w:r>
    </w:p>
    <w:p>
      <w:pPr>
        <w:ind w:left="860" w:hanging="301"/>
        <w:spacing w:after="0" w:line="197"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Reprice stock options</w:t>
      </w:r>
    </w:p>
    <w:p>
      <w:pPr>
        <w:ind w:left="860" w:hanging="301"/>
        <w:spacing w:after="0" w:line="223" w:lineRule="auto"/>
        <w:tabs>
          <w:tab w:leader="none" w:pos="860" w:val="left"/>
        </w:tabs>
        <w:numPr>
          <w:ilvl w:val="0"/>
          <w:numId w:val="33"/>
        </w:numPr>
        <w:rPr>
          <w:rFonts w:ascii="Arial" w:cs="Arial" w:eastAsia="Arial" w:hAnsi="Arial"/>
          <w:sz w:val="20"/>
          <w:szCs w:val="20"/>
          <w:b w:val="1"/>
          <w:bCs w:val="1"/>
          <w:i w:val="1"/>
          <w:iCs w:val="1"/>
          <w:color w:val="FF0000"/>
        </w:rPr>
      </w:pPr>
      <w:r>
        <w:rPr>
          <w:rFonts w:ascii="Arial" w:cs="Arial" w:eastAsia="Arial" w:hAnsi="Arial"/>
          <w:sz w:val="18"/>
          <w:szCs w:val="18"/>
          <w:b w:val="1"/>
          <w:bCs w:val="1"/>
          <w:color w:val="auto"/>
        </w:rPr>
        <w:t>Provide for “single-trigger” severance or vesting acceleration</w:t>
      </w:r>
    </w:p>
    <w:p>
      <w:pPr>
        <w:spacing w:after="0" w:line="333"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41" w:name="page42"/>
    <w:bookmarkEnd w:id="4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Compensation Program in Detail</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Program Elements</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Compensation Committee believes it is important to pay our NEOs in a manner that balances short- and long-term compensation and cash and</w:t>
      </w:r>
    </w:p>
    <w:p>
      <w:pPr>
        <w:spacing w:after="0" w:line="21" w:lineRule="exact"/>
        <w:rPr>
          <w:sz w:val="20"/>
          <w:szCs w:val="20"/>
          <w:color w:val="auto"/>
        </w:rPr>
      </w:pPr>
    </w:p>
    <w:p>
      <w:pPr>
        <w:ind w:right="20"/>
        <w:spacing w:after="0" w:line="226" w:lineRule="auto"/>
        <w:rPr>
          <w:sz w:val="20"/>
          <w:szCs w:val="20"/>
          <w:color w:val="auto"/>
        </w:rPr>
      </w:pPr>
      <w:r>
        <w:rPr>
          <w:rFonts w:ascii="Arial" w:cs="Arial" w:eastAsia="Arial" w:hAnsi="Arial"/>
          <w:sz w:val="18"/>
          <w:szCs w:val="18"/>
          <w:color w:val="auto"/>
        </w:rPr>
        <w:t>equity-based compensation. Our NEOs’ compensation program includes three primary elements: base salary, short-term incentives in the form of an annual cash bonus, and long-term equity incentives, with a significant portion subject to multi-year performance-based vesting.</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Compensation Committee’s philosophy on pay mix applies throughout the entire organization, with all AGNC employees receiving a portion</w:t>
      </w:r>
    </w:p>
    <w:p>
      <w:pPr>
        <w:spacing w:after="0" w:line="21" w:lineRule="exact"/>
        <w:rPr>
          <w:sz w:val="20"/>
          <w:szCs w:val="20"/>
          <w:color w:val="auto"/>
        </w:rPr>
      </w:pPr>
    </w:p>
    <w:p>
      <w:pPr>
        <w:ind w:right="120"/>
        <w:spacing w:after="0" w:line="234" w:lineRule="auto"/>
        <w:rPr>
          <w:sz w:val="20"/>
          <w:szCs w:val="20"/>
          <w:color w:val="auto"/>
        </w:rPr>
      </w:pPr>
      <w:r>
        <w:rPr>
          <w:rFonts w:ascii="Arial" w:cs="Arial" w:eastAsia="Arial" w:hAnsi="Arial"/>
          <w:sz w:val="16"/>
          <w:szCs w:val="16"/>
          <w:color w:val="auto"/>
        </w:rPr>
        <w:t>of their compensation in the form of short-term and long-term incentives. The proportion of an individual’s target total direct compensation opportunity in the form of variable incentive-based elements relative to fixed elements is directly correlated to the individual’s level of responsibility and role in the organization. Employees with greater seniority and greater responsibility have higher proportions of incentive-based compensation in their target mix.</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Similarly, within the incentive-based elements, the proportion of LTI generally corresponds with the individual’s level of responsibility in the organization.</w:t>
      </w:r>
    </w:p>
    <w:p>
      <w:pPr>
        <w:spacing w:after="0" w:line="300"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Base Salary</w:t>
      </w:r>
    </w:p>
    <w:p>
      <w:pPr>
        <w:spacing w:after="0" w:line="77" w:lineRule="exact"/>
        <w:rPr>
          <w:sz w:val="20"/>
          <w:szCs w:val="20"/>
          <w:color w:val="auto"/>
        </w:rPr>
      </w:pPr>
    </w:p>
    <w:p>
      <w:pPr>
        <w:ind w:right="180" w:firstLine="648"/>
        <w:spacing w:after="0" w:line="246" w:lineRule="auto"/>
        <w:rPr>
          <w:sz w:val="20"/>
          <w:szCs w:val="20"/>
          <w:color w:val="auto"/>
        </w:rPr>
      </w:pPr>
      <w:r>
        <w:rPr>
          <w:rFonts w:ascii="Arial" w:cs="Arial" w:eastAsia="Arial" w:hAnsi="Arial"/>
          <w:sz w:val="18"/>
          <w:szCs w:val="18"/>
          <w:color w:val="auto"/>
        </w:rPr>
        <w:t>Base salary provides a baseline level of cash compensation to our NEOs and is a fixed expense for the Company. The Compensation Committee established base salaries for our NEOs considering a variety of factors, including:</w:t>
      </w:r>
    </w:p>
    <w:p>
      <w:pPr>
        <w:spacing w:after="0" w:line="33" w:lineRule="exact"/>
        <w:rPr>
          <w:sz w:val="20"/>
          <w:szCs w:val="20"/>
          <w:color w:val="auto"/>
        </w:rPr>
      </w:pPr>
    </w:p>
    <w:p>
      <w:pPr>
        <w:ind w:left="880" w:hanging="315"/>
        <w:spacing w:after="0"/>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competitive market for executive officers</w:t>
      </w:r>
    </w:p>
    <w:p>
      <w:pPr>
        <w:ind w:left="880" w:hanging="315"/>
        <w:spacing w:after="0" w:line="219"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scope of each executive officer’s responsibilities</w:t>
      </w:r>
    </w:p>
    <w:p>
      <w:pPr>
        <w:ind w:left="880" w:hanging="315"/>
        <w:spacing w:after="0" w:line="203"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highly complex and unique services provided by our NEOs</w:t>
      </w:r>
    </w:p>
    <w:p>
      <w:pPr>
        <w:ind w:left="880" w:hanging="315"/>
        <w:spacing w:after="0" w:line="203"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desire to retain our NEOs</w:t>
      </w:r>
    </w:p>
    <w:p>
      <w:pPr>
        <w:ind w:left="880" w:hanging="315"/>
        <w:spacing w:after="0" w:line="219" w:lineRule="auto"/>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duties and responsibilities of the NEOs</w:t>
      </w:r>
    </w:p>
    <w:p>
      <w:pPr>
        <w:ind w:left="880" w:hanging="315"/>
        <w:spacing w:after="0"/>
        <w:tabs>
          <w:tab w:leader="none" w:pos="8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internal and external pay equity</w:t>
      </w:r>
    </w:p>
    <w:p>
      <w:pPr>
        <w:spacing w:after="0" w:line="169" w:lineRule="exact"/>
        <w:rPr>
          <w:sz w:val="20"/>
          <w:szCs w:val="20"/>
          <w:color w:val="auto"/>
        </w:rPr>
      </w:pPr>
    </w:p>
    <w:p>
      <w:pPr>
        <w:ind w:right="100" w:firstLine="648"/>
        <w:spacing w:after="0" w:line="248" w:lineRule="auto"/>
        <w:rPr>
          <w:sz w:val="20"/>
          <w:szCs w:val="20"/>
          <w:color w:val="auto"/>
        </w:rPr>
      </w:pPr>
      <w:r>
        <w:rPr>
          <w:rFonts w:ascii="Arial" w:cs="Arial" w:eastAsia="Arial" w:hAnsi="Arial"/>
          <w:sz w:val="16"/>
          <w:szCs w:val="16"/>
          <w:color w:val="auto"/>
        </w:rPr>
        <w:t>The Compensation Committee reviews the base salaries for our NEOs annually and at the time of a promotion or other change in responsibilities, and salaries may be adjusted after considering the above factors. The annual base salaries set forth in the table below are the minimum levels required in</w:t>
      </w:r>
    </w:p>
    <w:p>
      <w:pPr>
        <w:ind w:right="20"/>
        <w:spacing w:after="0" w:line="226" w:lineRule="auto"/>
        <w:rPr>
          <w:sz w:val="20"/>
          <w:szCs w:val="20"/>
          <w:color w:val="auto"/>
        </w:rPr>
      </w:pPr>
      <w:r>
        <w:rPr>
          <w:rFonts w:ascii="Arial" w:cs="Arial" w:eastAsia="Arial" w:hAnsi="Arial"/>
          <w:sz w:val="18"/>
          <w:szCs w:val="18"/>
          <w:color w:val="auto"/>
        </w:rPr>
        <w:t>each executive’s respective employment agreement. The base salary level for each of our NEOs was unchanged from 2021, with the exception of Mr. Kain, whose base salary in 2022 decreased as a result of his transition to the role of Executive Chair.</w:t>
      </w:r>
    </w:p>
    <w:p>
      <w:pPr>
        <w:spacing w:after="0" w:line="196" w:lineRule="exact"/>
        <w:rPr>
          <w:sz w:val="20"/>
          <w:szCs w:val="20"/>
          <w:color w:val="auto"/>
        </w:rPr>
      </w:pPr>
    </w:p>
    <w:tbl>
      <w:tblPr>
        <w:tblLayout w:type="fixed"/>
        <w:tblInd w:w="1680" w:type="dxa"/>
        <w:tblCellMar>
          <w:top w:w="0" w:type="dxa"/>
          <w:left w:w="0" w:type="dxa"/>
          <w:bottom w:w="0" w:type="dxa"/>
          <w:right w:w="0" w:type="dxa"/>
        </w:tblCellMar>
      </w:tblPr>
      <w:tr>
        <w:trPr>
          <w:trHeight w:val="243"/>
        </w:trPr>
        <w:tc>
          <w:tcPr>
            <w:tcW w:w="3720" w:type="dxa"/>
            <w:vAlign w:val="bottom"/>
            <w:tcBorders>
              <w:top w:val="single" w:sz="8" w:color="407CCA"/>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NEO</w:t>
            </w:r>
          </w:p>
        </w:tc>
        <w:tc>
          <w:tcPr>
            <w:tcW w:w="4180" w:type="dxa"/>
            <w:vAlign w:val="bottom"/>
            <w:tcBorders>
              <w:top w:val="single" w:sz="8" w:color="407CCA"/>
              <w:bottom w:val="single" w:sz="8" w:color="407CCA"/>
            </w:tcBorders>
          </w:tcPr>
          <w:p>
            <w:pPr>
              <w:jc w:val="center"/>
              <w:ind w:left="753"/>
              <w:spacing w:after="0"/>
              <w:rPr>
                <w:sz w:val="20"/>
                <w:szCs w:val="20"/>
                <w:color w:val="auto"/>
              </w:rPr>
            </w:pPr>
            <w:r>
              <w:rPr>
                <w:rFonts w:ascii="Arial" w:cs="Arial" w:eastAsia="Arial" w:hAnsi="Arial"/>
                <w:sz w:val="14"/>
                <w:szCs w:val="14"/>
                <w:b w:val="1"/>
                <w:bCs w:val="1"/>
                <w:color w:val="auto"/>
                <w:w w:val="92"/>
              </w:rPr>
              <w:t>2022 Base Salary</w:t>
            </w:r>
          </w:p>
        </w:tc>
      </w:tr>
      <w:tr>
        <w:trPr>
          <w:trHeight w:val="218"/>
        </w:trPr>
        <w:tc>
          <w:tcPr>
            <w:tcW w:w="3720" w:type="dxa"/>
            <w:vAlign w:val="bottom"/>
          </w:tcPr>
          <w:p>
            <w:pPr>
              <w:ind w:left="100"/>
              <w:spacing w:after="0"/>
              <w:rPr>
                <w:sz w:val="20"/>
                <w:szCs w:val="20"/>
                <w:color w:val="auto"/>
              </w:rPr>
            </w:pPr>
            <w:r>
              <w:rPr>
                <w:rFonts w:ascii="Arial" w:cs="Arial" w:eastAsia="Arial" w:hAnsi="Arial"/>
                <w:sz w:val="18"/>
                <w:szCs w:val="18"/>
                <w:b w:val="1"/>
                <w:bCs w:val="1"/>
                <w:color w:val="auto"/>
              </w:rPr>
              <w:t>Peter J. Federico</w:t>
            </w:r>
          </w:p>
        </w:tc>
        <w:tc>
          <w:tcPr>
            <w:tcW w:w="4180" w:type="dxa"/>
            <w:vAlign w:val="bottom"/>
          </w:tcPr>
          <w:p>
            <w:pPr>
              <w:jc w:val="center"/>
              <w:ind w:left="753"/>
              <w:spacing w:after="0"/>
              <w:rPr>
                <w:sz w:val="20"/>
                <w:szCs w:val="20"/>
                <w:color w:val="auto"/>
              </w:rPr>
            </w:pPr>
            <w:r>
              <w:rPr>
                <w:rFonts w:ascii="Arial" w:cs="Arial" w:eastAsia="Arial" w:hAnsi="Arial"/>
                <w:sz w:val="18"/>
                <w:szCs w:val="18"/>
                <w:color w:val="auto"/>
                <w:w w:val="87"/>
              </w:rPr>
              <w:t>$900,000</w:t>
            </w:r>
          </w:p>
        </w:tc>
      </w:tr>
      <w:tr>
        <w:trPr>
          <w:trHeight w:val="229"/>
        </w:trPr>
        <w:tc>
          <w:tcPr>
            <w:tcW w:w="3720" w:type="dxa"/>
            <w:vAlign w:val="bottom"/>
          </w:tcPr>
          <w:p>
            <w:pPr>
              <w:ind w:left="100"/>
              <w:spacing w:after="0"/>
              <w:rPr>
                <w:sz w:val="20"/>
                <w:szCs w:val="20"/>
                <w:color w:val="auto"/>
              </w:rPr>
            </w:pPr>
            <w:r>
              <w:rPr>
                <w:rFonts w:ascii="Arial" w:cs="Arial" w:eastAsia="Arial" w:hAnsi="Arial"/>
                <w:sz w:val="18"/>
                <w:szCs w:val="18"/>
                <w:b w:val="1"/>
                <w:bCs w:val="1"/>
                <w:color w:val="auto"/>
              </w:rPr>
              <w:t>Gary D. Kain</w:t>
            </w:r>
          </w:p>
        </w:tc>
        <w:tc>
          <w:tcPr>
            <w:tcW w:w="4180" w:type="dxa"/>
            <w:vAlign w:val="bottom"/>
          </w:tcPr>
          <w:p>
            <w:pPr>
              <w:jc w:val="center"/>
              <w:ind w:left="753"/>
              <w:spacing w:after="0"/>
              <w:rPr>
                <w:sz w:val="20"/>
                <w:szCs w:val="20"/>
                <w:color w:val="auto"/>
              </w:rPr>
            </w:pPr>
            <w:r>
              <w:rPr>
                <w:rFonts w:ascii="Arial" w:cs="Arial" w:eastAsia="Arial" w:hAnsi="Arial"/>
                <w:sz w:val="18"/>
                <w:szCs w:val="18"/>
                <w:color w:val="auto"/>
                <w:w w:val="87"/>
              </w:rPr>
              <w:t>$500,000</w:t>
            </w:r>
          </w:p>
        </w:tc>
      </w:tr>
      <w:tr>
        <w:trPr>
          <w:trHeight w:val="230"/>
        </w:trPr>
        <w:tc>
          <w:tcPr>
            <w:tcW w:w="3720" w:type="dxa"/>
            <w:vAlign w:val="bottom"/>
          </w:tcPr>
          <w:p>
            <w:pPr>
              <w:ind w:left="100"/>
              <w:spacing w:after="0"/>
              <w:rPr>
                <w:sz w:val="20"/>
                <w:szCs w:val="20"/>
                <w:color w:val="auto"/>
              </w:rPr>
            </w:pPr>
            <w:r>
              <w:rPr>
                <w:rFonts w:ascii="Arial" w:cs="Arial" w:eastAsia="Arial" w:hAnsi="Arial"/>
                <w:sz w:val="18"/>
                <w:szCs w:val="18"/>
                <w:b w:val="1"/>
                <w:bCs w:val="1"/>
                <w:color w:val="auto"/>
              </w:rPr>
              <w:t>Christopher J. Kuehl</w:t>
            </w:r>
          </w:p>
        </w:tc>
        <w:tc>
          <w:tcPr>
            <w:tcW w:w="4180" w:type="dxa"/>
            <w:vAlign w:val="bottom"/>
          </w:tcPr>
          <w:p>
            <w:pPr>
              <w:jc w:val="center"/>
              <w:ind w:left="753"/>
              <w:spacing w:after="0"/>
              <w:rPr>
                <w:sz w:val="20"/>
                <w:szCs w:val="20"/>
                <w:color w:val="auto"/>
              </w:rPr>
            </w:pPr>
            <w:r>
              <w:rPr>
                <w:rFonts w:ascii="Arial" w:cs="Arial" w:eastAsia="Arial" w:hAnsi="Arial"/>
                <w:sz w:val="18"/>
                <w:szCs w:val="18"/>
                <w:color w:val="auto"/>
                <w:w w:val="87"/>
              </w:rPr>
              <w:t>$900,000</w:t>
            </w:r>
          </w:p>
        </w:tc>
      </w:tr>
      <w:tr>
        <w:trPr>
          <w:trHeight w:val="230"/>
        </w:trPr>
        <w:tc>
          <w:tcPr>
            <w:tcW w:w="3720" w:type="dxa"/>
            <w:vAlign w:val="bottom"/>
          </w:tcPr>
          <w:p>
            <w:pPr>
              <w:ind w:left="100"/>
              <w:spacing w:after="0"/>
              <w:rPr>
                <w:sz w:val="20"/>
                <w:szCs w:val="20"/>
                <w:color w:val="auto"/>
              </w:rPr>
            </w:pPr>
            <w:r>
              <w:rPr>
                <w:rFonts w:ascii="Arial" w:cs="Arial" w:eastAsia="Arial" w:hAnsi="Arial"/>
                <w:sz w:val="18"/>
                <w:szCs w:val="18"/>
                <w:b w:val="1"/>
                <w:bCs w:val="1"/>
                <w:color w:val="auto"/>
              </w:rPr>
              <w:t>Bernice E. Bell</w:t>
            </w:r>
          </w:p>
        </w:tc>
        <w:tc>
          <w:tcPr>
            <w:tcW w:w="4180" w:type="dxa"/>
            <w:vAlign w:val="bottom"/>
          </w:tcPr>
          <w:p>
            <w:pPr>
              <w:jc w:val="center"/>
              <w:ind w:left="753"/>
              <w:spacing w:after="0"/>
              <w:rPr>
                <w:sz w:val="20"/>
                <w:szCs w:val="20"/>
                <w:color w:val="auto"/>
              </w:rPr>
            </w:pPr>
            <w:r>
              <w:rPr>
                <w:rFonts w:ascii="Arial" w:cs="Arial" w:eastAsia="Arial" w:hAnsi="Arial"/>
                <w:sz w:val="18"/>
                <w:szCs w:val="18"/>
                <w:color w:val="auto"/>
                <w:w w:val="87"/>
              </w:rPr>
              <w:t>$500,000</w:t>
            </w:r>
          </w:p>
        </w:tc>
      </w:tr>
      <w:tr>
        <w:trPr>
          <w:trHeight w:val="234"/>
        </w:trPr>
        <w:tc>
          <w:tcPr>
            <w:tcW w:w="3720" w:type="dxa"/>
            <w:vAlign w:val="bottom"/>
            <w:tcBorders>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Kenneth L. Pollack</w:t>
            </w:r>
          </w:p>
        </w:tc>
        <w:tc>
          <w:tcPr>
            <w:tcW w:w="4180" w:type="dxa"/>
            <w:vAlign w:val="bottom"/>
            <w:tcBorders>
              <w:bottom w:val="single" w:sz="8" w:color="407CCA"/>
            </w:tcBorders>
          </w:tcPr>
          <w:p>
            <w:pPr>
              <w:jc w:val="center"/>
              <w:ind w:left="753"/>
              <w:spacing w:after="0"/>
              <w:rPr>
                <w:sz w:val="20"/>
                <w:szCs w:val="20"/>
                <w:color w:val="auto"/>
              </w:rPr>
            </w:pPr>
            <w:r>
              <w:rPr>
                <w:rFonts w:ascii="Arial" w:cs="Arial" w:eastAsia="Arial" w:hAnsi="Arial"/>
                <w:sz w:val="18"/>
                <w:szCs w:val="18"/>
                <w:color w:val="auto"/>
                <w:w w:val="87"/>
              </w:rPr>
              <w:t>$500,000</w:t>
            </w:r>
          </w:p>
        </w:tc>
      </w:tr>
    </w:tbl>
    <w:p>
      <w:pPr>
        <w:spacing w:after="0" w:line="200" w:lineRule="exact"/>
        <w:rPr>
          <w:sz w:val="20"/>
          <w:szCs w:val="20"/>
          <w:color w:val="auto"/>
        </w:rPr>
      </w:pPr>
    </w:p>
    <w:p>
      <w:pPr>
        <w:spacing w:after="0" w:line="20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Annual Bonus</w:t>
      </w:r>
    </w:p>
    <w:p>
      <w:pPr>
        <w:spacing w:after="0" w:line="104" w:lineRule="exact"/>
        <w:rPr>
          <w:sz w:val="20"/>
          <w:szCs w:val="20"/>
          <w:color w:val="auto"/>
        </w:rPr>
      </w:pPr>
    </w:p>
    <w:p>
      <w:pPr>
        <w:ind w:right="80" w:firstLine="648"/>
        <w:spacing w:after="0" w:line="241" w:lineRule="auto"/>
        <w:rPr>
          <w:sz w:val="20"/>
          <w:szCs w:val="20"/>
          <w:color w:val="auto"/>
        </w:rPr>
      </w:pPr>
      <w:r>
        <w:rPr>
          <w:rFonts w:ascii="Arial" w:cs="Arial" w:eastAsia="Arial" w:hAnsi="Arial"/>
          <w:sz w:val="16"/>
          <w:szCs w:val="16"/>
          <w:color w:val="auto"/>
        </w:rPr>
        <w:t>The Compensation Committee has established performance criteria for short-term incentives that directly correspond to the areas of greatest impact to our short- and long-term performance and operations, creating a direct connection between business success and our NEOs’ compensation. Each NEO’s target for short-term incentive compensation, set forth in the table below, is determined based on an evaluation of the same factors used in setting</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base salaries.</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243"/>
        </w:trPr>
        <w:tc>
          <w:tcPr>
            <w:tcW w:w="3580" w:type="dxa"/>
            <w:vAlign w:val="bottom"/>
            <w:tcBorders>
              <w:top w:val="single" w:sz="8" w:color="407CCA"/>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NEO</w:t>
            </w:r>
          </w:p>
        </w:tc>
        <w:tc>
          <w:tcPr>
            <w:tcW w:w="4300" w:type="dxa"/>
            <w:vAlign w:val="bottom"/>
            <w:tcBorders>
              <w:top w:val="single" w:sz="8" w:color="407CCA"/>
              <w:bottom w:val="single" w:sz="8" w:color="407CCA"/>
            </w:tcBorders>
          </w:tcPr>
          <w:p>
            <w:pPr>
              <w:jc w:val="center"/>
              <w:ind w:left="933"/>
              <w:spacing w:after="0"/>
              <w:rPr>
                <w:sz w:val="20"/>
                <w:szCs w:val="20"/>
                <w:color w:val="auto"/>
              </w:rPr>
            </w:pPr>
            <w:r>
              <w:rPr>
                <w:rFonts w:ascii="Arial" w:cs="Arial" w:eastAsia="Arial" w:hAnsi="Arial"/>
                <w:sz w:val="14"/>
                <w:szCs w:val="14"/>
                <w:b w:val="1"/>
                <w:bCs w:val="1"/>
                <w:color w:val="auto"/>
                <w:w w:val="92"/>
              </w:rPr>
              <w:t>2021 Target Annual Bonus</w:t>
            </w:r>
          </w:p>
        </w:tc>
        <w:tc>
          <w:tcPr>
            <w:tcW w:w="332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4"/>
                <w:szCs w:val="14"/>
                <w:b w:val="1"/>
                <w:bCs w:val="1"/>
                <w:color w:val="auto"/>
                <w:w w:val="92"/>
              </w:rPr>
              <w:t>2022 Target Annual Bonus</w:t>
            </w:r>
          </w:p>
        </w:tc>
      </w:tr>
      <w:tr>
        <w:trPr>
          <w:trHeight w:val="217"/>
        </w:trPr>
        <w:tc>
          <w:tcPr>
            <w:tcW w:w="3580" w:type="dxa"/>
            <w:vAlign w:val="bottom"/>
          </w:tcPr>
          <w:p>
            <w:pPr>
              <w:ind w:left="100"/>
              <w:spacing w:after="0"/>
              <w:rPr>
                <w:sz w:val="20"/>
                <w:szCs w:val="20"/>
                <w:color w:val="auto"/>
              </w:rPr>
            </w:pPr>
            <w:r>
              <w:rPr>
                <w:rFonts w:ascii="Arial" w:cs="Arial" w:eastAsia="Arial" w:hAnsi="Arial"/>
                <w:sz w:val="18"/>
                <w:szCs w:val="18"/>
                <w:b w:val="1"/>
                <w:bCs w:val="1"/>
                <w:color w:val="auto"/>
              </w:rPr>
              <w:t>Peter J. Federico</w:t>
            </w:r>
          </w:p>
        </w:tc>
        <w:tc>
          <w:tcPr>
            <w:tcW w:w="4300" w:type="dxa"/>
            <w:vAlign w:val="bottom"/>
          </w:tcPr>
          <w:p>
            <w:pPr>
              <w:jc w:val="center"/>
              <w:ind w:left="913"/>
              <w:spacing w:after="0" w:line="216" w:lineRule="exact"/>
              <w:rPr>
                <w:sz w:val="20"/>
                <w:szCs w:val="20"/>
                <w:color w:val="auto"/>
              </w:rPr>
            </w:pPr>
            <w:r>
              <w:rPr>
                <w:rFonts w:ascii="Arial" w:cs="Arial" w:eastAsia="Arial" w:hAnsi="Arial"/>
                <w:sz w:val="18"/>
                <w:szCs w:val="18"/>
                <w:color w:val="auto"/>
                <w:w w:val="86"/>
              </w:rPr>
              <w:t xml:space="preserve">$2,700,000 </w:t>
            </w:r>
            <w:r>
              <w:rPr>
                <w:rFonts w:ascii="Arial" w:cs="Arial" w:eastAsia="Arial" w:hAnsi="Arial"/>
                <w:sz w:val="23"/>
                <w:szCs w:val="23"/>
                <w:color w:val="auto"/>
                <w:w w:val="86"/>
                <w:vertAlign w:val="superscript"/>
              </w:rPr>
              <w:t>1</w:t>
            </w:r>
          </w:p>
        </w:tc>
        <w:tc>
          <w:tcPr>
            <w:tcW w:w="3320" w:type="dxa"/>
            <w:vAlign w:val="bottom"/>
          </w:tcPr>
          <w:p>
            <w:pPr>
              <w:jc w:val="center"/>
              <w:spacing w:after="0"/>
              <w:rPr>
                <w:sz w:val="20"/>
                <w:szCs w:val="20"/>
                <w:color w:val="auto"/>
              </w:rPr>
            </w:pPr>
            <w:r>
              <w:rPr>
                <w:rFonts w:ascii="Arial" w:cs="Arial" w:eastAsia="Arial" w:hAnsi="Arial"/>
                <w:sz w:val="18"/>
                <w:szCs w:val="18"/>
                <w:color w:val="auto"/>
                <w:w w:val="90"/>
              </w:rPr>
              <w:t>$3,600,000</w:t>
            </w:r>
          </w:p>
        </w:tc>
      </w:tr>
      <w:tr>
        <w:trPr>
          <w:trHeight w:val="229"/>
        </w:trPr>
        <w:tc>
          <w:tcPr>
            <w:tcW w:w="3580" w:type="dxa"/>
            <w:vAlign w:val="bottom"/>
          </w:tcPr>
          <w:p>
            <w:pPr>
              <w:ind w:left="100"/>
              <w:spacing w:after="0"/>
              <w:rPr>
                <w:sz w:val="20"/>
                <w:szCs w:val="20"/>
                <w:color w:val="auto"/>
              </w:rPr>
            </w:pPr>
            <w:r>
              <w:rPr>
                <w:rFonts w:ascii="Arial" w:cs="Arial" w:eastAsia="Arial" w:hAnsi="Arial"/>
                <w:sz w:val="18"/>
                <w:szCs w:val="18"/>
                <w:b w:val="1"/>
                <w:bCs w:val="1"/>
                <w:color w:val="auto"/>
              </w:rPr>
              <w:t>Gary D. Kain</w:t>
            </w:r>
          </w:p>
        </w:tc>
        <w:tc>
          <w:tcPr>
            <w:tcW w:w="4300" w:type="dxa"/>
            <w:vAlign w:val="bottom"/>
          </w:tcPr>
          <w:p>
            <w:pPr>
              <w:jc w:val="center"/>
              <w:ind w:left="913"/>
              <w:spacing w:after="0" w:line="230" w:lineRule="exact"/>
              <w:rPr>
                <w:sz w:val="20"/>
                <w:szCs w:val="20"/>
                <w:color w:val="auto"/>
              </w:rPr>
            </w:pPr>
            <w:r>
              <w:rPr>
                <w:rFonts w:ascii="Arial" w:cs="Arial" w:eastAsia="Arial" w:hAnsi="Arial"/>
                <w:sz w:val="18"/>
                <w:szCs w:val="18"/>
                <w:color w:val="auto"/>
                <w:w w:val="86"/>
              </w:rPr>
              <w:t xml:space="preserve">$4,500,000 </w:t>
            </w:r>
            <w:r>
              <w:rPr>
                <w:rFonts w:ascii="Arial" w:cs="Arial" w:eastAsia="Arial" w:hAnsi="Arial"/>
                <w:sz w:val="23"/>
                <w:szCs w:val="23"/>
                <w:color w:val="auto"/>
                <w:w w:val="86"/>
                <w:vertAlign w:val="superscript"/>
              </w:rPr>
              <w:t>2</w:t>
            </w:r>
          </w:p>
        </w:tc>
        <w:tc>
          <w:tcPr>
            <w:tcW w:w="3320" w:type="dxa"/>
            <w:vAlign w:val="bottom"/>
          </w:tcPr>
          <w:p>
            <w:pPr>
              <w:jc w:val="center"/>
              <w:spacing w:after="0"/>
              <w:rPr>
                <w:sz w:val="20"/>
                <w:szCs w:val="20"/>
                <w:color w:val="auto"/>
              </w:rPr>
            </w:pPr>
            <w:r>
              <w:rPr>
                <w:rFonts w:ascii="Arial" w:cs="Arial" w:eastAsia="Arial" w:hAnsi="Arial"/>
                <w:sz w:val="18"/>
                <w:szCs w:val="18"/>
                <w:color w:val="auto"/>
                <w:w w:val="90"/>
              </w:rPr>
              <w:t>$3,600,000</w:t>
            </w:r>
          </w:p>
        </w:tc>
      </w:tr>
      <w:tr>
        <w:trPr>
          <w:trHeight w:val="231"/>
        </w:trPr>
        <w:tc>
          <w:tcPr>
            <w:tcW w:w="3580" w:type="dxa"/>
            <w:vAlign w:val="bottom"/>
          </w:tcPr>
          <w:p>
            <w:pPr>
              <w:ind w:left="100"/>
              <w:spacing w:after="0"/>
              <w:rPr>
                <w:sz w:val="20"/>
                <w:szCs w:val="20"/>
                <w:color w:val="auto"/>
              </w:rPr>
            </w:pPr>
            <w:r>
              <w:rPr>
                <w:rFonts w:ascii="Arial" w:cs="Arial" w:eastAsia="Arial" w:hAnsi="Arial"/>
                <w:sz w:val="18"/>
                <w:szCs w:val="18"/>
                <w:b w:val="1"/>
                <w:bCs w:val="1"/>
                <w:color w:val="auto"/>
              </w:rPr>
              <w:t>Christopher J. Kuehl</w:t>
            </w:r>
          </w:p>
        </w:tc>
        <w:tc>
          <w:tcPr>
            <w:tcW w:w="4300" w:type="dxa"/>
            <w:vAlign w:val="bottom"/>
          </w:tcPr>
          <w:p>
            <w:pPr>
              <w:jc w:val="center"/>
              <w:ind w:left="913"/>
              <w:spacing w:after="0" w:line="231" w:lineRule="exact"/>
              <w:rPr>
                <w:sz w:val="20"/>
                <w:szCs w:val="20"/>
                <w:color w:val="auto"/>
              </w:rPr>
            </w:pPr>
            <w:r>
              <w:rPr>
                <w:rFonts w:ascii="Arial" w:cs="Arial" w:eastAsia="Arial" w:hAnsi="Arial"/>
                <w:sz w:val="18"/>
                <w:szCs w:val="18"/>
                <w:color w:val="auto"/>
                <w:w w:val="86"/>
              </w:rPr>
              <w:t xml:space="preserve">$1,800,000 </w:t>
            </w:r>
            <w:r>
              <w:rPr>
                <w:rFonts w:ascii="Arial" w:cs="Arial" w:eastAsia="Arial" w:hAnsi="Arial"/>
                <w:sz w:val="23"/>
                <w:szCs w:val="23"/>
                <w:color w:val="auto"/>
                <w:w w:val="86"/>
                <w:vertAlign w:val="superscript"/>
              </w:rPr>
              <w:t>3</w:t>
            </w:r>
          </w:p>
        </w:tc>
        <w:tc>
          <w:tcPr>
            <w:tcW w:w="3320" w:type="dxa"/>
            <w:vAlign w:val="bottom"/>
          </w:tcPr>
          <w:p>
            <w:pPr>
              <w:jc w:val="center"/>
              <w:spacing w:after="0"/>
              <w:rPr>
                <w:sz w:val="20"/>
                <w:szCs w:val="20"/>
                <w:color w:val="auto"/>
              </w:rPr>
            </w:pPr>
            <w:r>
              <w:rPr>
                <w:rFonts w:ascii="Arial" w:cs="Arial" w:eastAsia="Arial" w:hAnsi="Arial"/>
                <w:sz w:val="18"/>
                <w:szCs w:val="18"/>
                <w:color w:val="auto"/>
                <w:w w:val="90"/>
              </w:rPr>
              <w:t>$2,000,000</w:t>
            </w:r>
          </w:p>
        </w:tc>
      </w:tr>
      <w:tr>
        <w:trPr>
          <w:trHeight w:val="230"/>
        </w:trPr>
        <w:tc>
          <w:tcPr>
            <w:tcW w:w="3580" w:type="dxa"/>
            <w:vAlign w:val="bottom"/>
          </w:tcPr>
          <w:p>
            <w:pPr>
              <w:ind w:left="100"/>
              <w:spacing w:after="0"/>
              <w:rPr>
                <w:sz w:val="20"/>
                <w:szCs w:val="20"/>
                <w:color w:val="auto"/>
              </w:rPr>
            </w:pPr>
            <w:r>
              <w:rPr>
                <w:rFonts w:ascii="Arial" w:cs="Arial" w:eastAsia="Arial" w:hAnsi="Arial"/>
                <w:sz w:val="18"/>
                <w:szCs w:val="18"/>
                <w:b w:val="1"/>
                <w:bCs w:val="1"/>
                <w:color w:val="auto"/>
              </w:rPr>
              <w:t>Bernice E. Bell</w:t>
            </w:r>
          </w:p>
        </w:tc>
        <w:tc>
          <w:tcPr>
            <w:tcW w:w="4300" w:type="dxa"/>
            <w:vAlign w:val="bottom"/>
          </w:tcPr>
          <w:p>
            <w:pPr>
              <w:jc w:val="center"/>
              <w:ind w:left="913"/>
              <w:spacing w:after="0"/>
              <w:rPr>
                <w:sz w:val="20"/>
                <w:szCs w:val="20"/>
                <w:color w:val="auto"/>
              </w:rPr>
            </w:pPr>
            <w:r>
              <w:rPr>
                <w:rFonts w:ascii="Arial" w:cs="Arial" w:eastAsia="Arial" w:hAnsi="Arial"/>
                <w:sz w:val="18"/>
                <w:szCs w:val="18"/>
                <w:color w:val="auto"/>
                <w:w w:val="90"/>
              </w:rPr>
              <w:t>$1,000,000</w:t>
            </w:r>
          </w:p>
        </w:tc>
        <w:tc>
          <w:tcPr>
            <w:tcW w:w="3320" w:type="dxa"/>
            <w:vAlign w:val="bottom"/>
          </w:tcPr>
          <w:p>
            <w:pPr>
              <w:jc w:val="center"/>
              <w:spacing w:after="0"/>
              <w:rPr>
                <w:sz w:val="20"/>
                <w:szCs w:val="20"/>
                <w:color w:val="auto"/>
              </w:rPr>
            </w:pPr>
            <w:r>
              <w:rPr>
                <w:rFonts w:ascii="Arial" w:cs="Arial" w:eastAsia="Arial" w:hAnsi="Arial"/>
                <w:sz w:val="18"/>
                <w:szCs w:val="18"/>
                <w:color w:val="auto"/>
                <w:w w:val="90"/>
              </w:rPr>
              <w:t>$1,250,000</w:t>
            </w:r>
          </w:p>
        </w:tc>
      </w:tr>
      <w:tr>
        <w:trPr>
          <w:trHeight w:val="234"/>
        </w:trPr>
        <w:tc>
          <w:tcPr>
            <w:tcW w:w="3580" w:type="dxa"/>
            <w:vAlign w:val="bottom"/>
            <w:tcBorders>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Kenneth L. Pollack</w:t>
            </w:r>
          </w:p>
        </w:tc>
        <w:tc>
          <w:tcPr>
            <w:tcW w:w="4300" w:type="dxa"/>
            <w:vAlign w:val="bottom"/>
            <w:tcBorders>
              <w:bottom w:val="single" w:sz="8" w:color="407CCA"/>
            </w:tcBorders>
          </w:tcPr>
          <w:p>
            <w:pPr>
              <w:jc w:val="right"/>
              <w:ind w:right="1193"/>
              <w:spacing w:after="0"/>
              <w:rPr>
                <w:sz w:val="20"/>
                <w:szCs w:val="20"/>
                <w:color w:val="auto"/>
              </w:rPr>
            </w:pPr>
            <w:r>
              <w:rPr>
                <w:rFonts w:ascii="Arial" w:cs="Arial" w:eastAsia="Arial" w:hAnsi="Arial"/>
                <w:sz w:val="18"/>
                <w:szCs w:val="18"/>
                <w:color w:val="auto"/>
              </w:rPr>
              <w:t>$850,000</w:t>
            </w:r>
          </w:p>
        </w:tc>
        <w:tc>
          <w:tcPr>
            <w:tcW w:w="332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$1,000,000</w:t>
            </w:r>
          </w:p>
        </w:tc>
      </w:tr>
    </w:tbl>
    <w:p>
      <w:pPr>
        <w:spacing w:after="0" w:line="76" w:lineRule="exact"/>
        <w:rPr>
          <w:sz w:val="20"/>
          <w:szCs w:val="20"/>
          <w:color w:val="auto"/>
        </w:rPr>
      </w:pPr>
    </w:p>
    <w:p>
      <w:pPr>
        <w:ind w:left="340" w:hanging="251"/>
        <w:spacing w:after="0" w:line="266" w:lineRule="auto"/>
        <w:tabs>
          <w:tab w:leader="none" w:pos="3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$1,800,000 for the period from January 1, 2021 through June 30, 2021 and $3,600,000 for the period from July 1, 2021 through December 31, 2021 corresponding to his promotion to Chief Executive Officer.</w:t>
      </w:r>
    </w:p>
    <w:p>
      <w:pPr>
        <w:ind w:left="340" w:hanging="251"/>
        <w:spacing w:after="0" w:line="251" w:lineRule="auto"/>
        <w:tabs>
          <w:tab w:leader="none" w:pos="3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$5,400,000 for the period from January 1, 2021 through June 30, 2021 and $3,600,000 for the period from July 1, 2021 through December 31, 2021 corresponding to his transition to Executive Chair.</w:t>
      </w:r>
    </w:p>
    <w:p>
      <w:pPr>
        <w:ind w:left="340" w:hanging="251"/>
        <w:spacing w:after="0" w:line="283" w:lineRule="auto"/>
        <w:tabs>
          <w:tab w:leader="none" w:pos="3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$1,600,000 for the period from January 1, 2021 through June 30, 2021 and $2,000,000 for the period from July 1, 2021 through December 31, 2021 corresponding to his promotion to Chief Investment Officer.</w:t>
      </w:r>
    </w:p>
    <w:p>
      <w:pPr>
        <w:spacing w:after="0" w:line="198" w:lineRule="exact"/>
        <w:rPr>
          <w:sz w:val="20"/>
          <w:szCs w:val="20"/>
          <w:color w:val="auto"/>
        </w:rPr>
      </w:pPr>
    </w:p>
    <w:p>
      <w:pPr>
        <w:ind w:right="120" w:firstLine="648"/>
        <w:spacing w:after="0" w:line="235" w:lineRule="auto"/>
        <w:rPr>
          <w:sz w:val="20"/>
          <w:szCs w:val="20"/>
          <w:color w:val="auto"/>
        </w:rPr>
      </w:pPr>
      <w:r>
        <w:rPr>
          <w:rFonts w:ascii="Arial" w:cs="Arial" w:eastAsia="Arial" w:hAnsi="Arial"/>
          <w:sz w:val="18"/>
          <w:szCs w:val="18"/>
          <w:color w:val="auto"/>
        </w:rPr>
        <w:t>The target bonuses for Messrs. Kain, Federico, and Kuehl in 2022 reflect the first full-year at their target levels following Mr. Kain’s transition to the role of Executive Chair and the promotion of Messrs. Federico and Kuehl to the roles of Chief Executive</w:t>
      </w:r>
    </w:p>
    <w:p>
      <w:pPr>
        <w:sectPr>
          <w:pgSz w:w="11900" w:h="16838" w:orient="portrait"/>
          <w:cols w:equalWidth="0" w:num="1">
            <w:col w:w="11220"/>
          </w:cols>
          <w:pgMar w:left="320" w:top="108" w:right="359" w:bottom="1440" w:gutter="0" w:footer="0" w:header="0"/>
        </w:sectPr>
      </w:pPr>
    </w:p>
    <w:p>
      <w:pPr>
        <w:spacing w:after="0" w:line="333"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3"/>
          <w:szCs w:val="13"/>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153035</wp:posOffset>
            </wp:positionV>
            <wp:extent cx="7157720" cy="4254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42" w:name="page43"/>
    <w:bookmarkEnd w:id="4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93" w:lineRule="exact"/>
        <w:rPr>
          <w:sz w:val="20"/>
          <w:szCs w:val="20"/>
          <w:color w:val="auto"/>
        </w:rPr>
      </w:pPr>
    </w:p>
    <w:p>
      <w:pPr>
        <w:ind w:right="100"/>
        <w:spacing w:after="0" w:line="241" w:lineRule="auto"/>
        <w:rPr>
          <w:sz w:val="20"/>
          <w:szCs w:val="20"/>
          <w:color w:val="auto"/>
        </w:rPr>
      </w:pPr>
      <w:r>
        <w:rPr>
          <w:rFonts w:ascii="Arial" w:cs="Arial" w:eastAsia="Arial" w:hAnsi="Arial"/>
          <w:sz w:val="16"/>
          <w:szCs w:val="16"/>
          <w:color w:val="auto"/>
        </w:rPr>
        <w:t>Officer and Chief Investment Officer, respectively, in July 2021. Compensation for each of Messrs. Kain, Federico, and Kuehl were pro-rated in 2021 to reflect their changed roles during the year. In 2022, the Compensation Committee also evaluated the compensation package provided to our other NEOs in consultation with FW Cook. As part of this review, the Compensation Committee examined compensation practices at comparable companies and</w:t>
      </w:r>
    </w:p>
    <w:p>
      <w:pPr>
        <w:spacing w:after="0" w:line="2" w:lineRule="exact"/>
        <w:rPr>
          <w:sz w:val="20"/>
          <w:szCs w:val="20"/>
          <w:color w:val="auto"/>
        </w:rPr>
      </w:pPr>
    </w:p>
    <w:p>
      <w:pPr>
        <w:ind w:right="580"/>
        <w:spacing w:after="0" w:line="268" w:lineRule="auto"/>
        <w:rPr>
          <w:sz w:val="20"/>
          <w:szCs w:val="20"/>
          <w:color w:val="auto"/>
        </w:rPr>
      </w:pPr>
      <w:r>
        <w:rPr>
          <w:rFonts w:ascii="Arial" w:cs="Arial" w:eastAsia="Arial" w:hAnsi="Arial"/>
          <w:sz w:val="16"/>
          <w:szCs w:val="16"/>
          <w:color w:val="auto"/>
        </w:rPr>
        <w:t>considered the scope of each NEO’s responsibilities. After considering these factors, the Compensation Committee determined it was appropriate to increase Ms. Bell’s bonus target to 250% of her base salary and increase Mr. Pollack's bonus target to 200% of his base salary for 2022.</w:t>
      </w:r>
    </w:p>
    <w:p>
      <w:pPr>
        <w:spacing w:after="0" w:line="2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Scorecard for Calculating Annual Bonus</w:t>
      </w:r>
    </w:p>
    <w:p>
      <w:pPr>
        <w:spacing w:after="0" w:line="94" w:lineRule="exact"/>
        <w:rPr>
          <w:sz w:val="20"/>
          <w:szCs w:val="20"/>
          <w:color w:val="auto"/>
        </w:rPr>
      </w:pPr>
    </w:p>
    <w:p>
      <w:pPr>
        <w:jc w:val="both"/>
        <w:ind w:right="60" w:firstLine="648"/>
        <w:spacing w:after="0" w:line="241" w:lineRule="auto"/>
        <w:rPr>
          <w:sz w:val="20"/>
          <w:szCs w:val="20"/>
          <w:color w:val="auto"/>
        </w:rPr>
      </w:pPr>
      <w:r>
        <w:rPr>
          <w:rFonts w:ascii="Arial" w:cs="Arial" w:eastAsia="Arial" w:hAnsi="Arial"/>
          <w:sz w:val="16"/>
          <w:szCs w:val="16"/>
          <w:color w:val="auto"/>
        </w:rPr>
        <w:t>The Compensation Committee uses a Corporate Scorecard to assist in its evaluation of NEO performance and awarding annual cash bonuses. The Corporate Scorecard establishes a framework that incentivizes and rewards behavior over a broad range of circumstances, and as described in greater detail below, the 2022 Corporate Scorecard was based on a mix of financial and strategic measures that corresponded to the core elements of our value</w:t>
      </w:r>
    </w:p>
    <w:p>
      <w:pPr>
        <w:spacing w:after="0" w:line="2" w:lineRule="exact"/>
        <w:rPr>
          <w:sz w:val="20"/>
          <w:szCs w:val="20"/>
          <w:color w:val="auto"/>
        </w:rPr>
      </w:pPr>
    </w:p>
    <w:p>
      <w:pPr>
        <w:ind w:right="240"/>
        <w:spacing w:after="0" w:line="234" w:lineRule="auto"/>
        <w:rPr>
          <w:sz w:val="20"/>
          <w:szCs w:val="20"/>
          <w:color w:val="auto"/>
        </w:rPr>
      </w:pPr>
      <w:r>
        <w:rPr>
          <w:rFonts w:ascii="Arial" w:cs="Arial" w:eastAsia="Arial" w:hAnsi="Arial"/>
          <w:sz w:val="16"/>
          <w:szCs w:val="16"/>
          <w:color w:val="auto"/>
        </w:rPr>
        <w:t>proposition for stockholders. We believe the goals and measures included in the Corporate Scorecard effectively align NEO short-term incentives with financial, strategic, and operational performance of greatest importance to our business. Under the 2022 Corporate Scorecard, actual payouts can range from 0% to 150% of target for each metric, with category and metric weights as assigned by the Compensation Committee, and payouts for performance</w:t>
      </w:r>
    </w:p>
    <w:p>
      <w:pPr>
        <w:spacing w:after="0" w:line="2" w:lineRule="exact"/>
        <w:rPr>
          <w:sz w:val="20"/>
          <w:szCs w:val="20"/>
          <w:color w:val="auto"/>
        </w:rPr>
      </w:pPr>
    </w:p>
    <w:p>
      <w:pPr>
        <w:ind w:right="240"/>
        <w:spacing w:after="0" w:line="218" w:lineRule="auto"/>
        <w:rPr>
          <w:sz w:val="20"/>
          <w:szCs w:val="20"/>
          <w:color w:val="auto"/>
        </w:rPr>
      </w:pPr>
      <w:r>
        <w:rPr>
          <w:rFonts w:ascii="Arial" w:cs="Arial" w:eastAsia="Arial" w:hAnsi="Arial"/>
          <w:sz w:val="18"/>
          <w:szCs w:val="18"/>
          <w:color w:val="auto"/>
        </w:rPr>
        <w:t>between the threshold and maximum level of each measure are determined through linear interpolation. The cash bonuses for Messrs. Kain and Federico were based solely on achievement of the Corporate Scorecard measures. The other NEOs’ short-term cash incentives were based predominantly on the Corporate Scorecard measures and to a lesser extent on personal performance.</w:t>
      </w:r>
    </w:p>
    <w:p>
      <w:pPr>
        <w:spacing w:after="0" w:line="28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2022 Corporate Scorecard</w:t>
      </w:r>
    </w:p>
    <w:p>
      <w:pPr>
        <w:spacing w:after="0" w:line="212" w:lineRule="exact"/>
        <w:rPr>
          <w:sz w:val="20"/>
          <w:szCs w:val="20"/>
          <w:color w:val="auto"/>
        </w:rPr>
      </w:pPr>
    </w:p>
    <w:p>
      <w:pPr>
        <w:ind w:right="80" w:firstLine="648"/>
        <w:spacing w:after="0" w:line="248" w:lineRule="auto"/>
        <w:rPr>
          <w:sz w:val="20"/>
          <w:szCs w:val="20"/>
          <w:color w:val="auto"/>
        </w:rPr>
      </w:pPr>
      <w:r>
        <w:rPr>
          <w:rFonts w:ascii="Arial" w:cs="Arial" w:eastAsia="Arial" w:hAnsi="Arial"/>
          <w:sz w:val="16"/>
          <w:szCs w:val="16"/>
          <w:color w:val="auto"/>
        </w:rPr>
        <w:t>The Compensation Committee annually reviews the appropriateness of the Corporate Scorecard and considers feedback from stockholders as part of their deliberations. In response to feedback received during investor outreach in prior years, we revised the Corporate Scorecard in 2019 to increase the</w:t>
      </w:r>
    </w:p>
    <w:p>
      <w:pPr>
        <w:jc w:val="both"/>
        <w:spacing w:after="0" w:line="234" w:lineRule="auto"/>
        <w:rPr>
          <w:sz w:val="20"/>
          <w:szCs w:val="20"/>
          <w:color w:val="auto"/>
        </w:rPr>
      </w:pPr>
      <w:r>
        <w:rPr>
          <w:rFonts w:ascii="Arial" w:cs="Arial" w:eastAsia="Arial" w:hAnsi="Arial"/>
          <w:sz w:val="16"/>
          <w:szCs w:val="16"/>
          <w:color w:val="auto"/>
        </w:rPr>
        <w:t>weighting of financial performance and realign the strategic and operational objectives more directly with the Company’s value proposition to stockholders. In 2020, we increased the rigor of the relative annual economic return measure by raising the base target to 1% (above peer group average) from 0% (equal to peer group average), with the threshold and outperformance bounds each also increased by 1% to reflect appropriate ranges based upon the historical</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distribution of results and other factors.</w:t>
      </w:r>
    </w:p>
    <w:p>
      <w:pPr>
        <w:spacing w:after="0" w:line="169" w:lineRule="exact"/>
        <w:rPr>
          <w:sz w:val="20"/>
          <w:szCs w:val="20"/>
          <w:color w:val="auto"/>
        </w:rPr>
      </w:pPr>
    </w:p>
    <w:p>
      <w:pPr>
        <w:jc w:val="both"/>
        <w:ind w:right="160" w:firstLine="648"/>
        <w:spacing w:after="0" w:line="248" w:lineRule="auto"/>
        <w:rPr>
          <w:sz w:val="20"/>
          <w:szCs w:val="20"/>
          <w:color w:val="auto"/>
        </w:rPr>
      </w:pPr>
      <w:r>
        <w:rPr>
          <w:rFonts w:ascii="Arial" w:cs="Arial" w:eastAsia="Arial" w:hAnsi="Arial"/>
          <w:sz w:val="16"/>
          <w:szCs w:val="16"/>
          <w:color w:val="auto"/>
        </w:rPr>
        <w:t>In conducting its annual review in January 2022, the Compensation Committee determined that it was appropriate to reallocate the weightings of the financial performance metrics. Prior to 2022, the financial performance metrics were weighted equally (25% each) among three components: (i)</w:t>
      </w:r>
    </w:p>
    <w:p>
      <w:pPr>
        <w:jc w:val="both"/>
        <w:ind w:right="160"/>
        <w:spacing w:after="0" w:line="234" w:lineRule="auto"/>
        <w:rPr>
          <w:sz w:val="20"/>
          <w:szCs w:val="20"/>
          <w:color w:val="auto"/>
        </w:rPr>
      </w:pPr>
      <w:r>
        <w:rPr>
          <w:rFonts w:ascii="Arial" w:cs="Arial" w:eastAsia="Arial" w:hAnsi="Arial"/>
          <w:sz w:val="16"/>
          <w:szCs w:val="16"/>
          <w:color w:val="auto"/>
        </w:rPr>
        <w:t>absolute annual economic return, (ii) relative annual economic return and (iii) relative price-to-tangible book ratio. For the 2022 Corporate Scorecard, the Compensation Committee adjusted the weightings to reduce relative price-to-tangible book ratio from 25% to 15% and increase relative annual economic return from 25% to 35%. The Compensation Committee concluded that revising the allocation among the relative measures to increase relative annual</w:t>
      </w:r>
    </w:p>
    <w:p>
      <w:pPr>
        <w:spacing w:after="0" w:line="2"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economic return better aligns the scorecard with the performance metrics prioritized by investors. In addition, the Compensation Committee determined that market conditions and stock price volatility among the Agency REIT Peer Group made the relative price-to-tangible book ratio a less reliable indicator of performance. The Compensation Committee also revised the strategic and operational metrics to include ESG factors as a standalone element, reflecting</w:t>
      </w:r>
    </w:p>
    <w:p>
      <w:pPr>
        <w:spacing w:after="0" w:line="231" w:lineRule="auto"/>
        <w:rPr>
          <w:sz w:val="20"/>
          <w:szCs w:val="20"/>
          <w:color w:val="auto"/>
        </w:rPr>
      </w:pPr>
      <w:r>
        <w:rPr>
          <w:rFonts w:ascii="Arial" w:cs="Arial" w:eastAsia="Arial" w:hAnsi="Arial"/>
          <w:sz w:val="16"/>
          <w:szCs w:val="16"/>
          <w:color w:val="auto"/>
        </w:rPr>
        <w:t>our increased focus on sustainability and human capital as discussed further on page 7. With these changes, the Compensation Committee determined that</w:t>
      </w:r>
    </w:p>
    <w:p>
      <w:pPr>
        <w:spacing w:after="0" w:line="229" w:lineRule="auto"/>
        <w:rPr>
          <w:sz w:val="20"/>
          <w:szCs w:val="20"/>
          <w:color w:val="auto"/>
        </w:rPr>
      </w:pPr>
      <w:r>
        <w:rPr>
          <w:rFonts w:ascii="Arial" w:cs="Arial" w:eastAsia="Arial" w:hAnsi="Arial"/>
          <w:sz w:val="16"/>
          <w:szCs w:val="16"/>
          <w:color w:val="auto"/>
        </w:rPr>
        <w:t>the other Corporate Scorecard measures and performance levels adopted in January 2020 and applied in 2021 remained appropriate for 2022 when taking</w:t>
      </w:r>
    </w:p>
    <w:p>
      <w:pPr>
        <w:spacing w:after="0"/>
        <w:rPr>
          <w:sz w:val="20"/>
          <w:szCs w:val="20"/>
          <w:color w:val="auto"/>
        </w:rPr>
      </w:pPr>
      <w:r>
        <w:rPr>
          <w:rFonts w:ascii="Arial" w:cs="Arial" w:eastAsia="Arial" w:hAnsi="Arial"/>
          <w:sz w:val="16"/>
          <w:szCs w:val="16"/>
          <w:color w:val="auto"/>
        </w:rPr>
        <w:t>into consideration numerous factors, including continued alignment of the Corporate Scorecard with the Compensation Committee’s overall compensation</w:t>
      </w:r>
    </w:p>
    <w:p>
      <w:pPr>
        <w:spacing w:after="0" w:line="5" w:lineRule="exact"/>
        <w:rPr>
          <w:sz w:val="20"/>
          <w:szCs w:val="20"/>
          <w:color w:val="auto"/>
        </w:rPr>
      </w:pPr>
    </w:p>
    <w:p>
      <w:pPr>
        <w:ind w:right="220"/>
        <w:spacing w:after="0" w:line="234" w:lineRule="auto"/>
        <w:rPr>
          <w:sz w:val="20"/>
          <w:szCs w:val="20"/>
          <w:color w:val="auto"/>
        </w:rPr>
      </w:pPr>
      <w:r>
        <w:rPr>
          <w:rFonts w:ascii="Arial" w:cs="Arial" w:eastAsia="Arial" w:hAnsi="Arial"/>
          <w:sz w:val="16"/>
          <w:szCs w:val="16"/>
          <w:color w:val="auto"/>
        </w:rPr>
        <w:t>philosophy, the level of rigor of the goals and objectives in light of market conditions, and relevant feedback from stockholders. As in prior years, the Compensation Committee set the financial measures for the Corporate Scorecard in January 2022 following an evaluation of historic performance over a five-year period, back-testing financial measures over this period to evaluate hypothetical payout levels when applying the Corporate Scorecard to those</w:t>
      </w:r>
    </w:p>
    <w:p>
      <w:pPr>
        <w:spacing w:after="0" w:line="2"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periods, and our high-level forecast. Although the outlook for financial markets remained uncertain at the outset of 2022, the Compensation Committee also weighed the value of maintaining consistency in measures. Following this review, the Compensation Committee concluded that the threshold, target, and outperformance levels for the Corporate Scorecard financial measures, weighted at 75% of the overall Corporate Scorecard, remained challenging for</w:t>
      </w:r>
    </w:p>
    <w:p>
      <w:pPr>
        <w:spacing w:after="0" w:line="2" w:lineRule="exact"/>
        <w:rPr>
          <w:sz w:val="20"/>
          <w:szCs w:val="20"/>
          <w:color w:val="auto"/>
        </w:rPr>
      </w:pPr>
    </w:p>
    <w:p>
      <w:pPr>
        <w:ind w:right="520"/>
        <w:spacing w:after="0" w:line="218" w:lineRule="auto"/>
        <w:rPr>
          <w:sz w:val="20"/>
          <w:szCs w:val="20"/>
          <w:color w:val="auto"/>
        </w:rPr>
      </w:pPr>
      <w:r>
        <w:rPr>
          <w:rFonts w:ascii="Arial" w:cs="Arial" w:eastAsia="Arial" w:hAnsi="Arial"/>
          <w:sz w:val="18"/>
          <w:szCs w:val="18"/>
          <w:color w:val="auto"/>
        </w:rPr>
        <w:t>2022 in a market environment marked by ongoing recovery from the Pandemic’s economic shocks, rapidly changing monetary policy, and continued economic uncertainty. The Compensation Committee also determined that it remained appropriate to continue including non-financial strategic and operational objectives weighted at 25% of the overall Corporate Scorecard.</w:t>
      </w:r>
    </w:p>
    <w:p>
      <w:pPr>
        <w:spacing w:after="0" w:line="176" w:lineRule="exact"/>
        <w:rPr>
          <w:sz w:val="20"/>
          <w:szCs w:val="20"/>
          <w:color w:val="auto"/>
        </w:rPr>
      </w:pPr>
    </w:p>
    <w:p>
      <w:pPr>
        <w:ind w:right="420" w:firstLine="648"/>
        <w:spacing w:after="0" w:line="235" w:lineRule="auto"/>
        <w:rPr>
          <w:sz w:val="20"/>
          <w:szCs w:val="20"/>
          <w:color w:val="auto"/>
        </w:rPr>
      </w:pPr>
      <w:r>
        <w:rPr>
          <w:rFonts w:ascii="Arial" w:cs="Arial" w:eastAsia="Arial" w:hAnsi="Arial"/>
          <w:sz w:val="18"/>
          <w:szCs w:val="18"/>
          <w:color w:val="auto"/>
        </w:rPr>
        <w:t>Our Corporate Scorecard was designed to incentivize and reward results over a broad range of circumstances through balanced weightings of absolute and relative financial performance and strategic and operational objectives.</w:t>
      </w:r>
    </w:p>
    <w:p>
      <w:pPr>
        <w:spacing w:after="0" w:line="333"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43" w:name="page44"/>
    <w:bookmarkEnd w:id="4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Financial Metrics (75% of Total Corporate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7132320" cy="14541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32320" cy="145415"/>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222885</wp:posOffset>
            </wp:positionV>
            <wp:extent cx="2263140" cy="1200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2263140" cy="120015"/>
                    </a:xfrm>
                    <a:prstGeom prst="rect">
                      <a:avLst/>
                    </a:prstGeom>
                    <a:noFill/>
                  </pic:spPr>
                </pic:pic>
              </a:graphicData>
            </a:graphic>
          </wp:anchor>
        </w:drawing>
      </w:r>
    </w:p>
    <w:p>
      <w:pPr>
        <w:spacing w:after="0" w:line="340" w:lineRule="exact"/>
        <w:rPr>
          <w:sz w:val="20"/>
          <w:szCs w:val="20"/>
          <w:color w:val="auto"/>
        </w:rPr>
      </w:pPr>
    </w:p>
    <w:p>
      <w:pPr>
        <w:ind w:left="8780"/>
        <w:spacing w:after="0"/>
        <w:rPr>
          <w:sz w:val="20"/>
          <w:szCs w:val="20"/>
          <w:color w:val="auto"/>
        </w:rPr>
      </w:pPr>
      <w:r>
        <w:rPr>
          <w:rFonts w:ascii="Arial" w:cs="Arial" w:eastAsia="Arial" w:hAnsi="Arial"/>
          <w:sz w:val="13"/>
          <w:szCs w:val="13"/>
          <w:b w:val="1"/>
          <w:bCs w:val="1"/>
          <w:color w:val="auto"/>
        </w:rPr>
        <w:t>Performance Continuum</w:t>
      </w:r>
    </w:p>
    <w:p>
      <w:pPr>
        <w:spacing w:after="0" w:line="16"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7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Category</w:t>
            </w:r>
          </w:p>
        </w:tc>
        <w:tc>
          <w:tcPr>
            <w:tcW w:w="61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7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3"/>
              </w:rPr>
              <w:t>Metric</w:t>
            </w:r>
          </w:p>
        </w:tc>
        <w:tc>
          <w:tcPr>
            <w:tcW w:w="9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860" w:type="dxa"/>
            <w:vAlign w:val="bottom"/>
            <w:shd w:val="clear" w:color="auto" w:fill="407CCA"/>
          </w:tcPr>
          <w:p>
            <w:pPr>
              <w:spacing w:after="0"/>
              <w:rPr>
                <w:sz w:val="13"/>
                <w:szCs w:val="13"/>
                <w:color w:val="auto"/>
              </w:rPr>
            </w:pPr>
          </w:p>
        </w:tc>
        <w:tc>
          <w:tcPr>
            <w:tcW w:w="800" w:type="dxa"/>
            <w:vAlign w:val="bottom"/>
            <w:shd w:val="clear" w:color="auto" w:fill="407CCA"/>
          </w:tcPr>
          <w:p>
            <w:pPr>
              <w:spacing w:after="0"/>
              <w:rPr>
                <w:sz w:val="13"/>
                <w:szCs w:val="13"/>
                <w:color w:val="auto"/>
              </w:rPr>
            </w:pPr>
          </w:p>
        </w:tc>
        <w:tc>
          <w:tcPr>
            <w:tcW w:w="9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7"/>
              </w:rPr>
              <w:t>Out-</w:t>
            </w:r>
          </w:p>
        </w:tc>
        <w:tc>
          <w:tcPr>
            <w:tcW w:w="0" w:type="dxa"/>
            <w:vAlign w:val="bottom"/>
          </w:tcPr>
          <w:p>
            <w:pPr>
              <w:spacing w:after="0"/>
              <w:rPr>
                <w:sz w:val="1"/>
                <w:szCs w:val="1"/>
                <w:color w:val="auto"/>
              </w:rPr>
            </w:pPr>
          </w:p>
        </w:tc>
      </w:tr>
      <w:tr>
        <w:trPr>
          <w:trHeight w:val="183"/>
        </w:trPr>
        <w:tc>
          <w:tcPr>
            <w:tcW w:w="78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7"/>
              </w:rPr>
              <w:t>Weight</w:t>
            </w:r>
          </w:p>
        </w:tc>
        <w:tc>
          <w:tcPr>
            <w:tcW w:w="614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99"/>
              </w:rPr>
              <w:t>Metric</w:t>
            </w:r>
          </w:p>
        </w:tc>
        <w:tc>
          <w:tcPr>
            <w:tcW w:w="74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7"/>
              </w:rPr>
              <w:t>Weight</w:t>
            </w:r>
          </w:p>
        </w:tc>
        <w:tc>
          <w:tcPr>
            <w:tcW w:w="94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860" w:type="dxa"/>
            <w:vAlign w:val="bottom"/>
            <w:tcBorders>
              <w:bottom w:val="single" w:sz="8" w:color="407CCA"/>
            </w:tcBorders>
            <w:shd w:val="clear" w:color="auto" w:fill="407CCA"/>
          </w:tcPr>
          <w:p>
            <w:pPr>
              <w:ind w:left="160"/>
              <w:spacing w:after="0"/>
              <w:rPr>
                <w:sz w:val="20"/>
                <w:szCs w:val="20"/>
                <w:color w:val="auto"/>
              </w:rPr>
            </w:pPr>
            <w:r>
              <w:rPr>
                <w:rFonts w:ascii="Arial" w:cs="Arial" w:eastAsia="Arial" w:hAnsi="Arial"/>
                <w:sz w:val="13"/>
                <w:szCs w:val="13"/>
                <w:b w:val="1"/>
                <w:bCs w:val="1"/>
                <w:color w:val="auto"/>
              </w:rPr>
              <w:t>Threshold</w:t>
            </w:r>
          </w:p>
        </w:tc>
        <w:tc>
          <w:tcPr>
            <w:tcW w:w="800" w:type="dxa"/>
            <w:vAlign w:val="bottom"/>
            <w:tcBorders>
              <w:bottom w:val="single" w:sz="8" w:color="407CCA"/>
            </w:tcBorders>
            <w:shd w:val="clear" w:color="auto" w:fill="407CCA"/>
          </w:tcPr>
          <w:p>
            <w:pPr>
              <w:ind w:left="220"/>
              <w:spacing w:after="0"/>
              <w:rPr>
                <w:sz w:val="20"/>
                <w:szCs w:val="20"/>
                <w:color w:val="auto"/>
              </w:rPr>
            </w:pPr>
            <w:r>
              <w:rPr>
                <w:rFonts w:ascii="Arial" w:cs="Arial" w:eastAsia="Arial" w:hAnsi="Arial"/>
                <w:sz w:val="13"/>
                <w:szCs w:val="13"/>
                <w:b w:val="1"/>
                <w:bCs w:val="1"/>
                <w:color w:val="auto"/>
              </w:rPr>
              <w:t>Target</w:t>
            </w:r>
          </w:p>
        </w:tc>
        <w:tc>
          <w:tcPr>
            <w:tcW w:w="96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0" w:type="dxa"/>
            <w:vAlign w:val="bottom"/>
          </w:tcPr>
          <w:p>
            <w:pPr>
              <w:spacing w:after="0"/>
              <w:rPr>
                <w:sz w:val="1"/>
                <w:szCs w:val="1"/>
                <w:color w:val="auto"/>
              </w:rPr>
            </w:pPr>
          </w:p>
        </w:tc>
      </w:tr>
      <w:tr>
        <w:trPr>
          <w:trHeight w:val="324"/>
        </w:trPr>
        <w:tc>
          <w:tcPr>
            <w:tcW w:w="780" w:type="dxa"/>
            <w:vAlign w:val="bottom"/>
            <w:shd w:val="clear" w:color="auto" w:fill="F2F2F2"/>
          </w:tcPr>
          <w:p>
            <w:pPr>
              <w:spacing w:after="0"/>
              <w:rPr>
                <w:sz w:val="24"/>
                <w:szCs w:val="24"/>
                <w:color w:val="auto"/>
              </w:rPr>
            </w:pPr>
          </w:p>
        </w:tc>
        <w:tc>
          <w:tcPr>
            <w:tcW w:w="61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 xml:space="preserve">Absolute Economic Return </w:t>
            </w:r>
            <w:r>
              <w:rPr>
                <w:rFonts w:ascii="Arial" w:cs="Arial" w:eastAsia="Arial" w:hAnsi="Arial"/>
                <w:sz w:val="9"/>
                <w:szCs w:val="9"/>
                <w:color w:val="auto"/>
                <w:w w:val="92"/>
              </w:rPr>
              <w:t>1</w:t>
            </w:r>
          </w:p>
        </w:tc>
        <w:tc>
          <w:tcPr>
            <w:tcW w:w="7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0"/>
              </w:rPr>
              <w:t>25.0%</w:t>
            </w:r>
          </w:p>
        </w:tc>
        <w:tc>
          <w:tcPr>
            <w:tcW w:w="9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1"/>
              </w:rPr>
              <w:t>&lt; 0.0%</w:t>
            </w:r>
          </w:p>
        </w:tc>
        <w:tc>
          <w:tcPr>
            <w:tcW w:w="86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8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0"/>
              </w:rPr>
              <w:t>10.0%</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 17.0%</w:t>
            </w:r>
          </w:p>
        </w:tc>
        <w:tc>
          <w:tcPr>
            <w:tcW w:w="0" w:type="dxa"/>
            <w:vAlign w:val="bottom"/>
          </w:tcPr>
          <w:p>
            <w:pPr>
              <w:spacing w:after="0"/>
              <w:rPr>
                <w:sz w:val="1"/>
                <w:szCs w:val="1"/>
                <w:color w:val="auto"/>
              </w:rPr>
            </w:pPr>
          </w:p>
        </w:tc>
      </w:tr>
      <w:tr>
        <w:trPr>
          <w:trHeight w:val="94"/>
        </w:trPr>
        <w:tc>
          <w:tcPr>
            <w:tcW w:w="780" w:type="dxa"/>
            <w:vAlign w:val="bottom"/>
            <w:shd w:val="clear" w:color="auto" w:fill="F2F2F2"/>
          </w:tcPr>
          <w:p>
            <w:pPr>
              <w:spacing w:after="0"/>
              <w:rPr>
                <w:sz w:val="8"/>
                <w:szCs w:val="8"/>
                <w:color w:val="auto"/>
              </w:rPr>
            </w:pPr>
          </w:p>
        </w:tc>
        <w:tc>
          <w:tcPr>
            <w:tcW w:w="6140" w:type="dxa"/>
            <w:vAlign w:val="bottom"/>
            <w:shd w:val="clear" w:color="auto" w:fill="F2F2F2"/>
          </w:tcPr>
          <w:p>
            <w:pPr>
              <w:spacing w:after="0"/>
              <w:rPr>
                <w:sz w:val="8"/>
                <w:szCs w:val="8"/>
                <w:color w:val="auto"/>
              </w:rPr>
            </w:pPr>
          </w:p>
        </w:tc>
        <w:tc>
          <w:tcPr>
            <w:tcW w:w="740" w:type="dxa"/>
            <w:vAlign w:val="bottom"/>
            <w:vMerge w:val="continue"/>
            <w:shd w:val="clear" w:color="auto" w:fill="F2F2F2"/>
          </w:tcPr>
          <w:p>
            <w:pPr>
              <w:spacing w:after="0"/>
              <w:rPr>
                <w:sz w:val="8"/>
                <w:szCs w:val="8"/>
                <w:color w:val="auto"/>
              </w:rPr>
            </w:pPr>
          </w:p>
        </w:tc>
        <w:tc>
          <w:tcPr>
            <w:tcW w:w="940" w:type="dxa"/>
            <w:vAlign w:val="bottom"/>
            <w:vMerge w:val="continue"/>
            <w:shd w:val="clear" w:color="auto" w:fill="F2F2F2"/>
          </w:tcPr>
          <w:p>
            <w:pPr>
              <w:spacing w:after="0"/>
              <w:rPr>
                <w:sz w:val="8"/>
                <w:szCs w:val="8"/>
                <w:color w:val="auto"/>
              </w:rPr>
            </w:pPr>
          </w:p>
        </w:tc>
        <w:tc>
          <w:tcPr>
            <w:tcW w:w="860" w:type="dxa"/>
            <w:vAlign w:val="bottom"/>
            <w:vMerge w:val="continue"/>
            <w:shd w:val="clear" w:color="auto" w:fill="F2F2F2"/>
          </w:tcPr>
          <w:p>
            <w:pPr>
              <w:spacing w:after="0"/>
              <w:rPr>
                <w:sz w:val="8"/>
                <w:szCs w:val="8"/>
                <w:color w:val="auto"/>
              </w:rPr>
            </w:pPr>
          </w:p>
        </w:tc>
        <w:tc>
          <w:tcPr>
            <w:tcW w:w="800" w:type="dxa"/>
            <w:vAlign w:val="bottom"/>
            <w:vMerge w:val="continue"/>
            <w:shd w:val="clear" w:color="auto" w:fill="F2F2F2"/>
          </w:tcPr>
          <w:p>
            <w:pPr>
              <w:spacing w:after="0"/>
              <w:rPr>
                <w:sz w:val="8"/>
                <w:szCs w:val="8"/>
                <w:color w:val="auto"/>
              </w:rPr>
            </w:pPr>
          </w:p>
        </w:tc>
        <w:tc>
          <w:tcPr>
            <w:tcW w:w="960" w:type="dxa"/>
            <w:vAlign w:val="bottom"/>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324"/>
        </w:trPr>
        <w:tc>
          <w:tcPr>
            <w:tcW w:w="780" w:type="dxa"/>
            <w:vAlign w:val="bottom"/>
            <w:shd w:val="clear" w:color="auto" w:fill="F2F2F2"/>
          </w:tcPr>
          <w:p>
            <w:pPr>
              <w:jc w:val="right"/>
              <w:spacing w:after="0"/>
              <w:rPr>
                <w:sz w:val="20"/>
                <w:szCs w:val="20"/>
                <w:color w:val="auto"/>
              </w:rPr>
            </w:pPr>
            <w:r>
              <w:rPr>
                <w:rFonts w:ascii="Arial" w:cs="Arial" w:eastAsia="Arial" w:hAnsi="Arial"/>
                <w:sz w:val="18"/>
                <w:szCs w:val="18"/>
                <w:color w:val="auto"/>
              </w:rPr>
              <w:t>75%</w:t>
            </w:r>
          </w:p>
        </w:tc>
        <w:tc>
          <w:tcPr>
            <w:tcW w:w="61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 xml:space="preserve">Economic Return vs. Peer Index </w:t>
            </w:r>
            <w:r>
              <w:rPr>
                <w:rFonts w:ascii="Arial" w:cs="Arial" w:eastAsia="Arial" w:hAnsi="Arial"/>
                <w:sz w:val="9"/>
                <w:szCs w:val="9"/>
                <w:color w:val="auto"/>
                <w:w w:val="90"/>
              </w:rPr>
              <w:t>1,2</w:t>
            </w:r>
          </w:p>
        </w:tc>
        <w:tc>
          <w:tcPr>
            <w:tcW w:w="7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0"/>
              </w:rPr>
              <w:t>35.0%</w:t>
            </w:r>
          </w:p>
        </w:tc>
        <w:tc>
          <w:tcPr>
            <w:tcW w:w="9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3"/>
              </w:rPr>
              <w:t>&lt; (5.0%)</w:t>
            </w:r>
          </w:p>
        </w:tc>
        <w:tc>
          <w:tcPr>
            <w:tcW w:w="86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4"/>
              </w:rPr>
              <w:t>(5.0%)</w:t>
            </w:r>
          </w:p>
        </w:tc>
        <w:tc>
          <w:tcPr>
            <w:tcW w:w="8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1.0%</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 5.5%</w:t>
            </w:r>
          </w:p>
        </w:tc>
        <w:tc>
          <w:tcPr>
            <w:tcW w:w="0" w:type="dxa"/>
            <w:vAlign w:val="bottom"/>
          </w:tcPr>
          <w:p>
            <w:pPr>
              <w:spacing w:after="0"/>
              <w:rPr>
                <w:sz w:val="1"/>
                <w:szCs w:val="1"/>
                <w:color w:val="auto"/>
              </w:rPr>
            </w:pPr>
          </w:p>
        </w:tc>
      </w:tr>
      <w:tr>
        <w:trPr>
          <w:trHeight w:val="94"/>
        </w:trPr>
        <w:tc>
          <w:tcPr>
            <w:tcW w:w="780" w:type="dxa"/>
            <w:vAlign w:val="bottom"/>
            <w:shd w:val="clear" w:color="auto" w:fill="F2F2F2"/>
          </w:tcPr>
          <w:p>
            <w:pPr>
              <w:spacing w:after="0"/>
              <w:rPr>
                <w:sz w:val="8"/>
                <w:szCs w:val="8"/>
                <w:color w:val="auto"/>
              </w:rPr>
            </w:pPr>
          </w:p>
        </w:tc>
        <w:tc>
          <w:tcPr>
            <w:tcW w:w="6140" w:type="dxa"/>
            <w:vAlign w:val="bottom"/>
            <w:shd w:val="clear" w:color="auto" w:fill="F2F2F2"/>
          </w:tcPr>
          <w:p>
            <w:pPr>
              <w:spacing w:after="0"/>
              <w:rPr>
                <w:sz w:val="8"/>
                <w:szCs w:val="8"/>
                <w:color w:val="auto"/>
              </w:rPr>
            </w:pPr>
          </w:p>
        </w:tc>
        <w:tc>
          <w:tcPr>
            <w:tcW w:w="740" w:type="dxa"/>
            <w:vAlign w:val="bottom"/>
            <w:vMerge w:val="continue"/>
            <w:shd w:val="clear" w:color="auto" w:fill="F2F2F2"/>
          </w:tcPr>
          <w:p>
            <w:pPr>
              <w:spacing w:after="0"/>
              <w:rPr>
                <w:sz w:val="8"/>
                <w:szCs w:val="8"/>
                <w:color w:val="auto"/>
              </w:rPr>
            </w:pPr>
          </w:p>
        </w:tc>
        <w:tc>
          <w:tcPr>
            <w:tcW w:w="940" w:type="dxa"/>
            <w:vAlign w:val="bottom"/>
            <w:vMerge w:val="continue"/>
            <w:shd w:val="clear" w:color="auto" w:fill="F2F2F2"/>
          </w:tcPr>
          <w:p>
            <w:pPr>
              <w:spacing w:after="0"/>
              <w:rPr>
                <w:sz w:val="8"/>
                <w:szCs w:val="8"/>
                <w:color w:val="auto"/>
              </w:rPr>
            </w:pPr>
          </w:p>
        </w:tc>
        <w:tc>
          <w:tcPr>
            <w:tcW w:w="860" w:type="dxa"/>
            <w:vAlign w:val="bottom"/>
            <w:vMerge w:val="continue"/>
            <w:shd w:val="clear" w:color="auto" w:fill="F2F2F2"/>
          </w:tcPr>
          <w:p>
            <w:pPr>
              <w:spacing w:after="0"/>
              <w:rPr>
                <w:sz w:val="8"/>
                <w:szCs w:val="8"/>
                <w:color w:val="auto"/>
              </w:rPr>
            </w:pPr>
          </w:p>
        </w:tc>
        <w:tc>
          <w:tcPr>
            <w:tcW w:w="800" w:type="dxa"/>
            <w:vAlign w:val="bottom"/>
            <w:vMerge w:val="continue"/>
            <w:shd w:val="clear" w:color="auto" w:fill="F2F2F2"/>
          </w:tcPr>
          <w:p>
            <w:pPr>
              <w:spacing w:after="0"/>
              <w:rPr>
                <w:sz w:val="8"/>
                <w:szCs w:val="8"/>
                <w:color w:val="auto"/>
              </w:rPr>
            </w:pPr>
          </w:p>
        </w:tc>
        <w:tc>
          <w:tcPr>
            <w:tcW w:w="960" w:type="dxa"/>
            <w:vAlign w:val="bottom"/>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324"/>
        </w:trPr>
        <w:tc>
          <w:tcPr>
            <w:tcW w:w="780" w:type="dxa"/>
            <w:vAlign w:val="bottom"/>
            <w:shd w:val="clear" w:color="auto" w:fill="F2F2F2"/>
          </w:tcPr>
          <w:p>
            <w:pPr>
              <w:spacing w:after="0"/>
              <w:rPr>
                <w:sz w:val="24"/>
                <w:szCs w:val="24"/>
                <w:color w:val="auto"/>
              </w:rPr>
            </w:pPr>
          </w:p>
        </w:tc>
        <w:tc>
          <w:tcPr>
            <w:tcW w:w="61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1"/>
              </w:rPr>
              <w:t xml:space="preserve">Price-to-Tangible Book Ratio vs. Peer Index </w:t>
            </w:r>
            <w:r>
              <w:rPr>
                <w:rFonts w:ascii="Arial" w:cs="Arial" w:eastAsia="Arial" w:hAnsi="Arial"/>
                <w:sz w:val="9"/>
                <w:szCs w:val="9"/>
                <w:color w:val="auto"/>
                <w:w w:val="91"/>
              </w:rPr>
              <w:t>2</w:t>
            </w:r>
          </w:p>
        </w:tc>
        <w:tc>
          <w:tcPr>
            <w:tcW w:w="7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0"/>
              </w:rPr>
              <w:t>15.0%</w:t>
            </w:r>
          </w:p>
        </w:tc>
        <w:tc>
          <w:tcPr>
            <w:tcW w:w="9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3"/>
              </w:rPr>
              <w:t>&lt; (6.5%)</w:t>
            </w:r>
          </w:p>
        </w:tc>
        <w:tc>
          <w:tcPr>
            <w:tcW w:w="86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4"/>
              </w:rPr>
              <w:t>(6.5%)</w:t>
            </w:r>
          </w:p>
        </w:tc>
        <w:tc>
          <w:tcPr>
            <w:tcW w:w="8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3.5%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 11.0%</w:t>
            </w:r>
          </w:p>
        </w:tc>
        <w:tc>
          <w:tcPr>
            <w:tcW w:w="0" w:type="dxa"/>
            <w:vAlign w:val="bottom"/>
          </w:tcPr>
          <w:p>
            <w:pPr>
              <w:spacing w:after="0"/>
              <w:rPr>
                <w:sz w:val="1"/>
                <w:szCs w:val="1"/>
                <w:color w:val="auto"/>
              </w:rPr>
            </w:pPr>
          </w:p>
        </w:tc>
      </w:tr>
      <w:tr>
        <w:trPr>
          <w:trHeight w:val="94"/>
        </w:trPr>
        <w:tc>
          <w:tcPr>
            <w:tcW w:w="780" w:type="dxa"/>
            <w:vAlign w:val="bottom"/>
            <w:tcBorders>
              <w:bottom w:val="single" w:sz="8" w:color="407CCA"/>
            </w:tcBorders>
            <w:shd w:val="clear" w:color="auto" w:fill="F2F2F2"/>
          </w:tcPr>
          <w:p>
            <w:pPr>
              <w:spacing w:after="0"/>
              <w:rPr>
                <w:sz w:val="8"/>
                <w:szCs w:val="8"/>
                <w:color w:val="auto"/>
              </w:rPr>
            </w:pPr>
          </w:p>
        </w:tc>
        <w:tc>
          <w:tcPr>
            <w:tcW w:w="6140" w:type="dxa"/>
            <w:vAlign w:val="bottom"/>
            <w:tcBorders>
              <w:bottom w:val="single" w:sz="8" w:color="407CCA"/>
            </w:tcBorders>
            <w:shd w:val="clear" w:color="auto" w:fill="F2F2F2"/>
          </w:tcPr>
          <w:p>
            <w:pPr>
              <w:spacing w:after="0"/>
              <w:rPr>
                <w:sz w:val="8"/>
                <w:szCs w:val="8"/>
                <w:color w:val="auto"/>
              </w:rPr>
            </w:pPr>
          </w:p>
        </w:tc>
        <w:tc>
          <w:tcPr>
            <w:tcW w:w="740" w:type="dxa"/>
            <w:vAlign w:val="bottom"/>
            <w:tcBorders>
              <w:bottom w:val="single" w:sz="8" w:color="407CCA"/>
            </w:tcBorders>
            <w:vMerge w:val="continue"/>
            <w:shd w:val="clear" w:color="auto" w:fill="F2F2F2"/>
          </w:tcPr>
          <w:p>
            <w:pPr>
              <w:spacing w:after="0"/>
              <w:rPr>
                <w:sz w:val="8"/>
                <w:szCs w:val="8"/>
                <w:color w:val="auto"/>
              </w:rPr>
            </w:pPr>
          </w:p>
        </w:tc>
        <w:tc>
          <w:tcPr>
            <w:tcW w:w="940" w:type="dxa"/>
            <w:vAlign w:val="bottom"/>
            <w:tcBorders>
              <w:bottom w:val="single" w:sz="8" w:color="407CCA"/>
            </w:tcBorders>
            <w:vMerge w:val="continue"/>
            <w:shd w:val="clear" w:color="auto" w:fill="F2F2F2"/>
          </w:tcPr>
          <w:p>
            <w:pPr>
              <w:spacing w:after="0"/>
              <w:rPr>
                <w:sz w:val="8"/>
                <w:szCs w:val="8"/>
                <w:color w:val="auto"/>
              </w:rPr>
            </w:pPr>
          </w:p>
        </w:tc>
        <w:tc>
          <w:tcPr>
            <w:tcW w:w="860" w:type="dxa"/>
            <w:vAlign w:val="bottom"/>
            <w:tcBorders>
              <w:bottom w:val="single" w:sz="8" w:color="407CCA"/>
            </w:tcBorders>
            <w:vMerge w:val="continue"/>
            <w:shd w:val="clear" w:color="auto" w:fill="F2F2F2"/>
          </w:tcPr>
          <w:p>
            <w:pPr>
              <w:spacing w:after="0"/>
              <w:rPr>
                <w:sz w:val="8"/>
                <w:szCs w:val="8"/>
                <w:color w:val="auto"/>
              </w:rPr>
            </w:pPr>
          </w:p>
        </w:tc>
        <w:tc>
          <w:tcPr>
            <w:tcW w:w="800" w:type="dxa"/>
            <w:vAlign w:val="bottom"/>
            <w:tcBorders>
              <w:bottom w:val="single" w:sz="8" w:color="407CCA"/>
            </w:tcBorders>
            <w:vMerge w:val="continue"/>
            <w:shd w:val="clear" w:color="auto" w:fill="F2F2F2"/>
          </w:tcPr>
          <w:p>
            <w:pPr>
              <w:spacing w:after="0"/>
              <w:rPr>
                <w:sz w:val="8"/>
                <w:szCs w:val="8"/>
                <w:color w:val="auto"/>
              </w:rPr>
            </w:pPr>
          </w:p>
        </w:tc>
        <w:tc>
          <w:tcPr>
            <w:tcW w:w="960" w:type="dxa"/>
            <w:vAlign w:val="bottom"/>
            <w:tcBorders>
              <w:bottom w:val="single" w:sz="8" w:color="407CCA"/>
            </w:tcBorders>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163"/>
        </w:trPr>
        <w:tc>
          <w:tcPr>
            <w:tcW w:w="780" w:type="dxa"/>
            <w:vAlign w:val="bottom"/>
            <w:tcBorders>
              <w:bottom w:val="single" w:sz="8" w:color="407CCA"/>
            </w:tcBorders>
          </w:tcPr>
          <w:p>
            <w:pPr>
              <w:spacing w:after="0"/>
              <w:rPr>
                <w:sz w:val="14"/>
                <w:szCs w:val="14"/>
                <w:color w:val="auto"/>
              </w:rPr>
            </w:pPr>
          </w:p>
        </w:tc>
        <w:tc>
          <w:tcPr>
            <w:tcW w:w="6140" w:type="dxa"/>
            <w:vAlign w:val="bottom"/>
            <w:tcBorders>
              <w:bottom w:val="single" w:sz="8" w:color="407CCA"/>
            </w:tcBorders>
          </w:tcPr>
          <w:p>
            <w:pPr>
              <w:spacing w:after="0"/>
              <w:rPr>
                <w:sz w:val="14"/>
                <w:szCs w:val="14"/>
                <w:color w:val="auto"/>
              </w:rPr>
            </w:pPr>
          </w:p>
        </w:tc>
        <w:tc>
          <w:tcPr>
            <w:tcW w:w="740" w:type="dxa"/>
            <w:vAlign w:val="bottom"/>
            <w:tcBorders>
              <w:bottom w:val="single" w:sz="8" w:color="407CCA"/>
            </w:tcBorders>
          </w:tcPr>
          <w:p>
            <w:pPr>
              <w:spacing w:after="0"/>
              <w:rPr>
                <w:sz w:val="14"/>
                <w:szCs w:val="14"/>
                <w:color w:val="auto"/>
              </w:rPr>
            </w:pPr>
          </w:p>
        </w:tc>
        <w:tc>
          <w:tcPr>
            <w:tcW w:w="3560" w:type="dxa"/>
            <w:vAlign w:val="bottom"/>
            <w:tcBorders>
              <w:bottom w:val="single" w:sz="8" w:color="407CCA"/>
            </w:tcBorders>
            <w:gridSpan w:val="4"/>
            <w:shd w:val="clear" w:color="auto" w:fill="F2F2F2"/>
          </w:tcPr>
          <w:p>
            <w:pPr>
              <w:ind w:left="680"/>
              <w:spacing w:after="0"/>
              <w:rPr>
                <w:sz w:val="20"/>
                <w:szCs w:val="20"/>
                <w:color w:val="auto"/>
              </w:rPr>
            </w:pPr>
            <w:r>
              <w:rPr>
                <w:rFonts w:ascii="Arial" w:cs="Arial" w:eastAsia="Arial" w:hAnsi="Arial"/>
                <w:sz w:val="13"/>
                <w:szCs w:val="13"/>
                <w:b w:val="1"/>
                <w:bCs w:val="1"/>
                <w:color w:val="auto"/>
              </w:rPr>
              <w:t>Payout Continuum (% of Metric Weight)</w:t>
            </w:r>
          </w:p>
        </w:tc>
        <w:tc>
          <w:tcPr>
            <w:tcW w:w="0" w:type="dxa"/>
            <w:vAlign w:val="bottom"/>
          </w:tcPr>
          <w:p>
            <w:pPr>
              <w:spacing w:after="0"/>
              <w:rPr>
                <w:sz w:val="1"/>
                <w:szCs w:val="1"/>
                <w:color w:val="auto"/>
              </w:rPr>
            </w:pPr>
          </w:p>
        </w:tc>
      </w:tr>
      <w:tr>
        <w:trPr>
          <w:trHeight w:val="229"/>
        </w:trPr>
        <w:tc>
          <w:tcPr>
            <w:tcW w:w="780" w:type="dxa"/>
            <w:vAlign w:val="bottom"/>
            <w:tcBorders>
              <w:bottom w:val="single" w:sz="8" w:color="407CCA"/>
            </w:tcBorders>
          </w:tcPr>
          <w:p>
            <w:pPr>
              <w:spacing w:after="0"/>
              <w:rPr>
                <w:sz w:val="19"/>
                <w:szCs w:val="19"/>
                <w:color w:val="auto"/>
              </w:rPr>
            </w:pPr>
          </w:p>
        </w:tc>
        <w:tc>
          <w:tcPr>
            <w:tcW w:w="6140" w:type="dxa"/>
            <w:vAlign w:val="bottom"/>
            <w:tcBorders>
              <w:bottom w:val="single" w:sz="8" w:color="407CCA"/>
            </w:tcBorders>
          </w:tcPr>
          <w:p>
            <w:pPr>
              <w:spacing w:after="0"/>
              <w:rPr>
                <w:sz w:val="19"/>
                <w:szCs w:val="19"/>
                <w:color w:val="auto"/>
              </w:rPr>
            </w:pPr>
          </w:p>
        </w:tc>
        <w:tc>
          <w:tcPr>
            <w:tcW w:w="740" w:type="dxa"/>
            <w:vAlign w:val="bottom"/>
            <w:tcBorders>
              <w:bottom w:val="single" w:sz="8" w:color="407CCA"/>
            </w:tcBorders>
          </w:tcPr>
          <w:p>
            <w:pPr>
              <w:spacing w:after="0"/>
              <w:rPr>
                <w:sz w:val="19"/>
                <w:szCs w:val="19"/>
                <w:color w:val="auto"/>
              </w:rPr>
            </w:pPr>
          </w:p>
        </w:tc>
        <w:tc>
          <w:tcPr>
            <w:tcW w:w="94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86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80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100%</w:t>
            </w:r>
          </w:p>
        </w:tc>
        <w:tc>
          <w:tcPr>
            <w:tcW w:w="96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150%</w:t>
            </w:r>
          </w:p>
        </w:tc>
        <w:tc>
          <w:tcPr>
            <w:tcW w:w="0" w:type="dxa"/>
            <w:vAlign w:val="bottom"/>
          </w:tcPr>
          <w:p>
            <w:pPr>
              <w:spacing w:after="0"/>
              <w:rPr>
                <w:sz w:val="1"/>
                <w:szCs w:val="1"/>
                <w:color w:val="auto"/>
              </w:rPr>
            </w:pPr>
          </w:p>
        </w:tc>
      </w:tr>
    </w:tbl>
    <w:p>
      <w:pPr>
        <w:spacing w:after="0" w:line="62" w:lineRule="exact"/>
        <w:rPr>
          <w:sz w:val="20"/>
          <w:szCs w:val="20"/>
          <w:color w:val="auto"/>
        </w:rPr>
      </w:pPr>
    </w:p>
    <w:p>
      <w:pPr>
        <w:ind w:left="340" w:hanging="251"/>
        <w:spacing w:after="0"/>
        <w:tabs>
          <w:tab w:leader="none" w:pos="340" w:val="left"/>
        </w:tabs>
        <w:numPr>
          <w:ilvl w:val="0"/>
          <w:numId w:val="36"/>
        </w:numPr>
        <w:rPr>
          <w:rFonts w:ascii="Arial" w:cs="Arial" w:eastAsia="Arial" w:hAnsi="Arial"/>
          <w:sz w:val="14"/>
          <w:szCs w:val="14"/>
          <w:color w:val="auto"/>
        </w:rPr>
      </w:pPr>
      <w:r>
        <w:rPr>
          <w:rFonts w:ascii="Arial" w:cs="Arial" w:eastAsia="Arial" w:hAnsi="Arial"/>
          <w:sz w:val="14"/>
          <w:szCs w:val="14"/>
          <w:color w:val="auto"/>
        </w:rPr>
        <w:t>Economic return is calculated on tangible common equity per share.</w:t>
      </w:r>
    </w:p>
    <w:p>
      <w:pPr>
        <w:ind w:left="340" w:right="680" w:hanging="251"/>
        <w:spacing w:after="0" w:line="227" w:lineRule="auto"/>
        <w:tabs>
          <w:tab w:leader="none" w:pos="340" w:val="left"/>
        </w:tabs>
        <w:numPr>
          <w:ilvl w:val="0"/>
          <w:numId w:val="36"/>
        </w:numPr>
        <w:rPr>
          <w:rFonts w:ascii="Arial" w:cs="Arial" w:eastAsia="Arial" w:hAnsi="Arial"/>
          <w:sz w:val="14"/>
          <w:szCs w:val="14"/>
          <w:color w:val="auto"/>
        </w:rPr>
      </w:pPr>
      <w:r>
        <w:rPr>
          <w:rFonts w:ascii="Arial" w:cs="Arial" w:eastAsia="Arial" w:hAnsi="Arial"/>
          <w:sz w:val="14"/>
          <w:szCs w:val="14"/>
          <w:color w:val="auto"/>
        </w:rPr>
        <w:t>Reflects AGNC’s relative performance to the unweighted, simple average of the Agency REIT Peer Group. Our relative economic return measure is calculated on an October 1 – September 30 year basis due to the availability of comparative data.</w:t>
      </w:r>
    </w:p>
    <w:p>
      <w:pPr>
        <w:spacing w:after="0" w:line="147" w:lineRule="exact"/>
        <w:rPr>
          <w:sz w:val="20"/>
          <w:szCs w:val="20"/>
          <w:color w:val="auto"/>
        </w:rPr>
      </w:pPr>
    </w:p>
    <w:p>
      <w:pPr>
        <w:ind w:right="20" w:firstLine="648"/>
        <w:spacing w:after="0" w:line="246" w:lineRule="auto"/>
        <w:rPr>
          <w:sz w:val="20"/>
          <w:szCs w:val="20"/>
          <w:color w:val="auto"/>
        </w:rPr>
      </w:pPr>
      <w:r>
        <w:rPr>
          <w:rFonts w:ascii="Arial" w:cs="Arial" w:eastAsia="Arial" w:hAnsi="Arial"/>
          <w:sz w:val="18"/>
          <w:szCs w:val="18"/>
          <w:color w:val="auto"/>
        </w:rPr>
        <w:t>The financial measures emphasized our focus on generating strong absolute and relative economic returns and maintaining a strong common stock trading price to tangible book value relative to our peers.</w:t>
      </w:r>
    </w:p>
    <w:p>
      <w:pPr>
        <w:spacing w:after="0" w:line="156" w:lineRule="exact"/>
        <w:rPr>
          <w:sz w:val="20"/>
          <w:szCs w:val="20"/>
          <w:color w:val="auto"/>
        </w:rPr>
      </w:pPr>
    </w:p>
    <w:p>
      <w:pPr>
        <w:ind w:right="280" w:firstLine="648"/>
        <w:spacing w:after="0" w:line="248" w:lineRule="auto"/>
        <w:rPr>
          <w:sz w:val="20"/>
          <w:szCs w:val="20"/>
          <w:color w:val="auto"/>
        </w:rPr>
      </w:pPr>
      <w:r>
        <w:rPr>
          <w:rFonts w:ascii="Arial" w:cs="Arial" w:eastAsia="Arial" w:hAnsi="Arial"/>
          <w:sz w:val="16"/>
          <w:szCs w:val="16"/>
          <w:color w:val="auto"/>
        </w:rPr>
        <w:t>Our economic return reflects the overall return we generate on our common equity capital and is comprised of our dividends declared and the change in the tangible net book value per share of common stock over the relevant period. As such, it incorporates all aspects of our investment activity,</w:t>
      </w:r>
    </w:p>
    <w:p>
      <w:pPr>
        <w:spacing w:after="0" w:line="234" w:lineRule="auto"/>
        <w:rPr>
          <w:sz w:val="20"/>
          <w:szCs w:val="20"/>
          <w:color w:val="auto"/>
        </w:rPr>
      </w:pPr>
      <w:r>
        <w:rPr>
          <w:rFonts w:ascii="Arial" w:cs="Arial" w:eastAsia="Arial" w:hAnsi="Arial"/>
          <w:sz w:val="16"/>
          <w:szCs w:val="16"/>
          <w:color w:val="auto"/>
        </w:rPr>
        <w:t>including interest received on our investments, net of borrowing costs, and realized and unrealized gains and losses on our investments, hedging instruments, and other assets and liabilities. We believe this measure best reflects a composite view of AGNC’s financial performance over any time period. Most investors and research analysts active in the residential mortgage REIT sector utilize this metric as a primary factor in analyzing residential mortgage</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REIT performance.</w:t>
      </w:r>
    </w:p>
    <w:p>
      <w:pPr>
        <w:spacing w:after="0" w:line="169" w:lineRule="exact"/>
        <w:rPr>
          <w:sz w:val="20"/>
          <w:szCs w:val="20"/>
          <w:color w:val="auto"/>
        </w:rPr>
      </w:pPr>
    </w:p>
    <w:p>
      <w:pPr>
        <w:ind w:right="60" w:firstLine="648"/>
        <w:spacing w:after="0" w:line="248" w:lineRule="auto"/>
        <w:rPr>
          <w:sz w:val="20"/>
          <w:szCs w:val="20"/>
          <w:color w:val="auto"/>
        </w:rPr>
      </w:pPr>
      <w:r>
        <w:rPr>
          <w:rFonts w:ascii="Arial" w:cs="Arial" w:eastAsia="Arial" w:hAnsi="Arial"/>
          <w:sz w:val="16"/>
          <w:szCs w:val="16"/>
          <w:color w:val="auto"/>
        </w:rPr>
        <w:t>Our Compensation Committee has included both absolute and relative economic return as separate financial performance measures. Our inclusion of absolute economic return is reflective of our focus on generating positive economic returns for our stockholders and supporting our dividend, regardless</w:t>
      </w:r>
    </w:p>
    <w:p>
      <w:pPr>
        <w:ind w:right="80"/>
        <w:spacing w:after="0" w:line="234" w:lineRule="auto"/>
        <w:rPr>
          <w:sz w:val="20"/>
          <w:szCs w:val="20"/>
          <w:color w:val="auto"/>
        </w:rPr>
      </w:pPr>
      <w:r>
        <w:rPr>
          <w:rFonts w:ascii="Arial" w:cs="Arial" w:eastAsia="Arial" w:hAnsi="Arial"/>
          <w:sz w:val="16"/>
          <w:szCs w:val="16"/>
          <w:color w:val="auto"/>
        </w:rPr>
        <w:t>of overall macroeconomic conditions. Relative economic return has been included to provide a comparison of our performance against our peers and to reward our management team and employees for outperformance. While a favorable macroeconomic climate may drive a strong absolute economic return, relative economic return requires out-performance relative to peers, all of which are subject to the same prevailing macroeconomic conditions. For 2022,</w:t>
      </w:r>
    </w:p>
    <w:p>
      <w:pPr>
        <w:spacing w:after="0" w:line="2" w:lineRule="exact"/>
        <w:rPr>
          <w:sz w:val="20"/>
          <w:szCs w:val="20"/>
          <w:color w:val="auto"/>
        </w:rPr>
      </w:pPr>
    </w:p>
    <w:p>
      <w:pPr>
        <w:jc w:val="both"/>
        <w:ind w:right="120"/>
        <w:spacing w:after="0" w:line="231" w:lineRule="auto"/>
        <w:rPr>
          <w:sz w:val="20"/>
          <w:szCs w:val="20"/>
          <w:color w:val="auto"/>
        </w:rPr>
      </w:pPr>
      <w:r>
        <w:rPr>
          <w:rFonts w:ascii="Arial" w:cs="Arial" w:eastAsia="Arial" w:hAnsi="Arial"/>
          <w:sz w:val="17"/>
          <w:szCs w:val="17"/>
          <w:color w:val="auto"/>
        </w:rPr>
        <w:t>our Compensation Committee retained our target goal of absolute economic return at 10% and set the target goal for relative economic return at 1% above the Agency REIT Peer Group average. These goals reflect the Compensation Committee’s view that an absolute economic return target of 10% would be appropriately challenging and that outperformance of the peer average by 1% should be the base target for relative economic return.</w:t>
      </w:r>
    </w:p>
    <w:p>
      <w:pPr>
        <w:spacing w:after="0" w:line="176" w:lineRule="exact"/>
        <w:rPr>
          <w:sz w:val="20"/>
          <w:szCs w:val="20"/>
          <w:color w:val="auto"/>
        </w:rPr>
      </w:pPr>
    </w:p>
    <w:p>
      <w:pPr>
        <w:ind w:right="60" w:firstLine="648"/>
        <w:spacing w:after="0" w:line="241" w:lineRule="auto"/>
        <w:rPr>
          <w:sz w:val="20"/>
          <w:szCs w:val="20"/>
          <w:color w:val="auto"/>
        </w:rPr>
      </w:pPr>
      <w:r>
        <w:rPr>
          <w:rFonts w:ascii="Arial" w:cs="Arial" w:eastAsia="Arial" w:hAnsi="Arial"/>
          <w:sz w:val="16"/>
          <w:szCs w:val="16"/>
          <w:color w:val="auto"/>
        </w:rPr>
        <w:t>Our third financial measure is our stock price to tangible net book value per share, or “price-to-book ratio,” relative to peers. Our Compensation Committee has set our target relative price-to-book ratio at a significant premium of 3.5% to the Agency REIT Peer Group average. Price-to-book ratio is a valuation metric utilized by many investors and research analysts and reflects the premium (or discount) to tangible net book value of a company implied</w:t>
      </w:r>
    </w:p>
    <w:p>
      <w:pPr>
        <w:spacing w:after="0" w:line="2" w:lineRule="exact"/>
        <w:rPr>
          <w:sz w:val="20"/>
          <w:szCs w:val="20"/>
          <w:color w:val="auto"/>
        </w:rPr>
      </w:pPr>
    </w:p>
    <w:p>
      <w:pPr>
        <w:ind w:right="80"/>
        <w:spacing w:after="0" w:line="234" w:lineRule="auto"/>
        <w:rPr>
          <w:sz w:val="20"/>
          <w:szCs w:val="20"/>
          <w:color w:val="auto"/>
        </w:rPr>
      </w:pPr>
      <w:r>
        <w:rPr>
          <w:rFonts w:ascii="Arial" w:cs="Arial" w:eastAsia="Arial" w:hAnsi="Arial"/>
          <w:sz w:val="16"/>
          <w:szCs w:val="16"/>
          <w:color w:val="auto"/>
        </w:rPr>
        <w:t>by the company’s stock price. As such, the price-to-book ratio for AGNC relative to peers may in certain market environments imply the relative perception by the market of, or outlook for, AGNC as compared to its peer group. We believe that our track record of favorable long-term financial performance, low -cost operating structure, disciplined risk management, stockholder focus, and significant scale and liquidity should position AGNC for a</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premium valuation relative to our peer group in most market environments.</w:t>
      </w:r>
    </w:p>
    <w:p>
      <w:pPr>
        <w:spacing w:after="0" w:line="169" w:lineRule="exact"/>
        <w:rPr>
          <w:sz w:val="20"/>
          <w:szCs w:val="20"/>
          <w:color w:val="auto"/>
        </w:rPr>
      </w:pPr>
    </w:p>
    <w:p>
      <w:pPr>
        <w:ind w:right="140" w:firstLine="648"/>
        <w:spacing w:after="0" w:line="241" w:lineRule="auto"/>
        <w:rPr>
          <w:sz w:val="20"/>
          <w:szCs w:val="20"/>
          <w:color w:val="auto"/>
        </w:rPr>
      </w:pPr>
      <w:r>
        <w:rPr>
          <w:rFonts w:ascii="Arial" w:cs="Arial" w:eastAsia="Arial" w:hAnsi="Arial"/>
          <w:sz w:val="16"/>
          <w:szCs w:val="16"/>
          <w:color w:val="auto"/>
        </w:rPr>
        <w:t>Collectively, our three financial measures incentivize our management team to drive favorable returns – on both an absolute and relative basis – for our stockholders. Our success in generating economic returns at or above target levels while maintaining targeted premium valuation levels on a price-to-book basis should translate into favorable total stock returns for our stockholders. As such, we believe these metrics appropriately align our short-term</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incentive plan with our stockholders.</w:t>
      </w:r>
    </w:p>
    <w:p>
      <w:pPr>
        <w:spacing w:after="0" w:line="24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Strategic and Operational Metrics (25% of Total Corporate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7132320" cy="14541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32320" cy="145415"/>
                    </a:xfrm>
                    <a:prstGeom prst="rect">
                      <a:avLst/>
                    </a:prstGeom>
                    <a:noFill/>
                  </pic:spPr>
                </pic:pic>
              </a:graphicData>
            </a:graphic>
          </wp:anchor>
        </w:drawing>
      </w:r>
    </w:p>
    <w:p>
      <w:pPr>
        <w:spacing w:after="0" w:line="277" w:lineRule="exact"/>
        <w:rPr>
          <w:sz w:val="20"/>
          <w:szCs w:val="20"/>
          <w:color w:val="auto"/>
        </w:rPr>
      </w:pPr>
    </w:p>
    <w:p>
      <w:pPr>
        <w:ind w:right="40" w:firstLine="648"/>
        <w:spacing w:after="0" w:line="305" w:lineRule="auto"/>
        <w:rPr>
          <w:sz w:val="20"/>
          <w:szCs w:val="20"/>
          <w:color w:val="auto"/>
        </w:rPr>
      </w:pPr>
      <w:r>
        <w:rPr>
          <w:rFonts w:ascii="Arial" w:cs="Arial" w:eastAsia="Arial" w:hAnsi="Arial"/>
          <w:sz w:val="16"/>
          <w:szCs w:val="16"/>
          <w:color w:val="auto"/>
        </w:rPr>
        <w:t>As noted above, our Compensation Committee believes our value proposition should position AGNC for a premium valuation. Our Compensation Committee seeks to drive management performance in these areas and focuses our strategic and operational efforts on the following components:</w:t>
      </w:r>
    </w:p>
    <w:p>
      <w:pPr>
        <w:spacing w:after="0" w:line="1" w:lineRule="exact"/>
        <w:rPr>
          <w:sz w:val="20"/>
          <w:szCs w:val="20"/>
          <w:color w:val="auto"/>
        </w:rPr>
      </w:pPr>
    </w:p>
    <w:p>
      <w:pPr>
        <w:ind w:left="880" w:right="400" w:hanging="315"/>
        <w:spacing w:after="0" w:line="222" w:lineRule="auto"/>
        <w:tabs>
          <w:tab w:leader="none" w:pos="875" w:val="left"/>
        </w:tabs>
        <w:numPr>
          <w:ilvl w:val="0"/>
          <w:numId w:val="37"/>
        </w:numPr>
        <w:rPr>
          <w:rFonts w:ascii="Arial" w:cs="Arial" w:eastAsia="Arial" w:hAnsi="Arial"/>
          <w:sz w:val="18"/>
          <w:szCs w:val="18"/>
          <w:color w:val="auto"/>
        </w:rPr>
      </w:pPr>
      <w:r>
        <w:rPr>
          <w:rFonts w:ascii="Arial" w:cs="Arial" w:eastAsia="Arial" w:hAnsi="Arial"/>
          <w:sz w:val="18"/>
          <w:szCs w:val="18"/>
          <w:b w:val="1"/>
          <w:bCs w:val="1"/>
          <w:color w:val="auto"/>
        </w:rPr>
        <w:t xml:space="preserve">Operating Efficiency: </w:t>
      </w:r>
      <w:r>
        <w:rPr>
          <w:rFonts w:ascii="Arial" w:cs="Arial" w:eastAsia="Arial" w:hAnsi="Arial"/>
          <w:sz w:val="18"/>
          <w:szCs w:val="18"/>
          <w:color w:val="auto"/>
        </w:rPr>
        <w:t>maintain low operating cost structure relative to peers and continually identify opportunities to improve operations</w:t>
      </w:r>
      <w:r>
        <w:rPr>
          <w:rFonts w:ascii="Arial" w:cs="Arial" w:eastAsia="Arial" w:hAnsi="Arial"/>
          <w:sz w:val="18"/>
          <w:szCs w:val="18"/>
          <w:b w:val="1"/>
          <w:bCs w:val="1"/>
          <w:color w:val="auto"/>
        </w:rPr>
        <w:t xml:space="preserve"> </w:t>
      </w:r>
      <w:r>
        <w:rPr>
          <w:rFonts w:ascii="Arial" w:cs="Arial" w:eastAsia="Arial" w:hAnsi="Arial"/>
          <w:sz w:val="18"/>
          <w:szCs w:val="18"/>
          <w:color w:val="auto"/>
        </w:rPr>
        <w:t>across functional groups where practicable</w:t>
      </w:r>
    </w:p>
    <w:p>
      <w:pPr>
        <w:spacing w:after="0" w:line="1" w:lineRule="exact"/>
        <w:rPr>
          <w:rFonts w:ascii="Arial" w:cs="Arial" w:eastAsia="Arial" w:hAnsi="Arial"/>
          <w:sz w:val="18"/>
          <w:szCs w:val="18"/>
          <w:color w:val="auto"/>
        </w:rPr>
      </w:pPr>
    </w:p>
    <w:p>
      <w:pPr>
        <w:ind w:left="880" w:hanging="315"/>
        <w:spacing w:after="0" w:line="228" w:lineRule="auto"/>
        <w:tabs>
          <w:tab w:leader="none" w:pos="880" w:val="left"/>
        </w:tabs>
        <w:numPr>
          <w:ilvl w:val="0"/>
          <w:numId w:val="37"/>
        </w:numPr>
        <w:rPr>
          <w:rFonts w:ascii="Arial" w:cs="Arial" w:eastAsia="Arial" w:hAnsi="Arial"/>
          <w:sz w:val="16"/>
          <w:szCs w:val="16"/>
          <w:color w:val="auto"/>
        </w:rPr>
      </w:pPr>
      <w:r>
        <w:rPr>
          <w:rFonts w:ascii="Arial" w:cs="Arial" w:eastAsia="Arial" w:hAnsi="Arial"/>
          <w:sz w:val="16"/>
          <w:szCs w:val="16"/>
          <w:b w:val="1"/>
          <w:bCs w:val="1"/>
          <w:color w:val="auto"/>
        </w:rPr>
        <w:t xml:space="preserve">Disciplined Risk Management: </w:t>
      </w:r>
      <w:r>
        <w:rPr>
          <w:rFonts w:ascii="Arial" w:cs="Arial" w:eastAsia="Arial" w:hAnsi="Arial"/>
          <w:sz w:val="16"/>
          <w:szCs w:val="16"/>
          <w:color w:val="auto"/>
        </w:rPr>
        <w:t>mitigate business and operational risk based on the Company’s comprehensive risk management framework</w:t>
      </w:r>
    </w:p>
    <w:p>
      <w:pPr>
        <w:ind w:left="880" w:right="180" w:hanging="315"/>
        <w:spacing w:after="0" w:line="228" w:lineRule="auto"/>
        <w:tabs>
          <w:tab w:leader="none" w:pos="875" w:val="left"/>
        </w:tabs>
        <w:numPr>
          <w:ilvl w:val="0"/>
          <w:numId w:val="37"/>
        </w:numPr>
        <w:rPr>
          <w:rFonts w:ascii="Arial" w:cs="Arial" w:eastAsia="Arial" w:hAnsi="Arial"/>
          <w:sz w:val="16"/>
          <w:szCs w:val="16"/>
          <w:color w:val="auto"/>
        </w:rPr>
      </w:pPr>
      <w:r>
        <w:rPr>
          <w:rFonts w:ascii="Arial" w:cs="Arial" w:eastAsia="Arial" w:hAnsi="Arial"/>
          <w:sz w:val="16"/>
          <w:szCs w:val="16"/>
          <w:b w:val="1"/>
          <w:bCs w:val="1"/>
          <w:color w:val="auto"/>
        </w:rPr>
        <w:t xml:space="preserve">Stockholder Focus and Capital Management: </w:t>
      </w:r>
      <w:r>
        <w:rPr>
          <w:rFonts w:ascii="Arial" w:cs="Arial" w:eastAsia="Arial" w:hAnsi="Arial"/>
          <w:sz w:val="16"/>
          <w:szCs w:val="16"/>
          <w:color w:val="auto"/>
        </w:rPr>
        <w:t>provide detailed and transparent financial disclosure, actively engage with stockholders, and</w:t>
      </w:r>
      <w:r>
        <w:rPr>
          <w:rFonts w:ascii="Arial" w:cs="Arial" w:eastAsia="Arial" w:hAnsi="Arial"/>
          <w:sz w:val="16"/>
          <w:szCs w:val="16"/>
          <w:b w:val="1"/>
          <w:bCs w:val="1"/>
          <w:color w:val="auto"/>
        </w:rPr>
        <w:t xml:space="preserve"> </w:t>
      </w:r>
      <w:r>
        <w:rPr>
          <w:rFonts w:ascii="Arial" w:cs="Arial" w:eastAsia="Arial" w:hAnsi="Arial"/>
          <w:sz w:val="16"/>
          <w:szCs w:val="16"/>
          <w:color w:val="auto"/>
        </w:rPr>
        <w:t>maintain an active stockholder-friendly approach to capital management consistent with broader market considerations</w:t>
      </w:r>
    </w:p>
    <w:p>
      <w:pPr>
        <w:spacing w:after="0" w:line="1" w:lineRule="exact"/>
        <w:rPr>
          <w:rFonts w:ascii="Arial" w:cs="Arial" w:eastAsia="Arial" w:hAnsi="Arial"/>
          <w:sz w:val="16"/>
          <w:szCs w:val="16"/>
          <w:color w:val="auto"/>
        </w:rPr>
      </w:pPr>
    </w:p>
    <w:p>
      <w:pPr>
        <w:ind w:left="880" w:right="520" w:hanging="315"/>
        <w:spacing w:after="0" w:line="233" w:lineRule="auto"/>
        <w:tabs>
          <w:tab w:leader="none" w:pos="875" w:val="left"/>
        </w:tabs>
        <w:numPr>
          <w:ilvl w:val="0"/>
          <w:numId w:val="37"/>
        </w:numPr>
        <w:rPr>
          <w:rFonts w:ascii="Arial" w:cs="Arial" w:eastAsia="Arial" w:hAnsi="Arial"/>
          <w:sz w:val="18"/>
          <w:szCs w:val="18"/>
          <w:color w:val="auto"/>
        </w:rPr>
      </w:pPr>
      <w:r>
        <w:rPr>
          <w:rFonts w:ascii="Arial" w:cs="Arial" w:eastAsia="Arial" w:hAnsi="Arial"/>
          <w:sz w:val="18"/>
          <w:szCs w:val="18"/>
          <w:b w:val="1"/>
          <w:bCs w:val="1"/>
          <w:color w:val="auto"/>
        </w:rPr>
        <w:t xml:space="preserve">ESG Framework: </w:t>
      </w:r>
      <w:r>
        <w:rPr>
          <w:rFonts w:ascii="Arial" w:cs="Arial" w:eastAsia="Arial" w:hAnsi="Arial"/>
          <w:sz w:val="18"/>
          <w:szCs w:val="18"/>
          <w:color w:val="auto"/>
        </w:rPr>
        <w:t>incorporate material ESG and sustainability factors into our strategy, business, and operations and provide disclosure</w:t>
      </w:r>
      <w:r>
        <w:rPr>
          <w:rFonts w:ascii="Arial" w:cs="Arial" w:eastAsia="Arial" w:hAnsi="Arial"/>
          <w:sz w:val="18"/>
          <w:szCs w:val="18"/>
          <w:b w:val="1"/>
          <w:bCs w:val="1"/>
          <w:color w:val="auto"/>
        </w:rPr>
        <w:t xml:space="preserve"> </w:t>
      </w:r>
      <w:r>
        <w:rPr>
          <w:rFonts w:ascii="Arial" w:cs="Arial" w:eastAsia="Arial" w:hAnsi="Arial"/>
          <w:sz w:val="18"/>
          <w:szCs w:val="18"/>
          <w:color w:val="auto"/>
        </w:rPr>
        <w:t>regarding ESG and corporate sustainability philosophy and practices</w:t>
      </w:r>
    </w:p>
    <w:p>
      <w:pPr>
        <w:spacing w:after="0" w:line="320"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44" w:name="page45"/>
    <w:bookmarkEnd w:id="4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Annual 2022 Corporate Scorecard Incentive Compensation Determination</w:t>
      </w:r>
    </w:p>
    <w:p>
      <w:pPr>
        <w:spacing w:after="0" w:line="225" w:lineRule="exact"/>
        <w:rPr>
          <w:sz w:val="20"/>
          <w:szCs w:val="20"/>
          <w:color w:val="auto"/>
        </w:rPr>
      </w:pPr>
    </w:p>
    <w:p>
      <w:pPr>
        <w:ind w:right="60" w:firstLine="648"/>
        <w:spacing w:after="0" w:line="237" w:lineRule="auto"/>
        <w:rPr>
          <w:sz w:val="20"/>
          <w:szCs w:val="20"/>
          <w:color w:val="auto"/>
        </w:rPr>
      </w:pPr>
      <w:r>
        <w:rPr>
          <w:rFonts w:ascii="Arial" w:cs="Arial" w:eastAsia="Arial" w:hAnsi="Arial"/>
          <w:sz w:val="17"/>
          <w:szCs w:val="17"/>
          <w:color w:val="auto"/>
        </w:rPr>
        <w:t>Following a review of each of the components of the 2022 Corporate Scorecard, the Compensation Committee calculated a total scorecard payout for 2022 of 61.9% of target. This below-target and significantly reduced payout ratio relative to prior years was reflective of the Company’s financial performance in 2022. A more detailed discussion regarding each of the elements included in the Corporate Scorecard is provided below.</w:t>
      </w:r>
    </w:p>
    <w:p>
      <w:pPr>
        <w:spacing w:after="0" w:line="96"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4520" w:type="dxa"/>
            <w:vAlign w:val="bottom"/>
            <w:vMerge w:val="restart"/>
            <w:shd w:val="clear" w:color="auto" w:fill="407CCA"/>
          </w:tcPr>
          <w:p>
            <w:pPr>
              <w:ind w:left="100"/>
              <w:spacing w:after="0"/>
              <w:rPr>
                <w:sz w:val="20"/>
                <w:szCs w:val="20"/>
                <w:color w:val="auto"/>
              </w:rPr>
            </w:pPr>
            <w:r>
              <w:rPr>
                <w:rFonts w:ascii="Arial" w:cs="Arial" w:eastAsia="Arial" w:hAnsi="Arial"/>
                <w:sz w:val="18"/>
                <w:szCs w:val="18"/>
                <w:b w:val="1"/>
                <w:bCs w:val="1"/>
                <w:color w:val="auto"/>
              </w:rPr>
              <w:t>Index</w:t>
            </w:r>
          </w:p>
        </w:tc>
        <w:tc>
          <w:tcPr>
            <w:tcW w:w="3120" w:type="dxa"/>
            <w:vAlign w:val="bottom"/>
            <w:shd w:val="clear" w:color="auto" w:fill="407CCA"/>
          </w:tcPr>
          <w:p>
            <w:pPr>
              <w:ind w:left="2300"/>
              <w:spacing w:after="0"/>
              <w:rPr>
                <w:sz w:val="20"/>
                <w:szCs w:val="20"/>
                <w:color w:val="auto"/>
              </w:rPr>
            </w:pPr>
            <w:r>
              <w:rPr>
                <w:rFonts w:ascii="Arial" w:cs="Arial" w:eastAsia="Arial" w:hAnsi="Arial"/>
                <w:sz w:val="13"/>
                <w:szCs w:val="13"/>
                <w:b w:val="1"/>
                <w:bCs w:val="1"/>
                <w:color w:val="auto"/>
              </w:rPr>
              <w:t>Index</w:t>
            </w:r>
          </w:p>
        </w:tc>
        <w:tc>
          <w:tcPr>
            <w:tcW w:w="2060" w:type="dxa"/>
            <w:vAlign w:val="bottom"/>
            <w:shd w:val="clear" w:color="auto" w:fill="407CCA"/>
          </w:tcPr>
          <w:p>
            <w:pPr>
              <w:jc w:val="right"/>
              <w:ind w:right="824"/>
              <w:spacing w:after="0"/>
              <w:rPr>
                <w:sz w:val="20"/>
                <w:szCs w:val="20"/>
                <w:color w:val="auto"/>
              </w:rPr>
            </w:pPr>
            <w:r>
              <w:rPr>
                <w:rFonts w:ascii="Arial" w:cs="Arial" w:eastAsia="Arial" w:hAnsi="Arial"/>
                <w:sz w:val="13"/>
                <w:szCs w:val="13"/>
                <w:b w:val="1"/>
                <w:bCs w:val="1"/>
                <w:color w:val="auto"/>
              </w:rPr>
              <w:t>Index</w:t>
            </w:r>
          </w:p>
        </w:tc>
        <w:tc>
          <w:tcPr>
            <w:tcW w:w="1500" w:type="dxa"/>
            <w:vAlign w:val="bottom"/>
            <w:shd w:val="clear" w:color="auto" w:fill="407CCA"/>
          </w:tcPr>
          <w:p>
            <w:pPr>
              <w:jc w:val="right"/>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89"/>
        </w:trPr>
        <w:tc>
          <w:tcPr>
            <w:tcW w:w="4520" w:type="dxa"/>
            <w:vAlign w:val="bottom"/>
            <w:vMerge w:val="continue"/>
            <w:shd w:val="clear" w:color="auto" w:fill="407CCA"/>
          </w:tcPr>
          <w:p>
            <w:pPr>
              <w:spacing w:after="0"/>
              <w:rPr>
                <w:sz w:val="16"/>
                <w:szCs w:val="16"/>
                <w:color w:val="auto"/>
              </w:rPr>
            </w:pPr>
          </w:p>
        </w:tc>
        <w:tc>
          <w:tcPr>
            <w:tcW w:w="3120" w:type="dxa"/>
            <w:vAlign w:val="bottom"/>
            <w:shd w:val="clear" w:color="auto" w:fill="407CCA"/>
          </w:tcPr>
          <w:p>
            <w:pPr>
              <w:ind w:left="2220"/>
              <w:spacing w:after="0"/>
              <w:rPr>
                <w:sz w:val="20"/>
                <w:szCs w:val="20"/>
                <w:color w:val="auto"/>
              </w:rPr>
            </w:pPr>
            <w:r>
              <w:rPr>
                <w:rFonts w:ascii="Arial" w:cs="Arial" w:eastAsia="Arial" w:hAnsi="Arial"/>
                <w:sz w:val="13"/>
                <w:szCs w:val="13"/>
                <w:b w:val="1"/>
                <w:bCs w:val="1"/>
                <w:color w:val="auto"/>
              </w:rPr>
              <w:t>Weight</w:t>
            </w:r>
          </w:p>
        </w:tc>
        <w:tc>
          <w:tcPr>
            <w:tcW w:w="2060" w:type="dxa"/>
            <w:vAlign w:val="bottom"/>
            <w:shd w:val="clear" w:color="auto" w:fill="407CCA"/>
          </w:tcPr>
          <w:p>
            <w:pPr>
              <w:jc w:val="right"/>
              <w:ind w:right="824"/>
              <w:spacing w:after="0"/>
              <w:rPr>
                <w:sz w:val="20"/>
                <w:szCs w:val="20"/>
                <w:color w:val="auto"/>
              </w:rPr>
            </w:pPr>
            <w:r>
              <w:rPr>
                <w:rFonts w:ascii="Arial" w:cs="Arial" w:eastAsia="Arial" w:hAnsi="Arial"/>
                <w:sz w:val="13"/>
                <w:szCs w:val="13"/>
                <w:b w:val="1"/>
                <w:bCs w:val="1"/>
                <w:color w:val="auto"/>
              </w:rPr>
              <w:t>Payout</w:t>
            </w:r>
          </w:p>
        </w:tc>
        <w:tc>
          <w:tcPr>
            <w:tcW w:w="1500" w:type="dxa"/>
            <w:vAlign w:val="bottom"/>
            <w:shd w:val="clear" w:color="auto" w:fill="407CCA"/>
          </w:tcPr>
          <w:p>
            <w:pPr>
              <w:jc w:val="right"/>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29"/>
        </w:trPr>
        <w:tc>
          <w:tcPr>
            <w:tcW w:w="4520" w:type="dxa"/>
            <w:vAlign w:val="bottom"/>
          </w:tcPr>
          <w:p>
            <w:pPr>
              <w:ind w:left="100"/>
              <w:spacing w:after="0"/>
              <w:rPr>
                <w:sz w:val="20"/>
                <w:szCs w:val="20"/>
                <w:color w:val="auto"/>
              </w:rPr>
            </w:pPr>
            <w:r>
              <w:rPr>
                <w:rFonts w:ascii="Arial" w:cs="Arial" w:eastAsia="Arial" w:hAnsi="Arial"/>
                <w:sz w:val="18"/>
                <w:szCs w:val="18"/>
                <w:color w:val="auto"/>
              </w:rPr>
              <w:t>Financial Metrics</w:t>
            </w:r>
          </w:p>
        </w:tc>
        <w:tc>
          <w:tcPr>
            <w:tcW w:w="3120" w:type="dxa"/>
            <w:vAlign w:val="bottom"/>
          </w:tcPr>
          <w:p>
            <w:pPr>
              <w:ind w:left="2180"/>
              <w:spacing w:after="0"/>
              <w:rPr>
                <w:sz w:val="20"/>
                <w:szCs w:val="20"/>
                <w:color w:val="auto"/>
              </w:rPr>
            </w:pPr>
            <w:r>
              <w:rPr>
                <w:rFonts w:ascii="Arial" w:cs="Arial" w:eastAsia="Arial" w:hAnsi="Arial"/>
                <w:sz w:val="18"/>
                <w:szCs w:val="18"/>
                <w:color w:val="auto"/>
              </w:rPr>
              <w:t>75%</w:t>
            </w:r>
          </w:p>
        </w:tc>
        <w:tc>
          <w:tcPr>
            <w:tcW w:w="2060" w:type="dxa"/>
            <w:vAlign w:val="bottom"/>
          </w:tcPr>
          <w:p>
            <w:pPr>
              <w:jc w:val="right"/>
              <w:ind w:right="924"/>
              <w:spacing w:after="0"/>
              <w:rPr>
                <w:sz w:val="20"/>
                <w:szCs w:val="20"/>
                <w:color w:val="auto"/>
              </w:rPr>
            </w:pPr>
            <w:r>
              <w:rPr>
                <w:rFonts w:ascii="Arial" w:cs="Arial" w:eastAsia="Arial" w:hAnsi="Arial"/>
                <w:sz w:val="18"/>
                <w:szCs w:val="18"/>
                <w:color w:val="auto"/>
              </w:rPr>
              <w:t>49.2%</w:t>
            </w:r>
          </w:p>
        </w:tc>
        <w:tc>
          <w:tcPr>
            <w:tcW w:w="1500" w:type="dxa"/>
            <w:vAlign w:val="bottom"/>
          </w:tcPr>
          <w:p>
            <w:pPr>
              <w:jc w:val="right"/>
              <w:ind w:right="21"/>
              <w:spacing w:after="0"/>
              <w:rPr>
                <w:sz w:val="20"/>
                <w:szCs w:val="20"/>
                <w:color w:val="auto"/>
              </w:rPr>
            </w:pPr>
            <w:r>
              <w:rPr>
                <w:rFonts w:ascii="Arial" w:cs="Arial" w:eastAsia="Arial" w:hAnsi="Arial"/>
                <w:sz w:val="18"/>
                <w:szCs w:val="18"/>
                <w:color w:val="auto"/>
              </w:rPr>
              <w:t>36.9%</w:t>
            </w:r>
          </w:p>
        </w:tc>
        <w:tc>
          <w:tcPr>
            <w:tcW w:w="0" w:type="dxa"/>
            <w:vAlign w:val="bottom"/>
          </w:tcPr>
          <w:p>
            <w:pPr>
              <w:spacing w:after="0"/>
              <w:rPr>
                <w:sz w:val="1"/>
                <w:szCs w:val="1"/>
                <w:color w:val="auto"/>
              </w:rPr>
            </w:pPr>
          </w:p>
        </w:tc>
      </w:tr>
      <w:tr>
        <w:trPr>
          <w:trHeight w:val="230"/>
        </w:trPr>
        <w:tc>
          <w:tcPr>
            <w:tcW w:w="4520" w:type="dxa"/>
            <w:vAlign w:val="bottom"/>
          </w:tcPr>
          <w:p>
            <w:pPr>
              <w:ind w:left="100"/>
              <w:spacing w:after="0"/>
              <w:rPr>
                <w:sz w:val="20"/>
                <w:szCs w:val="20"/>
                <w:color w:val="auto"/>
              </w:rPr>
            </w:pPr>
            <w:r>
              <w:rPr>
                <w:rFonts w:ascii="Arial" w:cs="Arial" w:eastAsia="Arial" w:hAnsi="Arial"/>
                <w:sz w:val="18"/>
                <w:szCs w:val="18"/>
                <w:color w:val="auto"/>
              </w:rPr>
              <w:t>Strategic / Operational Metrics</w:t>
            </w:r>
          </w:p>
        </w:tc>
        <w:tc>
          <w:tcPr>
            <w:tcW w:w="3120" w:type="dxa"/>
            <w:vAlign w:val="bottom"/>
          </w:tcPr>
          <w:p>
            <w:pPr>
              <w:ind w:left="2180"/>
              <w:spacing w:after="0"/>
              <w:rPr>
                <w:sz w:val="20"/>
                <w:szCs w:val="20"/>
                <w:color w:val="auto"/>
              </w:rPr>
            </w:pPr>
            <w:r>
              <w:rPr>
                <w:rFonts w:ascii="Arial" w:cs="Arial" w:eastAsia="Arial" w:hAnsi="Arial"/>
                <w:sz w:val="18"/>
                <w:szCs w:val="18"/>
                <w:color w:val="auto"/>
              </w:rPr>
              <w:t>25%</w:t>
            </w:r>
          </w:p>
        </w:tc>
        <w:tc>
          <w:tcPr>
            <w:tcW w:w="2060" w:type="dxa"/>
            <w:vAlign w:val="bottom"/>
          </w:tcPr>
          <w:p>
            <w:pPr>
              <w:jc w:val="right"/>
              <w:ind w:right="904"/>
              <w:spacing w:after="0"/>
              <w:rPr>
                <w:sz w:val="20"/>
                <w:szCs w:val="20"/>
                <w:color w:val="auto"/>
              </w:rPr>
            </w:pPr>
            <w:r>
              <w:rPr>
                <w:rFonts w:ascii="Arial" w:cs="Arial" w:eastAsia="Arial" w:hAnsi="Arial"/>
                <w:sz w:val="18"/>
                <w:szCs w:val="18"/>
                <w:color w:val="auto"/>
              </w:rPr>
              <w:t>100.0%</w:t>
            </w:r>
          </w:p>
        </w:tc>
        <w:tc>
          <w:tcPr>
            <w:tcW w:w="1500" w:type="dxa"/>
            <w:vAlign w:val="bottom"/>
          </w:tcPr>
          <w:p>
            <w:pPr>
              <w:jc w:val="right"/>
              <w:ind w:right="21"/>
              <w:spacing w:after="0"/>
              <w:rPr>
                <w:sz w:val="20"/>
                <w:szCs w:val="20"/>
                <w:color w:val="auto"/>
              </w:rPr>
            </w:pPr>
            <w:r>
              <w:rPr>
                <w:rFonts w:ascii="Arial" w:cs="Arial" w:eastAsia="Arial" w:hAnsi="Arial"/>
                <w:sz w:val="18"/>
                <w:szCs w:val="18"/>
                <w:color w:val="auto"/>
              </w:rPr>
              <w:t>25.0%</w:t>
            </w:r>
          </w:p>
        </w:tc>
        <w:tc>
          <w:tcPr>
            <w:tcW w:w="0" w:type="dxa"/>
            <w:vAlign w:val="bottom"/>
          </w:tcPr>
          <w:p>
            <w:pPr>
              <w:spacing w:after="0"/>
              <w:rPr>
                <w:sz w:val="1"/>
                <w:szCs w:val="1"/>
                <w:color w:val="auto"/>
              </w:rPr>
            </w:pPr>
          </w:p>
        </w:tc>
      </w:tr>
      <w:tr>
        <w:trPr>
          <w:trHeight w:val="229"/>
        </w:trPr>
        <w:tc>
          <w:tcPr>
            <w:tcW w:w="4520" w:type="dxa"/>
            <w:vAlign w:val="bottom"/>
            <w:shd w:val="clear" w:color="auto" w:fill="789E91"/>
          </w:tcPr>
          <w:p>
            <w:pPr>
              <w:ind w:left="100"/>
              <w:spacing w:after="0"/>
              <w:rPr>
                <w:sz w:val="20"/>
                <w:szCs w:val="20"/>
                <w:color w:val="auto"/>
              </w:rPr>
            </w:pPr>
            <w:r>
              <w:rPr>
                <w:rFonts w:ascii="Arial" w:cs="Arial" w:eastAsia="Arial" w:hAnsi="Arial"/>
                <w:sz w:val="18"/>
                <w:szCs w:val="18"/>
                <w:b w:val="1"/>
                <w:bCs w:val="1"/>
                <w:color w:val="auto"/>
              </w:rPr>
              <w:t>Corporate Scorecard Payout</w:t>
            </w:r>
          </w:p>
        </w:tc>
        <w:tc>
          <w:tcPr>
            <w:tcW w:w="3120" w:type="dxa"/>
            <w:vAlign w:val="bottom"/>
            <w:shd w:val="clear" w:color="auto" w:fill="789E91"/>
          </w:tcPr>
          <w:p>
            <w:pPr>
              <w:spacing w:after="0"/>
              <w:rPr>
                <w:sz w:val="19"/>
                <w:szCs w:val="19"/>
                <w:color w:val="auto"/>
              </w:rPr>
            </w:pPr>
          </w:p>
        </w:tc>
        <w:tc>
          <w:tcPr>
            <w:tcW w:w="2060" w:type="dxa"/>
            <w:vAlign w:val="bottom"/>
            <w:shd w:val="clear" w:color="auto" w:fill="789E91"/>
          </w:tcPr>
          <w:p>
            <w:pPr>
              <w:spacing w:after="0"/>
              <w:rPr>
                <w:sz w:val="19"/>
                <w:szCs w:val="19"/>
                <w:color w:val="auto"/>
              </w:rPr>
            </w:pPr>
          </w:p>
        </w:tc>
        <w:tc>
          <w:tcPr>
            <w:tcW w:w="1500" w:type="dxa"/>
            <w:vAlign w:val="bottom"/>
            <w:shd w:val="clear" w:color="auto" w:fill="789E91"/>
          </w:tcPr>
          <w:p>
            <w:pPr>
              <w:jc w:val="right"/>
              <w:ind w:right="21"/>
              <w:spacing w:after="0"/>
              <w:rPr>
                <w:sz w:val="20"/>
                <w:szCs w:val="20"/>
                <w:color w:val="auto"/>
              </w:rPr>
            </w:pPr>
            <w:r>
              <w:rPr>
                <w:rFonts w:ascii="Arial" w:cs="Arial" w:eastAsia="Arial" w:hAnsi="Arial"/>
                <w:sz w:val="18"/>
                <w:szCs w:val="18"/>
                <w:b w:val="1"/>
                <w:bCs w:val="1"/>
                <w:color w:val="auto"/>
              </w:rPr>
              <w:t>61.9%</w:t>
            </w:r>
          </w:p>
        </w:tc>
        <w:tc>
          <w:tcPr>
            <w:tcW w:w="0" w:type="dxa"/>
            <w:vAlign w:val="bottom"/>
          </w:tcPr>
          <w:p>
            <w:pPr>
              <w:spacing w:after="0"/>
              <w:rPr>
                <w:sz w:val="1"/>
                <w:szCs w:val="1"/>
                <w:color w:val="auto"/>
              </w:rPr>
            </w:pPr>
          </w:p>
        </w:tc>
      </w:tr>
    </w:tbl>
    <w:p>
      <w:pPr>
        <w:spacing w:after="0" w:line="269" w:lineRule="exact"/>
        <w:rPr>
          <w:sz w:val="20"/>
          <w:szCs w:val="20"/>
          <w:color w:val="auto"/>
        </w:rPr>
      </w:pPr>
    </w:p>
    <w:p>
      <w:pPr>
        <w:ind w:left="1300"/>
        <w:spacing w:after="0"/>
        <w:rPr>
          <w:sz w:val="20"/>
          <w:szCs w:val="20"/>
          <w:color w:val="auto"/>
        </w:rPr>
      </w:pPr>
      <w:r>
        <w:rPr>
          <w:rFonts w:ascii="Arial" w:cs="Arial" w:eastAsia="Arial" w:hAnsi="Arial"/>
          <w:sz w:val="18"/>
          <w:szCs w:val="18"/>
          <w:u w:val="single" w:color="auto"/>
          <w:color w:val="auto"/>
        </w:rPr>
        <w:t>2022 Financial Metric Results</w:t>
      </w:r>
    </w:p>
    <w:p>
      <w:pPr>
        <w:spacing w:after="0" w:line="225" w:lineRule="exact"/>
        <w:rPr>
          <w:sz w:val="20"/>
          <w:szCs w:val="20"/>
          <w:color w:val="auto"/>
        </w:rPr>
      </w:pPr>
    </w:p>
    <w:p>
      <w:pPr>
        <w:ind w:right="280" w:firstLine="648"/>
        <w:spacing w:after="0" w:line="237" w:lineRule="auto"/>
        <w:rPr>
          <w:sz w:val="20"/>
          <w:szCs w:val="20"/>
          <w:color w:val="auto"/>
        </w:rPr>
      </w:pPr>
      <w:r>
        <w:rPr>
          <w:rFonts w:ascii="Arial" w:cs="Arial" w:eastAsia="Arial" w:hAnsi="Arial"/>
          <w:sz w:val="18"/>
          <w:szCs w:val="18"/>
          <w:color w:val="auto"/>
        </w:rPr>
        <w:t>Based on our 2022 Corporate Scorecard, a review of our 2022 financial performance indicated a 49.2% payout for the financial metric portion. AGNC generated a negative absolute economic return for the year, below the threshold, primarily as a result of macroeconomic conditions that drove historically poor returns for fixed income markets broadly and the Agency MBS market specifically. After years of relative economic return outperformance compared to the Agency REIT Peer Group, in 2022 AGNC moderately underperformed the Agency REIT Peer Group by 3.2% on the relative economic return metric, as AGNC’s predominant investment focus on Agency MBS led to relative underperformance against more diversified peers. For the relative price-to-tangible book ratio measure, AGNC outperformed the Agency REIT Peer Group by 2.3%, which was below the +3.5%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154940</wp:posOffset>
            </wp:positionV>
            <wp:extent cx="5760720" cy="322326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5760720" cy="3223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1300"/>
        <w:spacing w:after="0"/>
        <w:rPr>
          <w:sz w:val="20"/>
          <w:szCs w:val="20"/>
          <w:color w:val="auto"/>
        </w:rPr>
      </w:pPr>
      <w:r>
        <w:rPr>
          <w:rFonts w:ascii="Arial" w:cs="Arial" w:eastAsia="Arial" w:hAnsi="Arial"/>
          <w:sz w:val="18"/>
          <w:szCs w:val="18"/>
          <w:u w:val="single" w:color="auto"/>
          <w:color w:val="auto"/>
        </w:rPr>
        <w:t>2022 Strategic and Operational Review</w:t>
      </w:r>
    </w:p>
    <w:p>
      <w:pPr>
        <w:spacing w:after="0" w:line="77" w:lineRule="exact"/>
        <w:rPr>
          <w:sz w:val="20"/>
          <w:szCs w:val="20"/>
          <w:color w:val="auto"/>
        </w:rPr>
      </w:pPr>
    </w:p>
    <w:p>
      <w:pPr>
        <w:ind w:right="360" w:firstLine="648"/>
        <w:spacing w:after="0" w:line="248" w:lineRule="auto"/>
        <w:rPr>
          <w:sz w:val="20"/>
          <w:szCs w:val="20"/>
          <w:color w:val="auto"/>
        </w:rPr>
      </w:pPr>
      <w:r>
        <w:rPr>
          <w:rFonts w:ascii="Arial" w:cs="Arial" w:eastAsia="Arial" w:hAnsi="Arial"/>
          <w:sz w:val="16"/>
          <w:szCs w:val="16"/>
          <w:color w:val="auto"/>
        </w:rPr>
        <w:t>In evaluating our performance under the operational and strategic objective portion of the Corporate Scorecard, the Compensation Committee noted the following accomplishments, among others, in determining that the Company met target expectations and achieved 100% performance on the</w:t>
      </w:r>
    </w:p>
    <w:p>
      <w:pPr>
        <w:spacing w:after="0"/>
        <w:rPr>
          <w:sz w:val="20"/>
          <w:szCs w:val="20"/>
          <w:color w:val="auto"/>
        </w:rPr>
      </w:pPr>
      <w:r>
        <w:rPr>
          <w:rFonts w:ascii="Arial" w:cs="Arial" w:eastAsia="Arial" w:hAnsi="Arial"/>
          <w:sz w:val="18"/>
          <w:szCs w:val="18"/>
          <w:color w:val="auto"/>
        </w:rPr>
        <w:t>operational and strategic objectives.</w:t>
      </w:r>
    </w:p>
    <w:p>
      <w:pPr>
        <w:spacing w:after="0" w:line="200" w:lineRule="exact"/>
        <w:rPr>
          <w:sz w:val="20"/>
          <w:szCs w:val="20"/>
          <w:color w:val="auto"/>
        </w:rPr>
      </w:pPr>
    </w:p>
    <w:p>
      <w:pPr>
        <w:spacing w:after="0" w:line="234"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45" w:name="page46"/>
    <w:bookmarkEnd w:id="4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1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40" w:type="dxa"/>
            <w:vAlign w:val="bottom"/>
            <w:shd w:val="clear" w:color="auto" w:fill="80C9FF"/>
          </w:tcPr>
          <w:p>
            <w:pPr>
              <w:ind w:left="20"/>
              <w:spacing w:after="0"/>
              <w:rPr>
                <w:sz w:val="20"/>
                <w:szCs w:val="20"/>
                <w:color w:val="auto"/>
              </w:rPr>
            </w:pPr>
            <w:r>
              <w:rPr>
                <w:rFonts w:ascii="Arial" w:cs="Arial" w:eastAsia="Arial" w:hAnsi="Arial"/>
                <w:sz w:val="18"/>
                <w:szCs w:val="18"/>
                <w:b w:val="1"/>
                <w:bCs w:val="1"/>
                <w:color w:val="auto"/>
              </w:rPr>
              <w:t>Component of Value</w:t>
            </w:r>
          </w:p>
        </w:tc>
        <w:tc>
          <w:tcPr>
            <w:tcW w:w="2800" w:type="dxa"/>
            <w:vAlign w:val="bottom"/>
            <w:shd w:val="clear" w:color="auto" w:fill="80C9FF"/>
          </w:tcPr>
          <w:p>
            <w:pPr>
              <w:ind w:left="320"/>
              <w:spacing w:after="0"/>
              <w:rPr>
                <w:sz w:val="20"/>
                <w:szCs w:val="20"/>
                <w:color w:val="auto"/>
              </w:rPr>
            </w:pPr>
            <w:r>
              <w:rPr>
                <w:rFonts w:ascii="Arial" w:cs="Arial" w:eastAsia="Arial" w:hAnsi="Arial"/>
                <w:sz w:val="18"/>
                <w:szCs w:val="18"/>
                <w:b w:val="1"/>
                <w:bCs w:val="1"/>
                <w:color w:val="auto"/>
              </w:rPr>
              <w:t>Objective / Focus</w:t>
            </w:r>
          </w:p>
        </w:tc>
        <w:tc>
          <w:tcPr>
            <w:tcW w:w="6400" w:type="dxa"/>
            <w:vAlign w:val="bottom"/>
            <w:shd w:val="clear" w:color="auto" w:fill="80C9FF"/>
          </w:tcPr>
          <w:p>
            <w:pPr>
              <w:ind w:left="1140"/>
              <w:spacing w:after="0"/>
              <w:rPr>
                <w:sz w:val="20"/>
                <w:szCs w:val="20"/>
                <w:color w:val="auto"/>
              </w:rPr>
            </w:pPr>
            <w:r>
              <w:rPr>
                <w:rFonts w:ascii="Arial" w:cs="Arial" w:eastAsia="Arial" w:hAnsi="Arial"/>
                <w:sz w:val="18"/>
                <w:szCs w:val="18"/>
                <w:b w:val="1"/>
                <w:bCs w:val="1"/>
                <w:color w:val="auto"/>
              </w:rPr>
              <w:t>Highlights</w:t>
            </w:r>
          </w:p>
        </w:tc>
      </w:tr>
      <w:tr>
        <w:trPr>
          <w:trHeight w:val="243"/>
        </w:trPr>
        <w:tc>
          <w:tcPr>
            <w:tcW w:w="1940" w:type="dxa"/>
            <w:vAlign w:val="bottom"/>
            <w:shd w:val="clear" w:color="auto" w:fill="80C9FF"/>
          </w:tcPr>
          <w:p>
            <w:pPr>
              <w:ind w:left="20"/>
              <w:spacing w:after="0"/>
              <w:rPr>
                <w:sz w:val="20"/>
                <w:szCs w:val="20"/>
                <w:color w:val="auto"/>
              </w:rPr>
            </w:pPr>
            <w:r>
              <w:rPr>
                <w:rFonts w:ascii="Arial" w:cs="Arial" w:eastAsia="Arial" w:hAnsi="Arial"/>
                <w:sz w:val="18"/>
                <w:szCs w:val="18"/>
                <w:b w:val="1"/>
                <w:bCs w:val="1"/>
                <w:color w:val="auto"/>
              </w:rPr>
              <w:t>Proposition</w:t>
            </w:r>
          </w:p>
        </w:tc>
        <w:tc>
          <w:tcPr>
            <w:tcW w:w="2800" w:type="dxa"/>
            <w:vAlign w:val="bottom"/>
            <w:shd w:val="clear" w:color="auto" w:fill="80C9FF"/>
          </w:tcPr>
          <w:p>
            <w:pPr>
              <w:spacing w:after="0"/>
              <w:rPr>
                <w:sz w:val="21"/>
                <w:szCs w:val="21"/>
                <w:color w:val="auto"/>
              </w:rPr>
            </w:pPr>
          </w:p>
        </w:tc>
        <w:tc>
          <w:tcPr>
            <w:tcW w:w="6400" w:type="dxa"/>
            <w:vAlign w:val="bottom"/>
            <w:shd w:val="clear" w:color="auto" w:fill="80C9FF"/>
          </w:tcPr>
          <w:p>
            <w:pPr>
              <w:spacing w:after="0"/>
              <w:rPr>
                <w:sz w:val="21"/>
                <w:szCs w:val="21"/>
                <w:color w:val="auto"/>
              </w:rPr>
            </w:pPr>
          </w:p>
        </w:tc>
      </w:tr>
    </w:tbl>
    <w:p>
      <w:pPr>
        <w:spacing w:after="0" w:line="1" w:lineRule="exact"/>
        <w:rPr>
          <w:sz w:val="20"/>
          <w:szCs w:val="20"/>
          <w:color w:val="auto"/>
        </w:rPr>
      </w:pPr>
    </w:p>
    <w:p>
      <w:pPr>
        <w:sectPr>
          <w:pgSz w:w="11900" w:h="16838" w:orient="portrait"/>
          <w:cols w:equalWidth="0" w:num="1">
            <w:col w:w="11140"/>
          </w:cols>
          <w:pgMar w:left="320" w:top="108" w:right="439" w:bottom="1440" w:gutter="0" w:footer="0" w:header="0"/>
        </w:sectPr>
      </w:pPr>
    </w:p>
    <w:p>
      <w:pPr>
        <w:ind w:left="20"/>
        <w:spacing w:after="0" w:line="191" w:lineRule="exact"/>
        <w:tabs>
          <w:tab w:leader="none" w:pos="2240" w:val="left"/>
        </w:tabs>
        <w:rPr>
          <w:sz w:val="20"/>
          <w:szCs w:val="20"/>
          <w:color w:val="auto"/>
        </w:rPr>
      </w:pPr>
      <w:r>
        <w:rPr>
          <w:rFonts w:ascii="Arial" w:cs="Arial" w:eastAsia="Arial" w:hAnsi="Arial"/>
          <w:sz w:val="18"/>
          <w:szCs w:val="18"/>
          <w:color w:val="407CCA"/>
        </w:rPr>
        <w:t>Operating Efficiency</w:t>
      </w:r>
      <w:r>
        <w:rPr>
          <w:sz w:val="20"/>
          <w:szCs w:val="20"/>
          <w:color w:val="auto"/>
        </w:rPr>
        <w:tab/>
      </w:r>
      <w:r>
        <w:rPr>
          <w:rFonts w:ascii="MS PGothic" w:cs="MS PGothic" w:eastAsia="MS PGothic" w:hAnsi="MS PGothic"/>
          <w:sz w:val="16"/>
          <w:szCs w:val="16"/>
          <w:color w:val="auto"/>
        </w:rPr>
        <w:t xml:space="preserve">✔ </w:t>
      </w:r>
      <w:r>
        <w:rPr>
          <w:rFonts w:ascii="Arial" w:cs="Arial" w:eastAsia="Arial" w:hAnsi="Arial"/>
          <w:sz w:val="16"/>
          <w:szCs w:val="16"/>
          <w:color w:val="auto"/>
        </w:rPr>
        <w:t>Maintain low operating cost structure relative</w:t>
      </w:r>
    </w:p>
    <w:p>
      <w:pPr>
        <w:ind w:left="2600"/>
        <w:spacing w:after="0" w:line="203" w:lineRule="auto"/>
        <w:rPr>
          <w:sz w:val="20"/>
          <w:szCs w:val="20"/>
          <w:color w:val="auto"/>
        </w:rPr>
      </w:pPr>
      <w:r>
        <w:rPr>
          <w:rFonts w:ascii="Arial" w:cs="Arial" w:eastAsia="Arial" w:hAnsi="Arial"/>
          <w:sz w:val="18"/>
          <w:szCs w:val="18"/>
          <w:color w:val="auto"/>
        </w:rPr>
        <w:t>to the residential mortgage REIT and</w:t>
      </w:r>
    </w:p>
    <w:p>
      <w:pPr>
        <w:ind w:left="2600"/>
        <w:spacing w:after="0"/>
        <w:rPr>
          <w:sz w:val="20"/>
          <w:szCs w:val="20"/>
          <w:color w:val="auto"/>
        </w:rPr>
      </w:pPr>
      <w:r>
        <w:rPr>
          <w:rFonts w:ascii="Arial" w:cs="Arial" w:eastAsia="Arial" w:hAnsi="Arial"/>
          <w:sz w:val="18"/>
          <w:szCs w:val="18"/>
          <w:color w:val="auto"/>
        </w:rPr>
        <w:t>broader asset management industries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0" w:right="380" w:hanging="2564"/>
        <w:spacing w:after="0" w:line="196" w:lineRule="exact"/>
        <w:rPr>
          <w:sz w:val="20"/>
          <w:szCs w:val="20"/>
          <w:color w:val="auto"/>
        </w:rPr>
      </w:pPr>
      <w:r>
        <w:rPr>
          <w:rFonts w:ascii="Arial" w:cs="Arial" w:eastAsia="Arial" w:hAnsi="Arial"/>
          <w:sz w:val="16"/>
          <w:szCs w:val="16"/>
          <w:color w:val="407CCA"/>
        </w:rPr>
        <w:t xml:space="preserve">Disciplined Risk Management </w:t>
      </w:r>
      <w:r>
        <w:rPr>
          <w:rFonts w:ascii="MS PGothic" w:cs="MS PGothic" w:eastAsia="MS PGothic" w:hAnsi="MS PGothic"/>
          <w:sz w:val="16"/>
          <w:szCs w:val="16"/>
          <w:color w:val="000000"/>
        </w:rPr>
        <w:t>✔</w:t>
      </w:r>
      <w:r>
        <w:rPr>
          <w:rFonts w:ascii="Arial" w:cs="Arial" w:eastAsia="Arial" w:hAnsi="Arial"/>
          <w:sz w:val="16"/>
          <w:szCs w:val="16"/>
          <w:color w:val="407CCA"/>
        </w:rPr>
        <w:t xml:space="preserve"> </w:t>
      </w:r>
      <w:r>
        <w:rPr>
          <w:rFonts w:ascii="Arial" w:cs="Arial" w:eastAsia="Arial" w:hAnsi="Arial"/>
          <w:sz w:val="16"/>
          <w:szCs w:val="16"/>
          <w:color w:val="000000"/>
        </w:rPr>
        <w:t>Utilize comprehensive risk management</w:t>
      </w:r>
      <w:r>
        <w:rPr>
          <w:rFonts w:ascii="Arial" w:cs="Arial" w:eastAsia="Arial" w:hAnsi="Arial"/>
          <w:sz w:val="16"/>
          <w:szCs w:val="16"/>
          <w:color w:val="407CCA"/>
        </w:rPr>
        <w:t xml:space="preserve"> </w:t>
      </w:r>
      <w:r>
        <w:rPr>
          <w:rFonts w:ascii="Arial" w:cs="Arial" w:eastAsia="Arial" w:hAnsi="Arial"/>
          <w:sz w:val="16"/>
          <w:szCs w:val="16"/>
          <w:color w:val="000000"/>
        </w:rPr>
        <w:t>framework predicated on careful asset selection, disciplined hedging and</w:t>
      </w:r>
    </w:p>
    <w:p>
      <w:pPr>
        <w:spacing w:after="0" w:line="2" w:lineRule="exact"/>
        <w:rPr>
          <w:sz w:val="20"/>
          <w:szCs w:val="20"/>
          <w:color w:val="auto"/>
        </w:rPr>
      </w:pPr>
    </w:p>
    <w:p>
      <w:pPr>
        <w:ind w:left="2600" w:right="40"/>
        <w:spacing w:after="0" w:line="218" w:lineRule="auto"/>
        <w:rPr>
          <w:sz w:val="20"/>
          <w:szCs w:val="20"/>
          <w:color w:val="auto"/>
        </w:rPr>
      </w:pPr>
      <w:r>
        <w:rPr>
          <w:rFonts w:ascii="Arial" w:cs="Arial" w:eastAsia="Arial" w:hAnsi="Arial"/>
          <w:sz w:val="18"/>
          <w:szCs w:val="18"/>
          <w:color w:val="auto"/>
        </w:rPr>
        <w:t>diversified funding to preserve tangible net book value across a wide range of market scenarios</w:t>
      </w:r>
    </w:p>
    <w:p>
      <w:pPr>
        <w:spacing w:after="0" w:line="203" w:lineRule="exact"/>
        <w:rPr>
          <w:sz w:val="20"/>
          <w:szCs w:val="20"/>
          <w:color w:val="auto"/>
        </w:rPr>
      </w:pPr>
    </w:p>
    <w:p>
      <w:pPr>
        <w:ind w:left="2600" w:right="600" w:hanging="333"/>
        <w:spacing w:after="0" w:line="224" w:lineRule="auto"/>
        <w:tabs>
          <w:tab w:leader="none" w:pos="2474" w:val="left"/>
        </w:tabs>
        <w:numPr>
          <w:ilvl w:val="0"/>
          <w:numId w:val="38"/>
        </w:numPr>
        <w:rPr>
          <w:rFonts w:ascii="MS PGothic" w:cs="MS PGothic" w:eastAsia="MS PGothic" w:hAnsi="MS PGothic"/>
          <w:sz w:val="18"/>
          <w:szCs w:val="18"/>
          <w:color w:val="auto"/>
        </w:rPr>
      </w:pPr>
      <w:r>
        <w:rPr>
          <w:rFonts w:ascii="Arial" w:cs="Arial" w:eastAsia="Arial" w:hAnsi="Arial"/>
          <w:sz w:val="18"/>
          <w:szCs w:val="18"/>
          <w:color w:val="auto"/>
        </w:rPr>
        <w:t>Maintain business continuity through operations and cybersecurity risk management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20"/>
        <w:spacing w:after="0" w:line="207" w:lineRule="exact"/>
        <w:tabs>
          <w:tab w:leader="none" w:pos="2240" w:val="left"/>
        </w:tabs>
        <w:rPr>
          <w:sz w:val="20"/>
          <w:szCs w:val="20"/>
          <w:color w:val="auto"/>
        </w:rPr>
      </w:pPr>
      <w:r>
        <w:rPr>
          <w:rFonts w:ascii="Arial" w:cs="Arial" w:eastAsia="Arial" w:hAnsi="Arial"/>
          <w:sz w:val="18"/>
          <w:szCs w:val="18"/>
          <w:color w:val="407CCA"/>
        </w:rPr>
        <w:t>Stockholder Focus and</w:t>
      </w:r>
      <w:r>
        <w:rPr>
          <w:sz w:val="20"/>
          <w:szCs w:val="20"/>
          <w:color w:val="auto"/>
        </w:rPr>
        <w:tab/>
      </w:r>
      <w:r>
        <w:rPr>
          <w:rFonts w:ascii="MS PGothic" w:cs="MS PGothic" w:eastAsia="MS PGothic" w:hAnsi="MS PGothic"/>
          <w:sz w:val="16"/>
          <w:szCs w:val="16"/>
          <w:color w:val="auto"/>
        </w:rPr>
        <w:t xml:space="preserve">✔ </w:t>
      </w:r>
      <w:r>
        <w:rPr>
          <w:rFonts w:ascii="Arial" w:cs="Arial" w:eastAsia="Arial" w:hAnsi="Arial"/>
          <w:sz w:val="16"/>
          <w:szCs w:val="16"/>
          <w:color w:val="auto"/>
        </w:rPr>
        <w:t>Provide detailed and transparent public</w:t>
      </w:r>
    </w:p>
    <w:p>
      <w:pPr>
        <w:spacing w:after="0" w:line="1" w:lineRule="exact"/>
        <w:rPr>
          <w:sz w:val="20"/>
          <w:szCs w:val="20"/>
          <w:color w:val="auto"/>
        </w:rPr>
      </w:pPr>
    </w:p>
    <w:p>
      <w:pPr>
        <w:ind w:left="20"/>
        <w:spacing w:after="0"/>
        <w:tabs>
          <w:tab w:leader="none" w:pos="2580" w:val="left"/>
        </w:tabs>
        <w:rPr>
          <w:sz w:val="20"/>
          <w:szCs w:val="20"/>
          <w:color w:val="auto"/>
        </w:rPr>
      </w:pPr>
      <w:r>
        <w:rPr>
          <w:rFonts w:ascii="Arial" w:cs="Arial" w:eastAsia="Arial" w:hAnsi="Arial"/>
          <w:sz w:val="18"/>
          <w:szCs w:val="18"/>
          <w:color w:val="407CCA"/>
        </w:rPr>
        <w:t>Capital Management</w:t>
      </w:r>
      <w:r>
        <w:rPr>
          <w:sz w:val="20"/>
          <w:szCs w:val="20"/>
          <w:color w:val="auto"/>
        </w:rPr>
        <w:tab/>
      </w:r>
      <w:r>
        <w:rPr>
          <w:rFonts w:ascii="Arial" w:cs="Arial" w:eastAsia="Arial" w:hAnsi="Arial"/>
          <w:sz w:val="16"/>
          <w:szCs w:val="16"/>
          <w:color w:val="auto"/>
        </w:rPr>
        <w:t>financial disclosure, actively engage with</w:t>
      </w:r>
    </w:p>
    <w:p>
      <w:pPr>
        <w:ind w:left="2600" w:right="180"/>
        <w:spacing w:after="0" w:line="255" w:lineRule="auto"/>
        <w:rPr>
          <w:sz w:val="20"/>
          <w:szCs w:val="20"/>
          <w:color w:val="auto"/>
        </w:rPr>
      </w:pPr>
      <w:r>
        <w:rPr>
          <w:rFonts w:ascii="Arial" w:cs="Arial" w:eastAsia="Arial" w:hAnsi="Arial"/>
          <w:sz w:val="17"/>
          <w:szCs w:val="17"/>
          <w:color w:val="auto"/>
        </w:rPr>
        <w:t>investors, and provide clear and effective stockholder communications</w:t>
      </w:r>
    </w:p>
    <w:p>
      <w:pPr>
        <w:spacing w:after="0" w:line="143" w:lineRule="exact"/>
        <w:rPr>
          <w:sz w:val="20"/>
          <w:szCs w:val="20"/>
          <w:color w:val="auto"/>
        </w:rPr>
      </w:pPr>
    </w:p>
    <w:p>
      <w:pPr>
        <w:ind w:left="2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Maintain an active, stockholder-friendly</w:t>
      </w:r>
    </w:p>
    <w:p>
      <w:pPr>
        <w:ind w:left="2600"/>
        <w:spacing w:after="0"/>
        <w:rPr>
          <w:sz w:val="20"/>
          <w:szCs w:val="20"/>
          <w:color w:val="auto"/>
        </w:rPr>
      </w:pPr>
      <w:r>
        <w:rPr>
          <w:rFonts w:ascii="Arial" w:cs="Arial" w:eastAsia="Arial" w:hAnsi="Arial"/>
          <w:sz w:val="18"/>
          <w:szCs w:val="18"/>
          <w:color w:val="auto"/>
        </w:rPr>
        <w:t>capital management approach that is</w:t>
      </w:r>
    </w:p>
    <w:p>
      <w:pPr>
        <w:ind w:left="2600"/>
        <w:spacing w:after="0" w:line="203" w:lineRule="auto"/>
        <w:rPr>
          <w:sz w:val="20"/>
          <w:szCs w:val="20"/>
          <w:color w:val="auto"/>
        </w:rPr>
      </w:pPr>
      <w:r>
        <w:rPr>
          <w:rFonts w:ascii="Arial" w:cs="Arial" w:eastAsia="Arial" w:hAnsi="Arial"/>
          <w:sz w:val="18"/>
          <w:szCs w:val="18"/>
          <w:color w:val="auto"/>
        </w:rPr>
        <w:t>consistent with broader market</w:t>
      </w:r>
    </w:p>
    <w:p>
      <w:pPr>
        <w:ind w:left="2600"/>
        <w:spacing w:after="0"/>
        <w:rPr>
          <w:sz w:val="20"/>
          <w:szCs w:val="20"/>
          <w:color w:val="auto"/>
        </w:rPr>
      </w:pPr>
      <w:r>
        <w:rPr>
          <w:rFonts w:ascii="Arial" w:cs="Arial" w:eastAsia="Arial" w:hAnsi="Arial"/>
          <w:sz w:val="18"/>
          <w:szCs w:val="18"/>
          <w:color w:val="auto"/>
        </w:rPr>
        <w:t>considerations</w:t>
      </w:r>
    </w:p>
    <w:p>
      <w:pPr>
        <w:spacing w:after="0" w:line="269" w:lineRule="exact"/>
        <w:rPr>
          <w:sz w:val="20"/>
          <w:szCs w:val="20"/>
          <w:color w:val="auto"/>
        </w:rPr>
      </w:pPr>
    </w:p>
    <w:p>
      <w:pPr>
        <w:ind w:left="20"/>
        <w:spacing w:after="0" w:line="207" w:lineRule="exact"/>
        <w:tabs>
          <w:tab w:leader="none" w:pos="2240" w:val="left"/>
        </w:tabs>
        <w:rPr>
          <w:sz w:val="20"/>
          <w:szCs w:val="20"/>
          <w:color w:val="auto"/>
        </w:rPr>
      </w:pPr>
      <w:r>
        <w:rPr>
          <w:rFonts w:ascii="Arial" w:cs="Arial" w:eastAsia="Arial" w:hAnsi="Arial"/>
          <w:sz w:val="18"/>
          <w:szCs w:val="18"/>
          <w:color w:val="407CCA"/>
        </w:rPr>
        <w:t>ESG Framework and</w:t>
      </w:r>
      <w:r>
        <w:rPr>
          <w:sz w:val="20"/>
          <w:szCs w:val="20"/>
          <w:color w:val="auto"/>
        </w:rPr>
        <w:tab/>
      </w:r>
      <w:r>
        <w:rPr>
          <w:rFonts w:ascii="MS PGothic" w:cs="MS PGothic" w:eastAsia="MS PGothic" w:hAnsi="MS PGothic"/>
          <w:sz w:val="16"/>
          <w:szCs w:val="16"/>
          <w:color w:val="auto"/>
        </w:rPr>
        <w:t xml:space="preserve">✔ </w:t>
      </w:r>
      <w:r>
        <w:rPr>
          <w:rFonts w:ascii="Arial" w:cs="Arial" w:eastAsia="Arial" w:hAnsi="Arial"/>
          <w:sz w:val="16"/>
          <w:szCs w:val="16"/>
          <w:color w:val="auto"/>
        </w:rPr>
        <w:t>Expand and improve high-quality ESG and</w:t>
      </w:r>
    </w:p>
    <w:p>
      <w:pPr>
        <w:spacing w:after="0" w:line="1" w:lineRule="exact"/>
        <w:rPr>
          <w:sz w:val="20"/>
          <w:szCs w:val="20"/>
          <w:color w:val="auto"/>
        </w:rPr>
      </w:pPr>
    </w:p>
    <w:p>
      <w:pPr>
        <w:ind w:left="20"/>
        <w:spacing w:after="0"/>
        <w:tabs>
          <w:tab w:leader="none" w:pos="2580" w:val="left"/>
        </w:tabs>
        <w:rPr>
          <w:sz w:val="20"/>
          <w:szCs w:val="20"/>
          <w:color w:val="auto"/>
        </w:rPr>
      </w:pPr>
      <w:r>
        <w:rPr>
          <w:rFonts w:ascii="Arial" w:cs="Arial" w:eastAsia="Arial" w:hAnsi="Arial"/>
          <w:sz w:val="18"/>
          <w:szCs w:val="18"/>
          <w:color w:val="407CCA"/>
        </w:rPr>
        <w:t>Practices</w:t>
      </w:r>
      <w:r>
        <w:rPr>
          <w:sz w:val="20"/>
          <w:szCs w:val="20"/>
          <w:color w:val="auto"/>
        </w:rPr>
        <w:tab/>
      </w:r>
      <w:r>
        <w:rPr>
          <w:rFonts w:ascii="Arial" w:cs="Arial" w:eastAsia="Arial" w:hAnsi="Arial"/>
          <w:sz w:val="18"/>
          <w:szCs w:val="18"/>
          <w:color w:val="auto"/>
        </w:rPr>
        <w:t>corporate sustainability practices, and</w:t>
      </w:r>
    </w:p>
    <w:p>
      <w:pPr>
        <w:jc w:val="right"/>
        <w:spacing w:after="0" w:line="219" w:lineRule="auto"/>
        <w:rPr>
          <w:sz w:val="20"/>
          <w:szCs w:val="20"/>
          <w:color w:val="auto"/>
        </w:rPr>
      </w:pPr>
      <w:r>
        <w:rPr>
          <w:rFonts w:ascii="Arial" w:cs="Arial" w:eastAsia="Arial" w:hAnsi="Arial"/>
          <w:sz w:val="18"/>
          <w:szCs w:val="18"/>
          <w:color w:val="auto"/>
        </w:rPr>
        <w:t>incorporate material ESG and sustainability</w:t>
      </w:r>
    </w:p>
    <w:p>
      <w:pPr>
        <w:ind w:left="2600"/>
        <w:spacing w:after="0" w:line="229" w:lineRule="auto"/>
        <w:rPr>
          <w:sz w:val="20"/>
          <w:szCs w:val="20"/>
          <w:color w:val="auto"/>
        </w:rPr>
      </w:pPr>
      <w:r>
        <w:rPr>
          <w:rFonts w:ascii="Arial" w:cs="Arial" w:eastAsia="Arial" w:hAnsi="Arial"/>
          <w:sz w:val="16"/>
          <w:szCs w:val="16"/>
          <w:color w:val="auto"/>
        </w:rPr>
        <w:t>factors into AGNC’s strategy, business, and</w:t>
      </w:r>
    </w:p>
    <w:p>
      <w:pPr>
        <w:jc w:val="center"/>
        <w:ind w:left="180"/>
        <w:spacing w:after="0"/>
        <w:rPr>
          <w:sz w:val="20"/>
          <w:szCs w:val="20"/>
          <w:color w:val="auto"/>
        </w:rPr>
      </w:pPr>
      <w:r>
        <w:rPr>
          <w:rFonts w:ascii="Arial" w:cs="Arial" w:eastAsia="Arial" w:hAnsi="Arial"/>
          <w:sz w:val="18"/>
          <w:szCs w:val="18"/>
          <w:color w:val="auto"/>
        </w:rPr>
        <w:t>operations</w:t>
      </w:r>
    </w:p>
    <w:p>
      <w:pPr>
        <w:spacing w:after="0" w:line="20" w:lineRule="exact"/>
        <w:rPr>
          <w:sz w:val="20"/>
          <w:szCs w:val="20"/>
          <w:color w:val="auto"/>
        </w:rPr>
      </w:pPr>
      <w:r>
        <w:rPr>
          <w:sz w:val="20"/>
          <w:szCs w:val="20"/>
          <w:color w:val="auto"/>
        </w:rPr>
        <w:br w:type="column"/>
      </w:r>
    </w:p>
    <w:p>
      <w:pPr>
        <w:ind w:left="329" w:right="160" w:hanging="329"/>
        <w:spacing w:after="0" w:line="212"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Continued to outperform mREIT industry on an operating cost basis by a wide margin</w:t>
      </w:r>
    </w:p>
    <w:p>
      <w:pPr>
        <w:ind w:left="329" w:right="14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Completed transition of custody clearing / settlement services to our wholly-owned broker dealer subsidiary Bethesda Securities, LLC, generating substantial cost savings and reducing exposure to third-party custodian operations</w:t>
      </w:r>
    </w:p>
    <w:p>
      <w:pPr>
        <w:spacing w:after="0" w:line="1" w:lineRule="exact"/>
        <w:rPr>
          <w:rFonts w:ascii="MS PGothic" w:cs="MS PGothic" w:eastAsia="MS PGothic" w:hAnsi="MS PGothic"/>
          <w:sz w:val="18"/>
          <w:szCs w:val="18"/>
          <w:color w:val="auto"/>
        </w:rPr>
      </w:pPr>
    </w:p>
    <w:p>
      <w:pPr>
        <w:ind w:left="329" w:right="120" w:hanging="329"/>
        <w:spacing w:after="0" w:line="218"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Enhanced operational efficiencies through development of new tools and processes in Agency MBS valuation and treasury and middle office operations</w:t>
      </w:r>
    </w:p>
    <w:p>
      <w:pPr>
        <w:spacing w:after="0" w:line="200" w:lineRule="exact"/>
        <w:rPr>
          <w:rFonts w:ascii="MS PGothic" w:cs="MS PGothic" w:eastAsia="MS PGothic" w:hAnsi="MS PGothic"/>
          <w:sz w:val="18"/>
          <w:szCs w:val="18"/>
          <w:color w:val="auto"/>
        </w:rPr>
      </w:pPr>
    </w:p>
    <w:p>
      <w:pPr>
        <w:spacing w:after="0" w:line="200" w:lineRule="exact"/>
        <w:rPr>
          <w:rFonts w:ascii="MS PGothic" w:cs="MS PGothic" w:eastAsia="MS PGothic" w:hAnsi="MS PGothic"/>
          <w:sz w:val="18"/>
          <w:szCs w:val="18"/>
          <w:color w:val="auto"/>
        </w:rPr>
      </w:pPr>
    </w:p>
    <w:p>
      <w:pPr>
        <w:spacing w:after="0" w:line="342" w:lineRule="exact"/>
        <w:rPr>
          <w:rFonts w:ascii="MS PGothic" w:cs="MS PGothic" w:eastAsia="MS PGothic" w:hAnsi="MS PGothic"/>
          <w:sz w:val="18"/>
          <w:szCs w:val="18"/>
          <w:color w:val="auto"/>
        </w:rPr>
      </w:pPr>
    </w:p>
    <w:p>
      <w:pPr>
        <w:ind w:left="329" w:right="300" w:hanging="329"/>
        <w:spacing w:after="0" w:line="241" w:lineRule="auto"/>
        <w:tabs>
          <w:tab w:leader="none" w:pos="203" w:val="left"/>
        </w:tabs>
        <w:numPr>
          <w:ilvl w:val="0"/>
          <w:numId w:val="39"/>
        </w:numPr>
        <w:rPr>
          <w:rFonts w:ascii="MS PGothic" w:cs="MS PGothic" w:eastAsia="MS PGothic" w:hAnsi="MS PGothic"/>
          <w:sz w:val="16"/>
          <w:szCs w:val="16"/>
          <w:color w:val="auto"/>
        </w:rPr>
      </w:pPr>
      <w:r>
        <w:rPr>
          <w:rFonts w:ascii="Arial" w:cs="Arial" w:eastAsia="Arial" w:hAnsi="Arial"/>
          <w:sz w:val="16"/>
          <w:szCs w:val="16"/>
          <w:color w:val="auto"/>
        </w:rPr>
        <w:t>Operated in compliance with investment risk reporting framework throughout 2022, mitigating exposure to market volatility and diminished liquidity in a rising interest rate environment</w:t>
      </w:r>
    </w:p>
    <w:p>
      <w:pPr>
        <w:spacing w:after="0" w:line="1" w:lineRule="exact"/>
        <w:rPr>
          <w:rFonts w:ascii="MS PGothic" w:cs="MS PGothic" w:eastAsia="MS PGothic" w:hAnsi="MS PGothic"/>
          <w:sz w:val="16"/>
          <w:szCs w:val="16"/>
          <w:color w:val="auto"/>
        </w:rPr>
      </w:pPr>
    </w:p>
    <w:p>
      <w:pPr>
        <w:ind w:left="329" w:right="560" w:hanging="329"/>
        <w:spacing w:after="0" w:line="203"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Maintained funding diversification with ample availability and capacity</w:t>
      </w:r>
    </w:p>
    <w:p>
      <w:pPr>
        <w:ind w:left="329" w:right="160" w:hanging="329"/>
        <w:spacing w:after="0" w:line="221" w:lineRule="auto"/>
        <w:tabs>
          <w:tab w:leader="none" w:pos="203" w:val="left"/>
        </w:tabs>
        <w:numPr>
          <w:ilvl w:val="0"/>
          <w:numId w:val="39"/>
        </w:numPr>
        <w:rPr>
          <w:rFonts w:ascii="MS PGothic" w:cs="MS PGothic" w:eastAsia="MS PGothic" w:hAnsi="MS PGothic"/>
          <w:sz w:val="17"/>
          <w:szCs w:val="17"/>
          <w:color w:val="auto"/>
        </w:rPr>
      </w:pPr>
      <w:r>
        <w:rPr>
          <w:rFonts w:ascii="Arial" w:cs="Arial" w:eastAsia="Arial" w:hAnsi="Arial"/>
          <w:sz w:val="17"/>
          <w:szCs w:val="17"/>
          <w:color w:val="auto"/>
        </w:rPr>
        <w:t>Continued to optimize funding, custody, and TBA clearing through Bethesda Securities and further integrated Bethesda Securities and AGNC back and middle office operations</w:t>
      </w:r>
    </w:p>
    <w:p>
      <w:pPr>
        <w:ind w:left="329" w:right="74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Maintained compliance with all reporting, listing, and REIT regulatory requirements</w:t>
      </w:r>
    </w:p>
    <w:p>
      <w:pPr>
        <w:ind w:left="329" w:right="8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Continued improvement and testing of IT infrastructure to strengthen information security posture and resiliency</w:t>
      </w:r>
    </w:p>
    <w:p>
      <w:pPr>
        <w:ind w:left="329" w:right="240" w:hanging="329"/>
        <w:spacing w:after="0" w:line="207"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Maintained and enhanced corporate culture focused on compliance and risk management, including training on code of ethics and insider trading requirements, as evidenced by employee survey results</w:t>
      </w:r>
    </w:p>
    <w:p>
      <w:pPr>
        <w:spacing w:after="0" w:line="1" w:lineRule="exact"/>
        <w:rPr>
          <w:rFonts w:ascii="MS PGothic" w:cs="MS PGothic" w:eastAsia="MS PGothic" w:hAnsi="MS PGothic"/>
          <w:sz w:val="18"/>
          <w:szCs w:val="18"/>
          <w:color w:val="auto"/>
        </w:rPr>
      </w:pPr>
    </w:p>
    <w:p>
      <w:pPr>
        <w:ind w:left="329" w:right="20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Implemented new and more efficient processes, including valuation process for Agency MBS</w:t>
      </w:r>
    </w:p>
    <w:p>
      <w:pPr>
        <w:ind w:left="329" w:right="300" w:hanging="329"/>
        <w:spacing w:after="0" w:line="226"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Mobilized to greater in office work expectations in March without disruption</w:t>
      </w:r>
    </w:p>
    <w:p>
      <w:pPr>
        <w:spacing w:after="0" w:line="12" w:lineRule="exact"/>
        <w:rPr>
          <w:rFonts w:ascii="MS PGothic" w:cs="MS PGothic" w:eastAsia="MS PGothic" w:hAnsi="MS PGothic"/>
          <w:sz w:val="18"/>
          <w:szCs w:val="18"/>
          <w:color w:val="auto"/>
        </w:rPr>
      </w:pPr>
    </w:p>
    <w:p>
      <w:pPr>
        <w:ind w:left="189" w:hanging="189"/>
        <w:spacing w:after="0"/>
        <w:tabs>
          <w:tab w:leader="none" w:pos="189" w:val="left"/>
        </w:tabs>
        <w:numPr>
          <w:ilvl w:val="0"/>
          <w:numId w:val="39"/>
        </w:numPr>
        <w:rPr>
          <w:rFonts w:ascii="MS PGothic" w:cs="MS PGothic" w:eastAsia="MS PGothic" w:hAnsi="MS PGothic"/>
          <w:sz w:val="16"/>
          <w:szCs w:val="16"/>
          <w:color w:val="auto"/>
        </w:rPr>
      </w:pPr>
      <w:r>
        <w:rPr>
          <w:rFonts w:ascii="Arial" w:cs="Arial" w:eastAsia="Arial" w:hAnsi="Arial"/>
          <w:sz w:val="16"/>
          <w:szCs w:val="16"/>
          <w:color w:val="auto"/>
        </w:rPr>
        <w:t>Enhanced corporate communications and investor outreach initiatives</w:t>
      </w:r>
    </w:p>
    <w:p>
      <w:pPr>
        <w:spacing w:after="0" w:line="7" w:lineRule="exact"/>
        <w:rPr>
          <w:rFonts w:ascii="MS PGothic" w:cs="MS PGothic" w:eastAsia="MS PGothic" w:hAnsi="MS PGothic"/>
          <w:sz w:val="16"/>
          <w:szCs w:val="16"/>
          <w:color w:val="auto"/>
        </w:rPr>
      </w:pPr>
    </w:p>
    <w:p>
      <w:pPr>
        <w:ind w:left="329" w:right="160" w:hanging="329"/>
        <w:spacing w:after="0" w:line="233" w:lineRule="auto"/>
        <w:tabs>
          <w:tab w:leader="none" w:pos="203" w:val="left"/>
        </w:tabs>
        <w:numPr>
          <w:ilvl w:val="0"/>
          <w:numId w:val="39"/>
        </w:numPr>
        <w:rPr>
          <w:rFonts w:ascii="MS PGothic" w:cs="MS PGothic" w:eastAsia="MS PGothic" w:hAnsi="MS PGothic"/>
          <w:sz w:val="16"/>
          <w:szCs w:val="16"/>
          <w:color w:val="auto"/>
        </w:rPr>
      </w:pPr>
      <w:r>
        <w:rPr>
          <w:rFonts w:ascii="Arial" w:cs="Arial" w:eastAsia="Arial" w:hAnsi="Arial"/>
          <w:sz w:val="16"/>
          <w:szCs w:val="16"/>
          <w:color w:val="auto"/>
        </w:rPr>
        <w:t>Participated in 11 sell-side hosted events, including retail network calls hosted by research analysts, held over 125 meetings and calls with institutional investors, and responded to over 360 letters, emails, and calls from retail investors throughout the year</w:t>
      </w:r>
    </w:p>
    <w:p>
      <w:pPr>
        <w:spacing w:after="0" w:line="1" w:lineRule="exact"/>
        <w:rPr>
          <w:rFonts w:ascii="MS PGothic" w:cs="MS PGothic" w:eastAsia="MS PGothic" w:hAnsi="MS PGothic"/>
          <w:sz w:val="16"/>
          <w:szCs w:val="16"/>
          <w:color w:val="auto"/>
        </w:rPr>
      </w:pPr>
    </w:p>
    <w:p>
      <w:pPr>
        <w:ind w:left="329" w:right="16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Enhanced liquidity and earnings capacity through ATM offerings of over $525 million of common stock and $150 million offering of new Series G Fixed-Rate Reset Cumulative Redeemable Preferred Stock</w:t>
      </w:r>
    </w:p>
    <w:p>
      <w:pPr>
        <w:spacing w:after="0" w:line="1" w:lineRule="exact"/>
        <w:rPr>
          <w:rFonts w:ascii="MS PGothic" w:cs="MS PGothic" w:eastAsia="MS PGothic" w:hAnsi="MS PGothic"/>
          <w:sz w:val="18"/>
          <w:szCs w:val="18"/>
          <w:color w:val="auto"/>
        </w:rPr>
      </w:pPr>
    </w:p>
    <w:p>
      <w:pPr>
        <w:ind w:left="329" w:right="440" w:hanging="329"/>
        <w:spacing w:after="0" w:line="226"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Repurchased over $50 million of common stock at a meaningful discount to tangible net book value</w:t>
      </w:r>
    </w:p>
    <w:p>
      <w:pPr>
        <w:spacing w:after="0" w:line="12" w:lineRule="exact"/>
        <w:rPr>
          <w:rFonts w:ascii="MS PGothic" w:cs="MS PGothic" w:eastAsia="MS PGothic" w:hAnsi="MS PGothic"/>
          <w:sz w:val="18"/>
          <w:szCs w:val="18"/>
          <w:color w:val="auto"/>
        </w:rPr>
      </w:pPr>
    </w:p>
    <w:p>
      <w:pPr>
        <w:ind w:left="329" w:right="720" w:hanging="329"/>
        <w:spacing w:after="0" w:line="239" w:lineRule="auto"/>
        <w:tabs>
          <w:tab w:leader="none" w:pos="203" w:val="left"/>
        </w:tabs>
        <w:numPr>
          <w:ilvl w:val="0"/>
          <w:numId w:val="39"/>
        </w:numPr>
        <w:rPr>
          <w:rFonts w:ascii="MS PGothic" w:cs="MS PGothic" w:eastAsia="MS PGothic" w:hAnsi="MS PGothic"/>
          <w:sz w:val="16"/>
          <w:szCs w:val="16"/>
          <w:color w:val="auto"/>
        </w:rPr>
      </w:pPr>
      <w:r>
        <w:rPr>
          <w:rFonts w:ascii="Arial" w:cs="Arial" w:eastAsia="Arial" w:hAnsi="Arial"/>
          <w:sz w:val="16"/>
          <w:szCs w:val="16"/>
          <w:color w:val="auto"/>
        </w:rPr>
        <w:t>Maintained high quality governance oversight and structure, including compliance with governance requirements</w:t>
      </w:r>
    </w:p>
    <w:p>
      <w:pPr>
        <w:ind w:left="329" w:right="6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Filed second annual ESG report and disclosure consistent with SASB and TCFD reporting framework</w:t>
      </w:r>
    </w:p>
    <w:p>
      <w:pPr>
        <w:ind w:left="329" w:right="80" w:hanging="329"/>
        <w:spacing w:after="0" w:line="211"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Created employee-led committee focused on community engagement and corporate giving</w:t>
      </w:r>
    </w:p>
    <w:p>
      <w:pPr>
        <w:ind w:left="329" w:right="140" w:hanging="329"/>
        <w:spacing w:after="0" w:line="228" w:lineRule="auto"/>
        <w:tabs>
          <w:tab w:leader="none" w:pos="203" w:val="left"/>
        </w:tabs>
        <w:numPr>
          <w:ilvl w:val="0"/>
          <w:numId w:val="39"/>
        </w:numPr>
        <w:rPr>
          <w:rFonts w:ascii="MS PGothic" w:cs="MS PGothic" w:eastAsia="MS PGothic" w:hAnsi="MS PGothic"/>
          <w:sz w:val="16"/>
          <w:szCs w:val="16"/>
          <w:color w:val="auto"/>
        </w:rPr>
      </w:pPr>
      <w:r>
        <w:rPr>
          <w:rFonts w:ascii="Arial" w:cs="Arial" w:eastAsia="Arial" w:hAnsi="Arial"/>
          <w:sz w:val="16"/>
          <w:szCs w:val="16"/>
          <w:color w:val="auto"/>
        </w:rPr>
        <w:t>Employee survey results reflect high levels of satisfaction, including in areas of DEI, engagement, training, and development</w:t>
      </w:r>
    </w:p>
    <w:p>
      <w:pPr>
        <w:spacing w:after="0" w:line="1" w:lineRule="exact"/>
        <w:rPr>
          <w:rFonts w:ascii="MS PGothic" w:cs="MS PGothic" w:eastAsia="MS PGothic" w:hAnsi="MS PGothic"/>
          <w:sz w:val="16"/>
          <w:szCs w:val="16"/>
          <w:color w:val="auto"/>
        </w:rPr>
      </w:pPr>
    </w:p>
    <w:p>
      <w:pPr>
        <w:ind w:left="329" w:right="320" w:hanging="329"/>
        <w:spacing w:after="0" w:line="223" w:lineRule="auto"/>
        <w:tabs>
          <w:tab w:leader="none" w:pos="203" w:val="left"/>
        </w:tabs>
        <w:numPr>
          <w:ilvl w:val="0"/>
          <w:numId w:val="39"/>
        </w:numPr>
        <w:rPr>
          <w:rFonts w:ascii="MS PGothic" w:cs="MS PGothic" w:eastAsia="MS PGothic" w:hAnsi="MS PGothic"/>
          <w:sz w:val="18"/>
          <w:szCs w:val="18"/>
          <w:color w:val="auto"/>
        </w:rPr>
      </w:pPr>
      <w:r>
        <w:rPr>
          <w:rFonts w:ascii="Arial" w:cs="Arial" w:eastAsia="Arial" w:hAnsi="Arial"/>
          <w:sz w:val="18"/>
          <w:szCs w:val="18"/>
          <w:color w:val="auto"/>
        </w:rPr>
        <w:t>Leased new headquarters office space in LEED Platinum certified building; designed build out with focus on sustainability and wellness</w:t>
      </w:r>
    </w:p>
    <w:p>
      <w:pPr>
        <w:spacing w:after="0" w:line="200" w:lineRule="exact"/>
        <w:rPr>
          <w:sz w:val="20"/>
          <w:szCs w:val="20"/>
          <w:color w:val="auto"/>
        </w:rPr>
      </w:pPr>
    </w:p>
    <w:p>
      <w:pPr>
        <w:sectPr>
          <w:pgSz w:w="11900" w:h="16838" w:orient="portrait"/>
          <w:cols w:equalWidth="0" w:num="2">
            <w:col w:w="5740" w:space="131"/>
            <w:col w:w="5269"/>
          </w:cols>
          <w:pgMar w:left="320" w:top="108"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3"/>
          <w:szCs w:val="13"/>
          <w:color w:val="407CCA"/>
        </w:rPr>
        <w:t>36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144145</wp:posOffset>
            </wp:positionV>
            <wp:extent cx="7157720" cy="425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40"/>
          </w:cols>
          <w:pgMar w:left="320" w:top="108" w:right="439" w:bottom="1440" w:gutter="0" w:footer="0" w:header="0"/>
          <w:type w:val="continuous"/>
        </w:sectPr>
      </w:pPr>
    </w:p>
    <w:bookmarkStart w:id="46" w:name="page47"/>
    <w:bookmarkEnd w:id="4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Individual Bonus Decisions</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2022 bonus payments for our NEOs are reflected in the following table:</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43"/>
        </w:trPr>
        <w:tc>
          <w:tcPr>
            <w:tcW w:w="3380" w:type="dxa"/>
            <w:vAlign w:val="bottom"/>
            <w:tcBorders>
              <w:top w:val="single" w:sz="8" w:color="407CCA"/>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NEO</w:t>
            </w:r>
          </w:p>
        </w:tc>
        <w:tc>
          <w:tcPr>
            <w:tcW w:w="4360" w:type="dxa"/>
            <w:vAlign w:val="bottom"/>
            <w:tcBorders>
              <w:top w:val="single" w:sz="8" w:color="407CCA"/>
              <w:bottom w:val="single" w:sz="8" w:color="407CCA"/>
            </w:tcBorders>
          </w:tcPr>
          <w:p>
            <w:pPr>
              <w:ind w:left="1620"/>
              <w:spacing w:after="0"/>
              <w:rPr>
                <w:sz w:val="20"/>
                <w:szCs w:val="20"/>
                <w:color w:val="auto"/>
              </w:rPr>
            </w:pPr>
            <w:r>
              <w:rPr>
                <w:rFonts w:ascii="Arial" w:cs="Arial" w:eastAsia="Arial" w:hAnsi="Arial"/>
                <w:sz w:val="13"/>
                <w:szCs w:val="13"/>
                <w:b w:val="1"/>
                <w:bCs w:val="1"/>
                <w:color w:val="auto"/>
              </w:rPr>
              <w:t>Short-Term Incentive Award ($)</w:t>
            </w:r>
          </w:p>
        </w:tc>
        <w:tc>
          <w:tcPr>
            <w:tcW w:w="3480" w:type="dxa"/>
            <w:vAlign w:val="bottom"/>
            <w:tcBorders>
              <w:top w:val="single" w:sz="8" w:color="407CCA"/>
              <w:bottom w:val="single" w:sz="8" w:color="407CCA"/>
            </w:tcBorders>
          </w:tcPr>
          <w:p>
            <w:pPr>
              <w:jc w:val="center"/>
              <w:ind w:right="15"/>
              <w:spacing w:after="0"/>
              <w:rPr>
                <w:sz w:val="20"/>
                <w:szCs w:val="20"/>
                <w:color w:val="auto"/>
              </w:rPr>
            </w:pPr>
            <w:r>
              <w:rPr>
                <w:rFonts w:ascii="Arial" w:cs="Arial" w:eastAsia="Arial" w:hAnsi="Arial"/>
                <w:sz w:val="13"/>
                <w:szCs w:val="13"/>
                <w:b w:val="1"/>
                <w:bCs w:val="1"/>
                <w:color w:val="auto"/>
                <w:w w:val="85"/>
              </w:rPr>
              <w:t>Percentage of 2022 Target</w:t>
            </w:r>
          </w:p>
        </w:tc>
      </w:tr>
      <w:tr>
        <w:trPr>
          <w:trHeight w:val="218"/>
        </w:trPr>
        <w:tc>
          <w:tcPr>
            <w:tcW w:w="3380" w:type="dxa"/>
            <w:vAlign w:val="bottom"/>
          </w:tcPr>
          <w:p>
            <w:pPr>
              <w:ind w:left="100"/>
              <w:spacing w:after="0"/>
              <w:rPr>
                <w:sz w:val="20"/>
                <w:szCs w:val="20"/>
                <w:color w:val="auto"/>
              </w:rPr>
            </w:pPr>
            <w:r>
              <w:rPr>
                <w:rFonts w:ascii="Arial" w:cs="Arial" w:eastAsia="Arial" w:hAnsi="Arial"/>
                <w:sz w:val="18"/>
                <w:szCs w:val="18"/>
                <w:b w:val="1"/>
                <w:bCs w:val="1"/>
                <w:color w:val="auto"/>
              </w:rPr>
              <w:t>Peter J. Federico</w:t>
            </w:r>
          </w:p>
        </w:tc>
        <w:tc>
          <w:tcPr>
            <w:tcW w:w="4360" w:type="dxa"/>
            <w:vAlign w:val="bottom"/>
          </w:tcPr>
          <w:p>
            <w:pPr>
              <w:jc w:val="center"/>
              <w:ind w:left="535"/>
              <w:spacing w:after="0"/>
              <w:rPr>
                <w:sz w:val="20"/>
                <w:szCs w:val="20"/>
                <w:color w:val="auto"/>
              </w:rPr>
            </w:pPr>
            <w:r>
              <w:rPr>
                <w:rFonts w:ascii="Arial" w:cs="Arial" w:eastAsia="Arial" w:hAnsi="Arial"/>
                <w:sz w:val="18"/>
                <w:szCs w:val="18"/>
                <w:color w:val="auto"/>
                <w:w w:val="90"/>
              </w:rPr>
              <w:t>$2,228,400</w:t>
            </w:r>
          </w:p>
        </w:tc>
        <w:tc>
          <w:tcPr>
            <w:tcW w:w="3480" w:type="dxa"/>
            <w:vAlign w:val="bottom"/>
          </w:tcPr>
          <w:p>
            <w:pPr>
              <w:jc w:val="center"/>
              <w:ind w:right="15"/>
              <w:spacing w:after="0"/>
              <w:rPr>
                <w:sz w:val="20"/>
                <w:szCs w:val="20"/>
                <w:color w:val="auto"/>
              </w:rPr>
            </w:pPr>
            <w:r>
              <w:rPr>
                <w:rFonts w:ascii="Arial" w:cs="Arial" w:eastAsia="Arial" w:hAnsi="Arial"/>
                <w:sz w:val="18"/>
                <w:szCs w:val="18"/>
                <w:color w:val="auto"/>
                <w:w w:val="90"/>
              </w:rPr>
              <w:t>61.9%</w:t>
            </w:r>
          </w:p>
        </w:tc>
      </w:tr>
      <w:tr>
        <w:trPr>
          <w:trHeight w:val="229"/>
        </w:trPr>
        <w:tc>
          <w:tcPr>
            <w:tcW w:w="3380" w:type="dxa"/>
            <w:vAlign w:val="bottom"/>
          </w:tcPr>
          <w:p>
            <w:pPr>
              <w:ind w:left="100"/>
              <w:spacing w:after="0"/>
              <w:rPr>
                <w:sz w:val="20"/>
                <w:szCs w:val="20"/>
                <w:color w:val="auto"/>
              </w:rPr>
            </w:pPr>
            <w:r>
              <w:rPr>
                <w:rFonts w:ascii="Arial" w:cs="Arial" w:eastAsia="Arial" w:hAnsi="Arial"/>
                <w:sz w:val="18"/>
                <w:szCs w:val="18"/>
                <w:b w:val="1"/>
                <w:bCs w:val="1"/>
                <w:color w:val="auto"/>
              </w:rPr>
              <w:t>Gary D. Kain</w:t>
            </w:r>
          </w:p>
        </w:tc>
        <w:tc>
          <w:tcPr>
            <w:tcW w:w="4360" w:type="dxa"/>
            <w:vAlign w:val="bottom"/>
          </w:tcPr>
          <w:p>
            <w:pPr>
              <w:jc w:val="center"/>
              <w:ind w:left="535"/>
              <w:spacing w:after="0"/>
              <w:rPr>
                <w:sz w:val="20"/>
                <w:szCs w:val="20"/>
                <w:color w:val="auto"/>
              </w:rPr>
            </w:pPr>
            <w:r>
              <w:rPr>
                <w:rFonts w:ascii="Arial" w:cs="Arial" w:eastAsia="Arial" w:hAnsi="Arial"/>
                <w:sz w:val="18"/>
                <w:szCs w:val="18"/>
                <w:color w:val="auto"/>
                <w:w w:val="90"/>
              </w:rPr>
              <w:t>$2,228,400</w:t>
            </w:r>
          </w:p>
        </w:tc>
        <w:tc>
          <w:tcPr>
            <w:tcW w:w="3480" w:type="dxa"/>
            <w:vAlign w:val="bottom"/>
          </w:tcPr>
          <w:p>
            <w:pPr>
              <w:jc w:val="center"/>
              <w:ind w:right="15"/>
              <w:spacing w:after="0"/>
              <w:rPr>
                <w:sz w:val="20"/>
                <w:szCs w:val="20"/>
                <w:color w:val="auto"/>
              </w:rPr>
            </w:pPr>
            <w:r>
              <w:rPr>
                <w:rFonts w:ascii="Arial" w:cs="Arial" w:eastAsia="Arial" w:hAnsi="Arial"/>
                <w:sz w:val="18"/>
                <w:szCs w:val="18"/>
                <w:color w:val="auto"/>
                <w:w w:val="90"/>
              </w:rPr>
              <w:t>61.9%</w:t>
            </w:r>
          </w:p>
        </w:tc>
      </w:tr>
      <w:tr>
        <w:trPr>
          <w:trHeight w:val="229"/>
        </w:trPr>
        <w:tc>
          <w:tcPr>
            <w:tcW w:w="3380" w:type="dxa"/>
            <w:vAlign w:val="bottom"/>
          </w:tcPr>
          <w:p>
            <w:pPr>
              <w:ind w:left="100"/>
              <w:spacing w:after="0"/>
              <w:rPr>
                <w:sz w:val="20"/>
                <w:szCs w:val="20"/>
                <w:color w:val="auto"/>
              </w:rPr>
            </w:pPr>
            <w:r>
              <w:rPr>
                <w:rFonts w:ascii="Arial" w:cs="Arial" w:eastAsia="Arial" w:hAnsi="Arial"/>
                <w:sz w:val="18"/>
                <w:szCs w:val="18"/>
                <w:b w:val="1"/>
                <w:bCs w:val="1"/>
                <w:color w:val="auto"/>
              </w:rPr>
              <w:t>Christopher J. Kuehl</w:t>
            </w:r>
          </w:p>
        </w:tc>
        <w:tc>
          <w:tcPr>
            <w:tcW w:w="4360" w:type="dxa"/>
            <w:vAlign w:val="bottom"/>
          </w:tcPr>
          <w:p>
            <w:pPr>
              <w:jc w:val="center"/>
              <w:ind w:left="535"/>
              <w:spacing w:after="0"/>
              <w:rPr>
                <w:sz w:val="20"/>
                <w:szCs w:val="20"/>
                <w:color w:val="auto"/>
              </w:rPr>
            </w:pPr>
            <w:r>
              <w:rPr>
                <w:rFonts w:ascii="Arial" w:cs="Arial" w:eastAsia="Arial" w:hAnsi="Arial"/>
                <w:sz w:val="18"/>
                <w:szCs w:val="18"/>
                <w:color w:val="auto"/>
                <w:w w:val="90"/>
              </w:rPr>
              <w:t>$1,512,000</w:t>
            </w:r>
          </w:p>
        </w:tc>
        <w:tc>
          <w:tcPr>
            <w:tcW w:w="3480" w:type="dxa"/>
            <w:vAlign w:val="bottom"/>
          </w:tcPr>
          <w:p>
            <w:pPr>
              <w:jc w:val="center"/>
              <w:ind w:right="15"/>
              <w:spacing w:after="0"/>
              <w:rPr>
                <w:sz w:val="20"/>
                <w:szCs w:val="20"/>
                <w:color w:val="auto"/>
              </w:rPr>
            </w:pPr>
            <w:r>
              <w:rPr>
                <w:rFonts w:ascii="Arial" w:cs="Arial" w:eastAsia="Arial" w:hAnsi="Arial"/>
                <w:sz w:val="18"/>
                <w:szCs w:val="18"/>
                <w:color w:val="auto"/>
                <w:w w:val="90"/>
              </w:rPr>
              <w:t>75.6%</w:t>
            </w:r>
          </w:p>
        </w:tc>
      </w:tr>
      <w:tr>
        <w:trPr>
          <w:trHeight w:val="230"/>
        </w:trPr>
        <w:tc>
          <w:tcPr>
            <w:tcW w:w="3380" w:type="dxa"/>
            <w:vAlign w:val="bottom"/>
          </w:tcPr>
          <w:p>
            <w:pPr>
              <w:ind w:left="100"/>
              <w:spacing w:after="0"/>
              <w:rPr>
                <w:sz w:val="20"/>
                <w:szCs w:val="20"/>
                <w:color w:val="auto"/>
              </w:rPr>
            </w:pPr>
            <w:r>
              <w:rPr>
                <w:rFonts w:ascii="Arial" w:cs="Arial" w:eastAsia="Arial" w:hAnsi="Arial"/>
                <w:sz w:val="18"/>
                <w:szCs w:val="18"/>
                <w:b w:val="1"/>
                <w:bCs w:val="1"/>
                <w:color w:val="auto"/>
              </w:rPr>
              <w:t>Bernice E. Bell</w:t>
            </w:r>
          </w:p>
        </w:tc>
        <w:tc>
          <w:tcPr>
            <w:tcW w:w="4360" w:type="dxa"/>
            <w:vAlign w:val="bottom"/>
          </w:tcPr>
          <w:p>
            <w:pPr>
              <w:jc w:val="center"/>
              <w:ind w:left="535"/>
              <w:spacing w:after="0"/>
              <w:rPr>
                <w:sz w:val="20"/>
                <w:szCs w:val="20"/>
                <w:color w:val="auto"/>
              </w:rPr>
            </w:pPr>
            <w:r>
              <w:rPr>
                <w:rFonts w:ascii="Arial" w:cs="Arial" w:eastAsia="Arial" w:hAnsi="Arial"/>
                <w:sz w:val="18"/>
                <w:szCs w:val="18"/>
                <w:color w:val="auto"/>
                <w:w w:val="90"/>
              </w:rPr>
              <w:t>$1,001,250</w:t>
            </w:r>
          </w:p>
        </w:tc>
        <w:tc>
          <w:tcPr>
            <w:tcW w:w="3480" w:type="dxa"/>
            <w:vAlign w:val="bottom"/>
          </w:tcPr>
          <w:p>
            <w:pPr>
              <w:jc w:val="center"/>
              <w:ind w:right="15"/>
              <w:spacing w:after="0"/>
              <w:rPr>
                <w:sz w:val="20"/>
                <w:szCs w:val="20"/>
                <w:color w:val="auto"/>
              </w:rPr>
            </w:pPr>
            <w:r>
              <w:rPr>
                <w:rFonts w:ascii="Arial" w:cs="Arial" w:eastAsia="Arial" w:hAnsi="Arial"/>
                <w:sz w:val="18"/>
                <w:szCs w:val="18"/>
                <w:color w:val="auto"/>
                <w:w w:val="90"/>
              </w:rPr>
              <w:t>80.1%</w:t>
            </w:r>
          </w:p>
        </w:tc>
      </w:tr>
      <w:tr>
        <w:trPr>
          <w:trHeight w:val="234"/>
        </w:trPr>
        <w:tc>
          <w:tcPr>
            <w:tcW w:w="3380" w:type="dxa"/>
            <w:vAlign w:val="bottom"/>
            <w:tcBorders>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Kenneth L. Pollack</w:t>
            </w:r>
          </w:p>
        </w:tc>
        <w:tc>
          <w:tcPr>
            <w:tcW w:w="4360" w:type="dxa"/>
            <w:vAlign w:val="bottom"/>
            <w:tcBorders>
              <w:bottom w:val="single" w:sz="8" w:color="407CCA"/>
            </w:tcBorders>
          </w:tcPr>
          <w:p>
            <w:pPr>
              <w:jc w:val="center"/>
              <w:ind w:left="515"/>
              <w:spacing w:after="0"/>
              <w:rPr>
                <w:sz w:val="20"/>
                <w:szCs w:val="20"/>
                <w:color w:val="auto"/>
              </w:rPr>
            </w:pPr>
            <w:r>
              <w:rPr>
                <w:rFonts w:ascii="Arial" w:cs="Arial" w:eastAsia="Arial" w:hAnsi="Arial"/>
                <w:sz w:val="18"/>
                <w:szCs w:val="18"/>
                <w:color w:val="auto"/>
                <w:w w:val="90"/>
              </w:rPr>
              <w:t>$801,000</w:t>
            </w:r>
          </w:p>
        </w:tc>
        <w:tc>
          <w:tcPr>
            <w:tcW w:w="3480" w:type="dxa"/>
            <w:vAlign w:val="bottom"/>
            <w:tcBorders>
              <w:bottom w:val="single" w:sz="8" w:color="407CCA"/>
            </w:tcBorders>
          </w:tcPr>
          <w:p>
            <w:pPr>
              <w:jc w:val="center"/>
              <w:ind w:right="15"/>
              <w:spacing w:after="0"/>
              <w:rPr>
                <w:sz w:val="20"/>
                <w:szCs w:val="20"/>
                <w:color w:val="auto"/>
              </w:rPr>
            </w:pPr>
            <w:r>
              <w:rPr>
                <w:rFonts w:ascii="Arial" w:cs="Arial" w:eastAsia="Arial" w:hAnsi="Arial"/>
                <w:sz w:val="18"/>
                <w:szCs w:val="18"/>
                <w:color w:val="auto"/>
                <w:w w:val="90"/>
              </w:rPr>
              <w:t>80.1%</w:t>
            </w:r>
          </w:p>
        </w:tc>
      </w:tr>
    </w:tbl>
    <w:p>
      <w:pPr>
        <w:spacing w:after="0" w:line="175" w:lineRule="exact"/>
        <w:rPr>
          <w:sz w:val="20"/>
          <w:szCs w:val="20"/>
          <w:color w:val="auto"/>
        </w:rPr>
      </w:pPr>
    </w:p>
    <w:p>
      <w:pPr>
        <w:jc w:val="both"/>
        <w:ind w:right="240" w:firstLine="648"/>
        <w:spacing w:after="0" w:line="248" w:lineRule="auto"/>
        <w:rPr>
          <w:sz w:val="20"/>
          <w:szCs w:val="20"/>
          <w:color w:val="auto"/>
        </w:rPr>
      </w:pPr>
      <w:r>
        <w:rPr>
          <w:rFonts w:ascii="Arial" w:cs="Arial" w:eastAsia="Arial" w:hAnsi="Arial"/>
          <w:sz w:val="16"/>
          <w:szCs w:val="16"/>
          <w:color w:val="auto"/>
        </w:rPr>
        <w:t>Short-term incentives for Messrs. Kain and Federico in 2022 were based solely on achievement of the Corporate Scorecard measures. Based on the Compensation Committee’s assessment of the 2022 Corporate Scorecard, this resulted in a payout of 61.9% of target for Messrs. Kain and Federico.</w:t>
      </w:r>
    </w:p>
    <w:p>
      <w:pPr>
        <w:ind w:right="160"/>
        <w:spacing w:after="0" w:line="234" w:lineRule="auto"/>
        <w:rPr>
          <w:sz w:val="20"/>
          <w:szCs w:val="20"/>
          <w:color w:val="auto"/>
        </w:rPr>
      </w:pPr>
      <w:r>
        <w:rPr>
          <w:rFonts w:ascii="Arial" w:cs="Arial" w:eastAsia="Arial" w:hAnsi="Arial"/>
          <w:sz w:val="16"/>
          <w:szCs w:val="16"/>
          <w:color w:val="auto"/>
        </w:rPr>
        <w:t>Short-term cash incentives for our NEOs other than Messrs. Federico and Kain were based predominantly on the Corporate Scorecard measures and to a lesser extent on individual performance. After considering the contributions of Messrs. Kuehl and Pollack and Ms. Bell, as discussed below, and management’s collective achievements throughout the year, the Compensation Committee determined that a rating of 107.5% was appropriate for each of</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Messrs. Kuehl and Pollack and Ms. Bell for the individual component element of the Corporate Scorecard. In reaching this conclusion, the Compensation Committee also recognized the difficulty in completing these accomplishments during periods of extreme market volatility and the challenging macroeconomic environment present in 2022. The Compensation Committee recognized the efforts of Ms. Bell and Messrs. Kuehl and Pollack in a number</w:t>
      </w:r>
    </w:p>
    <w:p>
      <w:pPr>
        <w:spacing w:after="0" w:line="2" w:lineRule="exact"/>
        <w:rPr>
          <w:sz w:val="20"/>
          <w:szCs w:val="20"/>
          <w:color w:val="auto"/>
        </w:rPr>
      </w:pPr>
    </w:p>
    <w:p>
      <w:pPr>
        <w:ind w:right="180"/>
        <w:spacing w:after="0" w:line="234" w:lineRule="auto"/>
        <w:rPr>
          <w:sz w:val="20"/>
          <w:szCs w:val="20"/>
          <w:color w:val="auto"/>
        </w:rPr>
      </w:pPr>
      <w:r>
        <w:rPr>
          <w:rFonts w:ascii="Arial" w:cs="Arial" w:eastAsia="Arial" w:hAnsi="Arial"/>
          <w:sz w:val="16"/>
          <w:szCs w:val="16"/>
          <w:color w:val="auto"/>
        </w:rPr>
        <w:t>of operational accomplishments throughout the organization that contributed to increased efficiency and resiliency, including the transition of custody, clearing, and settlement services of agency MBS to our wholly owned broker dealer subsidiary and enhanced processes for securities valuations and cash management. Ms. Bell and Messrs. Kuehl and Pollack were also recognized for their efforts to maintain high levels of employee engagement during a</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period of market uncertainty and through the mobilization to greater in office work expectations, all with limited workforce attrition.</w:t>
      </w:r>
    </w:p>
    <w:p>
      <w:pPr>
        <w:spacing w:after="0" w:line="196" w:lineRule="exact"/>
        <w:rPr>
          <w:sz w:val="20"/>
          <w:szCs w:val="20"/>
          <w:color w:val="auto"/>
        </w:rPr>
      </w:pPr>
    </w:p>
    <w:p>
      <w:pPr>
        <w:ind w:right="260" w:firstLine="648"/>
        <w:spacing w:after="0" w:line="248" w:lineRule="auto"/>
        <w:rPr>
          <w:sz w:val="20"/>
          <w:szCs w:val="20"/>
          <w:color w:val="auto"/>
        </w:rPr>
      </w:pPr>
      <w:r>
        <w:rPr>
          <w:rFonts w:ascii="Arial" w:cs="Arial" w:eastAsia="Arial" w:hAnsi="Arial"/>
          <w:sz w:val="16"/>
          <w:szCs w:val="16"/>
          <w:color w:val="auto"/>
        </w:rPr>
        <w:t>Mr. Kuehl was awarded a cash bonus at 75.6% of his target based on a relative weighting of the Corporate Scorecard at 70% and his personal performance at 30%. In evaluating his personal performance, the Compensation Committee noted his efforts in repositioning the Company’s investment</w:t>
      </w:r>
    </w:p>
    <w:p>
      <w:pPr>
        <w:ind w:right="160"/>
        <w:spacing w:after="0" w:line="234" w:lineRule="auto"/>
        <w:rPr>
          <w:sz w:val="20"/>
          <w:szCs w:val="20"/>
          <w:color w:val="auto"/>
        </w:rPr>
      </w:pPr>
      <w:r>
        <w:rPr>
          <w:rFonts w:ascii="Arial" w:cs="Arial" w:eastAsia="Arial" w:hAnsi="Arial"/>
          <w:sz w:val="16"/>
          <w:szCs w:val="16"/>
          <w:color w:val="auto"/>
        </w:rPr>
        <w:t>portfolio in response to rapidly changing and historically challenging conditions. In addition, the Compensation Committee considered Mr. Kuehl’s focus on risk management throughout a year of substantial market volatility and illiquidity. Ms. Bell and Mr. Pollack each were awarded 80.1% of their target bonus, which reflects a relative weighting of the Corporate Scorecard at 60% and their individual personal performance at 40%. For Ms. Bell, the</w:t>
      </w:r>
    </w:p>
    <w:p>
      <w:pPr>
        <w:spacing w:after="0" w:line="2" w:lineRule="exact"/>
        <w:rPr>
          <w:sz w:val="20"/>
          <w:szCs w:val="20"/>
          <w:color w:val="auto"/>
        </w:rPr>
      </w:pPr>
    </w:p>
    <w:p>
      <w:pPr>
        <w:ind w:right="120"/>
        <w:spacing w:after="0" w:line="234" w:lineRule="auto"/>
        <w:rPr>
          <w:sz w:val="20"/>
          <w:szCs w:val="20"/>
          <w:color w:val="auto"/>
        </w:rPr>
      </w:pPr>
      <w:r>
        <w:rPr>
          <w:rFonts w:ascii="Arial" w:cs="Arial" w:eastAsia="Arial" w:hAnsi="Arial"/>
          <w:sz w:val="16"/>
          <w:szCs w:val="16"/>
          <w:color w:val="auto"/>
        </w:rPr>
        <w:t>Compensation Committee considered, among other things, her continued focus on reviewing internal procedures to improve operational efficiency. In 2022, Ms. Bell led the Company’s review and evaluation of hedge designations, which expanded flexibility and capacity for hedging activities during the volatile market conditions, and improved our internal procedures for investment and derivative valuations. For Mr. Pollack, the Compensation Committee</w:t>
      </w:r>
    </w:p>
    <w:p>
      <w:pPr>
        <w:spacing w:after="0" w:line="2" w:lineRule="exact"/>
        <w:rPr>
          <w:sz w:val="20"/>
          <w:szCs w:val="20"/>
          <w:color w:val="auto"/>
        </w:rPr>
      </w:pPr>
    </w:p>
    <w:p>
      <w:pPr>
        <w:ind w:right="160"/>
        <w:spacing w:after="0" w:line="231" w:lineRule="auto"/>
        <w:rPr>
          <w:sz w:val="20"/>
          <w:szCs w:val="20"/>
          <w:color w:val="auto"/>
        </w:rPr>
      </w:pPr>
      <w:r>
        <w:rPr>
          <w:rFonts w:ascii="Arial" w:cs="Arial" w:eastAsia="Arial" w:hAnsi="Arial"/>
          <w:sz w:val="17"/>
          <w:szCs w:val="17"/>
          <w:color w:val="auto"/>
        </w:rPr>
        <w:t>considered, among other things, his continued leadership in and attention to our corporate governance, compliance, and enterprise-wide risk management and maintaining appropriate communication among management and the Board. In addition, the Compensation Committee noted Mr. Pollack’s work in enhancing the Company’s business continuity and resiliency during market stress and volatility scenarios.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Compensation</w:t>
      </w:r>
    </w:p>
    <w:p>
      <w:pPr>
        <w:spacing w:after="0" w:line="81" w:lineRule="exact"/>
        <w:rPr>
          <w:sz w:val="20"/>
          <w:szCs w:val="20"/>
          <w:color w:val="auto"/>
        </w:rPr>
      </w:pPr>
    </w:p>
    <w:p>
      <w:pPr>
        <w:ind w:right="160" w:firstLine="648"/>
        <w:spacing w:after="0" w:line="248" w:lineRule="auto"/>
        <w:rPr>
          <w:sz w:val="20"/>
          <w:szCs w:val="20"/>
          <w:color w:val="auto"/>
        </w:rPr>
      </w:pPr>
      <w:r>
        <w:rPr>
          <w:rFonts w:ascii="Arial" w:cs="Arial" w:eastAsia="Arial" w:hAnsi="Arial"/>
          <w:sz w:val="16"/>
          <w:szCs w:val="16"/>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w:t>
      </w:r>
    </w:p>
    <w:p>
      <w:pPr>
        <w:ind w:right="60"/>
        <w:spacing w:after="0" w:line="226" w:lineRule="auto"/>
        <w:rPr>
          <w:sz w:val="20"/>
          <w:szCs w:val="20"/>
          <w:color w:val="auto"/>
        </w:rPr>
      </w:pPr>
      <w:r>
        <w:rPr>
          <w:rFonts w:ascii="Arial" w:cs="Arial" w:eastAsia="Arial" w:hAnsi="Arial"/>
          <w:sz w:val="18"/>
          <w:szCs w:val="18"/>
          <w:color w:val="auto"/>
        </w:rPr>
        <w:t>employees’ interests with our long-term success and promote long-term employee retention. Our long-term incentive program consists of a combination of performance-based RSUs and time-vesting RSUs.</w:t>
      </w:r>
    </w:p>
    <w:p>
      <w:pPr>
        <w:spacing w:after="0" w:line="53" w:lineRule="exact"/>
        <w:rPr>
          <w:sz w:val="20"/>
          <w:szCs w:val="20"/>
          <w:color w:val="auto"/>
        </w:rPr>
      </w:pPr>
    </w:p>
    <w:p>
      <w:pPr>
        <w:ind w:left="660"/>
        <w:spacing w:after="0"/>
        <w:rPr>
          <w:sz w:val="20"/>
          <w:szCs w:val="20"/>
          <w:color w:val="auto"/>
        </w:rPr>
      </w:pPr>
      <w:r>
        <w:rPr>
          <w:rFonts w:ascii="Arial" w:cs="Arial" w:eastAsia="Arial" w:hAnsi="Arial"/>
          <w:sz w:val="16"/>
          <w:szCs w:val="16"/>
          <w:color w:val="auto"/>
        </w:rPr>
        <w:t>Performance-based RSUs are designed to reward creation of long-term economic returns for our stockholders both on an absolute and relative</w:t>
      </w:r>
    </w:p>
    <w:p>
      <w:pPr>
        <w:spacing w:after="0" w:line="21" w:lineRule="exact"/>
        <w:rPr>
          <w:sz w:val="20"/>
          <w:szCs w:val="20"/>
          <w:color w:val="auto"/>
        </w:rPr>
      </w:pPr>
    </w:p>
    <w:p>
      <w:pPr>
        <w:ind w:right="140"/>
        <w:spacing w:after="0" w:line="234" w:lineRule="auto"/>
        <w:rPr>
          <w:sz w:val="20"/>
          <w:szCs w:val="20"/>
          <w:color w:val="auto"/>
        </w:rPr>
      </w:pPr>
      <w:r>
        <w:rPr>
          <w:rFonts w:ascii="Arial" w:cs="Arial" w:eastAsia="Arial" w:hAnsi="Arial"/>
          <w:sz w:val="16"/>
          <w:szCs w:val="16"/>
          <w:color w:val="auto"/>
        </w:rPr>
        <w:t>basis. To establish challenging economic thresholds and motivate long-term performance, the awards vest at the end of a three-year performance period based 50% on our absolute economic return and 50% on our economic return relative to the unweighted average of economic returns of the Agency REIT Peer Group. In establishing vesting criteria for these awards, the Compensation Committee considers historical returns for us and our peers and our</w:t>
      </w:r>
    </w:p>
    <w:p>
      <w:pPr>
        <w:spacing w:after="0" w:line="2" w:lineRule="exact"/>
        <w:rPr>
          <w:sz w:val="20"/>
          <w:szCs w:val="20"/>
          <w:color w:val="auto"/>
        </w:rPr>
      </w:pPr>
    </w:p>
    <w:p>
      <w:pPr>
        <w:ind w:right="80"/>
        <w:spacing w:after="0" w:line="248" w:lineRule="auto"/>
        <w:rPr>
          <w:sz w:val="20"/>
          <w:szCs w:val="20"/>
          <w:color w:val="auto"/>
        </w:rPr>
      </w:pPr>
      <w:r>
        <w:rPr>
          <w:rFonts w:ascii="Arial" w:cs="Arial" w:eastAsia="Arial" w:hAnsi="Arial"/>
          <w:sz w:val="16"/>
          <w:szCs w:val="16"/>
          <w:color w:val="auto"/>
        </w:rPr>
        <w:t>forecast. Absolute and relative economic returns are calculated on a cumulative basis over the three-year performance period. Achievement of these goals will be determined in the same manner, including the same peer group, as described above with respect to the short-term incentive awards for such year. For performance between the threshold, target, and outperformance measures, the number of shares vested will be determined through linear interpolation.</w:t>
      </w:r>
    </w:p>
    <w:p>
      <w:pPr>
        <w:spacing w:after="0" w:line="200" w:lineRule="exact"/>
        <w:rPr>
          <w:sz w:val="20"/>
          <w:szCs w:val="20"/>
          <w:color w:val="auto"/>
        </w:rPr>
      </w:pPr>
    </w:p>
    <w:p>
      <w:pPr>
        <w:spacing w:after="0" w:line="384"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47" w:name="page48"/>
    <w:bookmarkEnd w:id="4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3"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2022 Long-Term Incentive Awards</w:t>
      </w:r>
    </w:p>
    <w:p>
      <w:pPr>
        <w:spacing w:after="0" w:line="77" w:lineRule="exact"/>
        <w:rPr>
          <w:sz w:val="20"/>
          <w:szCs w:val="20"/>
          <w:color w:val="auto"/>
        </w:rPr>
      </w:pPr>
    </w:p>
    <w:p>
      <w:pPr>
        <w:ind w:right="280" w:firstLine="648"/>
        <w:spacing w:after="0" w:line="235" w:lineRule="auto"/>
        <w:rPr>
          <w:sz w:val="20"/>
          <w:szCs w:val="20"/>
          <w:color w:val="auto"/>
        </w:rPr>
      </w:pPr>
      <w:r>
        <w:rPr>
          <w:rFonts w:ascii="Arial" w:cs="Arial" w:eastAsia="Arial" w:hAnsi="Arial"/>
          <w:sz w:val="18"/>
          <w:szCs w:val="18"/>
          <w:color w:val="auto"/>
        </w:rPr>
        <w:t>The 2022 long-term incentive awards made by the Compensation Committee in February 2022 were at each NEO’s target levels as specified in their respective employment agreement and are reflected in the following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6926580"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926580" cy="8255"/>
                    </a:xfrm>
                    <a:prstGeom prst="rect">
                      <a:avLst/>
                    </a:prstGeom>
                    <a:noFill/>
                  </pic:spPr>
                </pic:pic>
              </a:graphicData>
            </a:graphic>
          </wp:anchor>
        </w:drawing>
      </w:r>
    </w:p>
    <w:p>
      <w:pPr>
        <w:spacing w:after="0" w:line="214" w:lineRule="exact"/>
        <w:rPr>
          <w:sz w:val="20"/>
          <w:szCs w:val="20"/>
          <w:color w:val="auto"/>
        </w:rPr>
      </w:pPr>
    </w:p>
    <w:p>
      <w:pPr>
        <w:jc w:val="center"/>
        <w:ind w:right="320"/>
        <w:spacing w:after="0"/>
        <w:rPr>
          <w:sz w:val="20"/>
          <w:szCs w:val="20"/>
          <w:color w:val="auto"/>
        </w:rPr>
      </w:pPr>
      <w:r>
        <w:rPr>
          <w:rFonts w:ascii="Arial" w:cs="Arial" w:eastAsia="Arial" w:hAnsi="Arial"/>
          <w:sz w:val="14"/>
          <w:szCs w:val="14"/>
          <w:b w:val="1"/>
          <w:bCs w:val="1"/>
          <w:color w:val="auto"/>
        </w:rPr>
        <w:t>Mix of Long-Term Incentive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32385</wp:posOffset>
            </wp:positionV>
            <wp:extent cx="692658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926580" cy="8255"/>
                    </a:xfrm>
                    <a:prstGeom prst="rect">
                      <a:avLst/>
                    </a:prstGeom>
                    <a:noFill/>
                  </pic:spPr>
                </pic:pic>
              </a:graphicData>
            </a:graphic>
          </wp:anchor>
        </w:drawing>
      </w:r>
    </w:p>
    <w:p>
      <w:pPr>
        <w:spacing w:after="0" w:line="15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28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NEO</w:t>
            </w:r>
          </w:p>
        </w:tc>
        <w:tc>
          <w:tcPr>
            <w:tcW w:w="3540" w:type="dxa"/>
            <w:vAlign w:val="bottom"/>
          </w:tcPr>
          <w:p>
            <w:pPr>
              <w:jc w:val="center"/>
              <w:ind w:left="2215"/>
              <w:spacing w:after="0"/>
              <w:rPr>
                <w:sz w:val="20"/>
                <w:szCs w:val="20"/>
                <w:color w:val="auto"/>
              </w:rPr>
            </w:pPr>
            <w:r>
              <w:rPr>
                <w:rFonts w:ascii="Arial" w:cs="Arial" w:eastAsia="Arial" w:hAnsi="Arial"/>
                <w:sz w:val="14"/>
                <w:szCs w:val="14"/>
                <w:b w:val="1"/>
                <w:bCs w:val="1"/>
                <w:color w:val="auto"/>
                <w:w w:val="91"/>
              </w:rPr>
              <w:t>Time-Vested</w:t>
            </w:r>
          </w:p>
        </w:tc>
        <w:tc>
          <w:tcPr>
            <w:tcW w:w="1680" w:type="dxa"/>
            <w:vAlign w:val="bottom"/>
          </w:tcPr>
          <w:p>
            <w:pPr>
              <w:jc w:val="center"/>
              <w:spacing w:after="0"/>
              <w:rPr>
                <w:sz w:val="20"/>
                <w:szCs w:val="20"/>
                <w:color w:val="auto"/>
              </w:rPr>
            </w:pPr>
            <w:r>
              <w:rPr>
                <w:rFonts w:ascii="Arial" w:cs="Arial" w:eastAsia="Arial" w:hAnsi="Arial"/>
                <w:sz w:val="14"/>
                <w:szCs w:val="14"/>
                <w:b w:val="1"/>
                <w:bCs w:val="1"/>
                <w:color w:val="auto"/>
                <w:w w:val="91"/>
              </w:rPr>
              <w:t>Performance-Vested</w:t>
            </w:r>
          </w:p>
        </w:tc>
        <w:tc>
          <w:tcPr>
            <w:tcW w:w="1420" w:type="dxa"/>
            <w:vAlign w:val="bottom"/>
          </w:tcPr>
          <w:p>
            <w:pPr>
              <w:jc w:val="center"/>
              <w:ind w:right="35"/>
              <w:spacing w:after="0"/>
              <w:rPr>
                <w:sz w:val="20"/>
                <w:szCs w:val="20"/>
                <w:color w:val="auto"/>
              </w:rPr>
            </w:pPr>
            <w:r>
              <w:rPr>
                <w:rFonts w:ascii="Arial" w:cs="Arial" w:eastAsia="Arial" w:hAnsi="Arial"/>
                <w:sz w:val="14"/>
                <w:szCs w:val="14"/>
                <w:b w:val="1"/>
                <w:bCs w:val="1"/>
                <w:color w:val="auto"/>
                <w:w w:val="93"/>
              </w:rPr>
              <w:t>Total Value</w:t>
            </w:r>
          </w:p>
        </w:tc>
        <w:tc>
          <w:tcPr>
            <w:tcW w:w="0" w:type="dxa"/>
            <w:vAlign w:val="bottom"/>
          </w:tcPr>
          <w:p>
            <w:pPr>
              <w:spacing w:after="0"/>
              <w:rPr>
                <w:sz w:val="1"/>
                <w:szCs w:val="1"/>
                <w:color w:val="auto"/>
              </w:rPr>
            </w:pPr>
          </w:p>
        </w:tc>
      </w:tr>
      <w:tr>
        <w:trPr>
          <w:trHeight w:val="203"/>
        </w:trPr>
        <w:tc>
          <w:tcPr>
            <w:tcW w:w="4280" w:type="dxa"/>
            <w:vAlign w:val="bottom"/>
            <w:tcBorders>
              <w:bottom w:val="single" w:sz="8" w:color="407CCA"/>
            </w:tcBorders>
            <w:vMerge w:val="continue"/>
          </w:tcPr>
          <w:p>
            <w:pPr>
              <w:spacing w:after="0"/>
              <w:rPr>
                <w:sz w:val="17"/>
                <w:szCs w:val="17"/>
                <w:color w:val="auto"/>
              </w:rPr>
            </w:pPr>
          </w:p>
        </w:tc>
        <w:tc>
          <w:tcPr>
            <w:tcW w:w="3540" w:type="dxa"/>
            <w:vAlign w:val="bottom"/>
            <w:tcBorders>
              <w:bottom w:val="single" w:sz="8" w:color="407CCA"/>
            </w:tcBorders>
          </w:tcPr>
          <w:p>
            <w:pPr>
              <w:jc w:val="center"/>
              <w:ind w:left="2215"/>
              <w:spacing w:after="0"/>
              <w:rPr>
                <w:sz w:val="20"/>
                <w:szCs w:val="20"/>
                <w:color w:val="auto"/>
              </w:rPr>
            </w:pPr>
            <w:r>
              <w:rPr>
                <w:rFonts w:ascii="Arial" w:cs="Arial" w:eastAsia="Arial" w:hAnsi="Arial"/>
                <w:sz w:val="14"/>
                <w:szCs w:val="14"/>
                <w:b w:val="1"/>
                <w:bCs w:val="1"/>
                <w:color w:val="auto"/>
                <w:w w:val="95"/>
              </w:rPr>
              <w:t xml:space="preserve">RSUs ($) </w:t>
            </w:r>
            <w:r>
              <w:rPr>
                <w:rFonts w:ascii="Arial" w:cs="Arial" w:eastAsia="Arial" w:hAnsi="Arial"/>
                <w:sz w:val="9"/>
                <w:szCs w:val="9"/>
                <w:b w:val="1"/>
                <w:bCs w:val="1"/>
                <w:color w:val="auto"/>
                <w:w w:val="95"/>
              </w:rPr>
              <w:t>1</w:t>
            </w:r>
          </w:p>
        </w:tc>
        <w:tc>
          <w:tcPr>
            <w:tcW w:w="1680" w:type="dxa"/>
            <w:vAlign w:val="bottom"/>
            <w:tcBorders>
              <w:bottom w:val="single" w:sz="8" w:color="407CCA"/>
            </w:tcBorders>
          </w:tcPr>
          <w:p>
            <w:pPr>
              <w:jc w:val="center"/>
              <w:spacing w:after="0"/>
              <w:rPr>
                <w:sz w:val="20"/>
                <w:szCs w:val="20"/>
                <w:color w:val="auto"/>
              </w:rPr>
            </w:pPr>
            <w:r>
              <w:rPr>
                <w:rFonts w:ascii="Arial" w:cs="Arial" w:eastAsia="Arial" w:hAnsi="Arial"/>
                <w:sz w:val="14"/>
                <w:szCs w:val="14"/>
                <w:b w:val="1"/>
                <w:bCs w:val="1"/>
                <w:color w:val="auto"/>
                <w:w w:val="95"/>
              </w:rPr>
              <w:t xml:space="preserve">RSUs ($) </w:t>
            </w:r>
            <w:r>
              <w:rPr>
                <w:rFonts w:ascii="Arial" w:cs="Arial" w:eastAsia="Arial" w:hAnsi="Arial"/>
                <w:sz w:val="9"/>
                <w:szCs w:val="9"/>
                <w:b w:val="1"/>
                <w:bCs w:val="1"/>
                <w:color w:val="auto"/>
                <w:w w:val="95"/>
              </w:rPr>
              <w:t>2</w:t>
            </w:r>
          </w:p>
        </w:tc>
        <w:tc>
          <w:tcPr>
            <w:tcW w:w="1420" w:type="dxa"/>
            <w:vAlign w:val="bottom"/>
            <w:tcBorders>
              <w:bottom w:val="single" w:sz="8" w:color="407CCA"/>
            </w:tcBorders>
          </w:tcPr>
          <w:p>
            <w:pPr>
              <w:jc w:val="center"/>
              <w:ind w:right="35"/>
              <w:spacing w:after="0"/>
              <w:rPr>
                <w:sz w:val="20"/>
                <w:szCs w:val="20"/>
                <w:color w:val="auto"/>
              </w:rPr>
            </w:pPr>
            <w:r>
              <w:rPr>
                <w:rFonts w:ascii="Arial" w:cs="Arial" w:eastAsia="Arial" w:hAnsi="Arial"/>
                <w:sz w:val="14"/>
                <w:szCs w:val="14"/>
                <w:b w:val="1"/>
                <w:bCs w:val="1"/>
                <w:color w:val="auto"/>
                <w:w w:val="92"/>
              </w:rPr>
              <w:t xml:space="preserve">of Awards ($) </w:t>
            </w:r>
            <w:r>
              <w:rPr>
                <w:rFonts w:ascii="Arial" w:cs="Arial" w:eastAsia="Arial" w:hAnsi="Arial"/>
                <w:sz w:val="9"/>
                <w:szCs w:val="9"/>
                <w:b w:val="1"/>
                <w:bCs w:val="1"/>
                <w:color w:val="auto"/>
                <w:w w:val="92"/>
              </w:rPr>
              <w:t>3</w:t>
            </w:r>
          </w:p>
        </w:tc>
        <w:tc>
          <w:tcPr>
            <w:tcW w:w="0" w:type="dxa"/>
            <w:vAlign w:val="bottom"/>
          </w:tcPr>
          <w:p>
            <w:pPr>
              <w:spacing w:after="0"/>
              <w:rPr>
                <w:sz w:val="1"/>
                <w:szCs w:val="1"/>
                <w:color w:val="auto"/>
              </w:rPr>
            </w:pPr>
          </w:p>
        </w:tc>
      </w:tr>
      <w:tr>
        <w:trPr>
          <w:trHeight w:val="218"/>
        </w:trPr>
        <w:tc>
          <w:tcPr>
            <w:tcW w:w="4280" w:type="dxa"/>
            <w:vAlign w:val="bottom"/>
          </w:tcPr>
          <w:p>
            <w:pPr>
              <w:ind w:left="100"/>
              <w:spacing w:after="0"/>
              <w:rPr>
                <w:sz w:val="20"/>
                <w:szCs w:val="20"/>
                <w:color w:val="auto"/>
              </w:rPr>
            </w:pPr>
            <w:r>
              <w:rPr>
                <w:rFonts w:ascii="Arial" w:cs="Arial" w:eastAsia="Arial" w:hAnsi="Arial"/>
                <w:sz w:val="18"/>
                <w:szCs w:val="18"/>
                <w:b w:val="1"/>
                <w:bCs w:val="1"/>
                <w:color w:val="auto"/>
              </w:rPr>
              <w:t>Peter J. Federico</w:t>
            </w:r>
          </w:p>
        </w:tc>
        <w:tc>
          <w:tcPr>
            <w:tcW w:w="3540" w:type="dxa"/>
            <w:vAlign w:val="bottom"/>
          </w:tcPr>
          <w:p>
            <w:pPr>
              <w:jc w:val="center"/>
              <w:ind w:left="2215"/>
              <w:spacing w:after="0"/>
              <w:rPr>
                <w:sz w:val="20"/>
                <w:szCs w:val="20"/>
                <w:color w:val="auto"/>
              </w:rPr>
            </w:pPr>
            <w:r>
              <w:rPr>
                <w:rFonts w:ascii="Arial" w:cs="Arial" w:eastAsia="Arial" w:hAnsi="Arial"/>
                <w:sz w:val="18"/>
                <w:szCs w:val="18"/>
                <w:color w:val="auto"/>
                <w:w w:val="89"/>
              </w:rPr>
              <w:t>1,485,000</w:t>
            </w:r>
          </w:p>
        </w:tc>
        <w:tc>
          <w:tcPr>
            <w:tcW w:w="1680" w:type="dxa"/>
            <w:vAlign w:val="bottom"/>
          </w:tcPr>
          <w:p>
            <w:pPr>
              <w:jc w:val="center"/>
              <w:spacing w:after="0"/>
              <w:rPr>
                <w:sz w:val="20"/>
                <w:szCs w:val="20"/>
                <w:color w:val="auto"/>
              </w:rPr>
            </w:pPr>
            <w:r>
              <w:rPr>
                <w:rFonts w:ascii="Arial" w:cs="Arial" w:eastAsia="Arial" w:hAnsi="Arial"/>
                <w:sz w:val="18"/>
                <w:szCs w:val="18"/>
                <w:color w:val="auto"/>
                <w:w w:val="89"/>
              </w:rPr>
              <w:t>3,015,000</w:t>
            </w:r>
          </w:p>
        </w:tc>
        <w:tc>
          <w:tcPr>
            <w:tcW w:w="1420" w:type="dxa"/>
            <w:vAlign w:val="bottom"/>
          </w:tcPr>
          <w:p>
            <w:pPr>
              <w:jc w:val="center"/>
              <w:ind w:right="15"/>
              <w:spacing w:after="0"/>
              <w:rPr>
                <w:sz w:val="20"/>
                <w:szCs w:val="20"/>
                <w:color w:val="auto"/>
              </w:rPr>
            </w:pPr>
            <w:r>
              <w:rPr>
                <w:rFonts w:ascii="Arial" w:cs="Arial" w:eastAsia="Arial" w:hAnsi="Arial"/>
                <w:sz w:val="18"/>
                <w:szCs w:val="18"/>
                <w:color w:val="auto"/>
                <w:w w:val="89"/>
              </w:rPr>
              <w:t>4,500,000</w:t>
            </w:r>
          </w:p>
        </w:tc>
        <w:tc>
          <w:tcPr>
            <w:tcW w:w="0" w:type="dxa"/>
            <w:vAlign w:val="bottom"/>
          </w:tcPr>
          <w:p>
            <w:pPr>
              <w:spacing w:after="0"/>
              <w:rPr>
                <w:sz w:val="1"/>
                <w:szCs w:val="1"/>
                <w:color w:val="auto"/>
              </w:rPr>
            </w:pPr>
          </w:p>
        </w:tc>
      </w:tr>
      <w:tr>
        <w:trPr>
          <w:trHeight w:val="229"/>
        </w:trPr>
        <w:tc>
          <w:tcPr>
            <w:tcW w:w="4280" w:type="dxa"/>
            <w:vAlign w:val="bottom"/>
          </w:tcPr>
          <w:p>
            <w:pPr>
              <w:ind w:left="100"/>
              <w:spacing w:after="0"/>
              <w:rPr>
                <w:sz w:val="20"/>
                <w:szCs w:val="20"/>
                <w:color w:val="auto"/>
              </w:rPr>
            </w:pPr>
            <w:r>
              <w:rPr>
                <w:rFonts w:ascii="Arial" w:cs="Arial" w:eastAsia="Arial" w:hAnsi="Arial"/>
                <w:sz w:val="18"/>
                <w:szCs w:val="18"/>
                <w:b w:val="1"/>
                <w:bCs w:val="1"/>
                <w:color w:val="auto"/>
              </w:rPr>
              <w:t>Gary D. Kain</w:t>
            </w:r>
          </w:p>
        </w:tc>
        <w:tc>
          <w:tcPr>
            <w:tcW w:w="3540" w:type="dxa"/>
            <w:vAlign w:val="bottom"/>
          </w:tcPr>
          <w:p>
            <w:pPr>
              <w:jc w:val="center"/>
              <w:ind w:left="2215"/>
              <w:spacing w:after="0"/>
              <w:rPr>
                <w:sz w:val="20"/>
                <w:szCs w:val="20"/>
                <w:color w:val="auto"/>
              </w:rPr>
            </w:pPr>
            <w:r>
              <w:rPr>
                <w:rFonts w:ascii="Arial" w:cs="Arial" w:eastAsia="Arial" w:hAnsi="Arial"/>
                <w:sz w:val="18"/>
                <w:szCs w:val="18"/>
                <w:color w:val="auto"/>
                <w:w w:val="89"/>
              </w:rPr>
              <w:t>1,386,000</w:t>
            </w:r>
          </w:p>
        </w:tc>
        <w:tc>
          <w:tcPr>
            <w:tcW w:w="1680" w:type="dxa"/>
            <w:vAlign w:val="bottom"/>
          </w:tcPr>
          <w:p>
            <w:pPr>
              <w:jc w:val="center"/>
              <w:spacing w:after="0"/>
              <w:rPr>
                <w:sz w:val="20"/>
                <w:szCs w:val="20"/>
                <w:color w:val="auto"/>
              </w:rPr>
            </w:pPr>
            <w:r>
              <w:rPr>
                <w:rFonts w:ascii="Arial" w:cs="Arial" w:eastAsia="Arial" w:hAnsi="Arial"/>
                <w:sz w:val="18"/>
                <w:szCs w:val="18"/>
                <w:color w:val="auto"/>
                <w:w w:val="89"/>
              </w:rPr>
              <w:t>2,814,000</w:t>
            </w:r>
          </w:p>
        </w:tc>
        <w:tc>
          <w:tcPr>
            <w:tcW w:w="1420" w:type="dxa"/>
            <w:vAlign w:val="bottom"/>
          </w:tcPr>
          <w:p>
            <w:pPr>
              <w:jc w:val="center"/>
              <w:ind w:right="15"/>
              <w:spacing w:after="0"/>
              <w:rPr>
                <w:sz w:val="20"/>
                <w:szCs w:val="20"/>
                <w:color w:val="auto"/>
              </w:rPr>
            </w:pPr>
            <w:r>
              <w:rPr>
                <w:rFonts w:ascii="Arial" w:cs="Arial" w:eastAsia="Arial" w:hAnsi="Arial"/>
                <w:sz w:val="18"/>
                <w:szCs w:val="18"/>
                <w:color w:val="auto"/>
                <w:w w:val="89"/>
              </w:rPr>
              <w:t>4,200,000</w:t>
            </w:r>
          </w:p>
        </w:tc>
        <w:tc>
          <w:tcPr>
            <w:tcW w:w="0" w:type="dxa"/>
            <w:vAlign w:val="bottom"/>
          </w:tcPr>
          <w:p>
            <w:pPr>
              <w:spacing w:after="0"/>
              <w:rPr>
                <w:sz w:val="1"/>
                <w:szCs w:val="1"/>
                <w:color w:val="auto"/>
              </w:rPr>
            </w:pPr>
          </w:p>
        </w:tc>
      </w:tr>
      <w:tr>
        <w:trPr>
          <w:trHeight w:val="230"/>
        </w:trPr>
        <w:tc>
          <w:tcPr>
            <w:tcW w:w="4280" w:type="dxa"/>
            <w:vAlign w:val="bottom"/>
          </w:tcPr>
          <w:p>
            <w:pPr>
              <w:ind w:left="100"/>
              <w:spacing w:after="0"/>
              <w:rPr>
                <w:sz w:val="20"/>
                <w:szCs w:val="20"/>
                <w:color w:val="auto"/>
              </w:rPr>
            </w:pPr>
            <w:r>
              <w:rPr>
                <w:rFonts w:ascii="Arial" w:cs="Arial" w:eastAsia="Arial" w:hAnsi="Arial"/>
                <w:sz w:val="18"/>
                <w:szCs w:val="18"/>
                <w:b w:val="1"/>
                <w:bCs w:val="1"/>
                <w:color w:val="auto"/>
              </w:rPr>
              <w:t>Christopher J. Kuehl</w:t>
            </w:r>
          </w:p>
        </w:tc>
        <w:tc>
          <w:tcPr>
            <w:tcW w:w="3540" w:type="dxa"/>
            <w:vAlign w:val="bottom"/>
          </w:tcPr>
          <w:p>
            <w:pPr>
              <w:jc w:val="center"/>
              <w:ind w:left="2235"/>
              <w:spacing w:after="0"/>
              <w:rPr>
                <w:sz w:val="20"/>
                <w:szCs w:val="20"/>
                <w:color w:val="auto"/>
              </w:rPr>
            </w:pPr>
            <w:r>
              <w:rPr>
                <w:rFonts w:ascii="Arial" w:cs="Arial" w:eastAsia="Arial" w:hAnsi="Arial"/>
                <w:sz w:val="18"/>
                <w:szCs w:val="18"/>
                <w:color w:val="auto"/>
                <w:w w:val="89"/>
              </w:rPr>
              <w:t>858,000</w:t>
            </w:r>
          </w:p>
        </w:tc>
        <w:tc>
          <w:tcPr>
            <w:tcW w:w="1680" w:type="dxa"/>
            <w:vAlign w:val="bottom"/>
          </w:tcPr>
          <w:p>
            <w:pPr>
              <w:jc w:val="center"/>
              <w:spacing w:after="0"/>
              <w:rPr>
                <w:sz w:val="20"/>
                <w:szCs w:val="20"/>
                <w:color w:val="auto"/>
              </w:rPr>
            </w:pPr>
            <w:r>
              <w:rPr>
                <w:rFonts w:ascii="Arial" w:cs="Arial" w:eastAsia="Arial" w:hAnsi="Arial"/>
                <w:sz w:val="18"/>
                <w:szCs w:val="18"/>
                <w:color w:val="auto"/>
                <w:w w:val="89"/>
              </w:rPr>
              <w:t>1,742,000</w:t>
            </w:r>
          </w:p>
        </w:tc>
        <w:tc>
          <w:tcPr>
            <w:tcW w:w="1420" w:type="dxa"/>
            <w:vAlign w:val="bottom"/>
          </w:tcPr>
          <w:p>
            <w:pPr>
              <w:jc w:val="center"/>
              <w:ind w:right="15"/>
              <w:spacing w:after="0"/>
              <w:rPr>
                <w:sz w:val="20"/>
                <w:szCs w:val="20"/>
                <w:color w:val="auto"/>
              </w:rPr>
            </w:pPr>
            <w:r>
              <w:rPr>
                <w:rFonts w:ascii="Arial" w:cs="Arial" w:eastAsia="Arial" w:hAnsi="Arial"/>
                <w:sz w:val="18"/>
                <w:szCs w:val="18"/>
                <w:color w:val="auto"/>
                <w:w w:val="89"/>
              </w:rPr>
              <w:t>2,600,000</w:t>
            </w:r>
          </w:p>
        </w:tc>
        <w:tc>
          <w:tcPr>
            <w:tcW w:w="0" w:type="dxa"/>
            <w:vAlign w:val="bottom"/>
          </w:tcPr>
          <w:p>
            <w:pPr>
              <w:spacing w:after="0"/>
              <w:rPr>
                <w:sz w:val="1"/>
                <w:szCs w:val="1"/>
                <w:color w:val="auto"/>
              </w:rPr>
            </w:pPr>
          </w:p>
        </w:tc>
      </w:tr>
      <w:tr>
        <w:trPr>
          <w:trHeight w:val="229"/>
        </w:trPr>
        <w:tc>
          <w:tcPr>
            <w:tcW w:w="4280" w:type="dxa"/>
            <w:vAlign w:val="bottom"/>
          </w:tcPr>
          <w:p>
            <w:pPr>
              <w:ind w:left="100"/>
              <w:spacing w:after="0"/>
              <w:rPr>
                <w:sz w:val="20"/>
                <w:szCs w:val="20"/>
                <w:color w:val="auto"/>
              </w:rPr>
            </w:pPr>
            <w:r>
              <w:rPr>
                <w:rFonts w:ascii="Arial" w:cs="Arial" w:eastAsia="Arial" w:hAnsi="Arial"/>
                <w:sz w:val="18"/>
                <w:szCs w:val="18"/>
                <w:b w:val="1"/>
                <w:bCs w:val="1"/>
                <w:color w:val="auto"/>
              </w:rPr>
              <w:t>Bernice E. Bell</w:t>
            </w:r>
          </w:p>
        </w:tc>
        <w:tc>
          <w:tcPr>
            <w:tcW w:w="3540" w:type="dxa"/>
            <w:vAlign w:val="bottom"/>
          </w:tcPr>
          <w:p>
            <w:pPr>
              <w:jc w:val="center"/>
              <w:ind w:left="2235"/>
              <w:spacing w:after="0"/>
              <w:rPr>
                <w:sz w:val="20"/>
                <w:szCs w:val="20"/>
                <w:color w:val="auto"/>
              </w:rPr>
            </w:pPr>
            <w:r>
              <w:rPr>
                <w:rFonts w:ascii="Arial" w:cs="Arial" w:eastAsia="Arial" w:hAnsi="Arial"/>
                <w:sz w:val="18"/>
                <w:szCs w:val="18"/>
                <w:color w:val="auto"/>
                <w:w w:val="89"/>
              </w:rPr>
              <w:t>412,500</w:t>
            </w:r>
          </w:p>
        </w:tc>
        <w:tc>
          <w:tcPr>
            <w:tcW w:w="1680" w:type="dxa"/>
            <w:vAlign w:val="bottom"/>
          </w:tcPr>
          <w:p>
            <w:pPr>
              <w:jc w:val="center"/>
              <w:spacing w:after="0"/>
              <w:rPr>
                <w:sz w:val="20"/>
                <w:szCs w:val="20"/>
                <w:color w:val="auto"/>
              </w:rPr>
            </w:pPr>
            <w:r>
              <w:rPr>
                <w:rFonts w:ascii="Arial" w:cs="Arial" w:eastAsia="Arial" w:hAnsi="Arial"/>
                <w:sz w:val="18"/>
                <w:szCs w:val="18"/>
                <w:color w:val="auto"/>
                <w:w w:val="92"/>
              </w:rPr>
              <w:t>837,500</w:t>
            </w:r>
          </w:p>
        </w:tc>
        <w:tc>
          <w:tcPr>
            <w:tcW w:w="1420" w:type="dxa"/>
            <w:vAlign w:val="bottom"/>
          </w:tcPr>
          <w:p>
            <w:pPr>
              <w:jc w:val="center"/>
              <w:ind w:right="15"/>
              <w:spacing w:after="0"/>
              <w:rPr>
                <w:sz w:val="20"/>
                <w:szCs w:val="20"/>
                <w:color w:val="auto"/>
              </w:rPr>
            </w:pPr>
            <w:r>
              <w:rPr>
                <w:rFonts w:ascii="Arial" w:cs="Arial" w:eastAsia="Arial" w:hAnsi="Arial"/>
                <w:sz w:val="18"/>
                <w:szCs w:val="18"/>
                <w:color w:val="auto"/>
                <w:w w:val="89"/>
              </w:rPr>
              <w:t>1,250,000</w:t>
            </w:r>
          </w:p>
        </w:tc>
        <w:tc>
          <w:tcPr>
            <w:tcW w:w="0" w:type="dxa"/>
            <w:vAlign w:val="bottom"/>
          </w:tcPr>
          <w:p>
            <w:pPr>
              <w:spacing w:after="0"/>
              <w:rPr>
                <w:sz w:val="1"/>
                <w:szCs w:val="1"/>
                <w:color w:val="auto"/>
              </w:rPr>
            </w:pPr>
          </w:p>
        </w:tc>
      </w:tr>
      <w:tr>
        <w:trPr>
          <w:trHeight w:val="234"/>
        </w:trPr>
        <w:tc>
          <w:tcPr>
            <w:tcW w:w="4280" w:type="dxa"/>
            <w:vAlign w:val="bottom"/>
            <w:tcBorders>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Kenneth L. Pollack</w:t>
            </w:r>
          </w:p>
        </w:tc>
        <w:tc>
          <w:tcPr>
            <w:tcW w:w="3540" w:type="dxa"/>
            <w:vAlign w:val="bottom"/>
            <w:tcBorders>
              <w:bottom w:val="single" w:sz="8" w:color="407CCA"/>
            </w:tcBorders>
          </w:tcPr>
          <w:p>
            <w:pPr>
              <w:jc w:val="center"/>
              <w:ind w:left="2235"/>
              <w:spacing w:after="0"/>
              <w:rPr>
                <w:sz w:val="20"/>
                <w:szCs w:val="20"/>
                <w:color w:val="auto"/>
              </w:rPr>
            </w:pPr>
            <w:r>
              <w:rPr>
                <w:rFonts w:ascii="Arial" w:cs="Arial" w:eastAsia="Arial" w:hAnsi="Arial"/>
                <w:sz w:val="18"/>
                <w:szCs w:val="18"/>
                <w:color w:val="auto"/>
                <w:w w:val="89"/>
              </w:rPr>
              <w:t>330,000</w:t>
            </w:r>
          </w:p>
        </w:tc>
        <w:tc>
          <w:tcPr>
            <w:tcW w:w="16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2"/>
              </w:rPr>
              <w:t>670,000</w:t>
            </w:r>
          </w:p>
        </w:tc>
        <w:tc>
          <w:tcPr>
            <w:tcW w:w="1420" w:type="dxa"/>
            <w:vAlign w:val="bottom"/>
            <w:tcBorders>
              <w:bottom w:val="single" w:sz="8" w:color="407CCA"/>
            </w:tcBorders>
          </w:tcPr>
          <w:p>
            <w:pPr>
              <w:jc w:val="center"/>
              <w:ind w:right="15"/>
              <w:spacing w:after="0"/>
              <w:rPr>
                <w:sz w:val="20"/>
                <w:szCs w:val="20"/>
                <w:color w:val="auto"/>
              </w:rPr>
            </w:pPr>
            <w:r>
              <w:rPr>
                <w:rFonts w:ascii="Arial" w:cs="Arial" w:eastAsia="Arial" w:hAnsi="Arial"/>
                <w:sz w:val="18"/>
                <w:szCs w:val="18"/>
                <w:color w:val="auto"/>
                <w:w w:val="89"/>
              </w:rPr>
              <w:t>1,000,000</w:t>
            </w:r>
          </w:p>
        </w:tc>
        <w:tc>
          <w:tcPr>
            <w:tcW w:w="0" w:type="dxa"/>
            <w:vAlign w:val="bottom"/>
          </w:tcPr>
          <w:p>
            <w:pPr>
              <w:spacing w:after="0"/>
              <w:rPr>
                <w:sz w:val="1"/>
                <w:szCs w:val="1"/>
                <w:color w:val="auto"/>
              </w:rPr>
            </w:pPr>
          </w:p>
        </w:tc>
      </w:tr>
    </w:tbl>
    <w:p>
      <w:pPr>
        <w:spacing w:after="0" w:line="62" w:lineRule="exact"/>
        <w:rPr>
          <w:sz w:val="20"/>
          <w:szCs w:val="20"/>
          <w:color w:val="auto"/>
        </w:rPr>
      </w:pPr>
    </w:p>
    <w:p>
      <w:pPr>
        <w:ind w:left="340" w:hanging="251"/>
        <w:spacing w:after="0"/>
        <w:tabs>
          <w:tab w:leader="none" w:pos="340" w:val="left"/>
        </w:tabs>
        <w:numPr>
          <w:ilvl w:val="0"/>
          <w:numId w:val="40"/>
        </w:numPr>
        <w:rPr>
          <w:rFonts w:ascii="Arial" w:cs="Arial" w:eastAsia="Arial" w:hAnsi="Arial"/>
          <w:sz w:val="14"/>
          <w:szCs w:val="14"/>
          <w:color w:val="auto"/>
        </w:rPr>
      </w:pPr>
      <w:r>
        <w:rPr>
          <w:rFonts w:ascii="Arial" w:cs="Arial" w:eastAsia="Arial" w:hAnsi="Arial"/>
          <w:sz w:val="14"/>
          <w:szCs w:val="14"/>
          <w:color w:val="auto"/>
        </w:rPr>
        <w:t>Awards vest ratably over a three-year and one-half month period in equal annual installments.</w:t>
      </w:r>
    </w:p>
    <w:p>
      <w:pPr>
        <w:spacing w:after="0" w:line="21" w:lineRule="exact"/>
        <w:rPr>
          <w:rFonts w:ascii="Arial" w:cs="Arial" w:eastAsia="Arial" w:hAnsi="Arial"/>
          <w:sz w:val="14"/>
          <w:szCs w:val="14"/>
          <w:color w:val="auto"/>
        </w:rPr>
      </w:pPr>
    </w:p>
    <w:p>
      <w:pPr>
        <w:ind w:left="340" w:right="320" w:hanging="251"/>
        <w:spacing w:after="0" w:line="261" w:lineRule="auto"/>
        <w:tabs>
          <w:tab w:leader="none" w:pos="340" w:val="left"/>
        </w:tabs>
        <w:numPr>
          <w:ilvl w:val="0"/>
          <w:numId w:val="40"/>
        </w:numPr>
        <w:rPr>
          <w:rFonts w:ascii="Arial" w:cs="Arial" w:eastAsia="Arial" w:hAnsi="Arial"/>
          <w:sz w:val="14"/>
          <w:szCs w:val="14"/>
          <w:color w:val="auto"/>
        </w:rPr>
      </w:pPr>
      <w:r>
        <w:rPr>
          <w:rFonts w:ascii="Arial" w:cs="Arial" w:eastAsia="Arial" w:hAnsi="Arial"/>
          <w:sz w:val="14"/>
          <w:szCs w:val="14"/>
          <w:color w:val="auto"/>
        </w:rPr>
        <w:t>Represents grant-date fair value assuming performance achievement at 100% of target. Performance payouts may range from 0% to 200% of target shares based on actual performance. Awards are subject to cliff vesting two years and eleven and one-half months after the grant date, subject to a three-year performance period.</w:t>
      </w:r>
    </w:p>
    <w:p>
      <w:pPr>
        <w:ind w:left="340" w:hanging="251"/>
        <w:spacing w:after="0"/>
        <w:tabs>
          <w:tab w:leader="none" w:pos="340" w:val="left"/>
        </w:tabs>
        <w:numPr>
          <w:ilvl w:val="0"/>
          <w:numId w:val="40"/>
        </w:numPr>
        <w:rPr>
          <w:rFonts w:ascii="Arial" w:cs="Arial" w:eastAsia="Arial" w:hAnsi="Arial"/>
          <w:sz w:val="14"/>
          <w:szCs w:val="14"/>
          <w:color w:val="auto"/>
        </w:rPr>
      </w:pPr>
      <w:r>
        <w:rPr>
          <w:rFonts w:ascii="Arial" w:cs="Arial" w:eastAsia="Arial" w:hAnsi="Arial"/>
          <w:sz w:val="14"/>
          <w:szCs w:val="14"/>
          <w:color w:val="auto"/>
        </w:rPr>
        <w:t>Awards were granted on March 1, 2022 based on a $12.99 stock price.</w:t>
      </w:r>
    </w:p>
    <w:p>
      <w:pPr>
        <w:spacing w:after="0" w:line="350" w:lineRule="exact"/>
        <w:rPr>
          <w:sz w:val="20"/>
          <w:szCs w:val="20"/>
          <w:color w:val="auto"/>
        </w:rPr>
      </w:pPr>
    </w:p>
    <w:p>
      <w:pPr>
        <w:ind w:right="40" w:firstLine="648"/>
        <w:spacing w:after="0" w:line="224" w:lineRule="auto"/>
        <w:rPr>
          <w:sz w:val="20"/>
          <w:szCs w:val="20"/>
          <w:color w:val="auto"/>
        </w:rPr>
      </w:pPr>
      <w:r>
        <w:rPr>
          <w:rFonts w:ascii="Arial" w:cs="Arial" w:eastAsia="Arial" w:hAnsi="Arial"/>
          <w:sz w:val="18"/>
          <w:szCs w:val="18"/>
          <w:color w:val="auto"/>
        </w:rPr>
        <w:t>The fair value of these awards as of their March 1, 2022 grant date is included in the Summary Compensation Table and Grants of Plan-Based Awards Table. The ultimate value of the RSUs will depend on AGNC’s total stockholder return over the vesting period, and in the case of the performance-based RSUs, AGNC’s absolute and relative economic return over the three-year performance period.</w:t>
      </w:r>
    </w:p>
    <w:p>
      <w:pPr>
        <w:spacing w:after="0" w:line="176" w:lineRule="exact"/>
        <w:rPr>
          <w:sz w:val="20"/>
          <w:szCs w:val="20"/>
          <w:color w:val="auto"/>
        </w:rPr>
      </w:pPr>
    </w:p>
    <w:p>
      <w:pPr>
        <w:ind w:right="100" w:firstLine="648"/>
        <w:spacing w:after="0" w:line="241" w:lineRule="auto"/>
        <w:rPr>
          <w:sz w:val="20"/>
          <w:szCs w:val="20"/>
          <w:color w:val="auto"/>
        </w:rPr>
      </w:pPr>
      <w:r>
        <w:rPr>
          <w:rFonts w:ascii="Arial" w:cs="Arial" w:eastAsia="Arial" w:hAnsi="Arial"/>
          <w:sz w:val="16"/>
          <w:szCs w:val="16"/>
          <w:color w:val="auto"/>
        </w:rPr>
        <w:t>In setting the level of awards to our NEOs, the Compensation Committee considered a number of factors, including the compensation practices at comparable companies, and our ongoing commitment to link NEO compensation to our long-term performance. The Compensation Committee also considered the roles and ongoing responsibilities of each of our NEOs and relevant market data. The grant levels for our NEOs in 2022 reflected the first</w:t>
      </w:r>
    </w:p>
    <w:p>
      <w:pPr>
        <w:spacing w:after="0" w:line="2" w:lineRule="exact"/>
        <w:rPr>
          <w:sz w:val="20"/>
          <w:szCs w:val="20"/>
          <w:color w:val="auto"/>
        </w:rPr>
      </w:pPr>
    </w:p>
    <w:p>
      <w:pPr>
        <w:ind w:right="260"/>
        <w:spacing w:after="0" w:line="226" w:lineRule="auto"/>
        <w:rPr>
          <w:sz w:val="20"/>
          <w:szCs w:val="20"/>
          <w:color w:val="auto"/>
        </w:rPr>
      </w:pPr>
      <w:r>
        <w:rPr>
          <w:rFonts w:ascii="Arial" w:cs="Arial" w:eastAsia="Arial" w:hAnsi="Arial"/>
          <w:sz w:val="18"/>
          <w:szCs w:val="18"/>
          <w:color w:val="auto"/>
        </w:rPr>
        <w:t>full-year compensation for Messrs. Federico, Kain, and Kuehl following the promotions of Messrs. Federico and Kuehl and the transition of Mr. Kain to Executive Chair mid-year in 2021.</w:t>
      </w:r>
    </w:p>
    <w:p>
      <w:pPr>
        <w:spacing w:after="0" w:line="161" w:lineRule="exact"/>
        <w:rPr>
          <w:sz w:val="20"/>
          <w:szCs w:val="20"/>
          <w:color w:val="auto"/>
        </w:rPr>
      </w:pPr>
    </w:p>
    <w:p>
      <w:pPr>
        <w:ind w:left="820" w:right="60" w:hanging="488"/>
        <w:spacing w:after="0" w:line="239" w:lineRule="auto"/>
        <w:tabs>
          <w:tab w:leader="none" w:pos="815"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2022 awards to Messrs. Federico and Kuehl reflected the full-year target LTI award in their new roles as Chief Executive Officer and Chief Investment Officer, respectively. By comparison, the awards they received in 2021 were comprised of a proration between their target LTI award levels for their new roles during the second half of 2021 and their former roles during the first half of 2021. Their 2022 target LTI awards continued to be allocated 67% performance-based and 33% time-based.</w:t>
      </w:r>
    </w:p>
    <w:p>
      <w:pPr>
        <w:spacing w:after="0" w:line="1" w:lineRule="exact"/>
        <w:rPr>
          <w:rFonts w:ascii="Arial" w:cs="Arial" w:eastAsia="Arial" w:hAnsi="Arial"/>
          <w:sz w:val="18"/>
          <w:szCs w:val="18"/>
          <w:color w:val="auto"/>
        </w:rPr>
      </w:pPr>
    </w:p>
    <w:p>
      <w:pPr>
        <w:ind w:left="820" w:hanging="488"/>
        <w:spacing w:after="0" w:line="234" w:lineRule="auto"/>
        <w:tabs>
          <w:tab w:leader="none" w:pos="577" w:val="left"/>
        </w:tabs>
        <w:numPr>
          <w:ilvl w:val="0"/>
          <w:numId w:val="41"/>
        </w:numPr>
        <w:rPr>
          <w:rFonts w:ascii="Arial" w:cs="Arial" w:eastAsia="Arial" w:hAnsi="Arial"/>
          <w:sz w:val="18"/>
          <w:szCs w:val="18"/>
          <w:color w:val="auto"/>
        </w:rPr>
      </w:pPr>
      <w:r>
        <w:rPr>
          <w:rFonts w:ascii="Arial" w:cs="Arial" w:eastAsia="Arial" w:hAnsi="Arial"/>
          <w:sz w:val="18"/>
          <w:szCs w:val="18"/>
          <w:color w:val="auto"/>
        </w:rPr>
        <w:t>Mr. Kain’s long-term incentive target of $4,200,000 in 2022 reflected the full-year target LTI award in his new role as Executive Chair. His 2021 award was comprised of a proration between his target LTI award level in his role as Chief Executive Officer and Chief Investment Officer during the first half of 2021 and his target LTI award level in his role as Executive Chair during the second half of 2021. His 2022 LTI continued to be allocated 67% performance-based and 33% time-based.</w:t>
      </w:r>
    </w:p>
    <w:p>
      <w:pPr>
        <w:spacing w:after="0" w:line="2" w:lineRule="exact"/>
        <w:rPr>
          <w:rFonts w:ascii="Arial" w:cs="Arial" w:eastAsia="Arial" w:hAnsi="Arial"/>
          <w:sz w:val="18"/>
          <w:szCs w:val="18"/>
          <w:color w:val="auto"/>
        </w:rPr>
      </w:pPr>
    </w:p>
    <w:p>
      <w:pPr>
        <w:ind w:left="820" w:right="340" w:hanging="488"/>
        <w:spacing w:after="0" w:line="234" w:lineRule="auto"/>
        <w:tabs>
          <w:tab w:leader="none" w:pos="577" w:val="left"/>
        </w:tabs>
        <w:numPr>
          <w:ilvl w:val="0"/>
          <w:numId w:val="41"/>
        </w:numPr>
        <w:rPr>
          <w:rFonts w:ascii="Arial" w:cs="Arial" w:eastAsia="Arial" w:hAnsi="Arial"/>
          <w:sz w:val="18"/>
          <w:szCs w:val="18"/>
          <w:color w:val="auto"/>
        </w:rPr>
      </w:pPr>
      <w:r>
        <w:rPr>
          <w:rFonts w:ascii="Arial" w:cs="Arial" w:eastAsia="Arial" w:hAnsi="Arial"/>
          <w:sz w:val="18"/>
          <w:szCs w:val="18"/>
          <w:color w:val="auto"/>
        </w:rPr>
        <w:t>Ms. Bell’s long-term incentive target was increased from $1,100,000 to $1,250,000 in 2022, with the allocation of 2022 awards, at target, being 67% performance-based and 33% time-based.</w:t>
      </w:r>
    </w:p>
    <w:p>
      <w:pPr>
        <w:spacing w:after="0" w:line="1" w:lineRule="exact"/>
        <w:rPr>
          <w:rFonts w:ascii="Arial" w:cs="Arial" w:eastAsia="Arial" w:hAnsi="Arial"/>
          <w:sz w:val="18"/>
          <w:szCs w:val="18"/>
          <w:color w:val="auto"/>
        </w:rPr>
      </w:pPr>
    </w:p>
    <w:p>
      <w:pPr>
        <w:ind w:left="820" w:right="260" w:hanging="488"/>
        <w:spacing w:after="0" w:line="233" w:lineRule="auto"/>
        <w:tabs>
          <w:tab w:leader="none" w:pos="577" w:val="left"/>
        </w:tabs>
        <w:numPr>
          <w:ilvl w:val="0"/>
          <w:numId w:val="41"/>
        </w:numPr>
        <w:rPr>
          <w:rFonts w:ascii="Arial" w:cs="Arial" w:eastAsia="Arial" w:hAnsi="Arial"/>
          <w:sz w:val="18"/>
          <w:szCs w:val="18"/>
          <w:color w:val="auto"/>
        </w:rPr>
      </w:pPr>
      <w:r>
        <w:rPr>
          <w:rFonts w:ascii="Arial" w:cs="Arial" w:eastAsia="Arial" w:hAnsi="Arial"/>
          <w:sz w:val="18"/>
          <w:szCs w:val="18"/>
          <w:color w:val="auto"/>
        </w:rPr>
        <w:t>Mr. Pollack’s long-term incentive target was increased from $950,000 to $1,000,000 in 2022, with the allocation of 2022 awards, at target, being 67% performance-based and 33% time-based.</w:t>
      </w:r>
    </w:p>
    <w:p>
      <w:pPr>
        <w:spacing w:after="0" w:line="82" w:lineRule="exact"/>
        <w:rPr>
          <w:sz w:val="20"/>
          <w:szCs w:val="20"/>
          <w:color w:val="auto"/>
        </w:rPr>
      </w:pPr>
    </w:p>
    <w:p>
      <w:pPr>
        <w:ind w:right="80" w:firstLine="648"/>
        <w:spacing w:after="0" w:line="279" w:lineRule="auto"/>
        <w:rPr>
          <w:sz w:val="20"/>
          <w:szCs w:val="20"/>
          <w:color w:val="auto"/>
        </w:rPr>
      </w:pPr>
      <w:r>
        <w:rPr>
          <w:rFonts w:ascii="Arial" w:cs="Arial" w:eastAsia="Arial" w:hAnsi="Arial"/>
          <w:sz w:val="16"/>
          <w:szCs w:val="16"/>
          <w:color w:val="auto"/>
        </w:rPr>
        <w:t>In granting awards in 2022, the Compensation Committee also reviewed the measures used for performance-based RSUs and determined that it was appropriate to retain the measures established in 2021 without adjustment. Although the outlook for financial markets remained uncertain at the outset of 2022, the Compensation Committee considered the value of consistency year-over-year in considering adjustments to the scorecard and concluded that these measures remained challenging in the current market environment for awards made in 2022. The table below sets forth the below threshold, threshold, target, and outperformance levels established by the Compensation Committee for performance-based RSU awards made in 2022.</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54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840" w:type="dxa"/>
            <w:vAlign w:val="bottom"/>
            <w:shd w:val="clear" w:color="auto" w:fill="407CCA"/>
          </w:tcPr>
          <w:p>
            <w:pPr>
              <w:ind w:left="240"/>
              <w:spacing w:after="0"/>
              <w:rPr>
                <w:sz w:val="20"/>
                <w:szCs w:val="20"/>
                <w:color w:val="auto"/>
              </w:rPr>
            </w:pPr>
            <w:r>
              <w:rPr>
                <w:rFonts w:ascii="Arial" w:cs="Arial" w:eastAsia="Arial" w:hAnsi="Arial"/>
                <w:sz w:val="13"/>
                <w:szCs w:val="13"/>
                <w:b w:val="1"/>
                <w:bCs w:val="1"/>
                <w:color w:val="auto"/>
              </w:rPr>
              <w:t>Metric</w:t>
            </w:r>
          </w:p>
        </w:tc>
        <w:tc>
          <w:tcPr>
            <w:tcW w:w="10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000" w:type="dxa"/>
            <w:vAlign w:val="bottom"/>
            <w:shd w:val="clear" w:color="auto" w:fill="407CCA"/>
          </w:tcPr>
          <w:p>
            <w:pPr>
              <w:spacing w:after="0"/>
              <w:rPr>
                <w:sz w:val="12"/>
                <w:szCs w:val="12"/>
                <w:color w:val="auto"/>
              </w:rPr>
            </w:pPr>
          </w:p>
        </w:tc>
        <w:tc>
          <w:tcPr>
            <w:tcW w:w="14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Base Performance</w:t>
            </w:r>
          </w:p>
        </w:tc>
        <w:tc>
          <w:tcPr>
            <w:tcW w:w="1440" w:type="dxa"/>
            <w:vAlign w:val="bottom"/>
            <w:shd w:val="clear" w:color="auto" w:fill="407CCA"/>
          </w:tcPr>
          <w:p>
            <w:pPr>
              <w:spacing w:after="0"/>
              <w:rPr>
                <w:sz w:val="12"/>
                <w:szCs w:val="12"/>
                <w:color w:val="auto"/>
              </w:rPr>
            </w:pPr>
          </w:p>
        </w:tc>
      </w:tr>
      <w:tr>
        <w:trPr>
          <w:trHeight w:val="183"/>
        </w:trPr>
        <w:tc>
          <w:tcPr>
            <w:tcW w:w="540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6"/>
              </w:rPr>
              <w:t>Variable</w:t>
            </w:r>
          </w:p>
        </w:tc>
        <w:tc>
          <w:tcPr>
            <w:tcW w:w="840" w:type="dxa"/>
            <w:vAlign w:val="bottom"/>
            <w:tcBorders>
              <w:bottom w:val="single" w:sz="8" w:color="407CCA"/>
            </w:tcBorders>
            <w:shd w:val="clear" w:color="auto" w:fill="407CCA"/>
          </w:tcPr>
          <w:p>
            <w:pPr>
              <w:ind w:left="220"/>
              <w:spacing w:after="0"/>
              <w:rPr>
                <w:sz w:val="20"/>
                <w:szCs w:val="20"/>
                <w:color w:val="auto"/>
              </w:rPr>
            </w:pPr>
            <w:r>
              <w:rPr>
                <w:rFonts w:ascii="Arial" w:cs="Arial" w:eastAsia="Arial" w:hAnsi="Arial"/>
                <w:sz w:val="13"/>
                <w:szCs w:val="13"/>
                <w:b w:val="1"/>
                <w:bCs w:val="1"/>
                <w:color w:val="auto"/>
              </w:rPr>
              <w:t>Weight</w:t>
            </w:r>
          </w:p>
        </w:tc>
        <w:tc>
          <w:tcPr>
            <w:tcW w:w="108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1000" w:type="dxa"/>
            <w:vAlign w:val="bottom"/>
            <w:tcBorders>
              <w:bottom w:val="single" w:sz="8" w:color="407CCA"/>
            </w:tcBorders>
            <w:shd w:val="clear" w:color="auto" w:fill="407CCA"/>
          </w:tcPr>
          <w:p>
            <w:pPr>
              <w:ind w:left="200"/>
              <w:spacing w:after="0"/>
              <w:rPr>
                <w:sz w:val="20"/>
                <w:szCs w:val="20"/>
                <w:color w:val="auto"/>
              </w:rPr>
            </w:pPr>
            <w:r>
              <w:rPr>
                <w:rFonts w:ascii="Arial" w:cs="Arial" w:eastAsia="Arial" w:hAnsi="Arial"/>
                <w:sz w:val="13"/>
                <w:szCs w:val="13"/>
                <w:b w:val="1"/>
                <w:bCs w:val="1"/>
                <w:color w:val="auto"/>
              </w:rPr>
              <w:t>Threshold</w:t>
            </w:r>
          </w:p>
        </w:tc>
        <w:tc>
          <w:tcPr>
            <w:tcW w:w="1480" w:type="dxa"/>
            <w:vAlign w:val="bottom"/>
            <w:tcBorders>
              <w:bottom w:val="single" w:sz="8" w:color="407CCA"/>
            </w:tcBorders>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Target</w:t>
            </w:r>
          </w:p>
        </w:tc>
        <w:tc>
          <w:tcPr>
            <w:tcW w:w="1440" w:type="dxa"/>
            <w:vAlign w:val="bottom"/>
            <w:tcBorders>
              <w:bottom w:val="single" w:sz="8" w:color="407CCA"/>
            </w:tcBorders>
            <w:shd w:val="clear" w:color="auto" w:fill="407CCA"/>
          </w:tcPr>
          <w:p>
            <w:pPr>
              <w:ind w:left="260"/>
              <w:spacing w:after="0"/>
              <w:rPr>
                <w:sz w:val="20"/>
                <w:szCs w:val="20"/>
                <w:color w:val="auto"/>
              </w:rPr>
            </w:pPr>
            <w:r>
              <w:rPr>
                <w:rFonts w:ascii="Arial" w:cs="Arial" w:eastAsia="Arial" w:hAnsi="Arial"/>
                <w:sz w:val="13"/>
                <w:szCs w:val="13"/>
                <w:b w:val="1"/>
                <w:bCs w:val="1"/>
                <w:color w:val="auto"/>
              </w:rPr>
              <w:t>Outperformance</w:t>
            </w:r>
          </w:p>
        </w:tc>
      </w:tr>
      <w:tr>
        <w:trPr>
          <w:trHeight w:val="230"/>
        </w:trPr>
        <w:tc>
          <w:tcPr>
            <w:tcW w:w="54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Absolute Three-Year Economic Return</w:t>
            </w:r>
          </w:p>
        </w:tc>
        <w:tc>
          <w:tcPr>
            <w:tcW w:w="8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50%</w:t>
            </w:r>
          </w:p>
        </w:tc>
        <w:tc>
          <w:tcPr>
            <w:tcW w:w="10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0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14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30.0%</w:t>
            </w:r>
          </w:p>
        </w:tc>
        <w:tc>
          <w:tcPr>
            <w:tcW w:w="14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 60.0%</w:t>
            </w:r>
          </w:p>
        </w:tc>
      </w:tr>
      <w:tr>
        <w:trPr>
          <w:trHeight w:val="229"/>
        </w:trPr>
        <w:tc>
          <w:tcPr>
            <w:tcW w:w="54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Three-Year Economic Return</w:t>
            </w:r>
          </w:p>
        </w:tc>
        <w:tc>
          <w:tcPr>
            <w:tcW w:w="8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50%</w:t>
            </w:r>
          </w:p>
        </w:tc>
        <w:tc>
          <w:tcPr>
            <w:tcW w:w="10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(4.5%)</w:t>
            </w:r>
          </w:p>
        </w:tc>
        <w:tc>
          <w:tcPr>
            <w:tcW w:w="10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(4.5%)</w:t>
            </w:r>
          </w:p>
        </w:tc>
        <w:tc>
          <w:tcPr>
            <w:tcW w:w="14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3.0%</w:t>
            </w:r>
          </w:p>
        </w:tc>
        <w:tc>
          <w:tcPr>
            <w:tcW w:w="14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 10.5%</w:t>
            </w:r>
          </w:p>
        </w:tc>
      </w:tr>
      <w:tr>
        <w:trPr>
          <w:trHeight w:val="230"/>
        </w:trPr>
        <w:tc>
          <w:tcPr>
            <w:tcW w:w="54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1"/>
              </w:rPr>
              <w:t>Payout Factor (% of Target Shares)</w:t>
            </w:r>
          </w:p>
        </w:tc>
        <w:tc>
          <w:tcPr>
            <w:tcW w:w="8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100%</w:t>
            </w:r>
          </w:p>
        </w:tc>
        <w:tc>
          <w:tcPr>
            <w:tcW w:w="10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0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4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100%</w:t>
            </w:r>
          </w:p>
        </w:tc>
        <w:tc>
          <w:tcPr>
            <w:tcW w:w="14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200%</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48" w:name="page49"/>
    <w:bookmarkEnd w:id="4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2020 Performance-Based Restricted Stock Unit Awards</w:t>
      </w:r>
    </w:p>
    <w:p>
      <w:pPr>
        <w:spacing w:after="0" w:line="77" w:lineRule="exact"/>
        <w:rPr>
          <w:sz w:val="20"/>
          <w:szCs w:val="20"/>
          <w:color w:val="auto"/>
        </w:rPr>
      </w:pPr>
    </w:p>
    <w:p>
      <w:pPr>
        <w:ind w:right="80" w:firstLine="648"/>
        <w:spacing w:after="0" w:line="248" w:lineRule="auto"/>
        <w:rPr>
          <w:sz w:val="20"/>
          <w:szCs w:val="20"/>
          <w:color w:val="auto"/>
        </w:rPr>
      </w:pPr>
      <w:r>
        <w:rPr>
          <w:rFonts w:ascii="Arial" w:cs="Arial" w:eastAsia="Arial" w:hAnsi="Arial"/>
          <w:sz w:val="16"/>
          <w:szCs w:val="16"/>
          <w:color w:val="auto"/>
        </w:rPr>
        <w:t>The three-year performance period for the performance-based RSU awards made to our employees in February 2020 was completed on December 31, 2022. The performance calculations included absolute economic return measured from December 31, 2019 through December 31, 2022 and</w:t>
      </w:r>
    </w:p>
    <w:p>
      <w:pPr>
        <w:ind w:right="60"/>
        <w:spacing w:after="0" w:line="234" w:lineRule="auto"/>
        <w:rPr>
          <w:sz w:val="20"/>
          <w:szCs w:val="20"/>
          <w:color w:val="auto"/>
        </w:rPr>
      </w:pPr>
      <w:r>
        <w:rPr>
          <w:rFonts w:ascii="Arial" w:cs="Arial" w:eastAsia="Arial" w:hAnsi="Arial"/>
          <w:sz w:val="16"/>
          <w:szCs w:val="16"/>
          <w:color w:val="auto"/>
        </w:rPr>
        <w:t>relative economic return as compared to an Agency mortgage REIT peer group determined at the time of the grant and measured from September 30, 2019 through September 30, 2022. AGNC generated an absolute economic return of -19.1% and relative economic return of +21.9% for the applicable measurement period, resulting in a vesting factor of 100% of the target number of shares for the 2020 performance-based RSUs, as validated by the</w:t>
      </w:r>
    </w:p>
    <w:p>
      <w:pPr>
        <w:spacing w:after="0" w:line="2" w:lineRule="exact"/>
        <w:rPr>
          <w:sz w:val="20"/>
          <w:szCs w:val="20"/>
          <w:color w:val="auto"/>
        </w:rPr>
      </w:pPr>
    </w:p>
    <w:p>
      <w:pPr>
        <w:ind w:right="140"/>
        <w:spacing w:after="0" w:line="234" w:lineRule="auto"/>
        <w:rPr>
          <w:sz w:val="20"/>
          <w:szCs w:val="20"/>
          <w:color w:val="auto"/>
        </w:rPr>
      </w:pPr>
      <w:r>
        <w:rPr>
          <w:rFonts w:ascii="Arial" w:cs="Arial" w:eastAsia="Arial" w:hAnsi="Arial"/>
          <w:sz w:val="16"/>
          <w:szCs w:val="16"/>
          <w:color w:val="auto"/>
        </w:rPr>
        <w:t>Compensation Committee. Unless deferred by the NEO, distribution of shares in settlement of these awards occurred on February 15, 2023, provided that the recipient remained employed by the Company on that date. The diagram below includes the performance targets and details the performance calculations for these awards. Additional details regarding these RSUs are provided in the Outstanding Equity Awards table on page 47 of this proxy</w:t>
      </w:r>
    </w:p>
    <w:p>
      <w:pPr>
        <w:spacing w:after="0" w:line="2" w:lineRule="exact"/>
        <w:rPr>
          <w:sz w:val="20"/>
          <w:szCs w:val="20"/>
          <w:color w:val="auto"/>
        </w:rPr>
      </w:pPr>
    </w:p>
    <w:p>
      <w:pPr>
        <w:ind w:right="100"/>
        <w:spacing w:after="0" w:line="226" w:lineRule="auto"/>
        <w:rPr>
          <w:sz w:val="20"/>
          <w:szCs w:val="20"/>
          <w:color w:val="auto"/>
        </w:rPr>
      </w:pPr>
      <w:r>
        <w:rPr>
          <w:rFonts w:ascii="Arial" w:cs="Arial" w:eastAsia="Arial" w:hAnsi="Arial"/>
          <w:sz w:val="18"/>
          <w:szCs w:val="18"/>
          <w:color w:val="auto"/>
        </w:rPr>
        <w:t>statement. These measures were established in 2020 based on then anticipated ranges of performance deemed to be appropriately challenging based on the Compensation Committee’s analyses, including back-testing.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485140</wp:posOffset>
            </wp:positionH>
            <wp:positionV relativeFrom="paragraph">
              <wp:posOffset>120015</wp:posOffset>
            </wp:positionV>
            <wp:extent cx="6172200" cy="27514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6172200" cy="27514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3163570</wp:posOffset>
            </wp:positionV>
            <wp:extent cx="105410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05410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340" w:right="100" w:hanging="251"/>
        <w:spacing w:after="0" w:line="228" w:lineRule="auto"/>
        <w:tabs>
          <w:tab w:leader="none" w:pos="349" w:val="left"/>
        </w:tabs>
        <w:numPr>
          <w:ilvl w:val="0"/>
          <w:numId w:val="42"/>
        </w:numPr>
        <w:rPr>
          <w:rFonts w:ascii="Arial" w:cs="Arial" w:eastAsia="Arial" w:hAnsi="Arial"/>
          <w:sz w:val="14"/>
          <w:szCs w:val="14"/>
          <w:color w:val="auto"/>
        </w:rPr>
      </w:pPr>
      <w:r>
        <w:rPr>
          <w:rFonts w:ascii="Arial" w:cs="Arial" w:eastAsia="Arial" w:hAnsi="Arial"/>
          <w:sz w:val="14"/>
          <w:szCs w:val="14"/>
          <w:color w:val="auto"/>
        </w:rPr>
        <w:t>Peer index reflects an unweighted, simple average of the peer group constituents: NLY, TWO, IVR, ARR, CMO, ANH and DX. Under pre-established peer group criteria, if a peer undergoes a merger or acquisition, its economic return is included through the quarter ended just prior to completion of the transaction. As a result of the acquisition of ANH announced in December 2020 (closed in March 2021) and the acquisition of CMO announced in July 2021 (closed in October 2021), ANH has been included through December 31, 2020, and CMO has been included through September 30, 2021.</w:t>
      </w:r>
    </w:p>
    <w:p>
      <w:pPr>
        <w:spacing w:after="0" w:line="18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Savings and Health and Welfare Benefits</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Our executive officers participate in a broad-based 401(k) retirement savings plan generally applicable to all our employees, which includes an</w:t>
      </w:r>
    </w:p>
    <w:p>
      <w:pPr>
        <w:spacing w:after="0" w:line="21" w:lineRule="exact"/>
        <w:rPr>
          <w:sz w:val="20"/>
          <w:szCs w:val="20"/>
          <w:color w:val="auto"/>
        </w:rPr>
      </w:pPr>
    </w:p>
    <w:p>
      <w:pPr>
        <w:ind w:right="180"/>
        <w:spacing w:after="0" w:line="234" w:lineRule="auto"/>
        <w:rPr>
          <w:sz w:val="20"/>
          <w:szCs w:val="20"/>
          <w:color w:val="auto"/>
        </w:rPr>
      </w:pPr>
      <w:r>
        <w:rPr>
          <w:rFonts w:ascii="Arial" w:cs="Arial" w:eastAsia="Arial" w:hAnsi="Arial"/>
          <w:sz w:val="16"/>
          <w:szCs w:val="16"/>
          <w:color w:val="auto"/>
        </w:rPr>
        <w:t>opportunity to receive employer matching contributions. We do not currently provide for pension plans, supplemental retirement plans, or deferred compensation plans for our executive officers. We previously provided our executive officers the option to elect to defer payments of long-term incentive awards. In addition, all of our executive officers also participate in medical, dental, vision, disability, life and long-term care insurance, and qualified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transportation benefits that are provided generally to all our employees.</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77" w:lineRule="exact"/>
        <w:rPr>
          <w:sz w:val="20"/>
          <w:szCs w:val="20"/>
          <w:color w:val="auto"/>
        </w:rPr>
      </w:pPr>
    </w:p>
    <w:p>
      <w:pPr>
        <w:ind w:right="200" w:firstLine="648"/>
        <w:spacing w:after="0" w:line="246"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2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Decision Process</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Compensation Comparator Group</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AGNC’s internal management structure, size, and scale relative to other residential mortgage REITs and our Agency mortgage-backed securities</w:t>
      </w:r>
    </w:p>
    <w:p>
      <w:pPr>
        <w:spacing w:after="0" w:line="21" w:lineRule="exact"/>
        <w:rPr>
          <w:sz w:val="20"/>
          <w:szCs w:val="20"/>
          <w:color w:val="auto"/>
        </w:rPr>
      </w:pPr>
    </w:p>
    <w:p>
      <w:pPr>
        <w:ind w:right="40"/>
        <w:spacing w:after="0" w:line="268" w:lineRule="auto"/>
        <w:rPr>
          <w:sz w:val="20"/>
          <w:szCs w:val="20"/>
          <w:color w:val="auto"/>
        </w:rPr>
      </w:pPr>
      <w:r>
        <w:rPr>
          <w:rFonts w:ascii="Arial" w:cs="Arial" w:eastAsia="Arial" w:hAnsi="Arial"/>
          <w:sz w:val="16"/>
          <w:szCs w:val="16"/>
          <w:color w:val="auto"/>
        </w:rPr>
        <w:t>investment focus are significant differentiators relative to other potential comparative public companies and have made identifying a peer group for AGNC challenging. As a result, the Compensation Committee has not adopted a policy to benchmark compensation levels against comparative companies.</w:t>
      </w:r>
    </w:p>
    <w:p>
      <w:pPr>
        <w:spacing w:after="0" w:line="140" w:lineRule="exact"/>
        <w:rPr>
          <w:sz w:val="20"/>
          <w:szCs w:val="20"/>
          <w:color w:val="auto"/>
        </w:rPr>
      </w:pPr>
    </w:p>
    <w:p>
      <w:pPr>
        <w:ind w:right="180" w:firstLine="648"/>
        <w:spacing w:after="0" w:line="261" w:lineRule="auto"/>
        <w:rPr>
          <w:sz w:val="20"/>
          <w:szCs w:val="20"/>
          <w:color w:val="auto"/>
        </w:rPr>
      </w:pPr>
      <w:r>
        <w:rPr>
          <w:rFonts w:ascii="Arial" w:cs="Arial" w:eastAsia="Arial" w:hAnsi="Arial"/>
          <w:sz w:val="18"/>
          <w:szCs w:val="18"/>
          <w:color w:val="auto"/>
        </w:rPr>
        <w:t>We are the second largest residential mortgage REIT overall by market capitalization, total assets, and total equity when compared with the Resi mREIT Universe. Eight other REITs in the Resi mREIT Universe are internally managed, and the other ten</w:t>
      </w:r>
    </w:p>
    <w:p>
      <w:pPr>
        <w:sectPr>
          <w:pgSz w:w="11900" w:h="16838" w:orient="portrait"/>
          <w:cols w:equalWidth="0" w:num="1">
            <w:col w:w="11220"/>
          </w:cols>
          <w:pgMar w:left="320" w:top="108" w:right="359" w:bottom="1440" w:gutter="0" w:footer="0" w:header="0"/>
        </w:sectPr>
      </w:pPr>
    </w:p>
    <w:p>
      <w:pPr>
        <w:spacing w:after="0" w:line="342"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49" w:name="page50"/>
    <w:bookmarkEnd w:id="4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right="120"/>
        <w:spacing w:after="0" w:line="272" w:lineRule="auto"/>
        <w:rPr>
          <w:sz w:val="20"/>
          <w:szCs w:val="20"/>
          <w:color w:val="auto"/>
        </w:rPr>
      </w:pPr>
      <w:r>
        <w:rPr>
          <w:rFonts w:ascii="Arial" w:cs="Arial" w:eastAsia="Arial" w:hAnsi="Arial"/>
          <w:sz w:val="16"/>
          <w:szCs w:val="16"/>
          <w:color w:val="auto"/>
        </w:rPr>
        <w:t>mortgage REITs in the Resi mREIT Universe are externally managed by a third party and provide only limited public compensation disclosure. Moreover, only two other internally managed mREITs in the Resi mREIT Universe had a market capitalization above $1.5 billion as of December 31, 2022, and only one of those REITs had an Agency mortgage-backed securities focus comparable to AGNC. Residential mREITs that primarily invest in non-Agency mortgage-backed securities involve different risk and return profiles and will have performance that is not well correlated to ours. The business and operations of commercial mortgage REITs center on commercial real estate finance rather than single-family home mortgages and will have performance linked to credit risk decisions, including geographic and sector weightings, that are less relevant for our business model.</w:t>
      </w:r>
    </w:p>
    <w:p>
      <w:pPr>
        <w:spacing w:after="0" w:line="166" w:lineRule="exact"/>
        <w:rPr>
          <w:sz w:val="20"/>
          <w:szCs w:val="20"/>
          <w:color w:val="auto"/>
        </w:rPr>
      </w:pPr>
    </w:p>
    <w:p>
      <w:pPr>
        <w:ind w:right="40" w:firstLine="648"/>
        <w:spacing w:after="0" w:line="279" w:lineRule="auto"/>
        <w:rPr>
          <w:sz w:val="20"/>
          <w:szCs w:val="20"/>
          <w:color w:val="auto"/>
        </w:rPr>
      </w:pPr>
      <w:r>
        <w:rPr>
          <w:rFonts w:ascii="Arial" w:cs="Arial" w:eastAsia="Arial" w:hAnsi="Arial"/>
          <w:sz w:val="16"/>
          <w:szCs w:val="16"/>
          <w:color w:val="auto"/>
        </w:rPr>
        <w:t>Although we are an internally managed REIT, our business of investing primarily in Agency mortgage-backed securities makes our operations somewhat comparable to asset management firms. However, asset management firms employ a different business model: they primarily generate income from management fees charged to clients based on, among other things, the level of assets under management or financial returns that clients earn on their investments. By comparison, AGNC generates income primarily from its investments in Agency securities. As a result, AGNC’s performance may vary materially from asset management firms given the vastly different asset base and significant leverage and hedging activities inherent in our business model.</w:t>
      </w:r>
    </w:p>
    <w:p>
      <w:pPr>
        <w:spacing w:after="0" w:line="159" w:lineRule="exact"/>
        <w:rPr>
          <w:sz w:val="20"/>
          <w:szCs w:val="20"/>
          <w:color w:val="auto"/>
        </w:rPr>
      </w:pPr>
    </w:p>
    <w:p>
      <w:pPr>
        <w:ind w:right="40" w:firstLine="648"/>
        <w:spacing w:after="0" w:line="251" w:lineRule="auto"/>
        <w:rPr>
          <w:sz w:val="20"/>
          <w:szCs w:val="20"/>
          <w:color w:val="auto"/>
        </w:rPr>
      </w:pPr>
      <w:r>
        <w:rPr>
          <w:rFonts w:ascii="Arial" w:cs="Arial" w:eastAsia="Arial" w:hAnsi="Arial"/>
          <w:sz w:val="17"/>
          <w:szCs w:val="17"/>
          <w:color w:val="auto"/>
        </w:rPr>
        <w:t>Although we have few close peers considering our internal management structure, size, and scale relative to other mortgage REITs and investment focus on Agency mortgage-backed securities, the Compensation Committee, with the assistance of FW Cook, reviews compensation levels and practices at various financial services companies as part of its consideration of our compensation structure, programs, and practices. In 2022, the Compensation Committee reviewed the compensation practices at 18 companies, including seven internally managed publicly traded mortgage REITs and 10 publicly traded asset management companies and non-bank financial services companies. This is the same group considered by the Compensation Committee in 2021, with the exception of one asset management firm which was removed from the group after being acquired in 2021. The Compensation Committee determined the highly specialized and unique skill sets required of executives in these industries are most comparable to those required of AGNC’s NEOs, although very few would be an exact match for our Company. However, in considering this analysis, the Compensation Committee believes that, due to their vastly different business models, capital allocations, and assets, these companies collectively will have performance that is not well correlated to AGNC’s performance, and accordingly they are not a suitable peer set for purposes of evaluating management's relative performance or the alignment of our compensation program to our performance.</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43"/>
        </w:trPr>
        <w:tc>
          <w:tcPr>
            <w:tcW w:w="3920" w:type="dxa"/>
            <w:vAlign w:val="bottom"/>
            <w:tcBorders>
              <w:top w:val="single" w:sz="8" w:color="407CCA"/>
              <w:bottom w:val="single" w:sz="8" w:color="407CCA"/>
            </w:tcBorders>
          </w:tcPr>
          <w:p>
            <w:pPr>
              <w:ind w:left="100"/>
              <w:spacing w:after="0"/>
              <w:rPr>
                <w:sz w:val="20"/>
                <w:szCs w:val="20"/>
                <w:color w:val="auto"/>
              </w:rPr>
            </w:pPr>
            <w:r>
              <w:rPr>
                <w:rFonts w:ascii="Arial" w:cs="Arial" w:eastAsia="Arial" w:hAnsi="Arial"/>
                <w:sz w:val="18"/>
                <w:szCs w:val="18"/>
                <w:b w:val="1"/>
                <w:bCs w:val="1"/>
                <w:color w:val="auto"/>
              </w:rPr>
              <w:t>Mortgage REITs:</w:t>
            </w:r>
          </w:p>
        </w:tc>
        <w:tc>
          <w:tcPr>
            <w:tcW w:w="7320" w:type="dxa"/>
            <w:vAlign w:val="bottom"/>
            <w:tcBorders>
              <w:top w:val="single" w:sz="8" w:color="407CCA"/>
              <w:bottom w:val="single" w:sz="8" w:color="407CCA"/>
            </w:tcBorders>
          </w:tcPr>
          <w:p>
            <w:pPr>
              <w:ind w:left="1380"/>
              <w:spacing w:after="0"/>
              <w:rPr>
                <w:sz w:val="20"/>
                <w:szCs w:val="20"/>
                <w:color w:val="auto"/>
              </w:rPr>
            </w:pPr>
            <w:r>
              <w:rPr>
                <w:rFonts w:ascii="Arial" w:cs="Arial" w:eastAsia="Arial" w:hAnsi="Arial"/>
                <w:sz w:val="18"/>
                <w:szCs w:val="18"/>
                <w:b w:val="1"/>
                <w:bCs w:val="1"/>
                <w:color w:val="auto"/>
              </w:rPr>
              <w:t>Asset Management and Financial Services Companies:</w:t>
            </w:r>
          </w:p>
        </w:tc>
      </w:tr>
      <w:tr>
        <w:trPr>
          <w:trHeight w:val="222"/>
        </w:trPr>
        <w:tc>
          <w:tcPr>
            <w:tcW w:w="3920" w:type="dxa"/>
            <w:vAlign w:val="bottom"/>
          </w:tcPr>
          <w:p>
            <w:pPr>
              <w:ind w:left="100"/>
              <w:spacing w:after="0"/>
              <w:rPr>
                <w:sz w:val="20"/>
                <w:szCs w:val="20"/>
                <w:color w:val="auto"/>
              </w:rPr>
            </w:pPr>
            <w:r>
              <w:rPr>
                <w:rFonts w:ascii="Arial" w:cs="Arial" w:eastAsia="Arial" w:hAnsi="Arial"/>
                <w:sz w:val="18"/>
                <w:szCs w:val="18"/>
                <w:color w:val="auto"/>
              </w:rPr>
              <w:t>Annaly Capital Management, Inc.</w:t>
            </w:r>
          </w:p>
        </w:tc>
        <w:tc>
          <w:tcPr>
            <w:tcW w:w="7320" w:type="dxa"/>
            <w:vAlign w:val="bottom"/>
          </w:tcPr>
          <w:p>
            <w:pPr>
              <w:ind w:left="1380"/>
              <w:spacing w:after="0"/>
              <w:rPr>
                <w:sz w:val="20"/>
                <w:szCs w:val="20"/>
                <w:color w:val="auto"/>
              </w:rPr>
            </w:pPr>
            <w:r>
              <w:rPr>
                <w:rFonts w:ascii="Arial" w:cs="Arial" w:eastAsia="Arial" w:hAnsi="Arial"/>
                <w:sz w:val="18"/>
                <w:szCs w:val="18"/>
                <w:color w:val="auto"/>
              </w:rPr>
              <w:t>Affiliated Managers Group, Inc.</w:t>
            </w:r>
          </w:p>
        </w:tc>
      </w:tr>
      <w:tr>
        <w:trPr>
          <w:trHeight w:val="230"/>
        </w:trPr>
        <w:tc>
          <w:tcPr>
            <w:tcW w:w="3920" w:type="dxa"/>
            <w:vAlign w:val="bottom"/>
          </w:tcPr>
          <w:p>
            <w:pPr>
              <w:ind w:left="100"/>
              <w:spacing w:after="0"/>
              <w:rPr>
                <w:sz w:val="20"/>
                <w:szCs w:val="20"/>
                <w:color w:val="auto"/>
              </w:rPr>
            </w:pPr>
            <w:r>
              <w:rPr>
                <w:rFonts w:ascii="Arial" w:cs="Arial" w:eastAsia="Arial" w:hAnsi="Arial"/>
                <w:sz w:val="18"/>
                <w:szCs w:val="18"/>
                <w:color w:val="auto"/>
              </w:rPr>
              <w:t>Arbor Realty Trust, Inc.</w:t>
            </w:r>
          </w:p>
        </w:tc>
        <w:tc>
          <w:tcPr>
            <w:tcW w:w="7320" w:type="dxa"/>
            <w:vAlign w:val="bottom"/>
          </w:tcPr>
          <w:p>
            <w:pPr>
              <w:ind w:left="1380"/>
              <w:spacing w:after="0"/>
              <w:rPr>
                <w:sz w:val="20"/>
                <w:szCs w:val="20"/>
                <w:color w:val="auto"/>
              </w:rPr>
            </w:pPr>
            <w:r>
              <w:rPr>
                <w:rFonts w:ascii="Arial" w:cs="Arial" w:eastAsia="Arial" w:hAnsi="Arial"/>
                <w:sz w:val="18"/>
                <w:szCs w:val="18"/>
                <w:color w:val="auto"/>
              </w:rPr>
              <w:t>AllianceBernstein Holding L.P.</w:t>
            </w:r>
          </w:p>
        </w:tc>
      </w:tr>
      <w:tr>
        <w:trPr>
          <w:trHeight w:val="229"/>
        </w:trPr>
        <w:tc>
          <w:tcPr>
            <w:tcW w:w="3920" w:type="dxa"/>
            <w:vAlign w:val="bottom"/>
          </w:tcPr>
          <w:p>
            <w:pPr>
              <w:ind w:left="100"/>
              <w:spacing w:after="0"/>
              <w:rPr>
                <w:sz w:val="20"/>
                <w:szCs w:val="20"/>
                <w:color w:val="auto"/>
              </w:rPr>
            </w:pPr>
            <w:r>
              <w:rPr>
                <w:rFonts w:ascii="Arial" w:cs="Arial" w:eastAsia="Arial" w:hAnsi="Arial"/>
                <w:sz w:val="18"/>
                <w:szCs w:val="18"/>
                <w:color w:val="auto"/>
              </w:rPr>
              <w:t>Chimera Investment Corporation</w:t>
            </w:r>
          </w:p>
        </w:tc>
        <w:tc>
          <w:tcPr>
            <w:tcW w:w="7320" w:type="dxa"/>
            <w:vAlign w:val="bottom"/>
          </w:tcPr>
          <w:p>
            <w:pPr>
              <w:ind w:left="1380"/>
              <w:spacing w:after="0"/>
              <w:rPr>
                <w:sz w:val="20"/>
                <w:szCs w:val="20"/>
                <w:color w:val="auto"/>
              </w:rPr>
            </w:pPr>
            <w:r>
              <w:rPr>
                <w:rFonts w:ascii="Arial" w:cs="Arial" w:eastAsia="Arial" w:hAnsi="Arial"/>
                <w:sz w:val="18"/>
                <w:szCs w:val="18"/>
                <w:color w:val="auto"/>
              </w:rPr>
              <w:t>Ameriprise Financial, Inc.</w:t>
            </w:r>
          </w:p>
        </w:tc>
      </w:tr>
      <w:tr>
        <w:trPr>
          <w:trHeight w:val="230"/>
        </w:trPr>
        <w:tc>
          <w:tcPr>
            <w:tcW w:w="3920" w:type="dxa"/>
            <w:vAlign w:val="bottom"/>
          </w:tcPr>
          <w:p>
            <w:pPr>
              <w:ind w:left="100"/>
              <w:spacing w:after="0"/>
              <w:rPr>
                <w:sz w:val="20"/>
                <w:szCs w:val="20"/>
                <w:color w:val="auto"/>
              </w:rPr>
            </w:pPr>
            <w:r>
              <w:rPr>
                <w:rFonts w:ascii="Arial" w:cs="Arial" w:eastAsia="Arial" w:hAnsi="Arial"/>
                <w:sz w:val="18"/>
                <w:szCs w:val="18"/>
                <w:color w:val="auto"/>
              </w:rPr>
              <w:t>Ladder Capital Corp.</w:t>
            </w:r>
          </w:p>
        </w:tc>
        <w:tc>
          <w:tcPr>
            <w:tcW w:w="7320" w:type="dxa"/>
            <w:vAlign w:val="bottom"/>
          </w:tcPr>
          <w:p>
            <w:pPr>
              <w:ind w:left="1380"/>
              <w:spacing w:after="0"/>
              <w:rPr>
                <w:sz w:val="20"/>
                <w:szCs w:val="20"/>
                <w:color w:val="auto"/>
              </w:rPr>
            </w:pPr>
            <w:r>
              <w:rPr>
                <w:rFonts w:ascii="Arial" w:cs="Arial" w:eastAsia="Arial" w:hAnsi="Arial"/>
                <w:sz w:val="18"/>
                <w:szCs w:val="18"/>
                <w:color w:val="auto"/>
              </w:rPr>
              <w:t>Apollo Global Management LLC</w:t>
            </w:r>
          </w:p>
        </w:tc>
      </w:tr>
      <w:tr>
        <w:trPr>
          <w:trHeight w:val="230"/>
        </w:trPr>
        <w:tc>
          <w:tcPr>
            <w:tcW w:w="3920" w:type="dxa"/>
            <w:vAlign w:val="bottom"/>
          </w:tcPr>
          <w:p>
            <w:pPr>
              <w:ind w:left="100"/>
              <w:spacing w:after="0"/>
              <w:rPr>
                <w:sz w:val="20"/>
                <w:szCs w:val="20"/>
                <w:color w:val="auto"/>
              </w:rPr>
            </w:pPr>
            <w:r>
              <w:rPr>
                <w:rFonts w:ascii="Arial" w:cs="Arial" w:eastAsia="Arial" w:hAnsi="Arial"/>
                <w:sz w:val="18"/>
                <w:szCs w:val="18"/>
                <w:color w:val="auto"/>
              </w:rPr>
              <w:t>MFA Financial, Inc.</w:t>
            </w:r>
          </w:p>
        </w:tc>
        <w:tc>
          <w:tcPr>
            <w:tcW w:w="7320" w:type="dxa"/>
            <w:vAlign w:val="bottom"/>
          </w:tcPr>
          <w:p>
            <w:pPr>
              <w:ind w:left="1380"/>
              <w:spacing w:after="0"/>
              <w:rPr>
                <w:sz w:val="20"/>
                <w:szCs w:val="20"/>
                <w:color w:val="auto"/>
              </w:rPr>
            </w:pPr>
            <w:r>
              <w:rPr>
                <w:rFonts w:ascii="Arial" w:cs="Arial" w:eastAsia="Arial" w:hAnsi="Arial"/>
                <w:sz w:val="18"/>
                <w:szCs w:val="18"/>
                <w:color w:val="auto"/>
              </w:rPr>
              <w:t>Ares Management LP</w:t>
            </w:r>
          </w:p>
        </w:tc>
      </w:tr>
      <w:tr>
        <w:trPr>
          <w:trHeight w:val="230"/>
        </w:trPr>
        <w:tc>
          <w:tcPr>
            <w:tcW w:w="3920" w:type="dxa"/>
            <w:vAlign w:val="bottom"/>
          </w:tcPr>
          <w:p>
            <w:pPr>
              <w:ind w:left="100"/>
              <w:spacing w:after="0"/>
              <w:rPr>
                <w:sz w:val="20"/>
                <w:szCs w:val="20"/>
                <w:color w:val="auto"/>
              </w:rPr>
            </w:pPr>
            <w:r>
              <w:rPr>
                <w:rFonts w:ascii="Arial" w:cs="Arial" w:eastAsia="Arial" w:hAnsi="Arial"/>
                <w:sz w:val="18"/>
                <w:szCs w:val="18"/>
                <w:color w:val="auto"/>
              </w:rPr>
              <w:t>Redwood Trust, Inc.</w:t>
            </w:r>
          </w:p>
        </w:tc>
        <w:tc>
          <w:tcPr>
            <w:tcW w:w="7320" w:type="dxa"/>
            <w:vAlign w:val="bottom"/>
          </w:tcPr>
          <w:p>
            <w:pPr>
              <w:ind w:left="1380"/>
              <w:spacing w:after="0"/>
              <w:rPr>
                <w:sz w:val="20"/>
                <w:szCs w:val="20"/>
                <w:color w:val="auto"/>
              </w:rPr>
            </w:pPr>
            <w:r>
              <w:rPr>
                <w:rFonts w:ascii="Arial" w:cs="Arial" w:eastAsia="Arial" w:hAnsi="Arial"/>
                <w:sz w:val="18"/>
                <w:szCs w:val="18"/>
                <w:color w:val="auto"/>
              </w:rPr>
              <w:t>DigitalBridge Group, Inc.</w:t>
            </w:r>
          </w:p>
        </w:tc>
      </w:tr>
      <w:tr>
        <w:trPr>
          <w:trHeight w:val="229"/>
        </w:trPr>
        <w:tc>
          <w:tcPr>
            <w:tcW w:w="3920" w:type="dxa"/>
            <w:vAlign w:val="bottom"/>
          </w:tcPr>
          <w:p>
            <w:pPr>
              <w:ind w:left="100"/>
              <w:spacing w:after="0"/>
              <w:rPr>
                <w:sz w:val="20"/>
                <w:szCs w:val="20"/>
                <w:color w:val="auto"/>
              </w:rPr>
            </w:pPr>
            <w:r>
              <w:rPr>
                <w:rFonts w:ascii="Arial" w:cs="Arial" w:eastAsia="Arial" w:hAnsi="Arial"/>
                <w:sz w:val="18"/>
                <w:szCs w:val="18"/>
                <w:color w:val="auto"/>
              </w:rPr>
              <w:t>Two Harbors Investment Corp.</w:t>
            </w:r>
          </w:p>
        </w:tc>
        <w:tc>
          <w:tcPr>
            <w:tcW w:w="7320" w:type="dxa"/>
            <w:vAlign w:val="bottom"/>
          </w:tcPr>
          <w:p>
            <w:pPr>
              <w:ind w:left="1380"/>
              <w:spacing w:after="0"/>
              <w:rPr>
                <w:sz w:val="20"/>
                <w:szCs w:val="20"/>
                <w:color w:val="auto"/>
              </w:rPr>
            </w:pPr>
            <w:r>
              <w:rPr>
                <w:rFonts w:ascii="Arial" w:cs="Arial" w:eastAsia="Arial" w:hAnsi="Arial"/>
                <w:sz w:val="18"/>
                <w:szCs w:val="18"/>
                <w:color w:val="auto"/>
              </w:rPr>
              <w:t>Invesco Ltd.</w:t>
            </w:r>
          </w:p>
        </w:tc>
      </w:tr>
      <w:tr>
        <w:trPr>
          <w:trHeight w:val="230"/>
        </w:trPr>
        <w:tc>
          <w:tcPr>
            <w:tcW w:w="3920" w:type="dxa"/>
            <w:vAlign w:val="bottom"/>
          </w:tcPr>
          <w:p>
            <w:pPr>
              <w:spacing w:after="0"/>
              <w:rPr>
                <w:sz w:val="19"/>
                <w:szCs w:val="19"/>
                <w:color w:val="auto"/>
              </w:rPr>
            </w:pPr>
          </w:p>
        </w:tc>
        <w:tc>
          <w:tcPr>
            <w:tcW w:w="7320" w:type="dxa"/>
            <w:vAlign w:val="bottom"/>
          </w:tcPr>
          <w:p>
            <w:pPr>
              <w:ind w:left="1380"/>
              <w:spacing w:after="0"/>
              <w:rPr>
                <w:sz w:val="20"/>
                <w:szCs w:val="20"/>
                <w:color w:val="auto"/>
              </w:rPr>
            </w:pPr>
            <w:r>
              <w:rPr>
                <w:rFonts w:ascii="Arial" w:cs="Arial" w:eastAsia="Arial" w:hAnsi="Arial"/>
                <w:sz w:val="18"/>
                <w:szCs w:val="18"/>
                <w:color w:val="auto"/>
              </w:rPr>
              <w:t>KKR &amp; Co. L.P.</w:t>
            </w:r>
          </w:p>
        </w:tc>
      </w:tr>
      <w:tr>
        <w:trPr>
          <w:trHeight w:val="230"/>
        </w:trPr>
        <w:tc>
          <w:tcPr>
            <w:tcW w:w="3920" w:type="dxa"/>
            <w:vAlign w:val="bottom"/>
          </w:tcPr>
          <w:p>
            <w:pPr>
              <w:spacing w:after="0"/>
              <w:rPr>
                <w:sz w:val="19"/>
                <w:szCs w:val="19"/>
                <w:color w:val="auto"/>
              </w:rPr>
            </w:pPr>
          </w:p>
        </w:tc>
        <w:tc>
          <w:tcPr>
            <w:tcW w:w="7320" w:type="dxa"/>
            <w:vAlign w:val="bottom"/>
          </w:tcPr>
          <w:p>
            <w:pPr>
              <w:ind w:left="1380"/>
              <w:spacing w:after="0"/>
              <w:rPr>
                <w:sz w:val="20"/>
                <w:szCs w:val="20"/>
                <w:color w:val="auto"/>
              </w:rPr>
            </w:pPr>
            <w:r>
              <w:rPr>
                <w:rFonts w:ascii="Arial" w:cs="Arial" w:eastAsia="Arial" w:hAnsi="Arial"/>
                <w:sz w:val="18"/>
                <w:szCs w:val="18"/>
                <w:color w:val="auto"/>
              </w:rPr>
              <w:t>The Blackstone Group L.P.</w:t>
            </w:r>
          </w:p>
        </w:tc>
      </w:tr>
      <w:tr>
        <w:trPr>
          <w:trHeight w:val="230"/>
        </w:trPr>
        <w:tc>
          <w:tcPr>
            <w:tcW w:w="3920" w:type="dxa"/>
            <w:vAlign w:val="bottom"/>
            <w:tcBorders>
              <w:bottom w:val="single" w:sz="8" w:color="407CCA"/>
            </w:tcBorders>
          </w:tcPr>
          <w:p>
            <w:pPr>
              <w:spacing w:after="0"/>
              <w:rPr>
                <w:sz w:val="20"/>
                <w:szCs w:val="20"/>
                <w:color w:val="auto"/>
              </w:rPr>
            </w:pPr>
          </w:p>
        </w:tc>
        <w:tc>
          <w:tcPr>
            <w:tcW w:w="7320" w:type="dxa"/>
            <w:vAlign w:val="bottom"/>
            <w:tcBorders>
              <w:bottom w:val="single" w:sz="8" w:color="407CCA"/>
            </w:tcBorders>
          </w:tcPr>
          <w:p>
            <w:pPr>
              <w:ind w:left="1380"/>
              <w:spacing w:after="0"/>
              <w:rPr>
                <w:sz w:val="20"/>
                <w:szCs w:val="20"/>
                <w:color w:val="auto"/>
              </w:rPr>
            </w:pPr>
            <w:r>
              <w:rPr>
                <w:rFonts w:ascii="Arial" w:cs="Arial" w:eastAsia="Arial" w:hAnsi="Arial"/>
                <w:sz w:val="18"/>
                <w:szCs w:val="18"/>
                <w:color w:val="auto"/>
              </w:rPr>
              <w:t>The Carlyle Group L.P.</w:t>
            </w:r>
          </w:p>
        </w:tc>
      </w:tr>
    </w:tbl>
    <w:p>
      <w:pPr>
        <w:spacing w:after="0" w:line="39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Performance Comparator Group</w:t>
      </w:r>
    </w:p>
    <w:p>
      <w:pPr>
        <w:spacing w:after="0" w:line="185" w:lineRule="exact"/>
        <w:rPr>
          <w:sz w:val="20"/>
          <w:szCs w:val="20"/>
          <w:color w:val="auto"/>
        </w:rPr>
      </w:pPr>
    </w:p>
    <w:p>
      <w:pPr>
        <w:ind w:right="120" w:firstLine="648"/>
        <w:spacing w:after="0" w:line="248" w:lineRule="auto"/>
        <w:rPr>
          <w:sz w:val="20"/>
          <w:szCs w:val="20"/>
          <w:color w:val="auto"/>
        </w:rPr>
      </w:pPr>
      <w:r>
        <w:rPr>
          <w:rFonts w:ascii="Arial" w:cs="Arial" w:eastAsia="Arial" w:hAnsi="Arial"/>
          <w:sz w:val="16"/>
          <w:szCs w:val="16"/>
          <w:color w:val="auto"/>
        </w:rPr>
        <w:t>The Compensation Committee has determined that a subset of the Resi mREIT Universe, which we refer to as the “Agency REIT Peer Group,” provides a better basis for comparison to evaluate our performance and operations under our Corporate Scorecard and performance-based LTI awards. For</w:t>
      </w:r>
    </w:p>
    <w:p>
      <w:pPr>
        <w:spacing w:after="0"/>
        <w:rPr>
          <w:sz w:val="20"/>
          <w:szCs w:val="20"/>
          <w:color w:val="auto"/>
        </w:rPr>
      </w:pPr>
      <w:r>
        <w:rPr>
          <w:rFonts w:ascii="Arial" w:cs="Arial" w:eastAsia="Arial" w:hAnsi="Arial"/>
          <w:sz w:val="18"/>
          <w:szCs w:val="18"/>
          <w:color w:val="auto"/>
        </w:rPr>
        <w:t>purposes of 2022 incentive awards, these REITs were:</w:t>
      </w:r>
    </w:p>
    <w:p>
      <w:pPr>
        <w:spacing w:after="0" w:line="7" w:lineRule="exact"/>
        <w:rPr>
          <w:sz w:val="20"/>
          <w:szCs w:val="20"/>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Annaly Capital Management, Inc.</w:t>
      </w:r>
    </w:p>
    <w:p>
      <w:pPr>
        <w:spacing w:after="0" w:line="22" w:lineRule="exact"/>
        <w:rPr>
          <w:rFonts w:ascii="Arial" w:cs="Arial" w:eastAsia="Arial" w:hAnsi="Arial"/>
          <w:sz w:val="18"/>
          <w:szCs w:val="18"/>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ARMOUR Residential REIT, Inc.</w:t>
      </w:r>
    </w:p>
    <w:p>
      <w:pPr>
        <w:spacing w:after="0" w:line="35" w:lineRule="exact"/>
        <w:rPr>
          <w:rFonts w:ascii="Arial" w:cs="Arial" w:eastAsia="Arial" w:hAnsi="Arial"/>
          <w:sz w:val="18"/>
          <w:szCs w:val="18"/>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Dynex Capital, Inc.</w:t>
      </w:r>
    </w:p>
    <w:p>
      <w:pPr>
        <w:spacing w:after="0" w:line="23" w:lineRule="exact"/>
        <w:rPr>
          <w:rFonts w:ascii="Arial" w:cs="Arial" w:eastAsia="Arial" w:hAnsi="Arial"/>
          <w:sz w:val="18"/>
          <w:szCs w:val="18"/>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Invesco Mortgage Capital, Inc.</w:t>
      </w:r>
    </w:p>
    <w:p>
      <w:pPr>
        <w:spacing w:after="0" w:line="22" w:lineRule="exact"/>
        <w:rPr>
          <w:rFonts w:ascii="Arial" w:cs="Arial" w:eastAsia="Arial" w:hAnsi="Arial"/>
          <w:sz w:val="18"/>
          <w:szCs w:val="18"/>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Orchid Island Capital, Inc.</w:t>
      </w:r>
    </w:p>
    <w:p>
      <w:pPr>
        <w:spacing w:after="0" w:line="35" w:lineRule="exact"/>
        <w:rPr>
          <w:rFonts w:ascii="Arial" w:cs="Arial" w:eastAsia="Arial" w:hAnsi="Arial"/>
          <w:sz w:val="18"/>
          <w:szCs w:val="18"/>
          <w:color w:val="auto"/>
        </w:rPr>
      </w:pPr>
    </w:p>
    <w:p>
      <w:pPr>
        <w:ind w:left="880" w:hanging="315"/>
        <w:spacing w:after="0"/>
        <w:tabs>
          <w:tab w:leader="none" w:pos="8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Two Harbors Investment Corp.</w:t>
      </w:r>
    </w:p>
    <w:p>
      <w:pPr>
        <w:spacing w:after="0" w:line="144" w:lineRule="exact"/>
        <w:rPr>
          <w:sz w:val="20"/>
          <w:szCs w:val="20"/>
          <w:color w:val="auto"/>
        </w:rPr>
      </w:pPr>
    </w:p>
    <w:p>
      <w:pPr>
        <w:ind w:right="300" w:firstLine="648"/>
        <w:spacing w:after="0" w:line="248" w:lineRule="auto"/>
        <w:rPr>
          <w:sz w:val="20"/>
          <w:szCs w:val="20"/>
          <w:color w:val="auto"/>
        </w:rPr>
      </w:pPr>
      <w:r>
        <w:rPr>
          <w:rFonts w:ascii="Arial" w:cs="Arial" w:eastAsia="Arial" w:hAnsi="Arial"/>
          <w:sz w:val="16"/>
          <w:szCs w:val="16"/>
          <w:color w:val="auto"/>
        </w:rPr>
        <w:t>The Agency REIT Peer Group companies have portfolios and investment objectives that most closely resemble our own focus on Agency securities. Non-agency REITs in the Resi mREIT Universe have strategies that place a greater emphasis on credit-sensitive assets than our portfolio and</w:t>
      </w:r>
    </w:p>
    <w:p>
      <w:pPr>
        <w:ind w:right="220"/>
        <w:spacing w:after="0" w:line="234" w:lineRule="auto"/>
        <w:rPr>
          <w:sz w:val="20"/>
          <w:szCs w:val="20"/>
          <w:color w:val="auto"/>
        </w:rPr>
      </w:pPr>
      <w:r>
        <w:rPr>
          <w:rFonts w:ascii="Arial" w:cs="Arial" w:eastAsia="Arial" w:hAnsi="Arial"/>
          <w:sz w:val="16"/>
          <w:szCs w:val="16"/>
          <w:color w:val="auto"/>
        </w:rPr>
        <w:t>those of our Agency REIT Peer Group. As such, these REITs would be expected to achieve divergent returns from our own Agency securities-focused portfolio through various economic cycles and conditions. The Compensation Committee thus determined that our economic returns and trading price relative to book value are appropriately measured against a simple, unweighted average of the Agency REIT Peer Group for purposes of determining our</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relative performance. Only two of the six REITs in the Agency REIT Peer Group were included in the group of companies for which executive</w:t>
      </w:r>
    </w:p>
    <w:p>
      <w:pPr>
        <w:spacing w:after="0" w:line="326"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40</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50" w:name="page51"/>
    <w:bookmarkEnd w:id="5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00" w:lineRule="exact"/>
        <w:rPr>
          <w:sz w:val="20"/>
          <w:szCs w:val="20"/>
          <w:color w:val="auto"/>
        </w:rPr>
      </w:pPr>
    </w:p>
    <w:p>
      <w:pPr>
        <w:spacing w:after="0" w:line="293" w:lineRule="exact"/>
        <w:rPr>
          <w:sz w:val="20"/>
          <w:szCs w:val="20"/>
          <w:color w:val="auto"/>
        </w:rPr>
      </w:pPr>
    </w:p>
    <w:p>
      <w:pPr>
        <w:ind w:right="160"/>
        <w:spacing w:after="0" w:line="224" w:lineRule="auto"/>
        <w:rPr>
          <w:sz w:val="20"/>
          <w:szCs w:val="20"/>
          <w:color w:val="auto"/>
        </w:rPr>
      </w:pPr>
      <w:r>
        <w:rPr>
          <w:rFonts w:ascii="Arial" w:cs="Arial" w:eastAsia="Arial" w:hAnsi="Arial"/>
          <w:sz w:val="18"/>
          <w:szCs w:val="18"/>
          <w:color w:val="auto"/>
        </w:rPr>
        <w:t>compensation practices were reviewed by the Compensation Committee, Annaly Capital Management, Inc. and Two Harbors Investment Corp. The other four companies included in the Agency REIT Peer Group were excluded from our compensation comparator group because these four REITs either are significantly smaller than AGNC or are externally managed.</w:t>
      </w:r>
    </w:p>
    <w:p>
      <w:pPr>
        <w:spacing w:after="0" w:line="176" w:lineRule="exact"/>
        <w:rPr>
          <w:sz w:val="20"/>
          <w:szCs w:val="20"/>
          <w:color w:val="auto"/>
        </w:rPr>
      </w:pPr>
    </w:p>
    <w:p>
      <w:pPr>
        <w:ind w:right="220" w:firstLine="648"/>
        <w:spacing w:after="0" w:line="241" w:lineRule="auto"/>
        <w:rPr>
          <w:sz w:val="20"/>
          <w:szCs w:val="20"/>
          <w:color w:val="auto"/>
        </w:rPr>
      </w:pPr>
      <w:r>
        <w:rPr>
          <w:rFonts w:ascii="Arial" w:cs="Arial" w:eastAsia="Arial" w:hAnsi="Arial"/>
          <w:sz w:val="16"/>
          <w:szCs w:val="16"/>
          <w:color w:val="auto"/>
        </w:rPr>
        <w:t>The Compensation Committee continues to evaluate our peer group construction in response to changes in market conditions and the mortgage REIT sector. The Compensation Committee desires to limit the number of year-over-year changes to this peer group in order to provide meaningful ongoing comparative analyses for its work. The Compensation Committee elected to add Orchid Island Capital, Inc. to the Agency REIT Peer Group for</w:t>
      </w:r>
    </w:p>
    <w:p>
      <w:pPr>
        <w:spacing w:after="0" w:line="2" w:lineRule="exact"/>
        <w:rPr>
          <w:sz w:val="20"/>
          <w:szCs w:val="20"/>
          <w:color w:val="auto"/>
        </w:rPr>
      </w:pPr>
    </w:p>
    <w:p>
      <w:pPr>
        <w:ind w:right="100"/>
        <w:spacing w:after="0" w:line="234" w:lineRule="auto"/>
        <w:rPr>
          <w:sz w:val="20"/>
          <w:szCs w:val="20"/>
          <w:color w:val="auto"/>
        </w:rPr>
      </w:pPr>
      <w:r>
        <w:rPr>
          <w:rFonts w:ascii="Arial" w:cs="Arial" w:eastAsia="Arial" w:hAnsi="Arial"/>
          <w:sz w:val="16"/>
          <w:szCs w:val="16"/>
          <w:color w:val="auto"/>
        </w:rPr>
        <w:t>2022 incentive compensation awards based on guiding parameters, including a minimum of $500 million in total stockholders’ equity and approximately 50% or greater allocation of capital to Agency residential mortgage-backed securities at the time of inclusion. Two companies in the 2021 Agency REIT Peer Group, Anworth Mortgage Asset Corporation and Capstead Mortgage Corporation, were acquired in 2021 and were removed from the Agency REIT</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Peer Group for purposes of awards made in 2022.</w:t>
      </w:r>
    </w:p>
    <w:p>
      <w:pPr>
        <w:spacing w:after="0" w:line="277"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Role of the Compensation and Corporate Governance Committee</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Our Compensation Committee, which is comprised solely of independent directors, is responsible for establishing and overseeing our philosophy</w:t>
      </w:r>
    </w:p>
    <w:p>
      <w:pPr>
        <w:spacing w:after="0" w:line="21"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regarding executive compensation and for making decisions relating to the compensation of our NEOs. The Compensation Committee is also responsible for ensuring that the total compensation offered to our executive officers is fair and competitive and motivates high performance. The terms of any employment agreements with our NEOs and actions on compensation under the employment agreements are also under the primary direction of the</w:t>
      </w:r>
    </w:p>
    <w:p>
      <w:pPr>
        <w:spacing w:after="0" w:line="2" w:lineRule="exact"/>
        <w:rPr>
          <w:sz w:val="20"/>
          <w:szCs w:val="20"/>
          <w:color w:val="auto"/>
        </w:rPr>
      </w:pPr>
    </w:p>
    <w:p>
      <w:pPr>
        <w:ind w:right="260"/>
        <w:spacing w:after="0" w:line="226" w:lineRule="auto"/>
        <w:rPr>
          <w:sz w:val="20"/>
          <w:szCs w:val="20"/>
          <w:color w:val="auto"/>
        </w:rPr>
      </w:pPr>
      <w:r>
        <w:rPr>
          <w:rFonts w:ascii="Arial" w:cs="Arial" w:eastAsia="Arial" w:hAnsi="Arial"/>
          <w:sz w:val="18"/>
          <w:szCs w:val="18"/>
          <w:color w:val="auto"/>
        </w:rPr>
        <w:t>Compensation Committee. Decisions that set the compensation of our CEO or Executive Chair are subject to the review and approval of the Company’s independent directors based on the Compensation Committee’s evaluation of goals and objectives.</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Compensation Committee periodically reviews the Company’s compensation policies and programs and makes any modifications that the</w:t>
      </w:r>
    </w:p>
    <w:p>
      <w:pPr>
        <w:spacing w:after="0" w:line="21" w:lineRule="exact"/>
        <w:rPr>
          <w:sz w:val="20"/>
          <w:szCs w:val="20"/>
          <w:color w:val="auto"/>
        </w:rPr>
      </w:pPr>
    </w:p>
    <w:p>
      <w:pPr>
        <w:ind w:right="80"/>
        <w:spacing w:after="0" w:line="239" w:lineRule="auto"/>
        <w:rPr>
          <w:sz w:val="20"/>
          <w:szCs w:val="20"/>
          <w:color w:val="auto"/>
        </w:rPr>
      </w:pPr>
      <w:r>
        <w:rPr>
          <w:rFonts w:ascii="Arial" w:cs="Arial" w:eastAsia="Arial" w:hAnsi="Arial"/>
          <w:sz w:val="17"/>
          <w:szCs w:val="17"/>
          <w:color w:val="auto"/>
        </w:rPr>
        <w:t>Committee deems necessary or advisable, subject to the terms of such policies or programs. The Compensation Committee annually reviews and approves the Company’s goals and objectives relevant to the compensation of the NEOs and other employees of the Company.</w:t>
      </w:r>
    </w:p>
    <w:p>
      <w:pPr>
        <w:spacing w:after="0" w:line="270"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Role of Management</w:t>
      </w:r>
    </w:p>
    <w:p>
      <w:pPr>
        <w:spacing w:after="0" w:line="90" w:lineRule="exact"/>
        <w:rPr>
          <w:sz w:val="20"/>
          <w:szCs w:val="20"/>
          <w:color w:val="auto"/>
        </w:rPr>
      </w:pPr>
    </w:p>
    <w:p>
      <w:pPr>
        <w:jc w:val="both"/>
        <w:ind w:right="20" w:firstLine="648"/>
        <w:spacing w:after="0" w:line="238" w:lineRule="auto"/>
        <w:rPr>
          <w:sz w:val="20"/>
          <w:szCs w:val="20"/>
          <w:color w:val="auto"/>
        </w:rPr>
      </w:pPr>
      <w:r>
        <w:rPr>
          <w:rFonts w:ascii="Arial" w:cs="Arial" w:eastAsia="Arial" w:hAnsi="Arial"/>
          <w:sz w:val="16"/>
          <w:szCs w:val="16"/>
          <w:color w:val="auto"/>
        </w:rPr>
        <w:t>All compensation decisions related to our executive officers are at the discretion of the Compensation Committee or independent directors of our Board. The Compensation Committee considers the advice and counsel of the CEO when evaluating compensation of the other NEOs given his direct day-to-day working relationship with those executives. Taking this feedback into consideration, the Compensation Committee engages in discussions and either determines the compensation of our NEOs or makes a final recommendation to the Board related to compensation paid to NEOs. Neither our CEO nor our</w:t>
      </w:r>
    </w:p>
    <w:p>
      <w:pPr>
        <w:spacing w:after="0" w:line="2" w:lineRule="exact"/>
        <w:rPr>
          <w:sz w:val="20"/>
          <w:szCs w:val="20"/>
          <w:color w:val="auto"/>
        </w:rPr>
      </w:pPr>
    </w:p>
    <w:p>
      <w:pPr>
        <w:ind w:right="640"/>
        <w:spacing w:after="0" w:line="226" w:lineRule="auto"/>
        <w:rPr>
          <w:sz w:val="20"/>
          <w:szCs w:val="20"/>
          <w:color w:val="auto"/>
        </w:rPr>
      </w:pPr>
      <w:r>
        <w:rPr>
          <w:rFonts w:ascii="Arial" w:cs="Arial" w:eastAsia="Arial" w:hAnsi="Arial"/>
          <w:sz w:val="18"/>
          <w:szCs w:val="18"/>
          <w:color w:val="auto"/>
        </w:rPr>
        <w:t>Executive Chair is present or a participant in the portions of meetings of the Compensation Committee or of the Board at which his performance is evaluated and his compensation is discussed and determined; only independent directors participate in such matters.</w:t>
      </w:r>
    </w:p>
    <w:p>
      <w:pPr>
        <w:spacing w:after="0" w:line="2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90" w:lineRule="exact"/>
        <w:rPr>
          <w:sz w:val="20"/>
          <w:szCs w:val="20"/>
          <w:color w:val="auto"/>
        </w:rPr>
      </w:pPr>
    </w:p>
    <w:p>
      <w:pPr>
        <w:ind w:firstLine="648"/>
        <w:spacing w:after="0" w:line="241"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The Compensation Committee has retained FW Cook to provide advice and counsel on executive compensation opportunities and program design and structure. Representatives of FW Cook attended certain meetings of the Compensation Committee, including meeting with members of the Compensation Committee</w:t>
      </w:r>
    </w:p>
    <w:p>
      <w:pPr>
        <w:spacing w:after="0" w:line="2" w:lineRule="exact"/>
        <w:rPr>
          <w:sz w:val="20"/>
          <w:szCs w:val="20"/>
          <w:color w:val="auto"/>
        </w:rPr>
      </w:pPr>
    </w:p>
    <w:p>
      <w:pPr>
        <w:ind w:right="220"/>
        <w:spacing w:after="0" w:line="234" w:lineRule="auto"/>
        <w:rPr>
          <w:sz w:val="20"/>
          <w:szCs w:val="20"/>
          <w:color w:val="auto"/>
        </w:rPr>
      </w:pPr>
      <w:r>
        <w:rPr>
          <w:rFonts w:ascii="Arial" w:cs="Arial" w:eastAsia="Arial" w:hAnsi="Arial"/>
          <w:sz w:val="16"/>
          <w:szCs w:val="16"/>
          <w:color w:val="auto"/>
        </w:rPr>
        <w:t>without members of management present. FW Cook assists the Compensation Committee in its analysis and evaluation of our executive compensation program, practices, and communications and provides the Compensation Committee with market data and analysis of certain comparator companies that hire personnel and executives with similar skills and experience as our executive management team. FW Cook also provides advice with respect to our</w:t>
      </w:r>
    </w:p>
    <w:p>
      <w:pPr>
        <w:spacing w:after="0" w:line="2" w:lineRule="exact"/>
        <w:rPr>
          <w:sz w:val="20"/>
          <w:szCs w:val="20"/>
          <w:color w:val="auto"/>
        </w:rPr>
      </w:pPr>
    </w:p>
    <w:p>
      <w:pPr>
        <w:ind w:right="120"/>
        <w:spacing w:after="0" w:line="231" w:lineRule="auto"/>
        <w:rPr>
          <w:sz w:val="20"/>
          <w:szCs w:val="20"/>
          <w:color w:val="auto"/>
        </w:rPr>
      </w:pPr>
      <w:r>
        <w:rPr>
          <w:rFonts w:ascii="Arial" w:cs="Arial" w:eastAsia="Arial" w:hAnsi="Arial"/>
          <w:sz w:val="17"/>
          <w:szCs w:val="17"/>
          <w:color w:val="auto"/>
        </w:rPr>
        <w:t>Corporate Scorecard, our long-term incentive awards, the setting of measures for performance-based incentive compensation, and other work that informs executive compensation decisions. During 2022, the Compensation Committee reviewed the independence of FW Cook using assessment criteria under applicable Nasdaq and SEC rules and concluded FW Cook was independent and had no conflicts of interest.</w:t>
      </w:r>
    </w:p>
    <w:p>
      <w:pPr>
        <w:spacing w:after="0" w:line="28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Risk Assessment and Compensation</w:t>
      </w:r>
    </w:p>
    <w:p>
      <w:pPr>
        <w:spacing w:after="0" w:line="77" w:lineRule="exact"/>
        <w:rPr>
          <w:sz w:val="20"/>
          <w:szCs w:val="20"/>
          <w:color w:val="auto"/>
        </w:rPr>
      </w:pPr>
    </w:p>
    <w:p>
      <w:pPr>
        <w:ind w:right="40" w:firstLine="648"/>
        <w:spacing w:after="0" w:line="248" w:lineRule="auto"/>
        <w:rPr>
          <w:sz w:val="20"/>
          <w:szCs w:val="20"/>
          <w:color w:val="auto"/>
        </w:rPr>
      </w:pPr>
      <w:r>
        <w:rPr>
          <w:rFonts w:ascii="Arial" w:cs="Arial" w:eastAsia="Arial" w:hAnsi="Arial"/>
          <w:sz w:val="16"/>
          <w:szCs w:val="16"/>
          <w:color w:val="auto"/>
        </w:rPr>
        <w:t>The Compensation Committee regularly monitors the risks and rewards associated with our compensation program. The Compensation Committee established our compensation program with the intent to align our interests with stockholders and prevent unnecessary or excessive risk-taking.</w:t>
      </w:r>
    </w:p>
    <w:p>
      <w:pPr>
        <w:ind w:right="20"/>
        <w:spacing w:after="0" w:line="234" w:lineRule="auto"/>
        <w:rPr>
          <w:sz w:val="20"/>
          <w:szCs w:val="20"/>
          <w:color w:val="auto"/>
        </w:rPr>
      </w:pPr>
      <w:r>
        <w:rPr>
          <w:rFonts w:ascii="Arial" w:cs="Arial" w:eastAsia="Arial" w:hAnsi="Arial"/>
          <w:sz w:val="16"/>
          <w:szCs w:val="16"/>
          <w:color w:val="auto"/>
        </w:rPr>
        <w:t>We believe that our compensation policies and practices are well balanced and designed to avoid creating incentives that encourage unnecessary or excessive risks that could potentially have a material adverse effect on the Company. We use variable compensation for all of our NEOs, with a focus on performance based compensation. We have designed a compensation program with a mix of short- and long-term incentives to ensure management focuses</w:t>
      </w:r>
    </w:p>
    <w:p>
      <w:pPr>
        <w:spacing w:after="0" w:line="2" w:lineRule="exact"/>
        <w:rPr>
          <w:sz w:val="20"/>
          <w:szCs w:val="20"/>
          <w:color w:val="auto"/>
        </w:rPr>
      </w:pPr>
    </w:p>
    <w:p>
      <w:pPr>
        <w:ind w:right="140"/>
        <w:spacing w:after="0" w:line="234" w:lineRule="auto"/>
        <w:rPr>
          <w:sz w:val="20"/>
          <w:szCs w:val="20"/>
          <w:color w:val="auto"/>
        </w:rPr>
      </w:pPr>
      <w:r>
        <w:rPr>
          <w:rFonts w:ascii="Arial" w:cs="Arial" w:eastAsia="Arial" w:hAnsi="Arial"/>
          <w:sz w:val="16"/>
          <w:szCs w:val="16"/>
          <w:color w:val="auto"/>
        </w:rPr>
        <w:t>on the long-term impact of short-term decisions and that management’s interests are aligned with stockholders. At least 50% and up to 67% of our NEOs’ long-term incentive awards vest based on performance over a three-year period. Compliance with the risk management framework designed to address excessive risk taking and approved by our Board is an integral part of the strategic and operational objectives of the Corporate Scorecard used for short-</w:t>
      </w:r>
    </w:p>
    <w:p>
      <w:pPr>
        <w:spacing w:after="0" w:line="2" w:lineRule="exact"/>
        <w:rPr>
          <w:sz w:val="20"/>
          <w:szCs w:val="20"/>
          <w:color w:val="auto"/>
        </w:rPr>
      </w:pPr>
    </w:p>
    <w:p>
      <w:pPr>
        <w:ind w:right="260"/>
        <w:spacing w:after="0" w:line="218" w:lineRule="auto"/>
        <w:rPr>
          <w:sz w:val="20"/>
          <w:szCs w:val="20"/>
          <w:color w:val="auto"/>
        </w:rPr>
      </w:pPr>
      <w:r>
        <w:rPr>
          <w:rFonts w:ascii="Arial" w:cs="Arial" w:eastAsia="Arial" w:hAnsi="Arial"/>
          <w:sz w:val="18"/>
          <w:szCs w:val="18"/>
          <w:color w:val="auto"/>
        </w:rPr>
        <w:t>term incentive compensation decisions. The Compensation Committee continually assesses our executive compensation programs and has implemented additional policies and practices that we believe have further mitigated compensation driven risk, including the adoption of a clawback policy and executive officer stock ownership guidelines.</w:t>
      </w:r>
    </w:p>
    <w:p>
      <w:pPr>
        <w:spacing w:after="0" w:line="334"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51" w:name="page52"/>
    <w:bookmarkEnd w:id="5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7860"/>
        <w:spacing w:after="0"/>
        <w:rPr>
          <w:sz w:val="20"/>
          <w:szCs w:val="20"/>
          <w:color w:val="auto"/>
        </w:rPr>
      </w:pPr>
      <w:r>
        <w:rPr>
          <w:rFonts w:ascii="Arial" w:cs="Arial" w:eastAsia="Arial" w:hAnsi="Arial"/>
          <w:sz w:val="16"/>
          <w:szCs w:val="16"/>
          <w:b w:val="1"/>
          <w:bCs w:val="1"/>
          <w:color w:val="auto"/>
        </w:rPr>
        <w:t>Other Compensation Policies and Practices</w:t>
      </w:r>
    </w:p>
    <w:p>
      <w:pPr>
        <w:spacing w:after="0" w:line="10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Stock Ownership Guidelines</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We have adopted stock ownership guidelines for our executive officers establishing share ownership targets based on a multiple of base salary.</w:t>
      </w:r>
    </w:p>
    <w:p>
      <w:pPr>
        <w:spacing w:after="0" w:line="21"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The minimum objective is 6x for our Executive Chair and our CEO, 4x for our Chief Investment Officer, and 3x for all other executive officers. Until the foregoing ownership requirements are met, each individual is required to retain at least 50% of the shares of common stock received upon vesting or earn-out of stock-based compensation, net of any shares withheld or sold to pay or reimburse taxes on such income. The retention obligations also apply in the</w:t>
      </w:r>
    </w:p>
    <w:p>
      <w:pPr>
        <w:spacing w:after="0" w:line="2"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event ownership levels fall below applicable guideline levels due to a decline in stock price. Shares of time-vested RSUs granted under the 2016 Equity Plan (whether vested, unvested, or subject to a deferral election) are included in determining the number of shares held for this purpose, net of anticipated tax withholdings. Shares of unvested performance-based RSUs are not included for this purpose prior to completion of the applicable performance period.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As of February 24, 2023, all of our NEOs had complied with their obligations under our stock ownership guidelines.</w:t>
      </w:r>
    </w:p>
    <w:p>
      <w:pPr>
        <w:spacing w:after="0" w:line="169" w:lineRule="exact"/>
        <w:rPr>
          <w:sz w:val="20"/>
          <w:szCs w:val="20"/>
          <w:color w:val="auto"/>
        </w:rPr>
      </w:pPr>
    </w:p>
    <w:p>
      <w:pPr>
        <w:ind w:right="720" w:firstLine="648"/>
        <w:spacing w:after="0" w:line="235" w:lineRule="auto"/>
        <w:rPr>
          <w:sz w:val="20"/>
          <w:szCs w:val="20"/>
          <w:color w:val="auto"/>
        </w:rPr>
      </w:pPr>
      <w:r>
        <w:rPr>
          <w:rFonts w:ascii="Arial" w:cs="Arial" w:eastAsia="Arial" w:hAnsi="Arial"/>
          <w:sz w:val="18"/>
          <w:szCs w:val="18"/>
          <w:color w:val="auto"/>
        </w:rPr>
        <w:t>The following table sets forth the total stock ownership of all our NEOs, including beneficially owned, unvested, and deferred shares, as calculated pursuant to our stock ownership guidelines as of February 24,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146050</wp:posOffset>
            </wp:positionV>
            <wp:extent cx="6969125"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6969125" cy="8890"/>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sectPr>
      </w:pPr>
    </w:p>
    <w:p>
      <w:pPr>
        <w:spacing w:after="0" w:line="200" w:lineRule="exact"/>
        <w:rPr>
          <w:sz w:val="20"/>
          <w:szCs w:val="20"/>
          <w:color w:val="auto"/>
        </w:rPr>
      </w:pPr>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Name</w:t>
      </w:r>
    </w:p>
    <w:p>
      <w:pPr>
        <w:spacing w:after="0" w:line="3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Peter J. Federico</w:t>
      </w:r>
    </w:p>
    <w:p>
      <w:pPr>
        <w:spacing w:after="0" w:line="27"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Gary D. Kain</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auto"/>
        </w:rPr>
        <w:t>Christopher J. Kuehl</w:t>
      </w:r>
    </w:p>
    <w:p>
      <w:pPr>
        <w:spacing w:after="0" w:line="46"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Bernice E. Bell</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b w:val="1"/>
          <w:bCs w:val="1"/>
          <w:color w:val="auto"/>
        </w:rPr>
        <w:t>Kenneth L. Pollack</w:t>
      </w:r>
    </w:p>
    <w:p>
      <w:pPr>
        <w:spacing w:after="0" w:line="20" w:lineRule="exact"/>
        <w:rPr>
          <w:sz w:val="20"/>
          <w:szCs w:val="20"/>
          <w:color w:val="auto"/>
        </w:rPr>
      </w:pPr>
      <w:r>
        <w:rPr>
          <w:sz w:val="20"/>
          <w:szCs w:val="20"/>
          <w:color w:val="auto"/>
        </w:rPr>
        <w:br w:type="column"/>
      </w:r>
    </w:p>
    <w:p>
      <w:pPr>
        <w:spacing w:after="0" w:line="26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920" w:type="dxa"/>
            <w:vAlign w:val="bottom"/>
          </w:tcPr>
          <w:p>
            <w:pPr>
              <w:jc w:val="center"/>
              <w:ind w:right="217"/>
              <w:spacing w:after="0"/>
              <w:rPr>
                <w:sz w:val="20"/>
                <w:szCs w:val="20"/>
                <w:color w:val="auto"/>
              </w:rPr>
            </w:pPr>
            <w:r>
              <w:rPr>
                <w:rFonts w:ascii="Arial" w:cs="Arial" w:eastAsia="Arial" w:hAnsi="Arial"/>
                <w:sz w:val="13"/>
                <w:szCs w:val="13"/>
                <w:b w:val="1"/>
                <w:bCs w:val="1"/>
                <w:color w:val="auto"/>
                <w:w w:val="88"/>
              </w:rPr>
              <w:t>Beneficially</w:t>
            </w:r>
          </w:p>
        </w:tc>
        <w:tc>
          <w:tcPr>
            <w:tcW w:w="1320" w:type="dxa"/>
            <w:vAlign w:val="bottom"/>
            <w:vMerge w:val="restart"/>
          </w:tcPr>
          <w:p>
            <w:pPr>
              <w:jc w:val="center"/>
              <w:ind w:left="77"/>
              <w:spacing w:after="0"/>
              <w:rPr>
                <w:sz w:val="20"/>
                <w:szCs w:val="20"/>
                <w:color w:val="auto"/>
              </w:rPr>
            </w:pPr>
            <w:r>
              <w:rPr>
                <w:rFonts w:ascii="Arial" w:cs="Arial" w:eastAsia="Arial" w:hAnsi="Arial"/>
                <w:sz w:val="13"/>
                <w:szCs w:val="13"/>
                <w:b w:val="1"/>
                <w:bCs w:val="1"/>
                <w:color w:val="auto"/>
                <w:w w:val="85"/>
              </w:rPr>
              <w:t>Unvested Shares</w:t>
            </w:r>
          </w:p>
        </w:tc>
        <w:tc>
          <w:tcPr>
            <w:tcW w:w="1360" w:type="dxa"/>
            <w:vAlign w:val="bottom"/>
            <w:vMerge w:val="restart"/>
          </w:tcPr>
          <w:p>
            <w:pPr>
              <w:jc w:val="center"/>
              <w:ind w:right="117"/>
              <w:spacing w:after="0"/>
              <w:rPr>
                <w:sz w:val="20"/>
                <w:szCs w:val="20"/>
                <w:color w:val="auto"/>
              </w:rPr>
            </w:pPr>
            <w:r>
              <w:rPr>
                <w:rFonts w:ascii="Arial" w:cs="Arial" w:eastAsia="Arial" w:hAnsi="Arial"/>
                <w:sz w:val="13"/>
                <w:szCs w:val="13"/>
                <w:b w:val="1"/>
                <w:bCs w:val="1"/>
                <w:color w:val="auto"/>
                <w:w w:val="86"/>
              </w:rPr>
              <w:t>Vested/Deferred</w:t>
            </w:r>
          </w:p>
        </w:tc>
        <w:tc>
          <w:tcPr>
            <w:tcW w:w="600" w:type="dxa"/>
            <w:vAlign w:val="bottom"/>
            <w:vMerge w:val="restart"/>
          </w:tcPr>
          <w:p>
            <w:pPr>
              <w:jc w:val="center"/>
              <w:ind w:left="277"/>
              <w:spacing w:after="0"/>
              <w:rPr>
                <w:sz w:val="20"/>
                <w:szCs w:val="20"/>
                <w:color w:val="auto"/>
              </w:rPr>
            </w:pPr>
            <w:r>
              <w:rPr>
                <w:rFonts w:ascii="Arial" w:cs="Arial" w:eastAsia="Arial" w:hAnsi="Arial"/>
                <w:sz w:val="13"/>
                <w:szCs w:val="13"/>
                <w:b w:val="1"/>
                <w:bCs w:val="1"/>
                <w:color w:val="auto"/>
                <w:w w:val="83"/>
              </w:rPr>
              <w:t>Total</w:t>
            </w:r>
          </w:p>
        </w:tc>
        <w:tc>
          <w:tcPr>
            <w:tcW w:w="0" w:type="dxa"/>
            <w:vAlign w:val="bottom"/>
          </w:tcPr>
          <w:p>
            <w:pPr>
              <w:spacing w:after="0"/>
              <w:rPr>
                <w:sz w:val="1"/>
                <w:szCs w:val="1"/>
                <w:color w:val="auto"/>
              </w:rPr>
            </w:pPr>
          </w:p>
        </w:tc>
      </w:tr>
      <w:tr>
        <w:trPr>
          <w:trHeight w:val="122"/>
        </w:trPr>
        <w:tc>
          <w:tcPr>
            <w:tcW w:w="920" w:type="dxa"/>
            <w:vAlign w:val="bottom"/>
          </w:tcPr>
          <w:p>
            <w:pPr>
              <w:jc w:val="center"/>
              <w:ind w:right="197"/>
              <w:spacing w:after="0" w:line="122" w:lineRule="exact"/>
              <w:rPr>
                <w:sz w:val="20"/>
                <w:szCs w:val="20"/>
                <w:color w:val="auto"/>
              </w:rPr>
            </w:pPr>
            <w:r>
              <w:rPr>
                <w:rFonts w:ascii="Arial" w:cs="Arial" w:eastAsia="Arial" w:hAnsi="Arial"/>
                <w:sz w:val="13"/>
                <w:szCs w:val="13"/>
                <w:b w:val="1"/>
                <w:bCs w:val="1"/>
                <w:color w:val="auto"/>
                <w:w w:val="87"/>
              </w:rPr>
              <w:t>Owned</w:t>
            </w:r>
          </w:p>
        </w:tc>
        <w:tc>
          <w:tcPr>
            <w:tcW w:w="1320" w:type="dxa"/>
            <w:vAlign w:val="bottom"/>
            <w:vMerge w:val="continue"/>
          </w:tcPr>
          <w:p>
            <w:pPr>
              <w:spacing w:after="0"/>
              <w:rPr>
                <w:sz w:val="10"/>
                <w:szCs w:val="10"/>
                <w:color w:val="auto"/>
              </w:rPr>
            </w:pPr>
          </w:p>
        </w:tc>
        <w:tc>
          <w:tcPr>
            <w:tcW w:w="1360" w:type="dxa"/>
            <w:vAlign w:val="bottom"/>
            <w:vMerge w:val="continue"/>
          </w:tcPr>
          <w:p>
            <w:pPr>
              <w:spacing w:after="0"/>
              <w:rPr>
                <w:sz w:val="10"/>
                <w:szCs w:val="10"/>
                <w:color w:val="auto"/>
              </w:rPr>
            </w:pPr>
          </w:p>
        </w:tc>
        <w:tc>
          <w:tcPr>
            <w:tcW w:w="6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920" w:type="dxa"/>
            <w:vAlign w:val="bottom"/>
          </w:tcPr>
          <w:p>
            <w:pPr>
              <w:jc w:val="center"/>
              <w:ind w:right="197"/>
              <w:spacing w:after="0"/>
              <w:rPr>
                <w:sz w:val="20"/>
                <w:szCs w:val="20"/>
                <w:color w:val="auto"/>
              </w:rPr>
            </w:pPr>
            <w:r>
              <w:rPr>
                <w:rFonts w:ascii="Arial" w:cs="Arial" w:eastAsia="Arial" w:hAnsi="Arial"/>
                <w:sz w:val="13"/>
                <w:szCs w:val="13"/>
                <w:b w:val="1"/>
                <w:bCs w:val="1"/>
                <w:color w:val="auto"/>
                <w:w w:val="85"/>
              </w:rPr>
              <w:t>Shares (#)</w:t>
            </w:r>
          </w:p>
        </w:tc>
        <w:tc>
          <w:tcPr>
            <w:tcW w:w="1320" w:type="dxa"/>
            <w:vAlign w:val="bottom"/>
          </w:tcPr>
          <w:p>
            <w:pPr>
              <w:jc w:val="center"/>
              <w:ind w:right="397"/>
              <w:spacing w:after="0"/>
              <w:rPr>
                <w:sz w:val="20"/>
                <w:szCs w:val="20"/>
                <w:color w:val="auto"/>
              </w:rPr>
            </w:pPr>
            <w:r>
              <w:rPr>
                <w:rFonts w:ascii="Arial" w:cs="Arial" w:eastAsia="Arial" w:hAnsi="Arial"/>
                <w:sz w:val="13"/>
                <w:szCs w:val="13"/>
                <w:b w:val="1"/>
                <w:bCs w:val="1"/>
                <w:color w:val="auto"/>
              </w:rPr>
              <w:t xml:space="preserve">(#) </w:t>
            </w:r>
            <w:r>
              <w:rPr>
                <w:rFonts w:ascii="Arial" w:cs="Arial" w:eastAsia="Arial" w:hAnsi="Arial"/>
                <w:sz w:val="16"/>
                <w:szCs w:val="16"/>
                <w:b w:val="1"/>
                <w:bCs w:val="1"/>
                <w:color w:val="auto"/>
                <w:vertAlign w:val="superscript"/>
              </w:rPr>
              <w:t>2</w:t>
            </w:r>
          </w:p>
        </w:tc>
        <w:tc>
          <w:tcPr>
            <w:tcW w:w="1360" w:type="dxa"/>
            <w:vAlign w:val="bottom"/>
          </w:tcPr>
          <w:p>
            <w:pPr>
              <w:jc w:val="center"/>
              <w:ind w:right="97"/>
              <w:spacing w:after="0"/>
              <w:rPr>
                <w:sz w:val="20"/>
                <w:szCs w:val="20"/>
                <w:color w:val="auto"/>
              </w:rPr>
            </w:pPr>
            <w:r>
              <w:rPr>
                <w:rFonts w:ascii="Arial" w:cs="Arial" w:eastAsia="Arial" w:hAnsi="Arial"/>
                <w:sz w:val="13"/>
                <w:szCs w:val="13"/>
                <w:b w:val="1"/>
                <w:bCs w:val="1"/>
                <w:color w:val="auto"/>
                <w:w w:val="83"/>
              </w:rPr>
              <w:t xml:space="preserve">Shares (#) </w:t>
            </w:r>
            <w:r>
              <w:rPr>
                <w:rFonts w:ascii="Arial" w:cs="Arial" w:eastAsia="Arial" w:hAnsi="Arial"/>
                <w:sz w:val="16"/>
                <w:szCs w:val="16"/>
                <w:b w:val="1"/>
                <w:bCs w:val="1"/>
                <w:color w:val="auto"/>
                <w:w w:val="83"/>
                <w:vertAlign w:val="superscript"/>
              </w:rPr>
              <w:t>2,3</w:t>
            </w:r>
          </w:p>
        </w:tc>
        <w:tc>
          <w:tcPr>
            <w:tcW w:w="600" w:type="dxa"/>
            <w:vAlign w:val="bottom"/>
          </w:tcPr>
          <w:p>
            <w:pPr>
              <w:jc w:val="right"/>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-4020185</wp:posOffset>
            </wp:positionH>
            <wp:positionV relativeFrom="paragraph">
              <wp:posOffset>721360</wp:posOffset>
            </wp:positionV>
            <wp:extent cx="6969125"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6969125" cy="8255"/>
                    </a:xfrm>
                    <a:prstGeom prst="rect">
                      <a:avLst/>
                    </a:prstGeom>
                    <a:noFill/>
                  </pic:spPr>
                </pic:pic>
              </a:graphicData>
            </a:graphic>
          </wp:anchor>
        </w:drawing>
        <w:drawing>
          <wp:anchor simplePos="0" relativeHeight="251657728" behindDoc="1" locked="0" layoutInCell="0" allowOverlap="1">
            <wp:simplePos x="0" y="0"/>
            <wp:positionH relativeFrom="column">
              <wp:posOffset>-4020185</wp:posOffset>
            </wp:positionH>
            <wp:positionV relativeFrom="paragraph">
              <wp:posOffset>-15240</wp:posOffset>
            </wp:positionV>
            <wp:extent cx="6969125"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6969125" cy="8255"/>
                    </a:xfrm>
                    <a:prstGeom prst="rect">
                      <a:avLst/>
                    </a:prstGeom>
                    <a:noFill/>
                  </pic:spPr>
                </pic:pic>
              </a:graphicData>
            </a:graphic>
          </wp:anchor>
        </w:drawing>
      </w:r>
    </w:p>
    <w:p>
      <w:pPr>
        <w:spacing w:after="0" w:line="1251" w:lineRule="exact"/>
        <w:rPr>
          <w:sz w:val="20"/>
          <w:szCs w:val="20"/>
          <w:color w:val="auto"/>
        </w:rPr>
      </w:pPr>
    </w:p>
    <w:p>
      <w:pPr>
        <w:sectPr>
          <w:pgSz w:w="11900" w:h="16838" w:orient="portrait"/>
          <w:cols w:equalWidth="0" w:num="2">
            <w:col w:w="5620" w:space="720"/>
            <w:col w:w="4840"/>
          </w:cols>
          <w:pgMar w:left="320" w:top="108" w:right="399" w:bottom="1440" w:gutter="0" w:footer="0" w:header="0"/>
          <w:type w:val="continuous"/>
        </w:sectPr>
      </w:pPr>
    </w:p>
    <w:p>
      <w:pPr>
        <w:ind w:left="340" w:hanging="251"/>
        <w:spacing w:after="0"/>
        <w:tabs>
          <w:tab w:leader="none" w:pos="340" w:val="left"/>
        </w:tabs>
        <w:numPr>
          <w:ilvl w:val="0"/>
          <w:numId w:val="44"/>
        </w:numPr>
        <w:rPr>
          <w:rFonts w:ascii="Arial" w:cs="Arial" w:eastAsia="Arial" w:hAnsi="Arial"/>
          <w:sz w:val="14"/>
          <w:szCs w:val="14"/>
          <w:color w:val="auto"/>
        </w:rPr>
      </w:pPr>
      <w:r>
        <w:rPr>
          <w:rFonts w:ascii="Arial" w:cs="Arial" w:eastAsia="Arial" w:hAnsi="Arial"/>
          <w:sz w:val="14"/>
          <w:szCs w:val="14"/>
          <w:color w:val="auto"/>
        </w:rPr>
        <w:t xml:space="preserve">Includes </w:t>
      </w:r>
      <w:r>
        <w:rPr>
          <w:rFonts w:ascii="Arial" w:cs="Arial" w:eastAsia="Arial" w:hAnsi="Arial"/>
          <w:sz w:val="14"/>
          <w:szCs w:val="14"/>
          <w:color w:val="FFFFFF"/>
        </w:rPr>
        <w:t>667,920</w:t>
      </w:r>
      <w:r>
        <w:rPr>
          <w:rFonts w:ascii="Arial" w:cs="Arial" w:eastAsia="Arial" w:hAnsi="Arial"/>
          <w:sz w:val="14"/>
          <w:szCs w:val="14"/>
          <w:color w:val="auto"/>
        </w:rPr>
        <w:t xml:space="preserve"> shares held in a family trust over which shares Mr. Kain has voting and dispositive power.</w:t>
      </w:r>
    </w:p>
    <w:p>
      <w:pPr>
        <w:ind w:left="340" w:hanging="251"/>
        <w:spacing w:after="0" w:line="221" w:lineRule="auto"/>
        <w:tabs>
          <w:tab w:leader="none" w:pos="340" w:val="left"/>
        </w:tabs>
        <w:numPr>
          <w:ilvl w:val="0"/>
          <w:numId w:val="44"/>
        </w:numPr>
        <w:rPr>
          <w:rFonts w:ascii="Arial" w:cs="Arial" w:eastAsia="Arial" w:hAnsi="Arial"/>
          <w:sz w:val="14"/>
          <w:szCs w:val="14"/>
          <w:color w:val="auto"/>
        </w:rPr>
      </w:pPr>
      <w:r>
        <w:rPr>
          <w:rFonts w:ascii="Arial" w:cs="Arial" w:eastAsia="Arial" w:hAnsi="Arial"/>
          <w:sz w:val="14"/>
          <w:szCs w:val="14"/>
          <w:color w:val="auto"/>
        </w:rPr>
        <w:t>Share amounts are net of anticipated tax withholdings.</w:t>
      </w:r>
    </w:p>
    <w:p>
      <w:pPr>
        <w:ind w:left="340" w:hanging="251"/>
        <w:spacing w:after="0"/>
        <w:tabs>
          <w:tab w:leader="none" w:pos="340" w:val="left"/>
        </w:tabs>
        <w:numPr>
          <w:ilvl w:val="0"/>
          <w:numId w:val="44"/>
        </w:numPr>
        <w:rPr>
          <w:rFonts w:ascii="Arial" w:cs="Arial" w:eastAsia="Arial" w:hAnsi="Arial"/>
          <w:sz w:val="14"/>
          <w:szCs w:val="14"/>
          <w:color w:val="auto"/>
        </w:rPr>
      </w:pPr>
      <w:r>
        <w:rPr>
          <w:rFonts w:ascii="Arial" w:cs="Arial" w:eastAsia="Arial" w:hAnsi="Arial"/>
          <w:sz w:val="14"/>
          <w:szCs w:val="14"/>
          <w:color w:val="auto"/>
        </w:rPr>
        <w:t>Deferred shares are vested and non-forfeitable, subject to AGNC's clawback policy.</w:t>
      </w:r>
    </w:p>
    <w:p>
      <w:pPr>
        <w:spacing w:after="0" w:line="182"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Anti-Hedging and Pledging Policy</w:t>
      </w:r>
    </w:p>
    <w:p>
      <w:pPr>
        <w:spacing w:after="0" w:line="90" w:lineRule="exact"/>
        <w:rPr>
          <w:sz w:val="20"/>
          <w:szCs w:val="20"/>
          <w:color w:val="auto"/>
        </w:rPr>
      </w:pPr>
    </w:p>
    <w:p>
      <w:pPr>
        <w:ind w:right="220" w:firstLine="648"/>
        <w:spacing w:after="0" w:line="241" w:lineRule="auto"/>
        <w:rPr>
          <w:sz w:val="20"/>
          <w:szCs w:val="20"/>
          <w:color w:val="auto"/>
        </w:rPr>
      </w:pPr>
      <w:r>
        <w:rPr>
          <w:rFonts w:ascii="Arial" w:cs="Arial" w:eastAsia="Arial" w:hAnsi="Arial"/>
          <w:sz w:val="16"/>
          <w:szCs w:val="16"/>
          <w:color w:val="auto"/>
        </w:rPr>
        <w:t>Our Board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or offset losses due to a decline of our stock price. By way of example, transactions prohibited under the</w:t>
      </w:r>
    </w:p>
    <w:p>
      <w:pPr>
        <w:spacing w:after="0" w:line="2" w:lineRule="exact"/>
        <w:rPr>
          <w:sz w:val="20"/>
          <w:szCs w:val="20"/>
          <w:color w:val="auto"/>
        </w:rPr>
      </w:pPr>
    </w:p>
    <w:p>
      <w:pPr>
        <w:ind w:right="100"/>
        <w:spacing w:after="0" w:line="248" w:lineRule="auto"/>
        <w:rPr>
          <w:sz w:val="20"/>
          <w:szCs w:val="20"/>
          <w:color w:val="auto"/>
        </w:rPr>
      </w:pPr>
      <w:r>
        <w:rPr>
          <w:rFonts w:ascii="Arial" w:cs="Arial" w:eastAsia="Arial" w:hAnsi="Arial"/>
          <w:sz w:val="16"/>
          <w:szCs w:val="16"/>
          <w:color w:val="auto"/>
        </w:rPr>
        <w:t>policy may include options, short sales, puts, calls, or derivative actions such as forwards, futures, or swaps. In addition to the restrictions imposed on our executive officers and directors, the AGNC Mortgage Management, LLC Personal Investments Code prohibits all employees from engaging in financial transactions that directly hedge or offset, or are designed to directly hedge or offset, any decrease in the market value of our common stock.</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Clawback Policy</w:t>
      </w:r>
    </w:p>
    <w:p>
      <w:pPr>
        <w:spacing w:after="0" w:line="77" w:lineRule="exact"/>
        <w:rPr>
          <w:sz w:val="20"/>
          <w:szCs w:val="20"/>
          <w:color w:val="auto"/>
        </w:rPr>
      </w:pPr>
    </w:p>
    <w:p>
      <w:pPr>
        <w:ind w:right="60" w:firstLine="648"/>
        <w:spacing w:after="0" w:line="248" w:lineRule="auto"/>
        <w:rPr>
          <w:sz w:val="20"/>
          <w:szCs w:val="20"/>
          <w:color w:val="auto"/>
        </w:rPr>
      </w:pPr>
      <w:r>
        <w:rPr>
          <w:rFonts w:ascii="Arial" w:cs="Arial" w:eastAsia="Arial" w:hAnsi="Arial"/>
          <w:sz w:val="16"/>
          <w:szCs w:val="16"/>
          <w:color w:val="auto"/>
        </w:rPr>
        <w:t>We have adopted a clawback policy relating to recovery of certain performance-based compensation in the event of an accounting restatement by the Company due to material noncompliance with any financial reporting requirement under U.S. federal securities laws resulting at least in part from the</w:t>
      </w:r>
    </w:p>
    <w:p>
      <w:pPr>
        <w:jc w:val="both"/>
        <w:ind w:right="240"/>
        <w:spacing w:after="0" w:line="234" w:lineRule="auto"/>
        <w:rPr>
          <w:sz w:val="20"/>
          <w:szCs w:val="20"/>
          <w:color w:val="auto"/>
        </w:rPr>
      </w:pPr>
      <w:r>
        <w:rPr>
          <w:rFonts w:ascii="Arial" w:cs="Arial" w:eastAsia="Arial" w:hAnsi="Arial"/>
          <w:sz w:val="16"/>
          <w:szCs w:val="16"/>
          <w:color w:val="auto"/>
        </w:rPr>
        <w:t>willful fraud, dishonesty, or recklessness of one of the Company’s executive officers in the performance of his or her duties to the Company. Under this policy, the Company would be entitled to seek recovery of the portion of performance-based compensation paid to our executive officers that would not have been earned had the Company’s restated financial statements been used in the determination of the amount of performance-based compensation</w:t>
      </w:r>
    </w:p>
    <w:p>
      <w:pPr>
        <w:spacing w:after="0" w:line="2" w:lineRule="exact"/>
        <w:rPr>
          <w:sz w:val="20"/>
          <w:szCs w:val="20"/>
          <w:color w:val="auto"/>
        </w:rPr>
      </w:pPr>
    </w:p>
    <w:p>
      <w:pPr>
        <w:ind w:right="300"/>
        <w:spacing w:after="0" w:line="226" w:lineRule="auto"/>
        <w:rPr>
          <w:sz w:val="20"/>
          <w:szCs w:val="20"/>
          <w:color w:val="auto"/>
        </w:rPr>
      </w:pPr>
      <w:r>
        <w:rPr>
          <w:rFonts w:ascii="Arial" w:cs="Arial" w:eastAsia="Arial" w:hAnsi="Arial"/>
          <w:sz w:val="18"/>
          <w:szCs w:val="18"/>
          <w:color w:val="auto"/>
        </w:rPr>
        <w:t>originally awarded. This policy includes a three-year look back period. The Company anticipates revising its policy in 2023 to comply with anticipated Nasdaq listing standards to implement recent SEC rulemaking on clawback policies.</w:t>
      </w:r>
    </w:p>
    <w:p>
      <w:pPr>
        <w:spacing w:after="0" w:line="134"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Employment Agreements</w:t>
      </w:r>
    </w:p>
    <w:p>
      <w:pPr>
        <w:spacing w:after="0" w:line="77" w:lineRule="exact"/>
        <w:rPr>
          <w:sz w:val="20"/>
          <w:szCs w:val="20"/>
          <w:color w:val="auto"/>
        </w:rPr>
      </w:pPr>
    </w:p>
    <w:p>
      <w:pPr>
        <w:ind w:right="120" w:firstLine="648"/>
        <w:spacing w:after="0" w:line="248" w:lineRule="auto"/>
        <w:rPr>
          <w:sz w:val="20"/>
          <w:szCs w:val="20"/>
          <w:color w:val="auto"/>
        </w:rPr>
      </w:pPr>
      <w:r>
        <w:rPr>
          <w:rFonts w:ascii="Arial" w:cs="Arial" w:eastAsia="Arial" w:hAnsi="Arial"/>
          <w:sz w:val="16"/>
          <w:szCs w:val="16"/>
          <w:color w:val="auto"/>
        </w:rPr>
        <w:t>The Company has entered into employment agreements with each of our NEOs. The Compensation Committee has consulted with FW Cook on each of the agreements and believes that they provide appropriate and balanced incentives toward achieving the annual and long-term strategic objectives</w:t>
      </w:r>
    </w:p>
    <w:p>
      <w:pPr>
        <w:spacing w:after="0"/>
        <w:rPr>
          <w:sz w:val="20"/>
          <w:szCs w:val="20"/>
          <w:color w:val="auto"/>
        </w:rPr>
      </w:pPr>
      <w:r>
        <w:rPr>
          <w:rFonts w:ascii="Arial" w:cs="Arial" w:eastAsia="Arial" w:hAnsi="Arial"/>
          <w:sz w:val="18"/>
          <w:szCs w:val="18"/>
          <w:color w:val="auto"/>
        </w:rPr>
        <w:t>set by the Compensation Committee and create a stronger alignment of interests between our executives and our stockholders.</w:t>
      </w:r>
    </w:p>
    <w:p>
      <w:pPr>
        <w:spacing w:after="0" w:line="169" w:lineRule="exact"/>
        <w:rPr>
          <w:sz w:val="20"/>
          <w:szCs w:val="20"/>
          <w:color w:val="auto"/>
        </w:rPr>
      </w:pPr>
    </w:p>
    <w:p>
      <w:pPr>
        <w:ind w:right="60" w:firstLine="648"/>
        <w:spacing w:after="0" w:line="248" w:lineRule="auto"/>
        <w:rPr>
          <w:sz w:val="20"/>
          <w:szCs w:val="20"/>
          <w:color w:val="auto"/>
        </w:rPr>
      </w:pPr>
      <w:r>
        <w:rPr>
          <w:rFonts w:ascii="Arial" w:cs="Arial" w:eastAsia="Arial" w:hAnsi="Arial"/>
          <w:sz w:val="16"/>
          <w:szCs w:val="16"/>
          <w:color w:val="auto"/>
        </w:rPr>
        <w:t>The Compensation Committee reviews the compensation of our executive officers on an annual basis and will make adjustments when warranted by personal performance, internal and external pay equity, and other considerations. The Company entered into restated employment agreements with</w:t>
      </w:r>
    </w:p>
    <w:p>
      <w:pPr>
        <w:ind w:right="60"/>
        <w:spacing w:after="0" w:line="234" w:lineRule="auto"/>
        <w:rPr>
          <w:sz w:val="20"/>
          <w:szCs w:val="20"/>
          <w:color w:val="auto"/>
        </w:rPr>
      </w:pPr>
      <w:r>
        <w:rPr>
          <w:rFonts w:ascii="Arial" w:cs="Arial" w:eastAsia="Arial" w:hAnsi="Arial"/>
          <w:sz w:val="16"/>
          <w:szCs w:val="16"/>
          <w:color w:val="auto"/>
        </w:rPr>
        <w:t>Messrs. Kain, Federico, and Kuehl in December 2020 as a result of the announced transition of Mr. Kain to the role of Executive Chair of the Board and the promotions of Messrs. Federico and Kuehl to the positions of Chief Executive Officer and Chief Investment Officer, respectively. The revised employment agreements adjust their respective compensation arrangements in light of their new roles and responsibilities and are described in more detail</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herein. The Compensation Committee entered into amended and restated employment agreements dated January 22, 2021 with Ms. Bell and Mr. Pollack to</w:t>
      </w:r>
    </w:p>
    <w:p>
      <w:pPr>
        <w:spacing w:after="0" w:line="349"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type w:val="continuous"/>
        </w:sectPr>
      </w:pPr>
    </w:p>
    <w:bookmarkStart w:id="52" w:name="page53"/>
    <w:bookmarkEnd w:id="5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right="380"/>
        <w:spacing w:after="0" w:line="235" w:lineRule="auto"/>
        <w:rPr>
          <w:sz w:val="20"/>
          <w:szCs w:val="20"/>
          <w:color w:val="auto"/>
        </w:rPr>
      </w:pPr>
      <w:r>
        <w:rPr>
          <w:rFonts w:ascii="Arial" w:cs="Arial" w:eastAsia="Arial" w:hAnsi="Arial"/>
          <w:sz w:val="18"/>
          <w:szCs w:val="18"/>
          <w:color w:val="auto"/>
        </w:rPr>
        <w:t>increase their target compensation, and in 2022, as part of its annual review of NEO compensation, the Committee further adjusted their compensation levels.</w:t>
      </w:r>
    </w:p>
    <w:p>
      <w:pPr>
        <w:spacing w:after="0" w:line="162"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employment agreements for each NEO include certain severance payments and benefits if a NEO that is party to an employment agreement is</w:t>
      </w:r>
    </w:p>
    <w:p>
      <w:pPr>
        <w:spacing w:after="0" w:line="21"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terminated by the Company, including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See “Severance and</w:t>
      </w:r>
    </w:p>
    <w:p>
      <w:pPr>
        <w:spacing w:after="0" w:line="2" w:lineRule="exact"/>
        <w:rPr>
          <w:sz w:val="20"/>
          <w:szCs w:val="20"/>
          <w:color w:val="auto"/>
        </w:rPr>
      </w:pPr>
    </w:p>
    <w:p>
      <w:pPr>
        <w:ind w:right="40"/>
        <w:spacing w:after="0" w:line="226" w:lineRule="auto"/>
        <w:rPr>
          <w:sz w:val="20"/>
          <w:szCs w:val="20"/>
          <w:color w:val="auto"/>
        </w:rPr>
      </w:pPr>
      <w:r>
        <w:rPr>
          <w:rFonts w:ascii="Arial" w:cs="Arial" w:eastAsia="Arial" w:hAnsi="Arial"/>
          <w:sz w:val="18"/>
          <w:szCs w:val="18"/>
          <w:color w:val="auto"/>
        </w:rPr>
        <w:t>Change of Control Payments” on page 48. The employment agreements with these NEOs also include covenants related to post-employment obligations in areas such as competition with us, solicitation of our employees, and the confidentiality of certain information.</w:t>
      </w:r>
    </w:p>
    <w:p>
      <w:pPr>
        <w:spacing w:after="0" w:line="332"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53" w:name="page54"/>
    <w:bookmarkEnd w:id="5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189"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Our Compensation and Corporate Governance Committee reviewed and discussed with our management the “Compensation Discussion and Analysis” contained in this proxy statement. Based on that review and discussions, our Compensation and Corporate Governance Committee recommends</w:t>
      </w:r>
    </w:p>
    <w:p>
      <w:pPr>
        <w:spacing w:after="0"/>
        <w:rPr>
          <w:sz w:val="20"/>
          <w:szCs w:val="20"/>
          <w:color w:val="auto"/>
        </w:rPr>
      </w:pPr>
      <w:r>
        <w:rPr>
          <w:rFonts w:ascii="Arial" w:cs="Arial" w:eastAsia="Arial" w:hAnsi="Arial"/>
          <w:sz w:val="18"/>
          <w:szCs w:val="18"/>
          <w:color w:val="auto"/>
        </w:rPr>
        <w:t>to the Board of Directors that the “Compensation Discussion and Analysis” be included in this proxy statement.</w:t>
      </w:r>
    </w:p>
    <w:p>
      <w:pPr>
        <w:spacing w:after="0" w:line="261" w:lineRule="exact"/>
        <w:rPr>
          <w:sz w:val="20"/>
          <w:szCs w:val="20"/>
          <w:color w:val="auto"/>
        </w:rPr>
      </w:pPr>
    </w:p>
    <w:p>
      <w:pPr>
        <w:ind w:left="6480"/>
        <w:spacing w:after="0"/>
        <w:rPr>
          <w:sz w:val="20"/>
          <w:szCs w:val="20"/>
          <w:color w:val="auto"/>
        </w:rPr>
      </w:pPr>
      <w:r>
        <w:rPr>
          <w:rFonts w:ascii="Arial" w:cs="Arial" w:eastAsia="Arial" w:hAnsi="Arial"/>
          <w:sz w:val="18"/>
          <w:szCs w:val="18"/>
          <w:i w:val="1"/>
          <w:iCs w:val="1"/>
          <w:color w:val="auto"/>
        </w:rPr>
        <w:t>By the Compensation and Corporate</w:t>
      </w:r>
    </w:p>
    <w:p>
      <w:pPr>
        <w:ind w:left="6480"/>
        <w:spacing w:after="0" w:line="219" w:lineRule="auto"/>
        <w:rPr>
          <w:sz w:val="20"/>
          <w:szCs w:val="20"/>
          <w:color w:val="auto"/>
        </w:rPr>
      </w:pPr>
      <w:r>
        <w:rPr>
          <w:rFonts w:ascii="Arial" w:cs="Arial" w:eastAsia="Arial" w:hAnsi="Arial"/>
          <w:sz w:val="18"/>
          <w:szCs w:val="18"/>
          <w:i w:val="1"/>
          <w:iCs w:val="1"/>
          <w:color w:val="auto"/>
        </w:rPr>
        <w:t>Governance Committee:</w:t>
      </w:r>
    </w:p>
    <w:p>
      <w:pPr>
        <w:ind w:left="6480"/>
        <w:spacing w:after="0" w:line="203" w:lineRule="auto"/>
        <w:rPr>
          <w:sz w:val="20"/>
          <w:szCs w:val="20"/>
          <w:color w:val="auto"/>
        </w:rPr>
      </w:pPr>
      <w:r>
        <w:rPr>
          <w:rFonts w:ascii="Arial" w:cs="Arial" w:eastAsia="Arial" w:hAnsi="Arial"/>
          <w:sz w:val="18"/>
          <w:szCs w:val="18"/>
          <w:color w:val="auto"/>
        </w:rPr>
        <w:t>Morris A. Davis, Chair</w:t>
      </w:r>
    </w:p>
    <w:p>
      <w:pPr>
        <w:ind w:left="6480"/>
        <w:spacing w:after="0" w:line="204" w:lineRule="auto"/>
        <w:rPr>
          <w:sz w:val="20"/>
          <w:szCs w:val="20"/>
          <w:color w:val="auto"/>
        </w:rPr>
      </w:pPr>
      <w:r>
        <w:rPr>
          <w:rFonts w:ascii="Arial" w:cs="Arial" w:eastAsia="Arial" w:hAnsi="Arial"/>
          <w:sz w:val="18"/>
          <w:szCs w:val="18"/>
          <w:color w:val="auto"/>
        </w:rPr>
        <w:t>John D. Fisk</w:t>
      </w:r>
    </w:p>
    <w:p>
      <w:pPr>
        <w:ind w:left="6480"/>
        <w:spacing w:after="0" w:line="219" w:lineRule="auto"/>
        <w:rPr>
          <w:sz w:val="20"/>
          <w:szCs w:val="20"/>
          <w:color w:val="auto"/>
        </w:rPr>
      </w:pPr>
      <w:r>
        <w:rPr>
          <w:rFonts w:ascii="Arial" w:cs="Arial" w:eastAsia="Arial" w:hAnsi="Arial"/>
          <w:sz w:val="18"/>
          <w:szCs w:val="18"/>
          <w:color w:val="auto"/>
        </w:rPr>
        <w:t>Prue B. Larocca</w:t>
      </w:r>
    </w:p>
    <w:p>
      <w:pPr>
        <w:ind w:left="6480"/>
        <w:spacing w:after="0"/>
        <w:rPr>
          <w:sz w:val="20"/>
          <w:szCs w:val="20"/>
          <w:color w:val="auto"/>
        </w:rPr>
      </w:pPr>
      <w:r>
        <w:rPr>
          <w:rFonts w:ascii="Arial" w:cs="Arial" w:eastAsia="Arial" w:hAnsi="Arial"/>
          <w:sz w:val="18"/>
          <w:szCs w:val="18"/>
          <w:color w:val="auto"/>
        </w:rPr>
        <w:t>Paul E. Mullings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40"/>
          </w:cols>
          <w:pgMar w:left="320" w:top="108" w:right="439" w:bottom="1440" w:gutter="0" w:footer="0" w:header="0"/>
        </w:sectPr>
      </w:pPr>
    </w:p>
    <w:bookmarkStart w:id="54" w:name="page55"/>
    <w:bookmarkEnd w:id="5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2022 Summary Compensation Table</w:t>
      </w:r>
    </w:p>
    <w:p>
      <w:pPr>
        <w:spacing w:after="0" w:line="189" w:lineRule="exact"/>
        <w:rPr>
          <w:sz w:val="20"/>
          <w:szCs w:val="20"/>
          <w:color w:val="auto"/>
        </w:rPr>
      </w:pPr>
    </w:p>
    <w:p>
      <w:pPr>
        <w:ind w:right="300" w:firstLine="648"/>
        <w:spacing w:after="0" w:line="235" w:lineRule="auto"/>
        <w:rPr>
          <w:sz w:val="20"/>
          <w:szCs w:val="20"/>
          <w:color w:val="auto"/>
        </w:rPr>
      </w:pPr>
      <w:r>
        <w:rPr>
          <w:rFonts w:ascii="Arial" w:cs="Arial" w:eastAsia="Arial" w:hAnsi="Arial"/>
          <w:sz w:val="18"/>
          <w:szCs w:val="18"/>
          <w:color w:val="auto"/>
        </w:rPr>
        <w:t>The following table provides information concerning the compensation of our NEOs earned during our fiscal years ended December 31, 2022, 2021, and 2020.</w:t>
      </w:r>
    </w:p>
    <w:p>
      <w:pPr>
        <w:spacing w:after="0" w:line="175" w:lineRule="exact"/>
        <w:rPr>
          <w:sz w:val="20"/>
          <w:szCs w:val="20"/>
          <w:color w:val="auto"/>
        </w:rPr>
      </w:pPr>
    </w:p>
    <w:p>
      <w:pPr>
        <w:ind w:right="40" w:firstLine="648"/>
        <w:spacing w:after="0" w:line="241" w:lineRule="auto"/>
        <w:rPr>
          <w:sz w:val="20"/>
          <w:szCs w:val="20"/>
          <w:color w:val="auto"/>
        </w:rPr>
      </w:pPr>
      <w:r>
        <w:rPr>
          <w:rFonts w:ascii="Arial" w:cs="Arial" w:eastAsia="Arial" w:hAnsi="Arial"/>
          <w:sz w:val="16"/>
          <w:szCs w:val="16"/>
          <w:color w:val="auto"/>
        </w:rPr>
        <w:t>In the column “Salary,” we disclose the amount of base salary paid to the NEO during the fiscal year. See “Base Salary” under “Compensation Program in Detail” above, for a description of the base salaries payable under each NEO’s employment agreement. In the column “Bonus,” we disclose the amount of short-term cash incentive payments earned by the NEO during the fiscal year. See “2022 Corporate Scorecard” for a description of the annual</w:t>
      </w:r>
    </w:p>
    <w:p>
      <w:pPr>
        <w:spacing w:after="0" w:line="2"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scorecard for calculating the cash component of our incentive compensation awards for 2022 that were paid in 2023, and which are included in the Summary Compensation Table for 2022. In the column “Stock Awards,” we disclose awards of RSUs under the 2016 Equity Plan, which includes both performance-based vesting and time-based vesting awards. The grant date fair value of the performance-based vesting RSU awards assumes performance</w:t>
      </w:r>
    </w:p>
    <w:p>
      <w:pPr>
        <w:spacing w:after="0" w:line="231" w:lineRule="auto"/>
        <w:rPr>
          <w:sz w:val="20"/>
          <w:szCs w:val="20"/>
          <w:color w:val="auto"/>
        </w:rPr>
      </w:pPr>
      <w:r>
        <w:rPr>
          <w:rFonts w:ascii="Arial" w:cs="Arial" w:eastAsia="Arial" w:hAnsi="Arial"/>
          <w:sz w:val="16"/>
          <w:szCs w:val="16"/>
          <w:color w:val="auto"/>
        </w:rPr>
        <w:t>achievement at 100% of the target amount. Performance payouts may range from 0% to 200% of the target amount based on actual performance achieved.</w:t>
      </w:r>
    </w:p>
    <w:p>
      <w:pPr>
        <w:spacing w:after="0"/>
        <w:rPr>
          <w:sz w:val="20"/>
          <w:szCs w:val="20"/>
          <w:color w:val="auto"/>
        </w:rPr>
      </w:pPr>
      <w:r>
        <w:rPr>
          <w:rFonts w:ascii="Arial" w:cs="Arial" w:eastAsia="Arial" w:hAnsi="Arial"/>
          <w:sz w:val="18"/>
          <w:szCs w:val="18"/>
          <w:color w:val="auto"/>
        </w:rPr>
        <w:t>See “Equity Incentive Compensation” under “Compensation Discussion and Analysis,” above.</w:t>
      </w:r>
    </w:p>
    <w:p>
      <w:pPr>
        <w:spacing w:after="0" w:line="169" w:lineRule="exact"/>
        <w:rPr>
          <w:sz w:val="20"/>
          <w:szCs w:val="20"/>
          <w:color w:val="auto"/>
        </w:rPr>
      </w:pPr>
    </w:p>
    <w:p>
      <w:pPr>
        <w:ind w:right="80" w:firstLine="648"/>
        <w:spacing w:after="0" w:line="246" w:lineRule="auto"/>
        <w:rPr>
          <w:sz w:val="20"/>
          <w:szCs w:val="20"/>
          <w:color w:val="auto"/>
        </w:rPr>
      </w:pPr>
      <w:r>
        <w:rPr>
          <w:rFonts w:ascii="Arial" w:cs="Arial" w:eastAsia="Arial" w:hAnsi="Arial"/>
          <w:sz w:val="18"/>
          <w:szCs w:val="18"/>
          <w:color w:val="auto"/>
        </w:rPr>
        <w:t>The amounts in the column “All Other Compensation” represent employer matches for employee contributions to our 401(k) plan. The NEOs did not have any perquisites or other personal benefits in excess of the reporting thresholds during the fiscal year.</w:t>
      </w:r>
    </w:p>
    <w:p>
      <w:pPr>
        <w:spacing w:after="0" w:line="191" w:lineRule="exact"/>
        <w:rPr>
          <w:sz w:val="20"/>
          <w:szCs w:val="20"/>
          <w:color w:val="auto"/>
        </w:rPr>
      </w:pPr>
    </w:p>
    <w:tbl>
      <w:tblPr>
        <w:tblLayout w:type="fixed"/>
        <w:tblInd w:w="0" w:type="dxa"/>
        <w:tblCellMar>
          <w:top w:w="0" w:type="dxa"/>
          <w:left w:w="0" w:type="dxa"/>
          <w:bottom w:w="0" w:type="dxa"/>
          <w:right w:w="0" w:type="dxa"/>
        </w:tblCellMar>
      </w:tblPr>
      <w:tr>
        <w:trPr>
          <w:trHeight w:val="135"/>
        </w:trPr>
        <w:tc>
          <w:tcPr>
            <w:tcW w:w="4860" w:type="dxa"/>
            <w:vAlign w:val="bottom"/>
            <w:tcBorders>
              <w:top w:val="single" w:sz="8" w:color="407CCA"/>
            </w:tcBorders>
          </w:tcPr>
          <w:p>
            <w:pPr>
              <w:spacing w:after="0"/>
              <w:rPr>
                <w:sz w:val="11"/>
                <w:szCs w:val="11"/>
                <w:color w:val="auto"/>
              </w:rPr>
            </w:pPr>
          </w:p>
        </w:tc>
        <w:tc>
          <w:tcPr>
            <w:tcW w:w="700" w:type="dxa"/>
            <w:vAlign w:val="bottom"/>
            <w:tcBorders>
              <w:top w:val="single" w:sz="8" w:color="407CCA"/>
            </w:tcBorders>
          </w:tcPr>
          <w:p>
            <w:pPr>
              <w:spacing w:after="0"/>
              <w:rPr>
                <w:sz w:val="11"/>
                <w:szCs w:val="11"/>
                <w:color w:val="auto"/>
              </w:rPr>
            </w:pPr>
          </w:p>
        </w:tc>
        <w:tc>
          <w:tcPr>
            <w:tcW w:w="1000" w:type="dxa"/>
            <w:vAlign w:val="bottom"/>
            <w:tcBorders>
              <w:top w:val="single" w:sz="8" w:color="407CCA"/>
            </w:tcBorders>
            <w:vMerge w:val="restart"/>
          </w:tcPr>
          <w:p>
            <w:pPr>
              <w:ind w:left="320"/>
              <w:spacing w:after="0"/>
              <w:rPr>
                <w:sz w:val="20"/>
                <w:szCs w:val="20"/>
                <w:color w:val="auto"/>
              </w:rPr>
            </w:pPr>
            <w:r>
              <w:rPr>
                <w:rFonts w:ascii="Arial" w:cs="Arial" w:eastAsia="Arial" w:hAnsi="Arial"/>
                <w:sz w:val="13"/>
                <w:szCs w:val="13"/>
                <w:b w:val="1"/>
                <w:bCs w:val="1"/>
                <w:color w:val="auto"/>
              </w:rPr>
              <w:t>Salary</w:t>
            </w:r>
          </w:p>
        </w:tc>
        <w:tc>
          <w:tcPr>
            <w:tcW w:w="1000" w:type="dxa"/>
            <w:vAlign w:val="bottom"/>
            <w:tcBorders>
              <w:top w:val="single" w:sz="8" w:color="407CCA"/>
            </w:tcBorders>
            <w:vMerge w:val="restart"/>
          </w:tcPr>
          <w:p>
            <w:pPr>
              <w:ind w:left="320"/>
              <w:spacing w:after="0"/>
              <w:rPr>
                <w:sz w:val="20"/>
                <w:szCs w:val="20"/>
                <w:color w:val="auto"/>
              </w:rPr>
            </w:pPr>
            <w:r>
              <w:rPr>
                <w:rFonts w:ascii="Arial" w:cs="Arial" w:eastAsia="Arial" w:hAnsi="Arial"/>
                <w:sz w:val="13"/>
                <w:szCs w:val="13"/>
                <w:b w:val="1"/>
                <w:bCs w:val="1"/>
                <w:color w:val="auto"/>
              </w:rPr>
              <w:t>Bonus</w:t>
            </w:r>
          </w:p>
        </w:tc>
        <w:tc>
          <w:tcPr>
            <w:tcW w:w="980" w:type="dxa"/>
            <w:vAlign w:val="bottom"/>
            <w:tcBorders>
              <w:top w:val="single" w:sz="8" w:color="407CCA"/>
            </w:tcBorders>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100" w:type="dxa"/>
            <w:vAlign w:val="bottom"/>
            <w:tcBorders>
              <w:top w:val="single" w:sz="8" w:color="407CCA"/>
            </w:tcBorders>
          </w:tcPr>
          <w:p>
            <w:pPr>
              <w:jc w:val="center"/>
              <w:spacing w:after="0" w:line="135" w:lineRule="exact"/>
              <w:rPr>
                <w:sz w:val="20"/>
                <w:szCs w:val="20"/>
                <w:color w:val="auto"/>
              </w:rPr>
            </w:pPr>
            <w:r>
              <w:rPr>
                <w:rFonts w:ascii="Arial" w:cs="Arial" w:eastAsia="Arial" w:hAnsi="Arial"/>
                <w:sz w:val="13"/>
                <w:szCs w:val="13"/>
                <w:b w:val="1"/>
                <w:bCs w:val="1"/>
                <w:color w:val="auto"/>
                <w:w w:val="94"/>
              </w:rPr>
              <w:t>All Other</w:t>
            </w:r>
          </w:p>
        </w:tc>
        <w:tc>
          <w:tcPr>
            <w:tcW w:w="1080" w:type="dxa"/>
            <w:vAlign w:val="bottom"/>
            <w:tcBorders>
              <w:top w:val="single" w:sz="8" w:color="407CCA"/>
            </w:tcBorders>
            <w:vMerge w:val="restart"/>
          </w:tcPr>
          <w:p>
            <w:pPr>
              <w:ind w:left="38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2"/>
        </w:trPr>
        <w:tc>
          <w:tcPr>
            <w:tcW w:w="4860" w:type="dxa"/>
            <w:vAlign w:val="bottom"/>
            <w:vMerge w:val="restart"/>
          </w:tcPr>
          <w:p>
            <w:pPr>
              <w:ind w:left="20"/>
              <w:spacing w:after="0"/>
              <w:rPr>
                <w:sz w:val="20"/>
                <w:szCs w:val="20"/>
                <w:color w:val="auto"/>
              </w:rPr>
            </w:pPr>
            <w:r>
              <w:rPr>
                <w:rFonts w:ascii="Arial" w:cs="Arial" w:eastAsia="Arial" w:hAnsi="Arial"/>
                <w:sz w:val="16"/>
                <w:szCs w:val="16"/>
                <w:b w:val="1"/>
                <w:bCs w:val="1"/>
                <w:color w:val="auto"/>
              </w:rPr>
              <w:t>Name and Principal Position</w:t>
            </w:r>
          </w:p>
        </w:tc>
        <w:tc>
          <w:tcPr>
            <w:tcW w:w="700" w:type="dxa"/>
            <w:vAlign w:val="bottom"/>
          </w:tcPr>
          <w:p>
            <w:pPr>
              <w:spacing w:after="0"/>
              <w:rPr>
                <w:sz w:val="10"/>
                <w:szCs w:val="10"/>
                <w:color w:val="auto"/>
              </w:rPr>
            </w:pPr>
          </w:p>
        </w:tc>
        <w:tc>
          <w:tcPr>
            <w:tcW w:w="1000" w:type="dxa"/>
            <w:vAlign w:val="bottom"/>
            <w:vMerge w:val="continue"/>
          </w:tcPr>
          <w:p>
            <w:pPr>
              <w:spacing w:after="0"/>
              <w:rPr>
                <w:sz w:val="10"/>
                <w:szCs w:val="10"/>
                <w:color w:val="auto"/>
              </w:rPr>
            </w:pPr>
          </w:p>
        </w:tc>
        <w:tc>
          <w:tcPr>
            <w:tcW w:w="1000" w:type="dxa"/>
            <w:vAlign w:val="bottom"/>
            <w:vMerge w:val="continue"/>
          </w:tcPr>
          <w:p>
            <w:pPr>
              <w:spacing w:after="0"/>
              <w:rPr>
                <w:sz w:val="10"/>
                <w:szCs w:val="10"/>
                <w:color w:val="auto"/>
              </w:rPr>
            </w:pPr>
          </w:p>
        </w:tc>
        <w:tc>
          <w:tcPr>
            <w:tcW w:w="9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w w:val="99"/>
              </w:rPr>
              <w:t xml:space="preserve">Awards </w:t>
            </w:r>
            <w:r>
              <w:rPr>
                <w:rFonts w:ascii="Arial" w:cs="Arial" w:eastAsia="Arial" w:hAnsi="Arial"/>
                <w:sz w:val="14"/>
                <w:szCs w:val="14"/>
                <w:b w:val="1"/>
                <w:bCs w:val="1"/>
                <w:color w:val="auto"/>
                <w:w w:val="99"/>
                <w:vertAlign w:val="superscript"/>
              </w:rPr>
              <w:t>1</w:t>
            </w:r>
          </w:p>
        </w:tc>
        <w:tc>
          <w:tcPr>
            <w:tcW w:w="110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4"/>
              </w:rPr>
              <w:t>Compensation</w:t>
            </w:r>
          </w:p>
        </w:tc>
        <w:tc>
          <w:tcPr>
            <w:tcW w:w="10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3"/>
        </w:trPr>
        <w:tc>
          <w:tcPr>
            <w:tcW w:w="4860" w:type="dxa"/>
            <w:vAlign w:val="bottom"/>
            <w:vMerge w:val="continue"/>
          </w:tcPr>
          <w:p>
            <w:pPr>
              <w:spacing w:after="0"/>
              <w:rPr>
                <w:sz w:val="15"/>
                <w:szCs w:val="15"/>
                <w:color w:val="auto"/>
              </w:rPr>
            </w:pPr>
          </w:p>
        </w:tc>
        <w:tc>
          <w:tcPr>
            <w:tcW w:w="700" w:type="dxa"/>
            <w:vAlign w:val="bottom"/>
          </w:tcPr>
          <w:p>
            <w:pPr>
              <w:jc w:val="center"/>
              <w:spacing w:after="0"/>
              <w:rPr>
                <w:sz w:val="20"/>
                <w:szCs w:val="20"/>
                <w:color w:val="auto"/>
              </w:rPr>
            </w:pPr>
            <w:r>
              <w:rPr>
                <w:rFonts w:ascii="Arial" w:cs="Arial" w:eastAsia="Arial" w:hAnsi="Arial"/>
                <w:sz w:val="13"/>
                <w:szCs w:val="13"/>
                <w:b w:val="1"/>
                <w:bCs w:val="1"/>
                <w:color w:val="auto"/>
                <w:w w:val="92"/>
              </w:rPr>
              <w:t>Year</w:t>
            </w:r>
          </w:p>
        </w:tc>
        <w:tc>
          <w:tcPr>
            <w:tcW w:w="100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100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98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110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108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182"/>
        </w:trPr>
        <w:tc>
          <w:tcPr>
            <w:tcW w:w="4860" w:type="dxa"/>
            <w:vAlign w:val="bottom"/>
          </w:tcPr>
          <w:p>
            <w:pPr>
              <w:ind w:left="20"/>
              <w:spacing w:after="0" w:line="182" w:lineRule="exact"/>
              <w:rPr>
                <w:sz w:val="20"/>
                <w:szCs w:val="20"/>
                <w:color w:val="auto"/>
              </w:rPr>
            </w:pPr>
            <w:r>
              <w:rPr>
                <w:rFonts w:ascii="Arial" w:cs="Arial" w:eastAsia="Arial" w:hAnsi="Arial"/>
                <w:sz w:val="18"/>
                <w:szCs w:val="18"/>
                <w:color w:val="auto"/>
              </w:rPr>
              <w:t>Peter J. Federico</w:t>
            </w:r>
          </w:p>
        </w:tc>
        <w:tc>
          <w:tcPr>
            <w:tcW w:w="700" w:type="dxa"/>
            <w:vAlign w:val="bottom"/>
          </w:tcPr>
          <w:p>
            <w:pPr>
              <w:jc w:val="center"/>
              <w:spacing w:after="0" w:line="181" w:lineRule="exact"/>
              <w:rPr>
                <w:sz w:val="20"/>
                <w:szCs w:val="20"/>
                <w:color w:val="auto"/>
              </w:rPr>
            </w:pPr>
            <w:r>
              <w:rPr>
                <w:rFonts w:ascii="Arial" w:cs="Arial" w:eastAsia="Arial" w:hAnsi="Arial"/>
                <w:sz w:val="16"/>
                <w:szCs w:val="16"/>
                <w:color w:val="auto"/>
                <w:w w:val="89"/>
              </w:rPr>
              <w:t>2022</w:t>
            </w:r>
          </w:p>
        </w:tc>
        <w:tc>
          <w:tcPr>
            <w:tcW w:w="1000" w:type="dxa"/>
            <w:vAlign w:val="bottom"/>
          </w:tcPr>
          <w:p>
            <w:pPr>
              <w:jc w:val="center"/>
              <w:spacing w:after="0" w:line="181" w:lineRule="exact"/>
              <w:rPr>
                <w:sz w:val="20"/>
                <w:szCs w:val="20"/>
                <w:color w:val="auto"/>
              </w:rPr>
            </w:pPr>
            <w:r>
              <w:rPr>
                <w:rFonts w:ascii="Arial" w:cs="Arial" w:eastAsia="Arial" w:hAnsi="Arial"/>
                <w:sz w:val="16"/>
                <w:szCs w:val="16"/>
                <w:color w:val="auto"/>
                <w:w w:val="89"/>
              </w:rPr>
              <w:t>900,000</w:t>
            </w:r>
          </w:p>
        </w:tc>
        <w:tc>
          <w:tcPr>
            <w:tcW w:w="1000" w:type="dxa"/>
            <w:vAlign w:val="bottom"/>
          </w:tcPr>
          <w:p>
            <w:pPr>
              <w:jc w:val="center"/>
              <w:spacing w:after="0" w:line="181" w:lineRule="exact"/>
              <w:rPr>
                <w:sz w:val="20"/>
                <w:szCs w:val="20"/>
                <w:color w:val="auto"/>
              </w:rPr>
            </w:pPr>
            <w:r>
              <w:rPr>
                <w:rFonts w:ascii="Arial" w:cs="Arial" w:eastAsia="Arial" w:hAnsi="Arial"/>
                <w:sz w:val="16"/>
                <w:szCs w:val="16"/>
                <w:color w:val="auto"/>
                <w:w w:val="89"/>
              </w:rPr>
              <w:t>2,228,400</w:t>
            </w:r>
          </w:p>
        </w:tc>
        <w:tc>
          <w:tcPr>
            <w:tcW w:w="980" w:type="dxa"/>
            <w:vAlign w:val="bottom"/>
          </w:tcPr>
          <w:p>
            <w:pPr>
              <w:jc w:val="center"/>
              <w:spacing w:after="0" w:line="181" w:lineRule="exact"/>
              <w:rPr>
                <w:sz w:val="20"/>
                <w:szCs w:val="20"/>
                <w:color w:val="auto"/>
              </w:rPr>
            </w:pPr>
            <w:r>
              <w:rPr>
                <w:rFonts w:ascii="Arial" w:cs="Arial" w:eastAsia="Arial" w:hAnsi="Arial"/>
                <w:sz w:val="16"/>
                <w:szCs w:val="16"/>
                <w:color w:val="auto"/>
                <w:w w:val="89"/>
              </w:rPr>
              <w:t>4,500,000</w:t>
            </w:r>
          </w:p>
        </w:tc>
        <w:tc>
          <w:tcPr>
            <w:tcW w:w="1100" w:type="dxa"/>
            <w:vAlign w:val="bottom"/>
          </w:tcPr>
          <w:p>
            <w:pPr>
              <w:jc w:val="center"/>
              <w:spacing w:after="0" w:line="181" w:lineRule="exact"/>
              <w:rPr>
                <w:sz w:val="20"/>
                <w:szCs w:val="20"/>
                <w:color w:val="auto"/>
              </w:rPr>
            </w:pPr>
            <w:r>
              <w:rPr>
                <w:rFonts w:ascii="Arial" w:cs="Arial" w:eastAsia="Arial" w:hAnsi="Arial"/>
                <w:sz w:val="16"/>
                <w:szCs w:val="16"/>
                <w:color w:val="auto"/>
                <w:w w:val="89"/>
              </w:rPr>
              <w:t>18,300</w:t>
            </w:r>
          </w:p>
        </w:tc>
        <w:tc>
          <w:tcPr>
            <w:tcW w:w="1080" w:type="dxa"/>
            <w:vAlign w:val="bottom"/>
          </w:tcPr>
          <w:p>
            <w:pPr>
              <w:jc w:val="center"/>
              <w:spacing w:after="0" w:line="181" w:lineRule="exact"/>
              <w:rPr>
                <w:sz w:val="20"/>
                <w:szCs w:val="20"/>
                <w:color w:val="auto"/>
              </w:rPr>
            </w:pPr>
            <w:r>
              <w:rPr>
                <w:rFonts w:ascii="Arial" w:cs="Arial" w:eastAsia="Arial" w:hAnsi="Arial"/>
                <w:sz w:val="16"/>
                <w:szCs w:val="16"/>
                <w:color w:val="auto"/>
                <w:w w:val="89"/>
              </w:rPr>
              <w:t>7,646,700</w:t>
            </w:r>
          </w:p>
        </w:tc>
        <w:tc>
          <w:tcPr>
            <w:tcW w:w="0" w:type="dxa"/>
            <w:vAlign w:val="bottom"/>
          </w:tcPr>
          <w:p>
            <w:pPr>
              <w:spacing w:after="0"/>
              <w:rPr>
                <w:sz w:val="1"/>
                <w:szCs w:val="1"/>
                <w:color w:val="auto"/>
              </w:rPr>
            </w:pPr>
          </w:p>
        </w:tc>
      </w:tr>
      <w:tr>
        <w:trPr>
          <w:trHeight w:val="260"/>
        </w:trPr>
        <w:tc>
          <w:tcPr>
            <w:tcW w:w="4860" w:type="dxa"/>
            <w:vAlign w:val="bottom"/>
          </w:tcPr>
          <w:p>
            <w:pPr>
              <w:ind w:left="20"/>
              <w:spacing w:after="0" w:line="261" w:lineRule="exact"/>
              <w:rPr>
                <w:sz w:val="20"/>
                <w:szCs w:val="20"/>
                <w:color w:val="auto"/>
              </w:rPr>
            </w:pPr>
            <w:r>
              <w:rPr>
                <w:rFonts w:ascii="Arial" w:cs="Arial" w:eastAsia="Arial" w:hAnsi="Arial"/>
                <w:sz w:val="18"/>
                <w:szCs w:val="18"/>
                <w:i w:val="1"/>
                <w:iCs w:val="1"/>
                <w:color w:val="auto"/>
              </w:rPr>
              <w:t>President and Chief Executive Officer</w:t>
            </w:r>
            <w:r>
              <w:rPr>
                <w:rFonts w:ascii="Arial" w:cs="Arial" w:eastAsia="Arial" w:hAnsi="Arial"/>
                <w:sz w:val="23"/>
                <w:szCs w:val="23"/>
                <w:i w:val="1"/>
                <w:iCs w:val="1"/>
                <w:color w:val="auto"/>
                <w:vertAlign w:val="superscript"/>
              </w:rPr>
              <w:t>2</w:t>
            </w:r>
          </w:p>
        </w:tc>
        <w:tc>
          <w:tcPr>
            <w:tcW w:w="700" w:type="dxa"/>
            <w:vAlign w:val="bottom"/>
          </w:tcPr>
          <w:p>
            <w:pPr>
              <w:jc w:val="center"/>
              <w:spacing w:after="0"/>
              <w:rPr>
                <w:sz w:val="20"/>
                <w:szCs w:val="20"/>
                <w:color w:val="auto"/>
              </w:rPr>
            </w:pPr>
            <w:r>
              <w:rPr>
                <w:rFonts w:ascii="Arial" w:cs="Arial" w:eastAsia="Arial" w:hAnsi="Arial"/>
                <w:sz w:val="16"/>
                <w:szCs w:val="16"/>
                <w:color w:val="auto"/>
                <w:w w:val="89"/>
              </w:rPr>
              <w:t>2021</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900,000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2,632,500</w:t>
            </w:r>
          </w:p>
        </w:tc>
        <w:tc>
          <w:tcPr>
            <w:tcW w:w="980" w:type="dxa"/>
            <w:vAlign w:val="bottom"/>
          </w:tcPr>
          <w:p>
            <w:pPr>
              <w:jc w:val="center"/>
              <w:spacing w:after="0"/>
              <w:rPr>
                <w:sz w:val="20"/>
                <w:szCs w:val="20"/>
                <w:color w:val="auto"/>
              </w:rPr>
            </w:pPr>
            <w:r>
              <w:rPr>
                <w:rFonts w:ascii="Arial" w:cs="Arial" w:eastAsia="Arial" w:hAnsi="Arial"/>
                <w:sz w:val="16"/>
                <w:szCs w:val="16"/>
                <w:color w:val="auto"/>
                <w:w w:val="89"/>
              </w:rPr>
              <w:t>3,400,000</w:t>
            </w:r>
          </w:p>
        </w:tc>
        <w:tc>
          <w:tcPr>
            <w:tcW w:w="1100" w:type="dxa"/>
            <w:vAlign w:val="bottom"/>
          </w:tcPr>
          <w:p>
            <w:pPr>
              <w:jc w:val="center"/>
              <w:spacing w:after="0"/>
              <w:rPr>
                <w:sz w:val="20"/>
                <w:szCs w:val="20"/>
                <w:color w:val="auto"/>
              </w:rPr>
            </w:pPr>
            <w:r>
              <w:rPr>
                <w:rFonts w:ascii="Arial" w:cs="Arial" w:eastAsia="Arial" w:hAnsi="Arial"/>
                <w:sz w:val="16"/>
                <w:szCs w:val="16"/>
                <w:color w:val="auto"/>
                <w:w w:val="89"/>
              </w:rPr>
              <w:t>17,400</w:t>
            </w:r>
          </w:p>
        </w:tc>
        <w:tc>
          <w:tcPr>
            <w:tcW w:w="1080" w:type="dxa"/>
            <w:vAlign w:val="bottom"/>
          </w:tcPr>
          <w:p>
            <w:pPr>
              <w:jc w:val="center"/>
              <w:spacing w:after="0"/>
              <w:rPr>
                <w:sz w:val="20"/>
                <w:szCs w:val="20"/>
                <w:color w:val="auto"/>
              </w:rPr>
            </w:pPr>
            <w:r>
              <w:rPr>
                <w:rFonts w:ascii="Arial" w:cs="Arial" w:eastAsia="Arial" w:hAnsi="Arial"/>
                <w:sz w:val="16"/>
                <w:szCs w:val="16"/>
                <w:color w:val="auto"/>
                <w:w w:val="89"/>
              </w:rPr>
              <w:t>6,949,900</w:t>
            </w:r>
          </w:p>
        </w:tc>
        <w:tc>
          <w:tcPr>
            <w:tcW w:w="0" w:type="dxa"/>
            <w:vAlign w:val="bottom"/>
          </w:tcPr>
          <w:p>
            <w:pPr>
              <w:spacing w:after="0"/>
              <w:rPr>
                <w:sz w:val="1"/>
                <w:szCs w:val="1"/>
                <w:color w:val="auto"/>
              </w:rPr>
            </w:pPr>
          </w:p>
        </w:tc>
      </w:tr>
      <w:tr>
        <w:trPr>
          <w:trHeight w:val="209"/>
        </w:trPr>
        <w:tc>
          <w:tcPr>
            <w:tcW w:w="4860" w:type="dxa"/>
            <w:vAlign w:val="bottom"/>
          </w:tcPr>
          <w:p>
            <w:pPr>
              <w:spacing w:after="0"/>
              <w:rPr>
                <w:sz w:val="18"/>
                <w:szCs w:val="18"/>
                <w:color w:val="auto"/>
              </w:rPr>
            </w:pPr>
          </w:p>
        </w:tc>
        <w:tc>
          <w:tcPr>
            <w:tcW w:w="700" w:type="dxa"/>
            <w:vAlign w:val="bottom"/>
          </w:tcPr>
          <w:p>
            <w:pPr>
              <w:jc w:val="center"/>
              <w:spacing w:after="0"/>
              <w:rPr>
                <w:sz w:val="20"/>
                <w:szCs w:val="20"/>
                <w:color w:val="auto"/>
              </w:rPr>
            </w:pPr>
            <w:r>
              <w:rPr>
                <w:rFonts w:ascii="Arial" w:cs="Arial" w:eastAsia="Arial" w:hAnsi="Arial"/>
                <w:sz w:val="16"/>
                <w:szCs w:val="16"/>
                <w:color w:val="auto"/>
                <w:w w:val="89"/>
              </w:rPr>
              <w:t>2020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900,000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2,269,800</w:t>
            </w:r>
          </w:p>
        </w:tc>
        <w:tc>
          <w:tcPr>
            <w:tcW w:w="980" w:type="dxa"/>
            <w:vAlign w:val="bottom"/>
          </w:tcPr>
          <w:p>
            <w:pPr>
              <w:jc w:val="center"/>
              <w:spacing w:after="0"/>
              <w:rPr>
                <w:sz w:val="20"/>
                <w:szCs w:val="20"/>
                <w:color w:val="auto"/>
              </w:rPr>
            </w:pPr>
            <w:r>
              <w:rPr>
                <w:rFonts w:ascii="Arial" w:cs="Arial" w:eastAsia="Arial" w:hAnsi="Arial"/>
                <w:sz w:val="16"/>
                <w:szCs w:val="16"/>
                <w:color w:val="auto"/>
                <w:w w:val="89"/>
              </w:rPr>
              <w:t>2,300,000</w:t>
            </w:r>
          </w:p>
        </w:tc>
        <w:tc>
          <w:tcPr>
            <w:tcW w:w="1100" w:type="dxa"/>
            <w:vAlign w:val="bottom"/>
          </w:tcPr>
          <w:p>
            <w:pPr>
              <w:jc w:val="center"/>
              <w:spacing w:after="0"/>
              <w:rPr>
                <w:sz w:val="20"/>
                <w:szCs w:val="20"/>
                <w:color w:val="auto"/>
              </w:rPr>
            </w:pPr>
            <w:r>
              <w:rPr>
                <w:rFonts w:ascii="Arial" w:cs="Arial" w:eastAsia="Arial" w:hAnsi="Arial"/>
                <w:sz w:val="16"/>
                <w:szCs w:val="16"/>
                <w:color w:val="auto"/>
                <w:w w:val="89"/>
              </w:rPr>
              <w:t>17,100</w:t>
            </w:r>
          </w:p>
        </w:tc>
        <w:tc>
          <w:tcPr>
            <w:tcW w:w="1080" w:type="dxa"/>
            <w:vAlign w:val="bottom"/>
          </w:tcPr>
          <w:p>
            <w:pPr>
              <w:jc w:val="center"/>
              <w:spacing w:after="0"/>
              <w:rPr>
                <w:sz w:val="20"/>
                <w:szCs w:val="20"/>
                <w:color w:val="auto"/>
              </w:rPr>
            </w:pPr>
            <w:r>
              <w:rPr>
                <w:rFonts w:ascii="Arial" w:cs="Arial" w:eastAsia="Arial" w:hAnsi="Arial"/>
                <w:sz w:val="16"/>
                <w:szCs w:val="16"/>
                <w:color w:val="auto"/>
                <w:w w:val="89"/>
              </w:rPr>
              <w:t>5,486,900</w:t>
            </w:r>
          </w:p>
        </w:tc>
        <w:tc>
          <w:tcPr>
            <w:tcW w:w="0" w:type="dxa"/>
            <w:vAlign w:val="bottom"/>
          </w:tcPr>
          <w:p>
            <w:pPr>
              <w:spacing w:after="0"/>
              <w:rPr>
                <w:sz w:val="1"/>
                <w:szCs w:val="1"/>
                <w:color w:val="auto"/>
              </w:rPr>
            </w:pPr>
          </w:p>
        </w:tc>
      </w:tr>
      <w:tr>
        <w:trPr>
          <w:trHeight w:val="178"/>
        </w:trPr>
        <w:tc>
          <w:tcPr>
            <w:tcW w:w="4860" w:type="dxa"/>
            <w:vAlign w:val="bottom"/>
            <w:shd w:val="clear" w:color="auto" w:fill="DBDBDB"/>
          </w:tcPr>
          <w:p>
            <w:pPr>
              <w:ind w:left="20"/>
              <w:spacing w:after="0" w:line="178" w:lineRule="exact"/>
              <w:rPr>
                <w:sz w:val="20"/>
                <w:szCs w:val="20"/>
                <w:color w:val="auto"/>
              </w:rPr>
            </w:pPr>
            <w:r>
              <w:rPr>
                <w:rFonts w:ascii="Arial" w:cs="Arial" w:eastAsia="Arial" w:hAnsi="Arial"/>
                <w:sz w:val="18"/>
                <w:szCs w:val="18"/>
                <w:color w:val="auto"/>
              </w:rPr>
              <w:t>Gary D. Kain</w:t>
            </w:r>
          </w:p>
        </w:tc>
        <w:tc>
          <w:tcPr>
            <w:tcW w:w="7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2022</w:t>
            </w:r>
          </w:p>
        </w:tc>
        <w:tc>
          <w:tcPr>
            <w:tcW w:w="10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500,000</w:t>
            </w:r>
          </w:p>
        </w:tc>
        <w:tc>
          <w:tcPr>
            <w:tcW w:w="10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2,228,400</w:t>
            </w:r>
          </w:p>
        </w:tc>
        <w:tc>
          <w:tcPr>
            <w:tcW w:w="98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4,200,000</w:t>
            </w:r>
          </w:p>
        </w:tc>
        <w:tc>
          <w:tcPr>
            <w:tcW w:w="11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18,300</w:t>
            </w:r>
          </w:p>
        </w:tc>
        <w:tc>
          <w:tcPr>
            <w:tcW w:w="108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6,946,700</w:t>
            </w:r>
          </w:p>
        </w:tc>
        <w:tc>
          <w:tcPr>
            <w:tcW w:w="0" w:type="dxa"/>
            <w:vAlign w:val="bottom"/>
          </w:tcPr>
          <w:p>
            <w:pPr>
              <w:spacing w:after="0"/>
              <w:rPr>
                <w:sz w:val="1"/>
                <w:szCs w:val="1"/>
                <w:color w:val="auto"/>
              </w:rPr>
            </w:pPr>
          </w:p>
        </w:tc>
      </w:tr>
      <w:tr>
        <w:trPr>
          <w:trHeight w:val="270"/>
        </w:trPr>
        <w:tc>
          <w:tcPr>
            <w:tcW w:w="4860" w:type="dxa"/>
            <w:vAlign w:val="bottom"/>
            <w:shd w:val="clear" w:color="auto" w:fill="DBDBDB"/>
          </w:tcPr>
          <w:p>
            <w:pPr>
              <w:ind w:left="20"/>
              <w:spacing w:after="0"/>
              <w:rPr>
                <w:sz w:val="20"/>
                <w:szCs w:val="20"/>
                <w:color w:val="auto"/>
              </w:rPr>
            </w:pPr>
            <w:r>
              <w:rPr>
                <w:rFonts w:ascii="Arial" w:cs="Arial" w:eastAsia="Arial" w:hAnsi="Arial"/>
                <w:sz w:val="18"/>
                <w:szCs w:val="18"/>
                <w:i w:val="1"/>
                <w:iCs w:val="1"/>
                <w:color w:val="auto"/>
              </w:rPr>
              <w:t>Executive Chair</w:t>
            </w:r>
            <w:r>
              <w:rPr>
                <w:rFonts w:ascii="Arial" w:cs="Arial" w:eastAsia="Arial" w:hAnsi="Arial"/>
                <w:sz w:val="23"/>
                <w:szCs w:val="23"/>
                <w:i w:val="1"/>
                <w:iCs w:val="1"/>
                <w:color w:val="auto"/>
                <w:vertAlign w:val="superscript"/>
              </w:rPr>
              <w:t>3</w:t>
            </w:r>
          </w:p>
        </w:tc>
        <w:tc>
          <w:tcPr>
            <w:tcW w:w="7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2021</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700,000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4,387,500</w:t>
            </w:r>
          </w:p>
        </w:tc>
        <w:tc>
          <w:tcPr>
            <w:tcW w:w="9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6,150,000</w:t>
            </w:r>
          </w:p>
        </w:tc>
        <w:tc>
          <w:tcPr>
            <w:tcW w:w="11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17,400</w:t>
            </w:r>
          </w:p>
        </w:tc>
        <w:tc>
          <w:tcPr>
            <w:tcW w:w="10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11,254,900</w:t>
            </w:r>
          </w:p>
        </w:tc>
        <w:tc>
          <w:tcPr>
            <w:tcW w:w="0" w:type="dxa"/>
            <w:vAlign w:val="bottom"/>
          </w:tcPr>
          <w:p>
            <w:pPr>
              <w:spacing w:after="0"/>
              <w:rPr>
                <w:sz w:val="1"/>
                <w:szCs w:val="1"/>
                <w:color w:val="auto"/>
              </w:rPr>
            </w:pPr>
          </w:p>
        </w:tc>
      </w:tr>
      <w:tr>
        <w:trPr>
          <w:trHeight w:val="229"/>
        </w:trPr>
        <w:tc>
          <w:tcPr>
            <w:tcW w:w="4860" w:type="dxa"/>
            <w:vAlign w:val="bottom"/>
            <w:shd w:val="clear" w:color="auto" w:fill="DBDBDB"/>
          </w:tcPr>
          <w:p>
            <w:pPr>
              <w:spacing w:after="0"/>
              <w:rPr>
                <w:sz w:val="19"/>
                <w:szCs w:val="19"/>
                <w:color w:val="auto"/>
              </w:rPr>
            </w:pPr>
          </w:p>
        </w:tc>
        <w:tc>
          <w:tcPr>
            <w:tcW w:w="7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2020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900,000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6,809,400</w:t>
            </w:r>
          </w:p>
        </w:tc>
        <w:tc>
          <w:tcPr>
            <w:tcW w:w="9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8,100,000</w:t>
            </w:r>
          </w:p>
        </w:tc>
        <w:tc>
          <w:tcPr>
            <w:tcW w:w="11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17,100</w:t>
            </w:r>
          </w:p>
        </w:tc>
        <w:tc>
          <w:tcPr>
            <w:tcW w:w="10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15,826,500</w:t>
            </w:r>
          </w:p>
        </w:tc>
        <w:tc>
          <w:tcPr>
            <w:tcW w:w="0" w:type="dxa"/>
            <w:vAlign w:val="bottom"/>
          </w:tcPr>
          <w:p>
            <w:pPr>
              <w:spacing w:after="0"/>
              <w:rPr>
                <w:sz w:val="1"/>
                <w:szCs w:val="1"/>
                <w:color w:val="auto"/>
              </w:rPr>
            </w:pPr>
          </w:p>
        </w:tc>
      </w:tr>
      <w:tr>
        <w:trPr>
          <w:trHeight w:val="166"/>
        </w:trPr>
        <w:tc>
          <w:tcPr>
            <w:tcW w:w="4860" w:type="dxa"/>
            <w:vAlign w:val="bottom"/>
          </w:tcPr>
          <w:p>
            <w:pPr>
              <w:ind w:left="20"/>
              <w:spacing w:after="0" w:line="166" w:lineRule="exact"/>
              <w:rPr>
                <w:sz w:val="20"/>
                <w:szCs w:val="20"/>
                <w:color w:val="auto"/>
              </w:rPr>
            </w:pPr>
            <w:r>
              <w:rPr>
                <w:rFonts w:ascii="Arial" w:cs="Arial" w:eastAsia="Arial" w:hAnsi="Arial"/>
                <w:sz w:val="16"/>
                <w:szCs w:val="16"/>
                <w:color w:val="auto"/>
              </w:rPr>
              <w:t>Christopher J. Kuehl</w:t>
            </w:r>
          </w:p>
        </w:tc>
        <w:tc>
          <w:tcPr>
            <w:tcW w:w="700" w:type="dxa"/>
            <w:vAlign w:val="bottom"/>
          </w:tcPr>
          <w:p>
            <w:pPr>
              <w:jc w:val="center"/>
              <w:spacing w:after="0" w:line="166" w:lineRule="exact"/>
              <w:rPr>
                <w:sz w:val="20"/>
                <w:szCs w:val="20"/>
                <w:color w:val="auto"/>
              </w:rPr>
            </w:pPr>
            <w:r>
              <w:rPr>
                <w:rFonts w:ascii="Arial" w:cs="Arial" w:eastAsia="Arial" w:hAnsi="Arial"/>
                <w:sz w:val="16"/>
                <w:szCs w:val="16"/>
                <w:color w:val="auto"/>
                <w:w w:val="89"/>
              </w:rPr>
              <w:t>2022</w:t>
            </w:r>
          </w:p>
        </w:tc>
        <w:tc>
          <w:tcPr>
            <w:tcW w:w="1000" w:type="dxa"/>
            <w:vAlign w:val="bottom"/>
          </w:tcPr>
          <w:p>
            <w:pPr>
              <w:jc w:val="center"/>
              <w:spacing w:after="0" w:line="166" w:lineRule="exact"/>
              <w:rPr>
                <w:sz w:val="20"/>
                <w:szCs w:val="20"/>
                <w:color w:val="auto"/>
              </w:rPr>
            </w:pPr>
            <w:r>
              <w:rPr>
                <w:rFonts w:ascii="Arial" w:cs="Arial" w:eastAsia="Arial" w:hAnsi="Arial"/>
                <w:sz w:val="16"/>
                <w:szCs w:val="16"/>
                <w:color w:val="auto"/>
                <w:w w:val="89"/>
              </w:rPr>
              <w:t>900,000</w:t>
            </w:r>
          </w:p>
        </w:tc>
        <w:tc>
          <w:tcPr>
            <w:tcW w:w="1000" w:type="dxa"/>
            <w:vAlign w:val="bottom"/>
          </w:tcPr>
          <w:p>
            <w:pPr>
              <w:jc w:val="center"/>
              <w:spacing w:after="0" w:line="166" w:lineRule="exact"/>
              <w:rPr>
                <w:sz w:val="20"/>
                <w:szCs w:val="20"/>
                <w:color w:val="auto"/>
              </w:rPr>
            </w:pPr>
            <w:r>
              <w:rPr>
                <w:rFonts w:ascii="Arial" w:cs="Arial" w:eastAsia="Arial" w:hAnsi="Arial"/>
                <w:sz w:val="16"/>
                <w:szCs w:val="16"/>
                <w:color w:val="auto"/>
                <w:w w:val="89"/>
              </w:rPr>
              <w:t>1,512,000</w:t>
            </w:r>
          </w:p>
        </w:tc>
        <w:tc>
          <w:tcPr>
            <w:tcW w:w="980" w:type="dxa"/>
            <w:vAlign w:val="bottom"/>
          </w:tcPr>
          <w:p>
            <w:pPr>
              <w:jc w:val="center"/>
              <w:spacing w:after="0" w:line="166" w:lineRule="exact"/>
              <w:rPr>
                <w:sz w:val="20"/>
                <w:szCs w:val="20"/>
                <w:color w:val="auto"/>
              </w:rPr>
            </w:pPr>
            <w:r>
              <w:rPr>
                <w:rFonts w:ascii="Arial" w:cs="Arial" w:eastAsia="Arial" w:hAnsi="Arial"/>
                <w:sz w:val="16"/>
                <w:szCs w:val="16"/>
                <w:color w:val="auto"/>
                <w:w w:val="89"/>
              </w:rPr>
              <w:t>2,600,000</w:t>
            </w:r>
          </w:p>
        </w:tc>
        <w:tc>
          <w:tcPr>
            <w:tcW w:w="1100" w:type="dxa"/>
            <w:vAlign w:val="bottom"/>
          </w:tcPr>
          <w:p>
            <w:pPr>
              <w:jc w:val="center"/>
              <w:spacing w:after="0" w:line="166" w:lineRule="exact"/>
              <w:rPr>
                <w:sz w:val="20"/>
                <w:szCs w:val="20"/>
                <w:color w:val="auto"/>
              </w:rPr>
            </w:pPr>
            <w:r>
              <w:rPr>
                <w:rFonts w:ascii="Arial" w:cs="Arial" w:eastAsia="Arial" w:hAnsi="Arial"/>
                <w:sz w:val="16"/>
                <w:szCs w:val="16"/>
                <w:color w:val="auto"/>
                <w:w w:val="89"/>
              </w:rPr>
              <w:t>18,300</w:t>
            </w:r>
          </w:p>
        </w:tc>
        <w:tc>
          <w:tcPr>
            <w:tcW w:w="1080" w:type="dxa"/>
            <w:vAlign w:val="bottom"/>
          </w:tcPr>
          <w:p>
            <w:pPr>
              <w:jc w:val="center"/>
              <w:spacing w:after="0" w:line="166" w:lineRule="exact"/>
              <w:rPr>
                <w:sz w:val="20"/>
                <w:szCs w:val="20"/>
                <w:color w:val="auto"/>
              </w:rPr>
            </w:pPr>
            <w:r>
              <w:rPr>
                <w:rFonts w:ascii="Arial" w:cs="Arial" w:eastAsia="Arial" w:hAnsi="Arial"/>
                <w:sz w:val="16"/>
                <w:szCs w:val="16"/>
                <w:color w:val="auto"/>
                <w:w w:val="89"/>
              </w:rPr>
              <w:t>5,030,300</w:t>
            </w:r>
          </w:p>
        </w:tc>
        <w:tc>
          <w:tcPr>
            <w:tcW w:w="0" w:type="dxa"/>
            <w:vAlign w:val="bottom"/>
          </w:tcPr>
          <w:p>
            <w:pPr>
              <w:spacing w:after="0"/>
              <w:rPr>
                <w:sz w:val="1"/>
                <w:szCs w:val="1"/>
                <w:color w:val="auto"/>
              </w:rPr>
            </w:pPr>
          </w:p>
        </w:tc>
      </w:tr>
      <w:tr>
        <w:trPr>
          <w:trHeight w:val="212"/>
        </w:trPr>
        <w:tc>
          <w:tcPr>
            <w:tcW w:w="4860" w:type="dxa"/>
            <w:vAlign w:val="bottom"/>
          </w:tcPr>
          <w:p>
            <w:pPr>
              <w:ind w:left="20"/>
              <w:spacing w:after="0" w:line="213" w:lineRule="exact"/>
              <w:rPr>
                <w:sz w:val="20"/>
                <w:szCs w:val="20"/>
                <w:color w:val="auto"/>
              </w:rPr>
            </w:pPr>
            <w:r>
              <w:rPr>
                <w:rFonts w:ascii="Arial" w:cs="Arial" w:eastAsia="Arial" w:hAnsi="Arial"/>
                <w:sz w:val="16"/>
                <w:szCs w:val="16"/>
                <w:i w:val="1"/>
                <w:iCs w:val="1"/>
                <w:color w:val="auto"/>
              </w:rPr>
              <w:t>Executive Vice President and Chief Investment Officer</w:t>
            </w:r>
            <w:r>
              <w:rPr>
                <w:rFonts w:ascii="Arial" w:cs="Arial" w:eastAsia="Arial" w:hAnsi="Arial"/>
                <w:sz w:val="21"/>
                <w:szCs w:val="21"/>
                <w:i w:val="1"/>
                <w:iCs w:val="1"/>
                <w:color w:val="auto"/>
                <w:vertAlign w:val="superscript"/>
              </w:rPr>
              <w:t>4</w:t>
            </w:r>
          </w:p>
        </w:tc>
        <w:tc>
          <w:tcPr>
            <w:tcW w:w="700" w:type="dxa"/>
            <w:vAlign w:val="bottom"/>
            <w:vMerge w:val="restart"/>
          </w:tcPr>
          <w:p>
            <w:pPr>
              <w:jc w:val="center"/>
              <w:spacing w:after="0"/>
              <w:rPr>
                <w:sz w:val="20"/>
                <w:szCs w:val="20"/>
                <w:color w:val="auto"/>
              </w:rPr>
            </w:pPr>
            <w:r>
              <w:rPr>
                <w:rFonts w:ascii="Arial" w:cs="Arial" w:eastAsia="Arial" w:hAnsi="Arial"/>
                <w:sz w:val="16"/>
                <w:szCs w:val="16"/>
                <w:color w:val="auto"/>
                <w:w w:val="89"/>
              </w:rPr>
              <w:t>2021</w:t>
            </w:r>
          </w:p>
        </w:tc>
        <w:tc>
          <w:tcPr>
            <w:tcW w:w="1000" w:type="dxa"/>
            <w:vAlign w:val="bottom"/>
            <w:vMerge w:val="restart"/>
          </w:tcPr>
          <w:p>
            <w:pPr>
              <w:jc w:val="center"/>
              <w:spacing w:after="0"/>
              <w:rPr>
                <w:sz w:val="20"/>
                <w:szCs w:val="20"/>
                <w:color w:val="auto"/>
              </w:rPr>
            </w:pPr>
            <w:r>
              <w:rPr>
                <w:rFonts w:ascii="Arial" w:cs="Arial" w:eastAsia="Arial" w:hAnsi="Arial"/>
                <w:sz w:val="16"/>
                <w:szCs w:val="16"/>
                <w:color w:val="auto"/>
                <w:w w:val="89"/>
              </w:rPr>
              <w:t>900,000</w:t>
            </w:r>
          </w:p>
        </w:tc>
        <w:tc>
          <w:tcPr>
            <w:tcW w:w="1000" w:type="dxa"/>
            <w:vAlign w:val="bottom"/>
            <w:vMerge w:val="restart"/>
          </w:tcPr>
          <w:p>
            <w:pPr>
              <w:jc w:val="center"/>
              <w:spacing w:after="0"/>
              <w:rPr>
                <w:sz w:val="20"/>
                <w:szCs w:val="20"/>
                <w:color w:val="auto"/>
              </w:rPr>
            </w:pPr>
            <w:r>
              <w:rPr>
                <w:rFonts w:ascii="Arial" w:cs="Arial" w:eastAsia="Arial" w:hAnsi="Arial"/>
                <w:sz w:val="16"/>
                <w:szCs w:val="16"/>
                <w:color w:val="auto"/>
                <w:w w:val="89"/>
              </w:rPr>
              <w:t>1,764,000</w:t>
            </w:r>
          </w:p>
        </w:tc>
        <w:tc>
          <w:tcPr>
            <w:tcW w:w="980" w:type="dxa"/>
            <w:vAlign w:val="bottom"/>
            <w:vMerge w:val="restart"/>
          </w:tcPr>
          <w:p>
            <w:pPr>
              <w:jc w:val="center"/>
              <w:spacing w:after="0"/>
              <w:rPr>
                <w:sz w:val="20"/>
                <w:szCs w:val="20"/>
                <w:color w:val="auto"/>
              </w:rPr>
            </w:pPr>
            <w:r>
              <w:rPr>
                <w:rFonts w:ascii="Arial" w:cs="Arial" w:eastAsia="Arial" w:hAnsi="Arial"/>
                <w:sz w:val="16"/>
                <w:szCs w:val="16"/>
                <w:color w:val="auto"/>
                <w:w w:val="89"/>
              </w:rPr>
              <w:t>2,125,000</w:t>
            </w:r>
          </w:p>
        </w:tc>
        <w:tc>
          <w:tcPr>
            <w:tcW w:w="1100" w:type="dxa"/>
            <w:vAlign w:val="bottom"/>
            <w:vMerge w:val="restart"/>
          </w:tcPr>
          <w:p>
            <w:pPr>
              <w:jc w:val="center"/>
              <w:spacing w:after="0"/>
              <w:rPr>
                <w:sz w:val="20"/>
                <w:szCs w:val="20"/>
                <w:color w:val="auto"/>
              </w:rPr>
            </w:pPr>
            <w:r>
              <w:rPr>
                <w:rFonts w:ascii="Arial" w:cs="Arial" w:eastAsia="Arial" w:hAnsi="Arial"/>
                <w:sz w:val="16"/>
                <w:szCs w:val="16"/>
                <w:color w:val="auto"/>
                <w:w w:val="89"/>
              </w:rPr>
              <w:t>17,400</w:t>
            </w:r>
          </w:p>
        </w:tc>
        <w:tc>
          <w:tcPr>
            <w:tcW w:w="1080" w:type="dxa"/>
            <w:vAlign w:val="bottom"/>
            <w:vMerge w:val="restart"/>
          </w:tcPr>
          <w:p>
            <w:pPr>
              <w:jc w:val="center"/>
              <w:spacing w:after="0"/>
              <w:rPr>
                <w:sz w:val="20"/>
                <w:szCs w:val="20"/>
                <w:color w:val="auto"/>
              </w:rPr>
            </w:pPr>
            <w:r>
              <w:rPr>
                <w:rFonts w:ascii="Arial" w:cs="Arial" w:eastAsia="Arial" w:hAnsi="Arial"/>
                <w:sz w:val="16"/>
                <w:szCs w:val="16"/>
                <w:color w:val="auto"/>
                <w:w w:val="89"/>
              </w:rPr>
              <w:t>4,806,400</w:t>
            </w:r>
          </w:p>
        </w:tc>
        <w:tc>
          <w:tcPr>
            <w:tcW w:w="0" w:type="dxa"/>
            <w:vAlign w:val="bottom"/>
          </w:tcPr>
          <w:p>
            <w:pPr>
              <w:spacing w:after="0"/>
              <w:rPr>
                <w:sz w:val="1"/>
                <w:szCs w:val="1"/>
                <w:color w:val="auto"/>
              </w:rPr>
            </w:pPr>
          </w:p>
        </w:tc>
      </w:tr>
      <w:tr>
        <w:trPr>
          <w:trHeight w:val="48"/>
        </w:trPr>
        <w:tc>
          <w:tcPr>
            <w:tcW w:w="4860" w:type="dxa"/>
            <w:vAlign w:val="bottom"/>
          </w:tcPr>
          <w:p>
            <w:pPr>
              <w:spacing w:after="0"/>
              <w:rPr>
                <w:sz w:val="4"/>
                <w:szCs w:val="4"/>
                <w:color w:val="auto"/>
              </w:rPr>
            </w:pPr>
          </w:p>
        </w:tc>
        <w:tc>
          <w:tcPr>
            <w:tcW w:w="700" w:type="dxa"/>
            <w:vAlign w:val="bottom"/>
            <w:vMerge w:val="continue"/>
          </w:tcPr>
          <w:p>
            <w:pPr>
              <w:spacing w:after="0"/>
              <w:rPr>
                <w:sz w:val="4"/>
                <w:szCs w:val="4"/>
                <w:color w:val="auto"/>
              </w:rPr>
            </w:pPr>
          </w:p>
        </w:tc>
        <w:tc>
          <w:tcPr>
            <w:tcW w:w="1000" w:type="dxa"/>
            <w:vAlign w:val="bottom"/>
            <w:vMerge w:val="continue"/>
          </w:tcPr>
          <w:p>
            <w:pPr>
              <w:spacing w:after="0"/>
              <w:rPr>
                <w:sz w:val="4"/>
                <w:szCs w:val="4"/>
                <w:color w:val="auto"/>
              </w:rPr>
            </w:pPr>
          </w:p>
        </w:tc>
        <w:tc>
          <w:tcPr>
            <w:tcW w:w="1000" w:type="dxa"/>
            <w:vAlign w:val="bottom"/>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1100" w:type="dxa"/>
            <w:vAlign w:val="bottom"/>
            <w:vMerge w:val="continue"/>
          </w:tcPr>
          <w:p>
            <w:pPr>
              <w:spacing w:after="0"/>
              <w:rPr>
                <w:sz w:val="4"/>
                <w:szCs w:val="4"/>
                <w:color w:val="auto"/>
              </w:rPr>
            </w:pPr>
          </w:p>
        </w:tc>
        <w:tc>
          <w:tcPr>
            <w:tcW w:w="10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19"/>
        </w:trPr>
        <w:tc>
          <w:tcPr>
            <w:tcW w:w="4860" w:type="dxa"/>
            <w:vAlign w:val="bottom"/>
          </w:tcPr>
          <w:p>
            <w:pPr>
              <w:spacing w:after="0"/>
              <w:rPr>
                <w:sz w:val="19"/>
                <w:szCs w:val="19"/>
                <w:color w:val="auto"/>
              </w:rPr>
            </w:pPr>
          </w:p>
        </w:tc>
        <w:tc>
          <w:tcPr>
            <w:tcW w:w="700" w:type="dxa"/>
            <w:vAlign w:val="bottom"/>
          </w:tcPr>
          <w:p>
            <w:pPr>
              <w:jc w:val="center"/>
              <w:spacing w:after="0"/>
              <w:rPr>
                <w:sz w:val="20"/>
                <w:szCs w:val="20"/>
                <w:color w:val="auto"/>
              </w:rPr>
            </w:pPr>
            <w:r>
              <w:rPr>
                <w:rFonts w:ascii="Arial" w:cs="Arial" w:eastAsia="Arial" w:hAnsi="Arial"/>
                <w:sz w:val="16"/>
                <w:szCs w:val="16"/>
                <w:color w:val="auto"/>
                <w:w w:val="89"/>
              </w:rPr>
              <w:t>2020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900,000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1,936,818</w:t>
            </w:r>
          </w:p>
        </w:tc>
        <w:tc>
          <w:tcPr>
            <w:tcW w:w="980" w:type="dxa"/>
            <w:vAlign w:val="bottom"/>
          </w:tcPr>
          <w:p>
            <w:pPr>
              <w:jc w:val="center"/>
              <w:spacing w:after="0"/>
              <w:rPr>
                <w:sz w:val="20"/>
                <w:szCs w:val="20"/>
                <w:color w:val="auto"/>
              </w:rPr>
            </w:pPr>
            <w:r>
              <w:rPr>
                <w:rFonts w:ascii="Arial" w:cs="Arial" w:eastAsia="Arial" w:hAnsi="Arial"/>
                <w:sz w:val="16"/>
                <w:szCs w:val="16"/>
                <w:color w:val="auto"/>
                <w:w w:val="89"/>
              </w:rPr>
              <w:t>1,650,000</w:t>
            </w:r>
          </w:p>
        </w:tc>
        <w:tc>
          <w:tcPr>
            <w:tcW w:w="1100" w:type="dxa"/>
            <w:vAlign w:val="bottom"/>
          </w:tcPr>
          <w:p>
            <w:pPr>
              <w:jc w:val="center"/>
              <w:spacing w:after="0"/>
              <w:rPr>
                <w:sz w:val="20"/>
                <w:szCs w:val="20"/>
                <w:color w:val="auto"/>
              </w:rPr>
            </w:pPr>
            <w:r>
              <w:rPr>
                <w:rFonts w:ascii="Arial" w:cs="Arial" w:eastAsia="Arial" w:hAnsi="Arial"/>
                <w:sz w:val="16"/>
                <w:szCs w:val="16"/>
                <w:color w:val="auto"/>
                <w:w w:val="89"/>
              </w:rPr>
              <w:t>17,100</w:t>
            </w:r>
          </w:p>
        </w:tc>
        <w:tc>
          <w:tcPr>
            <w:tcW w:w="1080" w:type="dxa"/>
            <w:vAlign w:val="bottom"/>
          </w:tcPr>
          <w:p>
            <w:pPr>
              <w:jc w:val="center"/>
              <w:spacing w:after="0"/>
              <w:rPr>
                <w:sz w:val="20"/>
                <w:szCs w:val="20"/>
                <w:color w:val="auto"/>
              </w:rPr>
            </w:pPr>
            <w:r>
              <w:rPr>
                <w:rFonts w:ascii="Arial" w:cs="Arial" w:eastAsia="Arial" w:hAnsi="Arial"/>
                <w:sz w:val="16"/>
                <w:szCs w:val="16"/>
                <w:color w:val="auto"/>
                <w:w w:val="89"/>
              </w:rPr>
              <w:t>4,503,918</w:t>
            </w:r>
          </w:p>
        </w:tc>
        <w:tc>
          <w:tcPr>
            <w:tcW w:w="0" w:type="dxa"/>
            <w:vAlign w:val="bottom"/>
          </w:tcPr>
          <w:p>
            <w:pPr>
              <w:spacing w:after="0"/>
              <w:rPr>
                <w:sz w:val="1"/>
                <w:szCs w:val="1"/>
                <w:color w:val="auto"/>
              </w:rPr>
            </w:pPr>
          </w:p>
        </w:tc>
      </w:tr>
      <w:tr>
        <w:trPr>
          <w:trHeight w:val="179"/>
        </w:trPr>
        <w:tc>
          <w:tcPr>
            <w:tcW w:w="4860" w:type="dxa"/>
            <w:vAlign w:val="bottom"/>
            <w:shd w:val="clear" w:color="auto" w:fill="DBDBDB"/>
          </w:tcPr>
          <w:p>
            <w:pPr>
              <w:ind w:left="20"/>
              <w:spacing w:after="0" w:line="178" w:lineRule="exact"/>
              <w:rPr>
                <w:sz w:val="20"/>
                <w:szCs w:val="20"/>
                <w:color w:val="auto"/>
              </w:rPr>
            </w:pPr>
            <w:r>
              <w:rPr>
                <w:rFonts w:ascii="Arial" w:cs="Arial" w:eastAsia="Arial" w:hAnsi="Arial"/>
                <w:sz w:val="18"/>
                <w:szCs w:val="18"/>
                <w:color w:val="auto"/>
              </w:rPr>
              <w:t>Bernice E. Bell</w:t>
            </w:r>
          </w:p>
        </w:tc>
        <w:tc>
          <w:tcPr>
            <w:tcW w:w="7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2022</w:t>
            </w:r>
          </w:p>
        </w:tc>
        <w:tc>
          <w:tcPr>
            <w:tcW w:w="10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500,000</w:t>
            </w:r>
          </w:p>
        </w:tc>
        <w:tc>
          <w:tcPr>
            <w:tcW w:w="10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1,001,250</w:t>
            </w:r>
          </w:p>
        </w:tc>
        <w:tc>
          <w:tcPr>
            <w:tcW w:w="98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1,250,000</w:t>
            </w:r>
          </w:p>
        </w:tc>
        <w:tc>
          <w:tcPr>
            <w:tcW w:w="110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18,300</w:t>
            </w:r>
          </w:p>
        </w:tc>
        <w:tc>
          <w:tcPr>
            <w:tcW w:w="1080" w:type="dxa"/>
            <w:vAlign w:val="bottom"/>
            <w:shd w:val="clear" w:color="auto" w:fill="DBDBDB"/>
          </w:tcPr>
          <w:p>
            <w:pPr>
              <w:jc w:val="center"/>
              <w:spacing w:after="0" w:line="178" w:lineRule="exact"/>
              <w:rPr>
                <w:sz w:val="20"/>
                <w:szCs w:val="20"/>
                <w:color w:val="auto"/>
              </w:rPr>
            </w:pPr>
            <w:r>
              <w:rPr>
                <w:rFonts w:ascii="Arial" w:cs="Arial" w:eastAsia="Arial" w:hAnsi="Arial"/>
                <w:sz w:val="16"/>
                <w:szCs w:val="16"/>
                <w:color w:val="auto"/>
                <w:w w:val="89"/>
              </w:rPr>
              <w:t>2,769,550</w:t>
            </w:r>
          </w:p>
        </w:tc>
        <w:tc>
          <w:tcPr>
            <w:tcW w:w="0" w:type="dxa"/>
            <w:vAlign w:val="bottom"/>
          </w:tcPr>
          <w:p>
            <w:pPr>
              <w:spacing w:after="0"/>
              <w:rPr>
                <w:sz w:val="1"/>
                <w:szCs w:val="1"/>
                <w:color w:val="auto"/>
              </w:rPr>
            </w:pPr>
          </w:p>
        </w:tc>
      </w:tr>
      <w:tr>
        <w:trPr>
          <w:trHeight w:val="250"/>
        </w:trPr>
        <w:tc>
          <w:tcPr>
            <w:tcW w:w="4860" w:type="dxa"/>
            <w:vAlign w:val="bottom"/>
            <w:shd w:val="clear" w:color="auto" w:fill="DBDBDB"/>
          </w:tcPr>
          <w:p>
            <w:pPr>
              <w:ind w:left="20"/>
              <w:spacing w:after="0"/>
              <w:rPr>
                <w:sz w:val="20"/>
                <w:szCs w:val="20"/>
                <w:color w:val="auto"/>
              </w:rPr>
            </w:pPr>
            <w:r>
              <w:rPr>
                <w:rFonts w:ascii="Arial" w:cs="Arial" w:eastAsia="Arial" w:hAnsi="Arial"/>
                <w:sz w:val="18"/>
                <w:szCs w:val="18"/>
                <w:i w:val="1"/>
                <w:iCs w:val="1"/>
                <w:color w:val="auto"/>
              </w:rPr>
              <w:t>Executive Vice President and Chief Financial Officer</w:t>
            </w:r>
          </w:p>
        </w:tc>
        <w:tc>
          <w:tcPr>
            <w:tcW w:w="7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2021</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500,000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985,000</w:t>
            </w:r>
          </w:p>
        </w:tc>
        <w:tc>
          <w:tcPr>
            <w:tcW w:w="9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1,100,000</w:t>
            </w:r>
          </w:p>
        </w:tc>
        <w:tc>
          <w:tcPr>
            <w:tcW w:w="11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17,400</w:t>
            </w:r>
          </w:p>
        </w:tc>
        <w:tc>
          <w:tcPr>
            <w:tcW w:w="10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2,602,400</w:t>
            </w:r>
          </w:p>
        </w:tc>
        <w:tc>
          <w:tcPr>
            <w:tcW w:w="0" w:type="dxa"/>
            <w:vAlign w:val="bottom"/>
          </w:tcPr>
          <w:p>
            <w:pPr>
              <w:spacing w:after="0"/>
              <w:rPr>
                <w:sz w:val="1"/>
                <w:szCs w:val="1"/>
                <w:color w:val="auto"/>
              </w:rPr>
            </w:pPr>
          </w:p>
        </w:tc>
      </w:tr>
      <w:tr>
        <w:trPr>
          <w:trHeight w:val="222"/>
        </w:trPr>
        <w:tc>
          <w:tcPr>
            <w:tcW w:w="4860" w:type="dxa"/>
            <w:vAlign w:val="bottom"/>
            <w:shd w:val="clear" w:color="auto" w:fill="DBDBDB"/>
          </w:tcPr>
          <w:p>
            <w:pPr>
              <w:spacing w:after="0"/>
              <w:rPr>
                <w:sz w:val="19"/>
                <w:szCs w:val="19"/>
                <w:color w:val="auto"/>
              </w:rPr>
            </w:pPr>
          </w:p>
        </w:tc>
        <w:tc>
          <w:tcPr>
            <w:tcW w:w="7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2020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500,000</w:t>
            </w:r>
          </w:p>
        </w:tc>
        <w:tc>
          <w:tcPr>
            <w:tcW w:w="10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983,450</w:t>
            </w:r>
          </w:p>
        </w:tc>
        <w:tc>
          <w:tcPr>
            <w:tcW w:w="9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875,000</w:t>
            </w:r>
          </w:p>
        </w:tc>
        <w:tc>
          <w:tcPr>
            <w:tcW w:w="110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17,100</w:t>
            </w:r>
          </w:p>
        </w:tc>
        <w:tc>
          <w:tcPr>
            <w:tcW w:w="1080" w:type="dxa"/>
            <w:vAlign w:val="bottom"/>
            <w:shd w:val="clear" w:color="auto" w:fill="DBDBDB"/>
          </w:tcPr>
          <w:p>
            <w:pPr>
              <w:jc w:val="center"/>
              <w:spacing w:after="0"/>
              <w:rPr>
                <w:sz w:val="20"/>
                <w:szCs w:val="20"/>
                <w:color w:val="auto"/>
              </w:rPr>
            </w:pPr>
            <w:r>
              <w:rPr>
                <w:rFonts w:ascii="Arial" w:cs="Arial" w:eastAsia="Arial" w:hAnsi="Arial"/>
                <w:sz w:val="16"/>
                <w:szCs w:val="16"/>
                <w:color w:val="auto"/>
                <w:w w:val="89"/>
              </w:rPr>
              <w:t>2,375,550</w:t>
            </w:r>
          </w:p>
        </w:tc>
        <w:tc>
          <w:tcPr>
            <w:tcW w:w="0" w:type="dxa"/>
            <w:vAlign w:val="bottom"/>
          </w:tcPr>
          <w:p>
            <w:pPr>
              <w:spacing w:after="0"/>
              <w:rPr>
                <w:sz w:val="1"/>
                <w:szCs w:val="1"/>
                <w:color w:val="auto"/>
              </w:rPr>
            </w:pPr>
          </w:p>
        </w:tc>
      </w:tr>
      <w:tr>
        <w:trPr>
          <w:trHeight w:val="175"/>
        </w:trPr>
        <w:tc>
          <w:tcPr>
            <w:tcW w:w="4860" w:type="dxa"/>
            <w:vAlign w:val="bottom"/>
          </w:tcPr>
          <w:p>
            <w:pPr>
              <w:ind w:left="20"/>
              <w:spacing w:after="0" w:line="176" w:lineRule="exact"/>
              <w:rPr>
                <w:sz w:val="20"/>
                <w:szCs w:val="20"/>
                <w:color w:val="auto"/>
              </w:rPr>
            </w:pPr>
            <w:r>
              <w:rPr>
                <w:rFonts w:ascii="Arial" w:cs="Arial" w:eastAsia="Arial" w:hAnsi="Arial"/>
                <w:sz w:val="18"/>
                <w:szCs w:val="18"/>
                <w:color w:val="auto"/>
              </w:rPr>
              <w:t>Kenneth L. Pollack</w:t>
            </w:r>
          </w:p>
        </w:tc>
        <w:tc>
          <w:tcPr>
            <w:tcW w:w="700" w:type="dxa"/>
            <w:vAlign w:val="bottom"/>
          </w:tcPr>
          <w:p>
            <w:pPr>
              <w:jc w:val="center"/>
              <w:spacing w:after="0" w:line="175" w:lineRule="exact"/>
              <w:rPr>
                <w:sz w:val="20"/>
                <w:szCs w:val="20"/>
                <w:color w:val="auto"/>
              </w:rPr>
            </w:pPr>
            <w:r>
              <w:rPr>
                <w:rFonts w:ascii="Arial" w:cs="Arial" w:eastAsia="Arial" w:hAnsi="Arial"/>
                <w:sz w:val="16"/>
                <w:szCs w:val="16"/>
                <w:color w:val="auto"/>
                <w:w w:val="89"/>
              </w:rPr>
              <w:t>2022</w:t>
            </w:r>
          </w:p>
        </w:tc>
        <w:tc>
          <w:tcPr>
            <w:tcW w:w="1000" w:type="dxa"/>
            <w:vAlign w:val="bottom"/>
          </w:tcPr>
          <w:p>
            <w:pPr>
              <w:jc w:val="center"/>
              <w:spacing w:after="0" w:line="175" w:lineRule="exact"/>
              <w:rPr>
                <w:sz w:val="20"/>
                <w:szCs w:val="20"/>
                <w:color w:val="auto"/>
              </w:rPr>
            </w:pPr>
            <w:r>
              <w:rPr>
                <w:rFonts w:ascii="Arial" w:cs="Arial" w:eastAsia="Arial" w:hAnsi="Arial"/>
                <w:sz w:val="16"/>
                <w:szCs w:val="16"/>
                <w:color w:val="auto"/>
                <w:w w:val="89"/>
              </w:rPr>
              <w:t>500,000</w:t>
            </w:r>
          </w:p>
        </w:tc>
        <w:tc>
          <w:tcPr>
            <w:tcW w:w="1000" w:type="dxa"/>
            <w:vAlign w:val="bottom"/>
          </w:tcPr>
          <w:p>
            <w:pPr>
              <w:jc w:val="center"/>
              <w:spacing w:after="0" w:line="175" w:lineRule="exact"/>
              <w:rPr>
                <w:sz w:val="20"/>
                <w:szCs w:val="20"/>
                <w:color w:val="auto"/>
              </w:rPr>
            </w:pPr>
            <w:r>
              <w:rPr>
                <w:rFonts w:ascii="Arial" w:cs="Arial" w:eastAsia="Arial" w:hAnsi="Arial"/>
                <w:sz w:val="16"/>
                <w:szCs w:val="16"/>
                <w:color w:val="auto"/>
                <w:w w:val="89"/>
              </w:rPr>
              <w:t>801,000</w:t>
            </w:r>
          </w:p>
        </w:tc>
        <w:tc>
          <w:tcPr>
            <w:tcW w:w="980" w:type="dxa"/>
            <w:vAlign w:val="bottom"/>
          </w:tcPr>
          <w:p>
            <w:pPr>
              <w:jc w:val="center"/>
              <w:spacing w:after="0" w:line="175" w:lineRule="exact"/>
              <w:rPr>
                <w:sz w:val="20"/>
                <w:szCs w:val="20"/>
                <w:color w:val="auto"/>
              </w:rPr>
            </w:pPr>
            <w:r>
              <w:rPr>
                <w:rFonts w:ascii="Arial" w:cs="Arial" w:eastAsia="Arial" w:hAnsi="Arial"/>
                <w:sz w:val="16"/>
                <w:szCs w:val="16"/>
                <w:color w:val="auto"/>
                <w:w w:val="89"/>
              </w:rPr>
              <w:t>1,000,000</w:t>
            </w:r>
          </w:p>
        </w:tc>
        <w:tc>
          <w:tcPr>
            <w:tcW w:w="1100" w:type="dxa"/>
            <w:vAlign w:val="bottom"/>
          </w:tcPr>
          <w:p>
            <w:pPr>
              <w:jc w:val="center"/>
              <w:spacing w:after="0" w:line="175" w:lineRule="exact"/>
              <w:rPr>
                <w:sz w:val="20"/>
                <w:szCs w:val="20"/>
                <w:color w:val="auto"/>
              </w:rPr>
            </w:pPr>
            <w:r>
              <w:rPr>
                <w:rFonts w:ascii="Arial" w:cs="Arial" w:eastAsia="Arial" w:hAnsi="Arial"/>
                <w:sz w:val="16"/>
                <w:szCs w:val="16"/>
                <w:color w:val="auto"/>
                <w:w w:val="89"/>
              </w:rPr>
              <w:t>18,300</w:t>
            </w:r>
          </w:p>
        </w:tc>
        <w:tc>
          <w:tcPr>
            <w:tcW w:w="1080" w:type="dxa"/>
            <w:vAlign w:val="bottom"/>
          </w:tcPr>
          <w:p>
            <w:pPr>
              <w:jc w:val="center"/>
              <w:spacing w:after="0" w:line="175" w:lineRule="exact"/>
              <w:rPr>
                <w:sz w:val="20"/>
                <w:szCs w:val="20"/>
                <w:color w:val="auto"/>
              </w:rPr>
            </w:pPr>
            <w:r>
              <w:rPr>
                <w:rFonts w:ascii="Arial" w:cs="Arial" w:eastAsia="Arial" w:hAnsi="Arial"/>
                <w:sz w:val="16"/>
                <w:szCs w:val="16"/>
                <w:color w:val="auto"/>
                <w:w w:val="89"/>
              </w:rPr>
              <w:t>2,319,300</w:t>
            </w:r>
          </w:p>
        </w:tc>
        <w:tc>
          <w:tcPr>
            <w:tcW w:w="0" w:type="dxa"/>
            <w:vAlign w:val="bottom"/>
          </w:tcPr>
          <w:p>
            <w:pPr>
              <w:spacing w:after="0"/>
              <w:rPr>
                <w:sz w:val="1"/>
                <w:szCs w:val="1"/>
                <w:color w:val="auto"/>
              </w:rPr>
            </w:pPr>
          </w:p>
        </w:tc>
      </w:tr>
      <w:tr>
        <w:trPr>
          <w:trHeight w:val="203"/>
        </w:trPr>
        <w:tc>
          <w:tcPr>
            <w:tcW w:w="4860" w:type="dxa"/>
            <w:vAlign w:val="bottom"/>
          </w:tcPr>
          <w:p>
            <w:pPr>
              <w:ind w:left="20"/>
              <w:spacing w:after="0" w:line="202" w:lineRule="exact"/>
              <w:rPr>
                <w:sz w:val="20"/>
                <w:szCs w:val="20"/>
                <w:color w:val="auto"/>
              </w:rPr>
            </w:pPr>
            <w:r>
              <w:rPr>
                <w:rFonts w:ascii="Arial" w:cs="Arial" w:eastAsia="Arial" w:hAnsi="Arial"/>
                <w:sz w:val="18"/>
                <w:szCs w:val="18"/>
                <w:i w:val="1"/>
                <w:iCs w:val="1"/>
                <w:color w:val="auto"/>
              </w:rPr>
              <w:t>Executive Vice President, General Counsel, Chief</w:t>
            </w:r>
          </w:p>
        </w:tc>
        <w:tc>
          <w:tcPr>
            <w:tcW w:w="700" w:type="dxa"/>
            <w:vAlign w:val="bottom"/>
          </w:tcPr>
          <w:p>
            <w:pPr>
              <w:jc w:val="center"/>
              <w:spacing w:after="0"/>
              <w:rPr>
                <w:sz w:val="20"/>
                <w:szCs w:val="20"/>
                <w:color w:val="auto"/>
              </w:rPr>
            </w:pPr>
            <w:r>
              <w:rPr>
                <w:rFonts w:ascii="Arial" w:cs="Arial" w:eastAsia="Arial" w:hAnsi="Arial"/>
                <w:sz w:val="16"/>
                <w:szCs w:val="16"/>
                <w:color w:val="auto"/>
                <w:w w:val="89"/>
              </w:rPr>
              <w:t>2021</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500,000</w:t>
            </w:r>
          </w:p>
        </w:tc>
        <w:tc>
          <w:tcPr>
            <w:tcW w:w="1000" w:type="dxa"/>
            <w:vAlign w:val="bottom"/>
          </w:tcPr>
          <w:p>
            <w:pPr>
              <w:jc w:val="center"/>
              <w:spacing w:after="0"/>
              <w:rPr>
                <w:sz w:val="20"/>
                <w:szCs w:val="20"/>
                <w:color w:val="auto"/>
              </w:rPr>
            </w:pPr>
            <w:r>
              <w:rPr>
                <w:rFonts w:ascii="Arial" w:cs="Arial" w:eastAsia="Arial" w:hAnsi="Arial"/>
                <w:sz w:val="16"/>
                <w:szCs w:val="16"/>
                <w:color w:val="auto"/>
                <w:w w:val="89"/>
              </w:rPr>
              <w:t>837,250</w:t>
            </w:r>
          </w:p>
        </w:tc>
        <w:tc>
          <w:tcPr>
            <w:tcW w:w="980" w:type="dxa"/>
            <w:vAlign w:val="bottom"/>
          </w:tcPr>
          <w:p>
            <w:pPr>
              <w:jc w:val="center"/>
              <w:spacing w:after="0"/>
              <w:rPr>
                <w:sz w:val="20"/>
                <w:szCs w:val="20"/>
                <w:color w:val="auto"/>
              </w:rPr>
            </w:pPr>
            <w:r>
              <w:rPr>
                <w:rFonts w:ascii="Arial" w:cs="Arial" w:eastAsia="Arial" w:hAnsi="Arial"/>
                <w:sz w:val="16"/>
                <w:szCs w:val="16"/>
                <w:color w:val="auto"/>
                <w:w w:val="89"/>
              </w:rPr>
              <w:t>950,000</w:t>
            </w:r>
          </w:p>
        </w:tc>
        <w:tc>
          <w:tcPr>
            <w:tcW w:w="1100" w:type="dxa"/>
            <w:vAlign w:val="bottom"/>
          </w:tcPr>
          <w:p>
            <w:pPr>
              <w:jc w:val="center"/>
              <w:spacing w:after="0"/>
              <w:rPr>
                <w:sz w:val="20"/>
                <w:szCs w:val="20"/>
                <w:color w:val="auto"/>
              </w:rPr>
            </w:pPr>
            <w:r>
              <w:rPr>
                <w:rFonts w:ascii="Arial" w:cs="Arial" w:eastAsia="Arial" w:hAnsi="Arial"/>
                <w:sz w:val="16"/>
                <w:szCs w:val="16"/>
                <w:color w:val="auto"/>
                <w:w w:val="89"/>
              </w:rPr>
              <w:t>17,400</w:t>
            </w:r>
          </w:p>
        </w:tc>
        <w:tc>
          <w:tcPr>
            <w:tcW w:w="1080" w:type="dxa"/>
            <w:vAlign w:val="bottom"/>
          </w:tcPr>
          <w:p>
            <w:pPr>
              <w:jc w:val="center"/>
              <w:spacing w:after="0"/>
              <w:rPr>
                <w:sz w:val="20"/>
                <w:szCs w:val="20"/>
                <w:color w:val="auto"/>
              </w:rPr>
            </w:pPr>
            <w:r>
              <w:rPr>
                <w:rFonts w:ascii="Arial" w:cs="Arial" w:eastAsia="Arial" w:hAnsi="Arial"/>
                <w:sz w:val="16"/>
                <w:szCs w:val="16"/>
                <w:color w:val="auto"/>
                <w:w w:val="89"/>
              </w:rPr>
              <w:t>2,304,650</w:t>
            </w:r>
          </w:p>
        </w:tc>
        <w:tc>
          <w:tcPr>
            <w:tcW w:w="0" w:type="dxa"/>
            <w:vAlign w:val="bottom"/>
          </w:tcPr>
          <w:p>
            <w:pPr>
              <w:spacing w:after="0"/>
              <w:rPr>
                <w:sz w:val="1"/>
                <w:szCs w:val="1"/>
                <w:color w:val="auto"/>
              </w:rPr>
            </w:pPr>
          </w:p>
        </w:tc>
      </w:tr>
      <w:tr>
        <w:trPr>
          <w:trHeight w:val="267"/>
        </w:trPr>
        <w:tc>
          <w:tcPr>
            <w:tcW w:w="4860" w:type="dxa"/>
            <w:vAlign w:val="bottom"/>
            <w:tcBorders>
              <w:bottom w:val="single" w:sz="8" w:color="407CCA"/>
            </w:tcBorders>
          </w:tcPr>
          <w:p>
            <w:pPr>
              <w:ind w:left="20"/>
              <w:spacing w:after="0"/>
              <w:rPr>
                <w:sz w:val="20"/>
                <w:szCs w:val="20"/>
                <w:color w:val="auto"/>
              </w:rPr>
            </w:pPr>
            <w:r>
              <w:rPr>
                <w:rFonts w:ascii="Arial" w:cs="Arial" w:eastAsia="Arial" w:hAnsi="Arial"/>
                <w:sz w:val="18"/>
                <w:szCs w:val="18"/>
                <w:i w:val="1"/>
                <w:iCs w:val="1"/>
                <w:color w:val="auto"/>
              </w:rPr>
              <w:t>Compliance Officer and Secretary</w:t>
            </w:r>
          </w:p>
        </w:tc>
        <w:tc>
          <w:tcPr>
            <w:tcW w:w="7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2020</w:t>
            </w:r>
          </w:p>
        </w:tc>
        <w:tc>
          <w:tcPr>
            <w:tcW w:w="10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500,000</w:t>
            </w:r>
          </w:p>
        </w:tc>
        <w:tc>
          <w:tcPr>
            <w:tcW w:w="10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809,900</w:t>
            </w:r>
          </w:p>
        </w:tc>
        <w:tc>
          <w:tcPr>
            <w:tcW w:w="98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800,000</w:t>
            </w:r>
          </w:p>
        </w:tc>
        <w:tc>
          <w:tcPr>
            <w:tcW w:w="11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17,100</w:t>
            </w:r>
          </w:p>
        </w:tc>
        <w:tc>
          <w:tcPr>
            <w:tcW w:w="108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2,127,000</w:t>
            </w:r>
          </w:p>
        </w:tc>
        <w:tc>
          <w:tcPr>
            <w:tcW w:w="0" w:type="dxa"/>
            <w:vAlign w:val="bottom"/>
          </w:tcPr>
          <w:p>
            <w:pPr>
              <w:spacing w:after="0"/>
              <w:rPr>
                <w:sz w:val="1"/>
                <w:szCs w:val="1"/>
                <w:color w:val="auto"/>
              </w:rPr>
            </w:pPr>
          </w:p>
        </w:tc>
      </w:tr>
    </w:tbl>
    <w:p>
      <w:pPr>
        <w:spacing w:after="0" w:line="76" w:lineRule="exact"/>
        <w:rPr>
          <w:sz w:val="20"/>
          <w:szCs w:val="20"/>
          <w:color w:val="auto"/>
        </w:rPr>
      </w:pPr>
    </w:p>
    <w:p>
      <w:pPr>
        <w:ind w:left="340" w:hanging="251"/>
        <w:spacing w:after="0" w:line="279" w:lineRule="auto"/>
        <w:tabs>
          <w:tab w:leader="none" w:pos="340" w:val="left"/>
        </w:tabs>
        <w:numPr>
          <w:ilvl w:val="0"/>
          <w:numId w:val="45"/>
        </w:numPr>
        <w:rPr>
          <w:rFonts w:ascii="Arial" w:cs="Arial" w:eastAsia="Arial" w:hAnsi="Arial"/>
          <w:sz w:val="13"/>
          <w:szCs w:val="13"/>
          <w:color w:val="auto"/>
        </w:rPr>
      </w:pPr>
      <w:r>
        <w:rPr>
          <w:rFonts w:ascii="Arial" w:cs="Arial" w:eastAsia="Arial" w:hAnsi="Arial"/>
          <w:sz w:val="13"/>
          <w:szCs w:val="13"/>
          <w:color w:val="auto"/>
        </w:rPr>
        <w:t>The amounts reported in the “Stock Awards” column represent the aggregate grant date fair value of each NEO’s awards calculated in accordance with FASB ASC Topic 718, as required by SEC regulations. The fair market value of a stock award is based on the fair market value of our stock on the date of grant with the value of the performance-based RSUs based on the probable outcome of the performance conditions as of the grant date and is set at 100% of the target amount. For fiscal year 2022, the grant date fair value of performance-based RSUs at 100% of the target amount was $3,015,000 for Mr. Federico, $2,814,000 for Mr. Kain, $1,742,000 for Mr. Kuehl, $837,500 for Ms. Bell, and $670,000 for Mr. Pollack, and the grant date fair value of the performance-based RSUs assuming the highest level of performance conditions is met, was $6,030,000 for Mr. Federico, $5,628,000 for Mr. Kain, $3,484,000 for</w:t>
      </w:r>
    </w:p>
    <w:p>
      <w:pPr>
        <w:spacing w:after="0" w:line="1" w:lineRule="exact"/>
        <w:rPr>
          <w:rFonts w:ascii="Arial" w:cs="Arial" w:eastAsia="Arial" w:hAnsi="Arial"/>
          <w:sz w:val="13"/>
          <w:szCs w:val="13"/>
          <w:color w:val="auto"/>
        </w:rPr>
      </w:pPr>
    </w:p>
    <w:p>
      <w:pPr>
        <w:ind w:left="340" w:right="140"/>
        <w:spacing w:after="0" w:line="245" w:lineRule="auto"/>
        <w:rPr>
          <w:rFonts w:ascii="Arial" w:cs="Arial" w:eastAsia="Arial" w:hAnsi="Arial"/>
          <w:sz w:val="13"/>
          <w:szCs w:val="13"/>
          <w:color w:val="auto"/>
        </w:rPr>
      </w:pPr>
      <w:r>
        <w:rPr>
          <w:rFonts w:ascii="Arial" w:cs="Arial" w:eastAsia="Arial" w:hAnsi="Arial"/>
          <w:sz w:val="14"/>
          <w:szCs w:val="14"/>
          <w:color w:val="auto"/>
        </w:rPr>
        <w:t>Mr. Kuehl, $1,675,000 for Ms. Bell, and $1,340,000 for Mr. Pollack. See below in the Grants of Plan Based Awards in Fiscal Year 2022 table for further details regarding the allocation of grants between time-vesting and performance-based RSUs.</w:t>
      </w:r>
    </w:p>
    <w:p>
      <w:pPr>
        <w:ind w:left="340" w:right="100" w:hanging="251"/>
        <w:spacing w:after="0" w:line="238" w:lineRule="auto"/>
        <w:tabs>
          <w:tab w:leader="none" w:pos="340" w:val="left"/>
        </w:tabs>
        <w:numPr>
          <w:ilvl w:val="0"/>
          <w:numId w:val="45"/>
        </w:numPr>
        <w:rPr>
          <w:rFonts w:ascii="Arial" w:cs="Arial" w:eastAsia="Arial" w:hAnsi="Arial"/>
          <w:sz w:val="13"/>
          <w:szCs w:val="13"/>
          <w:color w:val="auto"/>
        </w:rPr>
      </w:pPr>
      <w:r>
        <w:rPr>
          <w:rFonts w:ascii="Arial" w:cs="Arial" w:eastAsia="Arial" w:hAnsi="Arial"/>
          <w:sz w:val="13"/>
          <w:szCs w:val="13"/>
          <w:color w:val="auto"/>
        </w:rPr>
        <w:t>Mr. Federico assumed the role of Chief Executive Officer on July 1, 2021. His 2021 compensation reflects blended compensation for his services for six months as our President and Chief Operating Officer and six months as our President and Chief Executive Officer. His total compensation in 2022 reflects full year compensation as our CEO.</w:t>
      </w:r>
    </w:p>
    <w:p>
      <w:pPr>
        <w:ind w:left="340" w:hanging="251"/>
        <w:spacing w:after="0" w:line="201" w:lineRule="auto"/>
        <w:tabs>
          <w:tab w:leader="none" w:pos="340" w:val="left"/>
        </w:tabs>
        <w:numPr>
          <w:ilvl w:val="0"/>
          <w:numId w:val="45"/>
        </w:numPr>
        <w:rPr>
          <w:rFonts w:ascii="Arial" w:cs="Arial" w:eastAsia="Arial" w:hAnsi="Arial"/>
          <w:sz w:val="14"/>
          <w:szCs w:val="14"/>
          <w:color w:val="auto"/>
        </w:rPr>
      </w:pPr>
      <w:r>
        <w:rPr>
          <w:rFonts w:ascii="Arial" w:cs="Arial" w:eastAsia="Arial" w:hAnsi="Arial"/>
          <w:sz w:val="14"/>
          <w:szCs w:val="14"/>
          <w:color w:val="auto"/>
        </w:rPr>
        <w:t>Mr. Kain transitioned from the role of Chief Executive Officer and Chief Investment Officer to Executive Chair on July 1, 2021.</w:t>
      </w:r>
    </w:p>
    <w:p>
      <w:pPr>
        <w:ind w:left="340" w:hanging="251"/>
        <w:spacing w:after="0" w:line="232" w:lineRule="auto"/>
        <w:tabs>
          <w:tab w:leader="none" w:pos="340" w:val="left"/>
        </w:tabs>
        <w:numPr>
          <w:ilvl w:val="0"/>
          <w:numId w:val="45"/>
        </w:numPr>
        <w:rPr>
          <w:rFonts w:ascii="Arial" w:cs="Arial" w:eastAsia="Arial" w:hAnsi="Arial"/>
          <w:sz w:val="14"/>
          <w:szCs w:val="14"/>
          <w:color w:val="auto"/>
        </w:rPr>
      </w:pPr>
      <w:r>
        <w:rPr>
          <w:rFonts w:ascii="Arial" w:cs="Arial" w:eastAsia="Arial" w:hAnsi="Arial"/>
          <w:sz w:val="14"/>
          <w:szCs w:val="14"/>
          <w:color w:val="auto"/>
        </w:rPr>
        <w:t>Mr. Kuehl assumed the role of Chief Investment Officer on July 1, 2021. His 2021 compensation reflects blended compensation for his services for six months as our Executive Vice President, Agency Portfolio Investments and six months as our Executive Vice President and Chief Investment Officer. His total compensation in 2022 reflects full year compensation as our CIO.</w:t>
      </w:r>
    </w:p>
    <w:p>
      <w:pPr>
        <w:spacing w:after="0" w:line="345"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55" w:name="page56"/>
    <w:bookmarkEnd w:id="5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Grants of Plan-Based Awards in Fiscal Year 2022</w:t>
      </w:r>
    </w:p>
    <w:p>
      <w:pPr>
        <w:spacing w:after="0" w:line="81" w:lineRule="exact"/>
        <w:rPr>
          <w:sz w:val="20"/>
          <w:szCs w:val="20"/>
          <w:color w:val="auto"/>
        </w:rPr>
      </w:pPr>
    </w:p>
    <w:p>
      <w:pPr>
        <w:ind w:right="340" w:firstLine="648"/>
        <w:spacing w:after="0" w:line="248" w:lineRule="auto"/>
        <w:rPr>
          <w:sz w:val="20"/>
          <w:szCs w:val="20"/>
          <w:color w:val="auto"/>
        </w:rPr>
      </w:pPr>
      <w:r>
        <w:rPr>
          <w:rFonts w:ascii="Arial" w:cs="Arial" w:eastAsia="Arial" w:hAnsi="Arial"/>
          <w:sz w:val="16"/>
          <w:szCs w:val="16"/>
          <w:color w:val="auto"/>
        </w:rPr>
        <w:t>In the following table we provide information about each grant of an award made to an NEO during our fiscal year ended December 31, 2022 under the 2016 Equity Plan. See “Equity Incentive Compensation” in “Compensation Discussion and Analysis” above for a description of the plan and</w:t>
      </w:r>
    </w:p>
    <w:p>
      <w:pPr>
        <w:spacing w:after="0" w:line="226" w:lineRule="auto"/>
        <w:rPr>
          <w:sz w:val="20"/>
          <w:szCs w:val="20"/>
          <w:color w:val="auto"/>
        </w:rPr>
      </w:pPr>
      <w:r>
        <w:rPr>
          <w:rFonts w:ascii="Arial" w:cs="Arial" w:eastAsia="Arial" w:hAnsi="Arial"/>
          <w:sz w:val="18"/>
          <w:szCs w:val="18"/>
          <w:color w:val="auto"/>
        </w:rPr>
        <w:t>awards. Amounts included in the “Grant date fair value of stock awards” column are valued in accordance with ASC 718 without reduction of any assumed forfeitures.</w:t>
      </w:r>
    </w:p>
    <w:p>
      <w:pPr>
        <w:spacing w:after="0" w:line="200" w:lineRule="exact"/>
        <w:rPr>
          <w:sz w:val="20"/>
          <w:szCs w:val="20"/>
          <w:color w:val="auto"/>
        </w:rPr>
      </w:pPr>
    </w:p>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135"/>
        </w:trPr>
        <w:tc>
          <w:tcPr>
            <w:tcW w:w="2040" w:type="dxa"/>
            <w:vAlign w:val="bottom"/>
            <w:tcBorders>
              <w:top w:val="single" w:sz="8" w:color="407CCA"/>
            </w:tcBorders>
          </w:tcPr>
          <w:p>
            <w:pPr>
              <w:spacing w:after="0"/>
              <w:rPr>
                <w:sz w:val="11"/>
                <w:szCs w:val="11"/>
                <w:color w:val="auto"/>
              </w:rPr>
            </w:pPr>
          </w:p>
        </w:tc>
        <w:tc>
          <w:tcPr>
            <w:tcW w:w="3060" w:type="dxa"/>
            <w:vAlign w:val="bottom"/>
            <w:tcBorders>
              <w:top w:val="single" w:sz="8" w:color="407CCA"/>
            </w:tcBorders>
          </w:tcPr>
          <w:p>
            <w:pPr>
              <w:spacing w:after="0"/>
              <w:rPr>
                <w:sz w:val="11"/>
                <w:szCs w:val="11"/>
                <w:color w:val="auto"/>
              </w:rPr>
            </w:pPr>
          </w:p>
        </w:tc>
        <w:tc>
          <w:tcPr>
            <w:tcW w:w="1140" w:type="dxa"/>
            <w:vAlign w:val="bottom"/>
            <w:tcBorders>
              <w:top w:val="single" w:sz="8" w:color="407CCA"/>
            </w:tcBorders>
          </w:tcPr>
          <w:p>
            <w:pPr>
              <w:spacing w:after="0"/>
              <w:rPr>
                <w:sz w:val="11"/>
                <w:szCs w:val="11"/>
                <w:color w:val="auto"/>
              </w:rPr>
            </w:pPr>
          </w:p>
        </w:tc>
        <w:tc>
          <w:tcPr>
            <w:tcW w:w="2480" w:type="dxa"/>
            <w:vAlign w:val="bottom"/>
            <w:tcBorders>
              <w:top w:val="single" w:sz="8" w:color="407CCA"/>
            </w:tcBorders>
            <w:gridSpan w:val="3"/>
          </w:tcPr>
          <w:p>
            <w:pPr>
              <w:jc w:val="center"/>
              <w:spacing w:after="0" w:line="135" w:lineRule="exact"/>
              <w:rPr>
                <w:sz w:val="20"/>
                <w:szCs w:val="20"/>
                <w:color w:val="auto"/>
              </w:rPr>
            </w:pPr>
            <w:r>
              <w:rPr>
                <w:rFonts w:ascii="Arial" w:cs="Arial" w:eastAsia="Arial" w:hAnsi="Arial"/>
                <w:sz w:val="13"/>
                <w:szCs w:val="13"/>
                <w:b w:val="1"/>
                <w:bCs w:val="1"/>
                <w:color w:val="auto"/>
                <w:w w:val="88"/>
              </w:rPr>
              <w:t>Estimated Future Payouts Under Equity</w:t>
            </w:r>
          </w:p>
        </w:tc>
        <w:tc>
          <w:tcPr>
            <w:tcW w:w="940" w:type="dxa"/>
            <w:vAlign w:val="bottom"/>
            <w:tcBorders>
              <w:top w:val="single" w:sz="8" w:color="407CCA"/>
            </w:tcBorders>
            <w:vMerge w:val="restart"/>
          </w:tcPr>
          <w:p>
            <w:pPr>
              <w:jc w:val="center"/>
              <w:spacing w:after="0"/>
              <w:rPr>
                <w:sz w:val="20"/>
                <w:szCs w:val="20"/>
                <w:color w:val="auto"/>
              </w:rPr>
            </w:pPr>
            <w:r>
              <w:rPr>
                <w:rFonts w:ascii="Arial" w:cs="Arial" w:eastAsia="Arial" w:hAnsi="Arial"/>
                <w:sz w:val="13"/>
                <w:szCs w:val="13"/>
                <w:b w:val="1"/>
                <w:bCs w:val="1"/>
                <w:color w:val="auto"/>
                <w:w w:val="90"/>
              </w:rPr>
              <w:t>All Other</w:t>
            </w:r>
          </w:p>
        </w:tc>
        <w:tc>
          <w:tcPr>
            <w:tcW w:w="126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40" w:type="dxa"/>
            <w:vAlign w:val="bottom"/>
          </w:tcPr>
          <w:p>
            <w:pPr>
              <w:spacing w:after="0"/>
              <w:rPr>
                <w:sz w:val="11"/>
                <w:szCs w:val="11"/>
                <w:color w:val="auto"/>
              </w:rPr>
            </w:pPr>
          </w:p>
        </w:tc>
        <w:tc>
          <w:tcPr>
            <w:tcW w:w="306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2480" w:type="dxa"/>
            <w:vAlign w:val="bottom"/>
            <w:gridSpan w:val="3"/>
          </w:tcPr>
          <w:p>
            <w:pPr>
              <w:jc w:val="center"/>
              <w:spacing w:after="0" w:line="135" w:lineRule="exact"/>
              <w:rPr>
                <w:sz w:val="20"/>
                <w:szCs w:val="20"/>
                <w:color w:val="auto"/>
              </w:rPr>
            </w:pPr>
            <w:r>
              <w:rPr>
                <w:rFonts w:ascii="Arial" w:cs="Arial" w:eastAsia="Arial" w:hAnsi="Arial"/>
                <w:sz w:val="12"/>
                <w:szCs w:val="12"/>
                <w:b w:val="1"/>
                <w:bCs w:val="1"/>
                <w:color w:val="auto"/>
                <w:w w:val="93"/>
              </w:rPr>
              <w:t xml:space="preserve">Incentive Plan Awards </w:t>
            </w:r>
            <w:r>
              <w:rPr>
                <w:rFonts w:ascii="Arial" w:cs="Arial" w:eastAsia="Arial" w:hAnsi="Arial"/>
                <w:sz w:val="15"/>
                <w:szCs w:val="15"/>
                <w:b w:val="1"/>
                <w:bCs w:val="1"/>
                <w:color w:val="auto"/>
                <w:w w:val="93"/>
                <w:vertAlign w:val="superscript"/>
              </w:rPr>
              <w:t>3</w:t>
            </w:r>
          </w:p>
        </w:tc>
        <w:tc>
          <w:tcPr>
            <w:tcW w:w="940" w:type="dxa"/>
            <w:vAlign w:val="bottom"/>
            <w:vMerge w:val="continue"/>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8"/>
        </w:trPr>
        <w:tc>
          <w:tcPr>
            <w:tcW w:w="2040" w:type="dxa"/>
            <w:vAlign w:val="bottom"/>
          </w:tcPr>
          <w:p>
            <w:pPr>
              <w:spacing w:after="0"/>
              <w:rPr>
                <w:sz w:val="5"/>
                <w:szCs w:val="5"/>
                <w:color w:val="auto"/>
              </w:rPr>
            </w:pPr>
          </w:p>
        </w:tc>
        <w:tc>
          <w:tcPr>
            <w:tcW w:w="3060" w:type="dxa"/>
            <w:vAlign w:val="bottom"/>
          </w:tcPr>
          <w:p>
            <w:pPr>
              <w:spacing w:after="0"/>
              <w:rPr>
                <w:sz w:val="5"/>
                <w:szCs w:val="5"/>
                <w:color w:val="auto"/>
              </w:rPr>
            </w:pPr>
          </w:p>
        </w:tc>
        <w:tc>
          <w:tcPr>
            <w:tcW w:w="1140" w:type="dxa"/>
            <w:vAlign w:val="bottom"/>
          </w:tcPr>
          <w:p>
            <w:pPr>
              <w:spacing w:after="0"/>
              <w:rPr>
                <w:sz w:val="5"/>
                <w:szCs w:val="5"/>
                <w:color w:val="auto"/>
              </w:rPr>
            </w:pPr>
          </w:p>
        </w:tc>
        <w:tc>
          <w:tcPr>
            <w:tcW w:w="820" w:type="dxa"/>
            <w:vAlign w:val="bottom"/>
            <w:tcBorders>
              <w:bottom w:val="single" w:sz="8" w:color="407CCA"/>
            </w:tcBorders>
          </w:tcPr>
          <w:p>
            <w:pPr>
              <w:spacing w:after="0"/>
              <w:rPr>
                <w:sz w:val="5"/>
                <w:szCs w:val="5"/>
                <w:color w:val="auto"/>
              </w:rPr>
            </w:pPr>
          </w:p>
        </w:tc>
        <w:tc>
          <w:tcPr>
            <w:tcW w:w="820" w:type="dxa"/>
            <w:vAlign w:val="bottom"/>
            <w:tcBorders>
              <w:bottom w:val="single" w:sz="8" w:color="407CCA"/>
            </w:tcBorders>
          </w:tcPr>
          <w:p>
            <w:pPr>
              <w:spacing w:after="0"/>
              <w:rPr>
                <w:sz w:val="5"/>
                <w:szCs w:val="5"/>
                <w:color w:val="auto"/>
              </w:rPr>
            </w:pPr>
          </w:p>
        </w:tc>
        <w:tc>
          <w:tcPr>
            <w:tcW w:w="840" w:type="dxa"/>
            <w:vAlign w:val="bottom"/>
            <w:tcBorders>
              <w:bottom w:val="single" w:sz="8" w:color="407CCA"/>
            </w:tcBorders>
          </w:tcPr>
          <w:p>
            <w:pPr>
              <w:spacing w:after="0"/>
              <w:rPr>
                <w:sz w:val="5"/>
                <w:szCs w:val="5"/>
                <w:color w:val="auto"/>
              </w:rPr>
            </w:pPr>
          </w:p>
        </w:tc>
        <w:tc>
          <w:tcPr>
            <w:tcW w:w="940" w:type="dxa"/>
            <w:vAlign w:val="bottom"/>
          </w:tcPr>
          <w:p>
            <w:pPr>
              <w:jc w:val="center"/>
              <w:spacing w:after="0" w:line="48" w:lineRule="exact"/>
              <w:rPr>
                <w:sz w:val="20"/>
                <w:szCs w:val="20"/>
                <w:color w:val="auto"/>
              </w:rPr>
            </w:pPr>
            <w:r>
              <w:rPr>
                <w:rFonts w:ascii="Arial" w:cs="Arial" w:eastAsia="Arial" w:hAnsi="Arial"/>
                <w:sz w:val="5"/>
                <w:szCs w:val="5"/>
                <w:b w:val="1"/>
                <w:bCs w:val="1"/>
                <w:color w:val="auto"/>
              </w:rPr>
              <w:t>Stock</w:t>
            </w:r>
          </w:p>
        </w:tc>
        <w:tc>
          <w:tcPr>
            <w:tcW w:w="1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1"/>
        </w:trPr>
        <w:tc>
          <w:tcPr>
            <w:tcW w:w="2040" w:type="dxa"/>
            <w:vAlign w:val="bottom"/>
          </w:tcPr>
          <w:p>
            <w:pPr>
              <w:spacing w:after="0"/>
              <w:rPr>
                <w:sz w:val="8"/>
                <w:szCs w:val="8"/>
                <w:color w:val="auto"/>
              </w:rPr>
            </w:pPr>
          </w:p>
        </w:tc>
        <w:tc>
          <w:tcPr>
            <w:tcW w:w="3060" w:type="dxa"/>
            <w:vAlign w:val="bottom"/>
          </w:tcPr>
          <w:p>
            <w:pPr>
              <w:spacing w:after="0"/>
              <w:rPr>
                <w:sz w:val="8"/>
                <w:szCs w:val="8"/>
                <w:color w:val="auto"/>
              </w:rPr>
            </w:pPr>
          </w:p>
        </w:tc>
        <w:tc>
          <w:tcPr>
            <w:tcW w:w="1140" w:type="dxa"/>
            <w:vAlign w:val="bottom"/>
          </w:tcPr>
          <w:p>
            <w:pPr>
              <w:spacing w:after="0"/>
              <w:rPr>
                <w:sz w:val="8"/>
                <w:szCs w:val="8"/>
                <w:color w:val="auto"/>
              </w:rPr>
            </w:pPr>
          </w:p>
        </w:tc>
        <w:tc>
          <w:tcPr>
            <w:tcW w:w="820" w:type="dxa"/>
            <w:vAlign w:val="bottom"/>
          </w:tcPr>
          <w:p>
            <w:pPr>
              <w:spacing w:after="0"/>
              <w:rPr>
                <w:sz w:val="8"/>
                <w:szCs w:val="8"/>
                <w:color w:val="auto"/>
              </w:rPr>
            </w:pPr>
          </w:p>
        </w:tc>
        <w:tc>
          <w:tcPr>
            <w:tcW w:w="820" w:type="dxa"/>
            <w:vAlign w:val="bottom"/>
          </w:tcPr>
          <w:p>
            <w:pPr>
              <w:spacing w:after="0"/>
              <w:rPr>
                <w:sz w:val="8"/>
                <w:szCs w:val="8"/>
                <w:color w:val="auto"/>
              </w:rPr>
            </w:pPr>
          </w:p>
        </w:tc>
        <w:tc>
          <w:tcPr>
            <w:tcW w:w="840" w:type="dxa"/>
            <w:vAlign w:val="bottom"/>
          </w:tcPr>
          <w:p>
            <w:pPr>
              <w:spacing w:after="0"/>
              <w:rPr>
                <w:sz w:val="8"/>
                <w:szCs w:val="8"/>
                <w:color w:val="auto"/>
              </w:rPr>
            </w:pPr>
          </w:p>
        </w:tc>
        <w:tc>
          <w:tcPr>
            <w:tcW w:w="940" w:type="dxa"/>
            <w:vAlign w:val="bottom"/>
          </w:tcPr>
          <w:p>
            <w:pPr>
              <w:jc w:val="center"/>
              <w:spacing w:after="0" w:line="102" w:lineRule="exact"/>
              <w:rPr>
                <w:sz w:val="20"/>
                <w:szCs w:val="20"/>
                <w:color w:val="auto"/>
              </w:rPr>
            </w:pPr>
            <w:r>
              <w:rPr>
                <w:rFonts w:ascii="Arial" w:cs="Arial" w:eastAsia="Arial" w:hAnsi="Arial"/>
                <w:sz w:val="10"/>
                <w:szCs w:val="10"/>
                <w:b w:val="1"/>
                <w:bCs w:val="1"/>
                <w:color w:val="auto"/>
              </w:rPr>
              <w:t>Awards:</w:t>
            </w:r>
          </w:p>
        </w:tc>
        <w:tc>
          <w:tcPr>
            <w:tcW w:w="1260" w:type="dxa"/>
            <w:vAlign w:val="bottom"/>
          </w:tcPr>
          <w:p>
            <w:pPr>
              <w:jc w:val="center"/>
              <w:spacing w:after="0" w:line="102" w:lineRule="exact"/>
              <w:rPr>
                <w:sz w:val="20"/>
                <w:szCs w:val="20"/>
                <w:color w:val="auto"/>
              </w:rPr>
            </w:pPr>
            <w:r>
              <w:rPr>
                <w:rFonts w:ascii="Arial" w:cs="Arial" w:eastAsia="Arial" w:hAnsi="Arial"/>
                <w:sz w:val="10"/>
                <w:szCs w:val="10"/>
                <w:b w:val="1"/>
                <w:bCs w:val="1"/>
                <w:color w:val="auto"/>
              </w:rPr>
              <w:t>Grant date fair</w:t>
            </w:r>
          </w:p>
        </w:tc>
        <w:tc>
          <w:tcPr>
            <w:tcW w:w="0" w:type="dxa"/>
            <w:vAlign w:val="bottom"/>
          </w:tcPr>
          <w:p>
            <w:pPr>
              <w:spacing w:after="0"/>
              <w:rPr>
                <w:sz w:val="1"/>
                <w:szCs w:val="1"/>
                <w:color w:val="auto"/>
              </w:rPr>
            </w:pPr>
          </w:p>
        </w:tc>
      </w:tr>
      <w:tr>
        <w:trPr>
          <w:trHeight w:val="135"/>
        </w:trPr>
        <w:tc>
          <w:tcPr>
            <w:tcW w:w="2040" w:type="dxa"/>
            <w:vAlign w:val="bottom"/>
            <w:vMerge w:val="restart"/>
          </w:tcPr>
          <w:p>
            <w:pPr>
              <w:ind w:left="160"/>
              <w:spacing w:after="0"/>
              <w:rPr>
                <w:sz w:val="20"/>
                <w:szCs w:val="20"/>
                <w:color w:val="auto"/>
              </w:rPr>
            </w:pPr>
            <w:r>
              <w:rPr>
                <w:rFonts w:ascii="Arial" w:cs="Arial" w:eastAsia="Arial" w:hAnsi="Arial"/>
                <w:sz w:val="18"/>
                <w:szCs w:val="18"/>
                <w:b w:val="1"/>
                <w:bCs w:val="1"/>
                <w:color w:val="auto"/>
              </w:rPr>
              <w:t>Name</w:t>
            </w:r>
          </w:p>
        </w:tc>
        <w:tc>
          <w:tcPr>
            <w:tcW w:w="3060" w:type="dxa"/>
            <w:vAlign w:val="bottom"/>
            <w:vMerge w:val="restart"/>
          </w:tcPr>
          <w:p>
            <w:pPr>
              <w:jc w:val="center"/>
              <w:ind w:left="201"/>
              <w:spacing w:after="0"/>
              <w:rPr>
                <w:sz w:val="20"/>
                <w:szCs w:val="20"/>
                <w:color w:val="auto"/>
              </w:rPr>
            </w:pPr>
            <w:r>
              <w:rPr>
                <w:rFonts w:ascii="Arial" w:cs="Arial" w:eastAsia="Arial" w:hAnsi="Arial"/>
                <w:sz w:val="13"/>
                <w:szCs w:val="13"/>
                <w:b w:val="1"/>
                <w:bCs w:val="1"/>
                <w:color w:val="auto"/>
                <w:w w:val="88"/>
              </w:rPr>
              <w:t xml:space="preserve">Award Type </w:t>
            </w:r>
            <w:r>
              <w:rPr>
                <w:rFonts w:ascii="Arial" w:cs="Arial" w:eastAsia="Arial" w:hAnsi="Arial"/>
                <w:sz w:val="16"/>
                <w:szCs w:val="16"/>
                <w:b w:val="1"/>
                <w:bCs w:val="1"/>
                <w:color w:val="auto"/>
                <w:w w:val="88"/>
                <w:vertAlign w:val="superscript"/>
              </w:rPr>
              <w:t>1</w:t>
            </w:r>
          </w:p>
        </w:tc>
        <w:tc>
          <w:tcPr>
            <w:tcW w:w="1140" w:type="dxa"/>
            <w:vAlign w:val="bottom"/>
            <w:vMerge w:val="restart"/>
          </w:tcPr>
          <w:p>
            <w:pPr>
              <w:jc w:val="center"/>
              <w:ind w:left="21"/>
              <w:spacing w:after="0"/>
              <w:rPr>
                <w:sz w:val="20"/>
                <w:szCs w:val="20"/>
                <w:color w:val="auto"/>
              </w:rPr>
            </w:pPr>
            <w:r>
              <w:rPr>
                <w:rFonts w:ascii="Arial" w:cs="Arial" w:eastAsia="Arial" w:hAnsi="Arial"/>
                <w:sz w:val="13"/>
                <w:szCs w:val="13"/>
                <w:b w:val="1"/>
                <w:bCs w:val="1"/>
                <w:color w:val="auto"/>
                <w:w w:val="89"/>
              </w:rPr>
              <w:t xml:space="preserve">Grant Date </w:t>
            </w:r>
            <w:r>
              <w:rPr>
                <w:rFonts w:ascii="Arial" w:cs="Arial" w:eastAsia="Arial" w:hAnsi="Arial"/>
                <w:sz w:val="16"/>
                <w:szCs w:val="16"/>
                <w:b w:val="1"/>
                <w:bCs w:val="1"/>
                <w:color w:val="auto"/>
                <w:w w:val="89"/>
                <w:vertAlign w:val="superscript"/>
              </w:rPr>
              <w:t>2</w:t>
            </w:r>
          </w:p>
        </w:tc>
        <w:tc>
          <w:tcPr>
            <w:tcW w:w="820" w:type="dxa"/>
            <w:vAlign w:val="bottom"/>
          </w:tcPr>
          <w:p>
            <w:pPr>
              <w:ind w:left="120"/>
              <w:spacing w:after="0" w:line="135" w:lineRule="exact"/>
              <w:rPr>
                <w:sz w:val="20"/>
                <w:szCs w:val="20"/>
                <w:color w:val="auto"/>
              </w:rPr>
            </w:pPr>
            <w:r>
              <w:rPr>
                <w:rFonts w:ascii="Arial" w:cs="Arial" w:eastAsia="Arial" w:hAnsi="Arial"/>
                <w:sz w:val="13"/>
                <w:szCs w:val="13"/>
                <w:b w:val="1"/>
                <w:bCs w:val="1"/>
                <w:color w:val="auto"/>
              </w:rPr>
              <w:t>Threshold</w:t>
            </w:r>
          </w:p>
        </w:tc>
        <w:tc>
          <w:tcPr>
            <w:tcW w:w="8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Target</w:t>
            </w:r>
          </w:p>
        </w:tc>
        <w:tc>
          <w:tcPr>
            <w:tcW w:w="840" w:type="dxa"/>
            <w:vAlign w:val="bottom"/>
          </w:tcPr>
          <w:p>
            <w:pPr>
              <w:ind w:left="140"/>
              <w:spacing w:after="0" w:line="135" w:lineRule="exact"/>
              <w:rPr>
                <w:sz w:val="20"/>
                <w:szCs w:val="20"/>
                <w:color w:val="auto"/>
              </w:rPr>
            </w:pPr>
            <w:r>
              <w:rPr>
                <w:rFonts w:ascii="Arial" w:cs="Arial" w:eastAsia="Arial" w:hAnsi="Arial"/>
                <w:sz w:val="13"/>
                <w:szCs w:val="13"/>
                <w:b w:val="1"/>
                <w:bCs w:val="1"/>
                <w:color w:val="auto"/>
              </w:rPr>
              <w:t>Maximum</w:t>
            </w: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3"/>
              </w:rPr>
              <w:t>Number</w:t>
            </w:r>
          </w:p>
        </w:tc>
        <w:tc>
          <w:tcPr>
            <w:tcW w:w="126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89"/>
        </w:trPr>
        <w:tc>
          <w:tcPr>
            <w:tcW w:w="2040" w:type="dxa"/>
            <w:vAlign w:val="bottom"/>
            <w:tcBorders>
              <w:bottom w:val="single" w:sz="8" w:color="407CCA"/>
            </w:tcBorders>
            <w:vMerge w:val="continue"/>
          </w:tcPr>
          <w:p>
            <w:pPr>
              <w:spacing w:after="0"/>
              <w:rPr>
                <w:sz w:val="16"/>
                <w:szCs w:val="16"/>
                <w:color w:val="auto"/>
              </w:rPr>
            </w:pPr>
          </w:p>
        </w:tc>
        <w:tc>
          <w:tcPr>
            <w:tcW w:w="3060" w:type="dxa"/>
            <w:vAlign w:val="bottom"/>
            <w:tcBorders>
              <w:bottom w:val="single" w:sz="8" w:color="407CCA"/>
            </w:tcBorders>
            <w:vMerge w:val="continue"/>
          </w:tcPr>
          <w:p>
            <w:pPr>
              <w:spacing w:after="0"/>
              <w:rPr>
                <w:sz w:val="16"/>
                <w:szCs w:val="16"/>
                <w:color w:val="auto"/>
              </w:rPr>
            </w:pPr>
          </w:p>
        </w:tc>
        <w:tc>
          <w:tcPr>
            <w:tcW w:w="1140" w:type="dxa"/>
            <w:vAlign w:val="bottom"/>
            <w:tcBorders>
              <w:bottom w:val="single" w:sz="8" w:color="407CCA"/>
            </w:tcBorders>
            <w:vMerge w:val="continue"/>
          </w:tcPr>
          <w:p>
            <w:pPr>
              <w:spacing w:after="0"/>
              <w:rPr>
                <w:sz w:val="16"/>
                <w:szCs w:val="16"/>
                <w:color w:val="auto"/>
              </w:rPr>
            </w:pPr>
          </w:p>
        </w:tc>
        <w:tc>
          <w:tcPr>
            <w:tcW w:w="8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7"/>
              </w:rPr>
              <w:t>(#)</w:t>
            </w:r>
          </w:p>
        </w:tc>
        <w:tc>
          <w:tcPr>
            <w:tcW w:w="8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rPr>
              <w:t>(#)</w:t>
            </w:r>
          </w:p>
        </w:tc>
        <w:tc>
          <w:tcPr>
            <w:tcW w:w="8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rPr>
              <w:t>(#)</w:t>
            </w:r>
          </w:p>
        </w:tc>
        <w:tc>
          <w:tcPr>
            <w:tcW w:w="9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of Units</w:t>
            </w:r>
          </w:p>
        </w:tc>
        <w:tc>
          <w:tcPr>
            <w:tcW w:w="12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4"/>
              </w:rPr>
              <w:t xml:space="preserve">awards </w:t>
            </w:r>
            <w:r>
              <w:rPr>
                <w:rFonts w:ascii="Arial" w:cs="Arial" w:eastAsia="Arial" w:hAnsi="Arial"/>
                <w:sz w:val="16"/>
                <w:szCs w:val="16"/>
                <w:b w:val="1"/>
                <w:bCs w:val="1"/>
                <w:color w:val="auto"/>
                <w:w w:val="84"/>
                <w:vertAlign w:val="superscript"/>
              </w:rPr>
              <w:t>4</w:t>
            </w:r>
          </w:p>
        </w:tc>
        <w:tc>
          <w:tcPr>
            <w:tcW w:w="0" w:type="dxa"/>
            <w:vAlign w:val="bottom"/>
          </w:tcPr>
          <w:p>
            <w:pPr>
              <w:spacing w:after="0"/>
              <w:rPr>
                <w:sz w:val="1"/>
                <w:szCs w:val="1"/>
                <w:color w:val="auto"/>
              </w:rPr>
            </w:pPr>
          </w:p>
        </w:tc>
      </w:tr>
      <w:tr>
        <w:trPr>
          <w:trHeight w:val="204"/>
        </w:trPr>
        <w:tc>
          <w:tcPr>
            <w:tcW w:w="2040" w:type="dxa"/>
            <w:vAlign w:val="bottom"/>
          </w:tcPr>
          <w:p>
            <w:pPr>
              <w:ind w:left="100"/>
              <w:spacing w:after="0"/>
              <w:rPr>
                <w:sz w:val="20"/>
                <w:szCs w:val="20"/>
                <w:color w:val="auto"/>
              </w:rPr>
            </w:pPr>
            <w:r>
              <w:rPr>
                <w:rFonts w:ascii="Arial" w:cs="Arial" w:eastAsia="Arial" w:hAnsi="Arial"/>
                <w:sz w:val="16"/>
                <w:szCs w:val="16"/>
                <w:b w:val="1"/>
                <w:bCs w:val="1"/>
                <w:color w:val="auto"/>
              </w:rPr>
              <w:t>Peter J. Federico</w:t>
            </w:r>
          </w:p>
        </w:tc>
        <w:tc>
          <w:tcPr>
            <w:tcW w:w="306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jc w:val="center"/>
              <w:ind w:left="201"/>
              <w:spacing w:after="0"/>
              <w:rPr>
                <w:sz w:val="20"/>
                <w:szCs w:val="20"/>
                <w:color w:val="auto"/>
              </w:rPr>
            </w:pPr>
            <w:r>
              <w:rPr>
                <w:rFonts w:ascii="Arial" w:cs="Arial" w:eastAsia="Arial" w:hAnsi="Arial"/>
                <w:sz w:val="16"/>
                <w:szCs w:val="16"/>
                <w:color w:val="auto"/>
                <w:w w:val="91"/>
              </w:rPr>
              <w:t>Time-Based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jc w:val="center"/>
              <w:spacing w:after="0"/>
              <w:rPr>
                <w:sz w:val="20"/>
                <w:szCs w:val="20"/>
                <w:color w:val="auto"/>
              </w:rPr>
            </w:pPr>
            <w:r>
              <w:rPr>
                <w:rFonts w:ascii="Arial" w:cs="Arial" w:eastAsia="Arial" w:hAnsi="Arial"/>
                <w:sz w:val="16"/>
                <w:szCs w:val="16"/>
                <w:color w:val="auto"/>
                <w:w w:val="89"/>
              </w:rPr>
              <w:t>114,318</w:t>
            </w: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$1,485,000</w:t>
            </w: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ind w:left="460"/>
              <w:spacing w:after="0"/>
              <w:rPr>
                <w:sz w:val="20"/>
                <w:szCs w:val="20"/>
                <w:color w:val="auto"/>
              </w:rPr>
            </w:pPr>
            <w:r>
              <w:rPr>
                <w:rFonts w:ascii="Arial" w:cs="Arial" w:eastAsia="Arial" w:hAnsi="Arial"/>
                <w:sz w:val="16"/>
                <w:szCs w:val="16"/>
                <w:color w:val="auto"/>
              </w:rPr>
              <w:t>Performance-Based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232,101</w:t>
            </w:r>
          </w:p>
        </w:tc>
        <w:tc>
          <w:tcPr>
            <w:tcW w:w="840" w:type="dxa"/>
            <w:vAlign w:val="bottom"/>
          </w:tcPr>
          <w:p>
            <w:pPr>
              <w:jc w:val="center"/>
              <w:spacing w:after="0"/>
              <w:rPr>
                <w:sz w:val="20"/>
                <w:szCs w:val="20"/>
                <w:color w:val="auto"/>
              </w:rPr>
            </w:pPr>
            <w:r>
              <w:rPr>
                <w:rFonts w:ascii="Arial" w:cs="Arial" w:eastAsia="Arial" w:hAnsi="Arial"/>
                <w:sz w:val="16"/>
                <w:szCs w:val="16"/>
                <w:color w:val="auto"/>
                <w:w w:val="89"/>
              </w:rPr>
              <w:t>464,202</w:t>
            </w:r>
          </w:p>
        </w:tc>
        <w:tc>
          <w:tcPr>
            <w:tcW w:w="94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$3,015,000</w:t>
            </w:r>
          </w:p>
        </w:tc>
        <w:tc>
          <w:tcPr>
            <w:tcW w:w="0" w:type="dxa"/>
            <w:vAlign w:val="bottom"/>
          </w:tcPr>
          <w:p>
            <w:pPr>
              <w:spacing w:after="0"/>
              <w:rPr>
                <w:sz w:val="1"/>
                <w:szCs w:val="1"/>
                <w:color w:val="auto"/>
              </w:rPr>
            </w:pPr>
          </w:p>
        </w:tc>
      </w:tr>
      <w:tr>
        <w:trPr>
          <w:trHeight w:val="216"/>
        </w:trPr>
        <w:tc>
          <w:tcPr>
            <w:tcW w:w="2040" w:type="dxa"/>
            <w:vAlign w:val="bottom"/>
          </w:tcPr>
          <w:p>
            <w:pPr>
              <w:ind w:left="80"/>
              <w:spacing w:after="0"/>
              <w:rPr>
                <w:sz w:val="20"/>
                <w:szCs w:val="20"/>
                <w:color w:val="auto"/>
              </w:rPr>
            </w:pPr>
            <w:r>
              <w:rPr>
                <w:rFonts w:ascii="Arial" w:cs="Arial" w:eastAsia="Arial" w:hAnsi="Arial"/>
                <w:sz w:val="16"/>
                <w:szCs w:val="16"/>
                <w:b w:val="1"/>
                <w:bCs w:val="1"/>
                <w:color w:val="auto"/>
              </w:rPr>
              <w:t>Gary D. Kain</w:t>
            </w:r>
          </w:p>
        </w:tc>
        <w:tc>
          <w:tcPr>
            <w:tcW w:w="30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jc w:val="center"/>
              <w:ind w:left="201"/>
              <w:spacing w:after="0"/>
              <w:rPr>
                <w:sz w:val="20"/>
                <w:szCs w:val="20"/>
                <w:color w:val="auto"/>
              </w:rPr>
            </w:pPr>
            <w:r>
              <w:rPr>
                <w:rFonts w:ascii="Arial" w:cs="Arial" w:eastAsia="Arial" w:hAnsi="Arial"/>
                <w:sz w:val="16"/>
                <w:szCs w:val="16"/>
                <w:color w:val="auto"/>
                <w:w w:val="91"/>
              </w:rPr>
              <w:t>Time-Based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jc w:val="center"/>
              <w:spacing w:after="0"/>
              <w:rPr>
                <w:sz w:val="20"/>
                <w:szCs w:val="20"/>
                <w:color w:val="auto"/>
              </w:rPr>
            </w:pPr>
            <w:r>
              <w:rPr>
                <w:rFonts w:ascii="Arial" w:cs="Arial" w:eastAsia="Arial" w:hAnsi="Arial"/>
                <w:sz w:val="16"/>
                <w:szCs w:val="16"/>
                <w:color w:val="auto"/>
                <w:w w:val="93"/>
              </w:rPr>
              <w:t>106,697</w:t>
            </w: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$1,386,000</w:t>
            </w: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ind w:left="460"/>
              <w:spacing w:after="0"/>
              <w:rPr>
                <w:sz w:val="20"/>
                <w:szCs w:val="20"/>
                <w:color w:val="auto"/>
              </w:rPr>
            </w:pPr>
            <w:r>
              <w:rPr>
                <w:rFonts w:ascii="Arial" w:cs="Arial" w:eastAsia="Arial" w:hAnsi="Arial"/>
                <w:sz w:val="16"/>
                <w:szCs w:val="16"/>
                <w:color w:val="auto"/>
              </w:rPr>
              <w:t>Performance-Based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216,628</w:t>
            </w:r>
          </w:p>
        </w:tc>
        <w:tc>
          <w:tcPr>
            <w:tcW w:w="840" w:type="dxa"/>
            <w:vAlign w:val="bottom"/>
          </w:tcPr>
          <w:p>
            <w:pPr>
              <w:jc w:val="center"/>
              <w:spacing w:after="0"/>
              <w:rPr>
                <w:sz w:val="20"/>
                <w:szCs w:val="20"/>
                <w:color w:val="auto"/>
              </w:rPr>
            </w:pPr>
            <w:r>
              <w:rPr>
                <w:rFonts w:ascii="Arial" w:cs="Arial" w:eastAsia="Arial" w:hAnsi="Arial"/>
                <w:sz w:val="16"/>
                <w:szCs w:val="16"/>
                <w:color w:val="auto"/>
                <w:w w:val="89"/>
              </w:rPr>
              <w:t>433,256</w:t>
            </w:r>
          </w:p>
        </w:tc>
        <w:tc>
          <w:tcPr>
            <w:tcW w:w="94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$2,814,000</w:t>
            </w:r>
          </w:p>
        </w:tc>
        <w:tc>
          <w:tcPr>
            <w:tcW w:w="0" w:type="dxa"/>
            <w:vAlign w:val="bottom"/>
          </w:tcPr>
          <w:p>
            <w:pPr>
              <w:spacing w:after="0"/>
              <w:rPr>
                <w:sz w:val="1"/>
                <w:szCs w:val="1"/>
                <w:color w:val="auto"/>
              </w:rPr>
            </w:pPr>
          </w:p>
        </w:tc>
      </w:tr>
      <w:tr>
        <w:trPr>
          <w:trHeight w:val="216"/>
        </w:trPr>
        <w:tc>
          <w:tcPr>
            <w:tcW w:w="2040" w:type="dxa"/>
            <w:vAlign w:val="bottom"/>
          </w:tcPr>
          <w:p>
            <w:pPr>
              <w:ind w:left="100"/>
              <w:spacing w:after="0"/>
              <w:rPr>
                <w:sz w:val="20"/>
                <w:szCs w:val="20"/>
                <w:color w:val="auto"/>
              </w:rPr>
            </w:pPr>
            <w:r>
              <w:rPr>
                <w:rFonts w:ascii="Arial" w:cs="Arial" w:eastAsia="Arial" w:hAnsi="Arial"/>
                <w:sz w:val="16"/>
                <w:szCs w:val="16"/>
                <w:b w:val="1"/>
                <w:bCs w:val="1"/>
                <w:color w:val="auto"/>
              </w:rPr>
              <w:t>Christopher J. Kuehl</w:t>
            </w:r>
          </w:p>
        </w:tc>
        <w:tc>
          <w:tcPr>
            <w:tcW w:w="30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jc w:val="center"/>
              <w:ind w:left="201"/>
              <w:spacing w:after="0"/>
              <w:rPr>
                <w:sz w:val="20"/>
                <w:szCs w:val="20"/>
                <w:color w:val="auto"/>
              </w:rPr>
            </w:pPr>
            <w:r>
              <w:rPr>
                <w:rFonts w:ascii="Arial" w:cs="Arial" w:eastAsia="Arial" w:hAnsi="Arial"/>
                <w:sz w:val="16"/>
                <w:szCs w:val="16"/>
                <w:color w:val="auto"/>
                <w:w w:val="91"/>
              </w:rPr>
              <w:t>Time-Based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jc w:val="center"/>
              <w:spacing w:after="0"/>
              <w:rPr>
                <w:sz w:val="20"/>
                <w:szCs w:val="20"/>
                <w:color w:val="auto"/>
              </w:rPr>
            </w:pPr>
            <w:r>
              <w:rPr>
                <w:rFonts w:ascii="Arial" w:cs="Arial" w:eastAsia="Arial" w:hAnsi="Arial"/>
                <w:sz w:val="16"/>
                <w:szCs w:val="16"/>
                <w:color w:val="auto"/>
                <w:w w:val="93"/>
              </w:rPr>
              <w:t>66,050</w:t>
            </w: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$858,000</w:t>
            </w: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ind w:left="460"/>
              <w:spacing w:after="0"/>
              <w:rPr>
                <w:sz w:val="20"/>
                <w:szCs w:val="20"/>
                <w:color w:val="auto"/>
              </w:rPr>
            </w:pPr>
            <w:r>
              <w:rPr>
                <w:rFonts w:ascii="Arial" w:cs="Arial" w:eastAsia="Arial" w:hAnsi="Arial"/>
                <w:sz w:val="16"/>
                <w:szCs w:val="16"/>
                <w:color w:val="auto"/>
              </w:rPr>
              <w:t>Performance-Based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134,103</w:t>
            </w:r>
          </w:p>
        </w:tc>
        <w:tc>
          <w:tcPr>
            <w:tcW w:w="840" w:type="dxa"/>
            <w:vAlign w:val="bottom"/>
          </w:tcPr>
          <w:p>
            <w:pPr>
              <w:jc w:val="center"/>
              <w:spacing w:after="0"/>
              <w:rPr>
                <w:sz w:val="20"/>
                <w:szCs w:val="20"/>
                <w:color w:val="auto"/>
              </w:rPr>
            </w:pPr>
            <w:r>
              <w:rPr>
                <w:rFonts w:ascii="Arial" w:cs="Arial" w:eastAsia="Arial" w:hAnsi="Arial"/>
                <w:sz w:val="16"/>
                <w:szCs w:val="16"/>
                <w:color w:val="auto"/>
                <w:w w:val="89"/>
              </w:rPr>
              <w:t>268,206</w:t>
            </w:r>
          </w:p>
        </w:tc>
        <w:tc>
          <w:tcPr>
            <w:tcW w:w="94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$1,742,000</w:t>
            </w:r>
          </w:p>
        </w:tc>
        <w:tc>
          <w:tcPr>
            <w:tcW w:w="0" w:type="dxa"/>
            <w:vAlign w:val="bottom"/>
          </w:tcPr>
          <w:p>
            <w:pPr>
              <w:spacing w:after="0"/>
              <w:rPr>
                <w:sz w:val="1"/>
                <w:szCs w:val="1"/>
                <w:color w:val="auto"/>
              </w:rPr>
            </w:pPr>
          </w:p>
        </w:tc>
      </w:tr>
      <w:tr>
        <w:trPr>
          <w:trHeight w:val="216"/>
        </w:trPr>
        <w:tc>
          <w:tcPr>
            <w:tcW w:w="2040" w:type="dxa"/>
            <w:vAlign w:val="bottom"/>
          </w:tcPr>
          <w:p>
            <w:pPr>
              <w:ind w:left="100"/>
              <w:spacing w:after="0"/>
              <w:rPr>
                <w:sz w:val="20"/>
                <w:szCs w:val="20"/>
                <w:color w:val="auto"/>
              </w:rPr>
            </w:pPr>
            <w:r>
              <w:rPr>
                <w:rFonts w:ascii="Arial" w:cs="Arial" w:eastAsia="Arial" w:hAnsi="Arial"/>
                <w:sz w:val="16"/>
                <w:szCs w:val="16"/>
                <w:b w:val="1"/>
                <w:bCs w:val="1"/>
                <w:color w:val="auto"/>
              </w:rPr>
              <w:t>Bernice E. Bell</w:t>
            </w:r>
          </w:p>
        </w:tc>
        <w:tc>
          <w:tcPr>
            <w:tcW w:w="30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jc w:val="center"/>
              <w:ind w:left="201"/>
              <w:spacing w:after="0"/>
              <w:rPr>
                <w:sz w:val="20"/>
                <w:szCs w:val="20"/>
                <w:color w:val="auto"/>
              </w:rPr>
            </w:pPr>
            <w:r>
              <w:rPr>
                <w:rFonts w:ascii="Arial" w:cs="Arial" w:eastAsia="Arial" w:hAnsi="Arial"/>
                <w:sz w:val="16"/>
                <w:szCs w:val="16"/>
                <w:color w:val="auto"/>
                <w:w w:val="91"/>
              </w:rPr>
              <w:t>Time-Based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jc w:val="center"/>
              <w:spacing w:after="0"/>
              <w:rPr>
                <w:sz w:val="20"/>
                <w:szCs w:val="20"/>
                <w:color w:val="auto"/>
              </w:rPr>
            </w:pPr>
            <w:r>
              <w:rPr>
                <w:rFonts w:ascii="Arial" w:cs="Arial" w:eastAsia="Arial" w:hAnsi="Arial"/>
                <w:sz w:val="16"/>
                <w:szCs w:val="16"/>
                <w:color w:val="auto"/>
                <w:w w:val="93"/>
              </w:rPr>
              <w:t>31,755</w:t>
            </w: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$412,500</w:t>
            </w: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ind w:left="460"/>
              <w:spacing w:after="0"/>
              <w:rPr>
                <w:sz w:val="20"/>
                <w:szCs w:val="20"/>
                <w:color w:val="auto"/>
              </w:rPr>
            </w:pPr>
            <w:r>
              <w:rPr>
                <w:rFonts w:ascii="Arial" w:cs="Arial" w:eastAsia="Arial" w:hAnsi="Arial"/>
                <w:sz w:val="16"/>
                <w:szCs w:val="16"/>
                <w:color w:val="auto"/>
              </w:rPr>
              <w:t>Performance-Based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20" w:type="dxa"/>
            <w:vAlign w:val="bottom"/>
          </w:tcPr>
          <w:p>
            <w:pPr>
              <w:jc w:val="center"/>
              <w:spacing w:after="0"/>
              <w:rPr>
                <w:sz w:val="20"/>
                <w:szCs w:val="20"/>
                <w:color w:val="auto"/>
              </w:rPr>
            </w:pPr>
            <w:r>
              <w:rPr>
                <w:rFonts w:ascii="Arial" w:cs="Arial" w:eastAsia="Arial" w:hAnsi="Arial"/>
                <w:sz w:val="16"/>
                <w:szCs w:val="16"/>
                <w:color w:val="auto"/>
                <w:w w:val="89"/>
              </w:rPr>
              <w:t>64,472</w:t>
            </w:r>
          </w:p>
        </w:tc>
        <w:tc>
          <w:tcPr>
            <w:tcW w:w="840" w:type="dxa"/>
            <w:vAlign w:val="bottom"/>
          </w:tcPr>
          <w:p>
            <w:pPr>
              <w:jc w:val="center"/>
              <w:spacing w:after="0"/>
              <w:rPr>
                <w:sz w:val="20"/>
                <w:szCs w:val="20"/>
                <w:color w:val="auto"/>
              </w:rPr>
            </w:pPr>
            <w:r>
              <w:rPr>
                <w:rFonts w:ascii="Arial" w:cs="Arial" w:eastAsia="Arial" w:hAnsi="Arial"/>
                <w:sz w:val="16"/>
                <w:szCs w:val="16"/>
                <w:color w:val="auto"/>
                <w:w w:val="89"/>
              </w:rPr>
              <w:t>128,944</w:t>
            </w:r>
          </w:p>
        </w:tc>
        <w:tc>
          <w:tcPr>
            <w:tcW w:w="940" w:type="dxa"/>
            <w:vAlign w:val="bottom"/>
          </w:tcPr>
          <w:p>
            <w:pPr>
              <w:spacing w:after="0"/>
              <w:rPr>
                <w:sz w:val="18"/>
                <w:szCs w:val="18"/>
                <w:color w:val="auto"/>
              </w:rPr>
            </w:pP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$837,500</w:t>
            </w:r>
          </w:p>
        </w:tc>
        <w:tc>
          <w:tcPr>
            <w:tcW w:w="0" w:type="dxa"/>
            <w:vAlign w:val="bottom"/>
          </w:tcPr>
          <w:p>
            <w:pPr>
              <w:spacing w:after="0"/>
              <w:rPr>
                <w:sz w:val="1"/>
                <w:szCs w:val="1"/>
                <w:color w:val="auto"/>
              </w:rPr>
            </w:pPr>
          </w:p>
        </w:tc>
      </w:tr>
      <w:tr>
        <w:trPr>
          <w:trHeight w:val="216"/>
        </w:trPr>
        <w:tc>
          <w:tcPr>
            <w:tcW w:w="2040" w:type="dxa"/>
            <w:vAlign w:val="bottom"/>
          </w:tcPr>
          <w:p>
            <w:pPr>
              <w:ind w:left="100"/>
              <w:spacing w:after="0"/>
              <w:rPr>
                <w:sz w:val="20"/>
                <w:szCs w:val="20"/>
                <w:color w:val="auto"/>
              </w:rPr>
            </w:pPr>
            <w:r>
              <w:rPr>
                <w:rFonts w:ascii="Arial" w:cs="Arial" w:eastAsia="Arial" w:hAnsi="Arial"/>
                <w:sz w:val="16"/>
                <w:szCs w:val="16"/>
                <w:b w:val="1"/>
                <w:bCs w:val="1"/>
                <w:color w:val="auto"/>
              </w:rPr>
              <w:t>Kenneth L. Pollack</w:t>
            </w:r>
          </w:p>
        </w:tc>
        <w:tc>
          <w:tcPr>
            <w:tcW w:w="30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40" w:type="dxa"/>
            <w:vAlign w:val="bottom"/>
          </w:tcPr>
          <w:p>
            <w:pPr>
              <w:spacing w:after="0"/>
              <w:rPr>
                <w:sz w:val="18"/>
                <w:szCs w:val="18"/>
                <w:color w:val="auto"/>
              </w:rPr>
            </w:pPr>
          </w:p>
        </w:tc>
        <w:tc>
          <w:tcPr>
            <w:tcW w:w="3060" w:type="dxa"/>
            <w:vAlign w:val="bottom"/>
          </w:tcPr>
          <w:p>
            <w:pPr>
              <w:jc w:val="center"/>
              <w:ind w:left="201"/>
              <w:spacing w:after="0"/>
              <w:rPr>
                <w:sz w:val="20"/>
                <w:szCs w:val="20"/>
                <w:color w:val="auto"/>
              </w:rPr>
            </w:pPr>
            <w:r>
              <w:rPr>
                <w:rFonts w:ascii="Arial" w:cs="Arial" w:eastAsia="Arial" w:hAnsi="Arial"/>
                <w:sz w:val="16"/>
                <w:szCs w:val="16"/>
                <w:color w:val="auto"/>
                <w:w w:val="91"/>
              </w:rPr>
              <w:t>Time-Based Vesting RSUs</w:t>
            </w:r>
          </w:p>
        </w:tc>
        <w:tc>
          <w:tcPr>
            <w:tcW w:w="1140" w:type="dxa"/>
            <w:vAlign w:val="bottom"/>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940" w:type="dxa"/>
            <w:vAlign w:val="bottom"/>
          </w:tcPr>
          <w:p>
            <w:pPr>
              <w:jc w:val="center"/>
              <w:spacing w:after="0"/>
              <w:rPr>
                <w:sz w:val="20"/>
                <w:szCs w:val="20"/>
                <w:color w:val="auto"/>
              </w:rPr>
            </w:pPr>
            <w:r>
              <w:rPr>
                <w:rFonts w:ascii="Arial" w:cs="Arial" w:eastAsia="Arial" w:hAnsi="Arial"/>
                <w:sz w:val="16"/>
                <w:szCs w:val="16"/>
                <w:color w:val="auto"/>
                <w:w w:val="93"/>
              </w:rPr>
              <w:t>25,404</w:t>
            </w:r>
          </w:p>
        </w:tc>
        <w:tc>
          <w:tcPr>
            <w:tcW w:w="1260" w:type="dxa"/>
            <w:vAlign w:val="bottom"/>
          </w:tcPr>
          <w:p>
            <w:pPr>
              <w:jc w:val="center"/>
              <w:spacing w:after="0"/>
              <w:rPr>
                <w:sz w:val="20"/>
                <w:szCs w:val="20"/>
                <w:color w:val="auto"/>
              </w:rPr>
            </w:pPr>
            <w:r>
              <w:rPr>
                <w:rFonts w:ascii="Arial" w:cs="Arial" w:eastAsia="Arial" w:hAnsi="Arial"/>
                <w:sz w:val="16"/>
                <w:szCs w:val="16"/>
                <w:color w:val="auto"/>
                <w:w w:val="92"/>
              </w:rPr>
              <w:t>$330,000</w:t>
            </w:r>
          </w:p>
        </w:tc>
        <w:tc>
          <w:tcPr>
            <w:tcW w:w="0" w:type="dxa"/>
            <w:vAlign w:val="bottom"/>
          </w:tcPr>
          <w:p>
            <w:pPr>
              <w:spacing w:after="0"/>
              <w:rPr>
                <w:sz w:val="1"/>
                <w:szCs w:val="1"/>
                <w:color w:val="auto"/>
              </w:rPr>
            </w:pPr>
          </w:p>
        </w:tc>
      </w:tr>
      <w:tr>
        <w:trPr>
          <w:trHeight w:val="219"/>
        </w:trPr>
        <w:tc>
          <w:tcPr>
            <w:tcW w:w="2040" w:type="dxa"/>
            <w:vAlign w:val="bottom"/>
            <w:tcBorders>
              <w:bottom w:val="single" w:sz="8" w:color="407CCA"/>
            </w:tcBorders>
          </w:tcPr>
          <w:p>
            <w:pPr>
              <w:spacing w:after="0"/>
              <w:rPr>
                <w:sz w:val="19"/>
                <w:szCs w:val="19"/>
                <w:color w:val="auto"/>
              </w:rPr>
            </w:pPr>
          </w:p>
        </w:tc>
        <w:tc>
          <w:tcPr>
            <w:tcW w:w="3060" w:type="dxa"/>
            <w:vAlign w:val="bottom"/>
            <w:tcBorders>
              <w:bottom w:val="single" w:sz="8" w:color="407CCA"/>
            </w:tcBorders>
          </w:tcPr>
          <w:p>
            <w:pPr>
              <w:jc w:val="center"/>
              <w:ind w:left="201"/>
              <w:spacing w:after="0"/>
              <w:rPr>
                <w:sz w:val="20"/>
                <w:szCs w:val="20"/>
                <w:color w:val="auto"/>
              </w:rPr>
            </w:pPr>
            <w:r>
              <w:rPr>
                <w:rFonts w:ascii="Arial" w:cs="Arial" w:eastAsia="Arial" w:hAnsi="Arial"/>
                <w:sz w:val="16"/>
                <w:szCs w:val="16"/>
                <w:color w:val="auto"/>
                <w:w w:val="90"/>
              </w:rPr>
              <w:t>Performance-Based Vesting RSUs</w:t>
            </w:r>
          </w:p>
        </w:tc>
        <w:tc>
          <w:tcPr>
            <w:tcW w:w="1140" w:type="dxa"/>
            <w:vAlign w:val="bottom"/>
            <w:tcBorders>
              <w:bottom w:val="single" w:sz="8" w:color="407CCA"/>
            </w:tcBorders>
          </w:tcPr>
          <w:p>
            <w:pPr>
              <w:jc w:val="center"/>
              <w:ind w:left="21"/>
              <w:spacing w:after="0"/>
              <w:rPr>
                <w:sz w:val="20"/>
                <w:szCs w:val="20"/>
                <w:color w:val="auto"/>
              </w:rPr>
            </w:pPr>
            <w:r>
              <w:rPr>
                <w:rFonts w:ascii="Arial" w:cs="Arial" w:eastAsia="Arial" w:hAnsi="Arial"/>
                <w:sz w:val="16"/>
                <w:szCs w:val="16"/>
                <w:color w:val="auto"/>
                <w:w w:val="89"/>
              </w:rPr>
              <w:t>3/1/22</w:t>
            </w:r>
          </w:p>
        </w:tc>
        <w:tc>
          <w:tcPr>
            <w:tcW w:w="82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0</w:t>
            </w:r>
          </w:p>
        </w:tc>
        <w:tc>
          <w:tcPr>
            <w:tcW w:w="82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51,578</w:t>
            </w:r>
          </w:p>
        </w:tc>
        <w:tc>
          <w:tcPr>
            <w:tcW w:w="84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103,156</w:t>
            </w:r>
          </w:p>
        </w:tc>
        <w:tc>
          <w:tcPr>
            <w:tcW w:w="940" w:type="dxa"/>
            <w:vAlign w:val="bottom"/>
            <w:tcBorders>
              <w:bottom w:val="single" w:sz="8" w:color="407CCA"/>
            </w:tcBorders>
          </w:tcPr>
          <w:p>
            <w:pPr>
              <w:spacing w:after="0"/>
              <w:rPr>
                <w:sz w:val="19"/>
                <w:szCs w:val="19"/>
                <w:color w:val="auto"/>
              </w:rPr>
            </w:pPr>
          </w:p>
        </w:tc>
        <w:tc>
          <w:tcPr>
            <w:tcW w:w="126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92"/>
              </w:rPr>
              <w:t>$670,000</w:t>
            </w:r>
          </w:p>
        </w:tc>
        <w:tc>
          <w:tcPr>
            <w:tcW w:w="0" w:type="dxa"/>
            <w:vAlign w:val="bottom"/>
          </w:tcPr>
          <w:p>
            <w:pPr>
              <w:spacing w:after="0"/>
              <w:rPr>
                <w:sz w:val="1"/>
                <w:szCs w:val="1"/>
                <w:color w:val="auto"/>
              </w:rPr>
            </w:pPr>
          </w:p>
        </w:tc>
      </w:tr>
    </w:tbl>
    <w:p>
      <w:pPr>
        <w:spacing w:after="0" w:line="76" w:lineRule="exact"/>
        <w:rPr>
          <w:sz w:val="20"/>
          <w:szCs w:val="20"/>
          <w:color w:val="auto"/>
        </w:rPr>
      </w:pPr>
    </w:p>
    <w:p>
      <w:pPr>
        <w:ind w:left="340" w:right="260" w:hanging="251"/>
        <w:spacing w:after="0" w:line="260" w:lineRule="auto"/>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AGNC time-based vesting RSU awards vest ratably over a three-year and one-half month period in three equal annual installments. AGNC performance-based vesting RSU awards are subject to cliff vesting two years and eleven and one-half months after the grant date after a three-year performance period and meeting performance conditions. Awards were granted to each NEO pursuant to the terms of his or her respective employment agreement.</w:t>
      </w:r>
    </w:p>
    <w:p>
      <w:pPr>
        <w:spacing w:after="0" w:line="1" w:lineRule="exact"/>
        <w:rPr>
          <w:rFonts w:ascii="Arial" w:cs="Arial" w:eastAsia="Arial" w:hAnsi="Arial"/>
          <w:sz w:val="14"/>
          <w:szCs w:val="14"/>
          <w:color w:val="auto"/>
        </w:rPr>
      </w:pPr>
    </w:p>
    <w:p>
      <w:pPr>
        <w:ind w:left="340" w:hanging="251"/>
        <w:spacing w:after="0"/>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plan-based awards in fiscal year 2022 at a meeting held on February 17, 2022.</w:t>
      </w:r>
    </w:p>
    <w:p>
      <w:pPr>
        <w:spacing w:after="0" w:line="9" w:lineRule="exact"/>
        <w:rPr>
          <w:rFonts w:ascii="Arial" w:cs="Arial" w:eastAsia="Arial" w:hAnsi="Arial"/>
          <w:sz w:val="14"/>
          <w:szCs w:val="14"/>
          <w:color w:val="auto"/>
        </w:rPr>
      </w:pPr>
    </w:p>
    <w:p>
      <w:pPr>
        <w:ind w:left="340" w:hanging="251"/>
        <w:spacing w:after="0"/>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spacing w:after="0" w:line="14" w:lineRule="exact"/>
        <w:rPr>
          <w:rFonts w:ascii="Arial" w:cs="Arial" w:eastAsia="Arial" w:hAnsi="Arial"/>
          <w:sz w:val="14"/>
          <w:szCs w:val="14"/>
          <w:color w:val="auto"/>
        </w:rPr>
      </w:pPr>
    </w:p>
    <w:p>
      <w:pPr>
        <w:ind w:left="340" w:right="160" w:hanging="251"/>
        <w:spacing w:after="0" w:line="283" w:lineRule="auto"/>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329"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56" w:name="page57"/>
    <w:bookmarkEnd w:id="5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Outstanding Equity Awards at 2022 Fiscal Year-End</w:t>
      </w:r>
    </w:p>
    <w:p>
      <w:pPr>
        <w:spacing w:after="0" w:line="81" w:lineRule="exact"/>
        <w:rPr>
          <w:sz w:val="20"/>
          <w:szCs w:val="20"/>
          <w:color w:val="auto"/>
        </w:rPr>
      </w:pPr>
    </w:p>
    <w:p>
      <w:pPr>
        <w:ind w:right="640" w:firstLine="648"/>
        <w:spacing w:after="0" w:line="261" w:lineRule="auto"/>
        <w:rPr>
          <w:sz w:val="20"/>
          <w:szCs w:val="20"/>
          <w:color w:val="auto"/>
        </w:rPr>
      </w:pPr>
      <w:r>
        <w:rPr>
          <w:rFonts w:ascii="Arial" w:cs="Arial" w:eastAsia="Arial" w:hAnsi="Arial"/>
          <w:sz w:val="18"/>
          <w:szCs w:val="18"/>
          <w:color w:val="auto"/>
        </w:rPr>
        <w:t>In the table below we provide information about stock awards under the 2016 Equity Plan that have not vested and were outstanding as of December 31, 2022, for each NEO.</w:t>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09"/>
        </w:trPr>
        <w:tc>
          <w:tcPr>
            <w:tcW w:w="2280" w:type="dxa"/>
            <w:vAlign w:val="bottom"/>
            <w:tcBorders>
              <w:top w:val="single" w:sz="8" w:color="407CCA"/>
            </w:tcBorders>
          </w:tcPr>
          <w:p>
            <w:pPr>
              <w:spacing w:after="0"/>
              <w:rPr>
                <w:sz w:val="18"/>
                <w:szCs w:val="18"/>
                <w:color w:val="auto"/>
              </w:rPr>
            </w:pPr>
          </w:p>
        </w:tc>
        <w:tc>
          <w:tcPr>
            <w:tcW w:w="1800" w:type="dxa"/>
            <w:vAlign w:val="bottom"/>
            <w:tcBorders>
              <w:top w:val="single" w:sz="8" w:color="407CCA"/>
            </w:tcBorders>
          </w:tcPr>
          <w:p>
            <w:pPr>
              <w:spacing w:after="0"/>
              <w:rPr>
                <w:sz w:val="18"/>
                <w:szCs w:val="18"/>
                <w:color w:val="auto"/>
              </w:rPr>
            </w:pPr>
          </w:p>
        </w:tc>
        <w:tc>
          <w:tcPr>
            <w:tcW w:w="1760" w:type="dxa"/>
            <w:vAlign w:val="bottom"/>
            <w:tcBorders>
              <w:top w:val="single" w:sz="8" w:color="407CCA"/>
              <w:bottom w:val="single" w:sz="8" w:color="407CCA"/>
            </w:tcBorders>
          </w:tcPr>
          <w:p>
            <w:pPr>
              <w:spacing w:after="0"/>
              <w:rPr>
                <w:sz w:val="18"/>
                <w:szCs w:val="18"/>
                <w:color w:val="auto"/>
              </w:rPr>
            </w:pPr>
          </w:p>
        </w:tc>
        <w:tc>
          <w:tcPr>
            <w:tcW w:w="3540" w:type="dxa"/>
            <w:vAlign w:val="bottom"/>
            <w:tcBorders>
              <w:top w:val="single" w:sz="8" w:color="407CCA"/>
              <w:bottom w:val="single" w:sz="8" w:color="407CCA"/>
            </w:tcBorders>
            <w:gridSpan w:val="2"/>
          </w:tcPr>
          <w:p>
            <w:pPr>
              <w:ind w:left="1360"/>
              <w:spacing w:after="0"/>
              <w:rPr>
                <w:sz w:val="20"/>
                <w:szCs w:val="20"/>
                <w:color w:val="auto"/>
              </w:rPr>
            </w:pPr>
            <w:r>
              <w:rPr>
                <w:rFonts w:ascii="Arial" w:cs="Arial" w:eastAsia="Arial" w:hAnsi="Arial"/>
                <w:sz w:val="14"/>
                <w:szCs w:val="14"/>
                <w:b w:val="1"/>
                <w:bCs w:val="1"/>
                <w:color w:val="auto"/>
              </w:rPr>
              <w:t>Stock awards</w:t>
            </w:r>
          </w:p>
        </w:tc>
        <w:tc>
          <w:tcPr>
            <w:tcW w:w="1760" w:type="dxa"/>
            <w:vAlign w:val="bottom"/>
            <w:tcBorders>
              <w:top w:val="single" w:sz="8" w:color="407CCA"/>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139"/>
        </w:trPr>
        <w:tc>
          <w:tcPr>
            <w:tcW w:w="228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16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6"/>
              </w:rPr>
              <w:t>Market value of</w:t>
            </w:r>
          </w:p>
        </w:tc>
        <w:tc>
          <w:tcPr>
            <w:tcW w:w="186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2"/>
              </w:rPr>
              <w:t>Equity incentive plan</w:t>
            </w:r>
          </w:p>
        </w:tc>
        <w:tc>
          <w:tcPr>
            <w:tcW w:w="1760" w:type="dxa"/>
            <w:vAlign w:val="bottom"/>
          </w:tcPr>
          <w:p>
            <w:pPr>
              <w:jc w:val="center"/>
              <w:spacing w:after="0" w:line="139" w:lineRule="exact"/>
              <w:rPr>
                <w:sz w:val="20"/>
                <w:szCs w:val="20"/>
                <w:color w:val="auto"/>
              </w:rPr>
            </w:pPr>
            <w:r>
              <w:rPr>
                <w:rFonts w:ascii="Arial" w:cs="Arial" w:eastAsia="Arial" w:hAnsi="Arial"/>
                <w:sz w:val="14"/>
                <w:szCs w:val="14"/>
                <w:b w:val="1"/>
                <w:bCs w:val="1"/>
                <w:color w:val="auto"/>
                <w:w w:val="94"/>
              </w:rPr>
              <w:t>Equity incentive plan</w:t>
            </w:r>
          </w:p>
        </w:tc>
        <w:tc>
          <w:tcPr>
            <w:tcW w:w="0" w:type="dxa"/>
            <w:vAlign w:val="bottom"/>
          </w:tcPr>
          <w:p>
            <w:pPr>
              <w:spacing w:after="0"/>
              <w:rPr>
                <w:sz w:val="1"/>
                <w:szCs w:val="1"/>
                <w:color w:val="auto"/>
              </w:rPr>
            </w:pPr>
          </w:p>
        </w:tc>
      </w:tr>
      <w:tr>
        <w:trPr>
          <w:trHeight w:val="149"/>
        </w:trPr>
        <w:tc>
          <w:tcPr>
            <w:tcW w:w="228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1760" w:type="dxa"/>
            <w:vAlign w:val="bottom"/>
            <w:vMerge w:val="restart"/>
          </w:tcPr>
          <w:p>
            <w:pPr>
              <w:jc w:val="center"/>
              <w:ind w:right="14"/>
              <w:spacing w:after="0"/>
              <w:rPr>
                <w:sz w:val="20"/>
                <w:szCs w:val="20"/>
                <w:color w:val="auto"/>
              </w:rPr>
            </w:pPr>
            <w:r>
              <w:rPr>
                <w:rFonts w:ascii="Arial" w:cs="Arial" w:eastAsia="Arial" w:hAnsi="Arial"/>
                <w:sz w:val="14"/>
                <w:szCs w:val="14"/>
                <w:b w:val="1"/>
                <w:bCs w:val="1"/>
                <w:color w:val="auto"/>
                <w:w w:val="91"/>
              </w:rPr>
              <w:t>Number of shares or</w:t>
            </w:r>
          </w:p>
        </w:tc>
        <w:tc>
          <w:tcPr>
            <w:tcW w:w="1680" w:type="dxa"/>
            <w:vAlign w:val="bottom"/>
            <w:vMerge w:val="continue"/>
          </w:tcPr>
          <w:p>
            <w:pPr>
              <w:spacing w:after="0"/>
              <w:rPr>
                <w:sz w:val="12"/>
                <w:szCs w:val="12"/>
                <w:color w:val="auto"/>
              </w:rPr>
            </w:pPr>
          </w:p>
        </w:tc>
        <w:tc>
          <w:tcPr>
            <w:tcW w:w="1860" w:type="dxa"/>
            <w:vAlign w:val="bottom"/>
            <w:vMerge w:val="continue"/>
          </w:tcPr>
          <w:p>
            <w:pPr>
              <w:spacing w:after="0"/>
              <w:rPr>
                <w:sz w:val="12"/>
                <w:szCs w:val="12"/>
                <w:color w:val="auto"/>
              </w:rPr>
            </w:pPr>
          </w:p>
        </w:tc>
        <w:tc>
          <w:tcPr>
            <w:tcW w:w="1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6"/>
              </w:rPr>
              <w:t>awards: market or</w:t>
            </w:r>
          </w:p>
        </w:tc>
        <w:tc>
          <w:tcPr>
            <w:tcW w:w="0" w:type="dxa"/>
            <w:vAlign w:val="bottom"/>
          </w:tcPr>
          <w:p>
            <w:pPr>
              <w:spacing w:after="0"/>
              <w:rPr>
                <w:sz w:val="1"/>
                <w:szCs w:val="1"/>
                <w:color w:val="auto"/>
              </w:rPr>
            </w:pPr>
          </w:p>
        </w:tc>
      </w:tr>
      <w:tr>
        <w:trPr>
          <w:trHeight w:val="144"/>
        </w:trPr>
        <w:tc>
          <w:tcPr>
            <w:tcW w:w="228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1760" w:type="dxa"/>
            <w:vAlign w:val="bottom"/>
            <w:vMerge w:val="continue"/>
          </w:tcPr>
          <w:p>
            <w:pPr>
              <w:spacing w:after="0"/>
              <w:rPr>
                <w:sz w:val="12"/>
                <w:szCs w:val="12"/>
                <w:color w:val="auto"/>
              </w:rPr>
            </w:pPr>
          </w:p>
        </w:tc>
        <w:tc>
          <w:tcPr>
            <w:tcW w:w="1680" w:type="dxa"/>
            <w:vAlign w:val="bottom"/>
          </w:tcPr>
          <w:p>
            <w:pPr>
              <w:jc w:val="center"/>
              <w:spacing w:after="0" w:line="144" w:lineRule="exact"/>
              <w:rPr>
                <w:sz w:val="20"/>
                <w:szCs w:val="20"/>
                <w:color w:val="auto"/>
              </w:rPr>
            </w:pPr>
            <w:r>
              <w:rPr>
                <w:rFonts w:ascii="Arial" w:cs="Arial" w:eastAsia="Arial" w:hAnsi="Arial"/>
                <w:sz w:val="14"/>
                <w:szCs w:val="14"/>
                <w:b w:val="1"/>
                <w:bCs w:val="1"/>
                <w:color w:val="auto"/>
                <w:w w:val="88"/>
              </w:rPr>
              <w:t>shares or units of</w:t>
            </w:r>
          </w:p>
        </w:tc>
        <w:tc>
          <w:tcPr>
            <w:tcW w:w="1860" w:type="dxa"/>
            <w:vAlign w:val="bottom"/>
          </w:tcPr>
          <w:p>
            <w:pPr>
              <w:jc w:val="center"/>
              <w:spacing w:after="0" w:line="144" w:lineRule="exact"/>
              <w:rPr>
                <w:sz w:val="20"/>
                <w:szCs w:val="20"/>
                <w:color w:val="auto"/>
              </w:rPr>
            </w:pPr>
            <w:r>
              <w:rPr>
                <w:rFonts w:ascii="Arial" w:cs="Arial" w:eastAsia="Arial" w:hAnsi="Arial"/>
                <w:sz w:val="14"/>
                <w:szCs w:val="14"/>
                <w:b w:val="1"/>
                <w:bCs w:val="1"/>
                <w:color w:val="auto"/>
                <w:w w:val="94"/>
              </w:rPr>
              <w:t>awards: number of</w:t>
            </w:r>
          </w:p>
        </w:tc>
        <w:tc>
          <w:tcPr>
            <w:tcW w:w="1760" w:type="dxa"/>
            <w:vAlign w:val="bottom"/>
          </w:tcPr>
          <w:p>
            <w:pPr>
              <w:jc w:val="center"/>
              <w:spacing w:after="0" w:line="144" w:lineRule="exact"/>
              <w:rPr>
                <w:sz w:val="20"/>
                <w:szCs w:val="20"/>
                <w:color w:val="auto"/>
              </w:rPr>
            </w:pPr>
            <w:r>
              <w:rPr>
                <w:rFonts w:ascii="Arial" w:cs="Arial" w:eastAsia="Arial" w:hAnsi="Arial"/>
                <w:sz w:val="14"/>
                <w:szCs w:val="14"/>
                <w:b w:val="1"/>
                <w:bCs w:val="1"/>
                <w:color w:val="auto"/>
                <w:w w:val="93"/>
              </w:rPr>
              <w:t>payout value</w:t>
            </w:r>
          </w:p>
        </w:tc>
        <w:tc>
          <w:tcPr>
            <w:tcW w:w="0" w:type="dxa"/>
            <w:vAlign w:val="bottom"/>
          </w:tcPr>
          <w:p>
            <w:pPr>
              <w:spacing w:after="0"/>
              <w:rPr>
                <w:sz w:val="1"/>
                <w:szCs w:val="1"/>
                <w:color w:val="auto"/>
              </w:rPr>
            </w:pPr>
          </w:p>
        </w:tc>
      </w:tr>
      <w:tr>
        <w:trPr>
          <w:trHeight w:val="149"/>
        </w:trPr>
        <w:tc>
          <w:tcPr>
            <w:tcW w:w="228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1760" w:type="dxa"/>
            <w:vAlign w:val="bottom"/>
          </w:tcPr>
          <w:p>
            <w:pPr>
              <w:jc w:val="center"/>
              <w:ind w:right="14"/>
              <w:spacing w:after="0" w:line="149" w:lineRule="exact"/>
              <w:rPr>
                <w:sz w:val="20"/>
                <w:szCs w:val="20"/>
                <w:color w:val="auto"/>
              </w:rPr>
            </w:pPr>
            <w:r>
              <w:rPr>
                <w:rFonts w:ascii="Arial" w:cs="Arial" w:eastAsia="Arial" w:hAnsi="Arial"/>
                <w:sz w:val="14"/>
                <w:szCs w:val="14"/>
                <w:b w:val="1"/>
                <w:bCs w:val="1"/>
                <w:color w:val="auto"/>
                <w:w w:val="91"/>
              </w:rPr>
              <w:t>units of stock that</w:t>
            </w:r>
          </w:p>
        </w:tc>
        <w:tc>
          <w:tcPr>
            <w:tcW w:w="1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stock that</w:t>
            </w:r>
          </w:p>
        </w:tc>
        <w:tc>
          <w:tcPr>
            <w:tcW w:w="1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unearned units that</w:t>
            </w:r>
          </w:p>
        </w:tc>
        <w:tc>
          <w:tcPr>
            <w:tcW w:w="1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of unearned</w:t>
            </w:r>
          </w:p>
        </w:tc>
        <w:tc>
          <w:tcPr>
            <w:tcW w:w="0" w:type="dxa"/>
            <w:vAlign w:val="bottom"/>
          </w:tcPr>
          <w:p>
            <w:pPr>
              <w:spacing w:after="0"/>
              <w:rPr>
                <w:sz w:val="1"/>
                <w:szCs w:val="1"/>
                <w:color w:val="auto"/>
              </w:rPr>
            </w:pPr>
          </w:p>
        </w:tc>
      </w:tr>
      <w:tr>
        <w:trPr>
          <w:trHeight w:val="135"/>
        </w:trPr>
        <w:tc>
          <w:tcPr>
            <w:tcW w:w="228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800" w:type="dxa"/>
            <w:vAlign w:val="bottom"/>
            <w:vMerge w:val="restart"/>
          </w:tcPr>
          <w:p>
            <w:pPr>
              <w:ind w:left="660"/>
              <w:spacing w:after="0"/>
              <w:rPr>
                <w:sz w:val="20"/>
                <w:szCs w:val="20"/>
                <w:color w:val="auto"/>
              </w:rPr>
            </w:pPr>
            <w:r>
              <w:rPr>
                <w:rFonts w:ascii="Arial" w:cs="Arial" w:eastAsia="Arial" w:hAnsi="Arial"/>
                <w:sz w:val="14"/>
                <w:szCs w:val="14"/>
                <w:b w:val="1"/>
                <w:bCs w:val="1"/>
                <w:color w:val="auto"/>
              </w:rPr>
              <w:t>Grant Date</w:t>
            </w:r>
          </w:p>
        </w:tc>
        <w:tc>
          <w:tcPr>
            <w:tcW w:w="1760" w:type="dxa"/>
            <w:vAlign w:val="bottom"/>
          </w:tcPr>
          <w:p>
            <w:pPr>
              <w:jc w:val="center"/>
              <w:ind w:right="14"/>
              <w:spacing w:after="0" w:line="135" w:lineRule="exact"/>
              <w:rPr>
                <w:sz w:val="20"/>
                <w:szCs w:val="20"/>
                <w:color w:val="auto"/>
              </w:rPr>
            </w:pPr>
            <w:r>
              <w:rPr>
                <w:rFonts w:ascii="Arial" w:cs="Arial" w:eastAsia="Arial" w:hAnsi="Arial"/>
                <w:sz w:val="12"/>
                <w:szCs w:val="12"/>
                <w:b w:val="1"/>
                <w:bCs w:val="1"/>
                <w:color w:val="auto"/>
              </w:rPr>
              <w:t xml:space="preserve">have not vested </w:t>
            </w:r>
            <w:r>
              <w:rPr>
                <w:rFonts w:ascii="Arial" w:cs="Arial" w:eastAsia="Arial" w:hAnsi="Arial"/>
                <w:sz w:val="15"/>
                <w:szCs w:val="15"/>
                <w:b w:val="1"/>
                <w:bCs w:val="1"/>
                <w:color w:val="auto"/>
                <w:vertAlign w:val="superscript"/>
              </w:rPr>
              <w:t>1</w:t>
            </w:r>
          </w:p>
        </w:tc>
        <w:tc>
          <w:tcPr>
            <w:tcW w:w="168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90"/>
              </w:rPr>
              <w:t xml:space="preserve">have not vested </w:t>
            </w:r>
            <w:r>
              <w:rPr>
                <w:rFonts w:ascii="Arial" w:cs="Arial" w:eastAsia="Arial" w:hAnsi="Arial"/>
                <w:sz w:val="9"/>
                <w:szCs w:val="9"/>
                <w:b w:val="1"/>
                <w:bCs w:val="1"/>
                <w:color w:val="auto"/>
                <w:w w:val="90"/>
              </w:rPr>
              <w:t>2</w:t>
            </w:r>
          </w:p>
        </w:tc>
        <w:tc>
          <w:tcPr>
            <w:tcW w:w="186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9"/>
              </w:rPr>
              <w:t xml:space="preserve">have not vested </w:t>
            </w:r>
            <w:r>
              <w:rPr>
                <w:rFonts w:ascii="Arial" w:cs="Arial" w:eastAsia="Arial" w:hAnsi="Arial"/>
                <w:sz w:val="8"/>
                <w:szCs w:val="8"/>
                <w:b w:val="1"/>
                <w:bCs w:val="1"/>
                <w:color w:val="auto"/>
                <w:w w:val="89"/>
              </w:rPr>
              <w:t>1</w:t>
            </w:r>
          </w:p>
        </w:tc>
        <w:tc>
          <w:tcPr>
            <w:tcW w:w="1760" w:type="dxa"/>
            <w:vAlign w:val="bottom"/>
          </w:tcPr>
          <w:p>
            <w:pPr>
              <w:jc w:val="center"/>
              <w:spacing w:after="0" w:line="135" w:lineRule="exact"/>
              <w:rPr>
                <w:sz w:val="20"/>
                <w:szCs w:val="20"/>
                <w:color w:val="auto"/>
              </w:rPr>
            </w:pPr>
            <w:r>
              <w:rPr>
                <w:rFonts w:ascii="Arial" w:cs="Arial" w:eastAsia="Arial" w:hAnsi="Arial"/>
                <w:sz w:val="12"/>
                <w:szCs w:val="12"/>
                <w:b w:val="1"/>
                <w:bCs w:val="1"/>
                <w:color w:val="auto"/>
              </w:rPr>
              <w:t xml:space="preserve">units </w:t>
            </w:r>
            <w:r>
              <w:rPr>
                <w:rFonts w:ascii="Arial" w:cs="Arial" w:eastAsia="Arial" w:hAnsi="Arial"/>
                <w:sz w:val="15"/>
                <w:szCs w:val="15"/>
                <w:b w:val="1"/>
                <w:bCs w:val="1"/>
                <w:color w:val="auto"/>
                <w:vertAlign w:val="superscript"/>
              </w:rPr>
              <w:t>2</w:t>
            </w:r>
          </w:p>
        </w:tc>
        <w:tc>
          <w:tcPr>
            <w:tcW w:w="0" w:type="dxa"/>
            <w:vAlign w:val="bottom"/>
          </w:tcPr>
          <w:p>
            <w:pPr>
              <w:spacing w:after="0"/>
              <w:rPr>
                <w:sz w:val="1"/>
                <w:szCs w:val="1"/>
                <w:color w:val="auto"/>
              </w:rPr>
            </w:pPr>
          </w:p>
        </w:tc>
      </w:tr>
      <w:tr>
        <w:trPr>
          <w:trHeight w:val="203"/>
        </w:trPr>
        <w:tc>
          <w:tcPr>
            <w:tcW w:w="2280" w:type="dxa"/>
            <w:vAlign w:val="bottom"/>
            <w:tcBorders>
              <w:bottom w:val="single" w:sz="8" w:color="407CCA"/>
            </w:tcBorders>
            <w:vMerge w:val="continue"/>
          </w:tcPr>
          <w:p>
            <w:pPr>
              <w:spacing w:after="0"/>
              <w:rPr>
                <w:sz w:val="17"/>
                <w:szCs w:val="17"/>
                <w:color w:val="auto"/>
              </w:rPr>
            </w:pPr>
          </w:p>
        </w:tc>
        <w:tc>
          <w:tcPr>
            <w:tcW w:w="1800" w:type="dxa"/>
            <w:vAlign w:val="bottom"/>
            <w:tcBorders>
              <w:bottom w:val="single" w:sz="8" w:color="407CCA"/>
            </w:tcBorders>
            <w:vMerge w:val="continue"/>
          </w:tcPr>
          <w:p>
            <w:pPr>
              <w:spacing w:after="0"/>
              <w:rPr>
                <w:sz w:val="17"/>
                <w:szCs w:val="17"/>
                <w:color w:val="auto"/>
              </w:rPr>
            </w:pPr>
          </w:p>
        </w:tc>
        <w:tc>
          <w:tcPr>
            <w:tcW w:w="1760" w:type="dxa"/>
            <w:vAlign w:val="bottom"/>
            <w:tcBorders>
              <w:bottom w:val="single" w:sz="8" w:color="407CCA"/>
            </w:tcBorders>
          </w:tcPr>
          <w:p>
            <w:pPr>
              <w:jc w:val="center"/>
              <w:ind w:right="14"/>
              <w:spacing w:after="0"/>
              <w:rPr>
                <w:sz w:val="20"/>
                <w:szCs w:val="20"/>
                <w:color w:val="auto"/>
              </w:rPr>
            </w:pPr>
            <w:r>
              <w:rPr>
                <w:rFonts w:ascii="Arial" w:cs="Arial" w:eastAsia="Arial" w:hAnsi="Arial"/>
                <w:sz w:val="14"/>
                <w:szCs w:val="14"/>
                <w:b w:val="1"/>
                <w:bCs w:val="1"/>
                <w:color w:val="auto"/>
              </w:rPr>
              <w:t>(#)</w:t>
            </w:r>
          </w:p>
        </w:tc>
        <w:tc>
          <w:tcPr>
            <w:tcW w:w="1680" w:type="dxa"/>
            <w:vAlign w:val="bottom"/>
            <w:tcBorders>
              <w:bottom w:val="single" w:sz="8" w:color="407CCA"/>
            </w:tcBorders>
          </w:tcPr>
          <w:p>
            <w:pPr>
              <w:jc w:val="center"/>
              <w:spacing w:after="0"/>
              <w:rPr>
                <w:sz w:val="20"/>
                <w:szCs w:val="20"/>
                <w:color w:val="auto"/>
              </w:rPr>
            </w:pPr>
            <w:r>
              <w:rPr>
                <w:rFonts w:ascii="Arial" w:cs="Arial" w:eastAsia="Arial" w:hAnsi="Arial"/>
                <w:sz w:val="14"/>
                <w:szCs w:val="14"/>
                <w:b w:val="1"/>
                <w:bCs w:val="1"/>
                <w:color w:val="auto"/>
                <w:w w:val="93"/>
              </w:rPr>
              <w:t>($)</w:t>
            </w:r>
          </w:p>
        </w:tc>
        <w:tc>
          <w:tcPr>
            <w:tcW w:w="1860" w:type="dxa"/>
            <w:vAlign w:val="bottom"/>
            <w:tcBorders>
              <w:bottom w:val="single" w:sz="8" w:color="407CCA"/>
            </w:tcBorders>
          </w:tcPr>
          <w:p>
            <w:pPr>
              <w:jc w:val="center"/>
              <w:spacing w:after="0"/>
              <w:rPr>
                <w:sz w:val="20"/>
                <w:szCs w:val="20"/>
                <w:color w:val="auto"/>
              </w:rPr>
            </w:pPr>
            <w:r>
              <w:rPr>
                <w:rFonts w:ascii="Arial" w:cs="Arial" w:eastAsia="Arial" w:hAnsi="Arial"/>
                <w:sz w:val="14"/>
                <w:szCs w:val="14"/>
                <w:b w:val="1"/>
                <w:bCs w:val="1"/>
                <w:color w:val="auto"/>
              </w:rPr>
              <w:t>(#)</w:t>
            </w:r>
          </w:p>
        </w:tc>
        <w:tc>
          <w:tcPr>
            <w:tcW w:w="1760" w:type="dxa"/>
            <w:vAlign w:val="bottom"/>
            <w:tcBorders>
              <w:bottom w:val="single" w:sz="8" w:color="407CCA"/>
            </w:tcBorders>
          </w:tcPr>
          <w:p>
            <w:pPr>
              <w:jc w:val="center"/>
              <w:spacing w:after="0"/>
              <w:rPr>
                <w:sz w:val="20"/>
                <w:szCs w:val="20"/>
                <w:color w:val="auto"/>
              </w:rPr>
            </w:pPr>
            <w:r>
              <w:rPr>
                <w:rFonts w:ascii="Arial" w:cs="Arial" w:eastAsia="Arial" w:hAnsi="Arial"/>
                <w:sz w:val="14"/>
                <w:szCs w:val="14"/>
                <w:b w:val="1"/>
                <w:bCs w:val="1"/>
                <w:color w:val="auto"/>
                <w:w w:val="93"/>
              </w:rPr>
              <w:t>($)</w:t>
            </w:r>
          </w:p>
        </w:tc>
        <w:tc>
          <w:tcPr>
            <w:tcW w:w="0" w:type="dxa"/>
            <w:vAlign w:val="bottom"/>
          </w:tcPr>
          <w:p>
            <w:pPr>
              <w:spacing w:after="0"/>
              <w:rPr>
                <w:sz w:val="1"/>
                <w:szCs w:val="1"/>
                <w:color w:val="auto"/>
              </w:rPr>
            </w:pPr>
          </w:p>
        </w:tc>
      </w:tr>
      <w:tr>
        <w:trPr>
          <w:trHeight w:val="228"/>
        </w:trPr>
        <w:tc>
          <w:tcPr>
            <w:tcW w:w="2280" w:type="dxa"/>
            <w:vAlign w:val="bottom"/>
          </w:tcPr>
          <w:p>
            <w:pPr>
              <w:ind w:left="20"/>
              <w:spacing w:after="0"/>
              <w:rPr>
                <w:sz w:val="20"/>
                <w:szCs w:val="20"/>
                <w:color w:val="auto"/>
              </w:rPr>
            </w:pPr>
            <w:r>
              <w:rPr>
                <w:rFonts w:ascii="Arial" w:cs="Arial" w:eastAsia="Arial" w:hAnsi="Arial"/>
                <w:sz w:val="18"/>
                <w:szCs w:val="18"/>
                <w:b w:val="1"/>
                <w:bCs w:val="1"/>
                <w:color w:val="auto"/>
              </w:rPr>
              <w:t>Peter J. Federico</w:t>
            </w:r>
          </w:p>
        </w:tc>
        <w:tc>
          <w:tcPr>
            <w:tcW w:w="1800" w:type="dxa"/>
            <w:vAlign w:val="bottom"/>
            <w:vMerge w:val="restart"/>
          </w:tcPr>
          <w:p>
            <w:pPr>
              <w:jc w:val="center"/>
              <w:ind w:left="151"/>
              <w:spacing w:after="0"/>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3</w:t>
            </w:r>
          </w:p>
        </w:tc>
        <w:tc>
          <w:tcPr>
            <w:tcW w:w="1760" w:type="dxa"/>
            <w:vAlign w:val="bottom"/>
            <w:vMerge w:val="restart"/>
          </w:tcPr>
          <w:p>
            <w:pPr>
              <w:jc w:val="center"/>
              <w:ind w:right="14"/>
              <w:spacing w:after="0"/>
              <w:rPr>
                <w:sz w:val="20"/>
                <w:szCs w:val="20"/>
                <w:color w:val="auto"/>
              </w:rPr>
            </w:pPr>
            <w:r>
              <w:rPr>
                <w:rFonts w:ascii="Arial" w:cs="Arial" w:eastAsia="Arial" w:hAnsi="Arial"/>
                <w:sz w:val="18"/>
                <w:szCs w:val="18"/>
                <w:color w:val="auto"/>
                <w:w w:val="90"/>
              </w:rPr>
              <w:t>17,653</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0"/>
              </w:rPr>
              <w:t>$182,709</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4"/>
        </w:trPr>
        <w:tc>
          <w:tcPr>
            <w:tcW w:w="2280" w:type="dxa"/>
            <w:vAlign w:val="bottom"/>
          </w:tcPr>
          <w:p>
            <w:pPr>
              <w:spacing w:after="0"/>
              <w:rPr>
                <w:sz w:val="19"/>
                <w:szCs w:val="19"/>
                <w:color w:val="auto"/>
              </w:rPr>
            </w:pPr>
          </w:p>
        </w:tc>
        <w:tc>
          <w:tcPr>
            <w:tcW w:w="1800" w:type="dxa"/>
            <w:vAlign w:val="bottom"/>
            <w:vMerge w:val="continue"/>
          </w:tcPr>
          <w:p>
            <w:pPr>
              <w:spacing w:after="0"/>
              <w:rPr>
                <w:sz w:val="19"/>
                <w:szCs w:val="19"/>
                <w:color w:val="auto"/>
              </w:rPr>
            </w:pPr>
          </w:p>
        </w:tc>
        <w:tc>
          <w:tcPr>
            <w:tcW w:w="1760" w:type="dxa"/>
            <w:vAlign w:val="bottom"/>
            <w:vMerge w:val="continue"/>
          </w:tcPr>
          <w:p>
            <w:pPr>
              <w:spacing w:after="0"/>
              <w:rPr>
                <w:sz w:val="19"/>
                <w:szCs w:val="19"/>
                <w:color w:val="auto"/>
              </w:rPr>
            </w:pPr>
          </w:p>
        </w:tc>
        <w:tc>
          <w:tcPr>
            <w:tcW w:w="1680" w:type="dxa"/>
            <w:vAlign w:val="bottom"/>
            <w:vMerge w:val="continue"/>
          </w:tcPr>
          <w:p>
            <w:pPr>
              <w:spacing w:after="0"/>
              <w:rPr>
                <w:sz w:val="19"/>
                <w:szCs w:val="19"/>
                <w:color w:val="auto"/>
              </w:rPr>
            </w:pP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51"/>
              <w:spacing w:after="0" w:line="230" w:lineRule="exact"/>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4</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89"/>
              </w:rPr>
              <w:t>107,578</w:t>
            </w:r>
          </w:p>
        </w:tc>
        <w:tc>
          <w:tcPr>
            <w:tcW w:w="1760" w:type="dxa"/>
            <w:vAlign w:val="bottom"/>
          </w:tcPr>
          <w:p>
            <w:pPr>
              <w:jc w:val="center"/>
              <w:spacing w:after="0"/>
              <w:rPr>
                <w:sz w:val="20"/>
                <w:szCs w:val="20"/>
                <w:color w:val="auto"/>
              </w:rPr>
            </w:pPr>
            <w:r>
              <w:rPr>
                <w:rFonts w:ascii="Arial" w:cs="Arial" w:eastAsia="Arial" w:hAnsi="Arial"/>
                <w:sz w:val="18"/>
                <w:szCs w:val="18"/>
                <w:color w:val="auto"/>
                <w:w w:val="88"/>
              </w:rPr>
              <w:t>$1,113,432</w:t>
            </w: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57,232</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$592,351</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6</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87,163</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$902,137</w:t>
            </w: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89"/>
              </w:rPr>
              <w:t>127,699</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$1,321,685</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3"/>
        </w:trPr>
        <w:tc>
          <w:tcPr>
            <w:tcW w:w="228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Gary D. Kain</w:t>
            </w:r>
          </w:p>
        </w:tc>
        <w:tc>
          <w:tcPr>
            <w:tcW w:w="1800" w:type="dxa"/>
            <w:vAlign w:val="bottom"/>
          </w:tcPr>
          <w:p>
            <w:pPr>
              <w:jc w:val="center"/>
              <w:ind w:left="131"/>
              <w:spacing w:after="0"/>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6</w:t>
            </w:r>
          </w:p>
        </w:tc>
        <w:tc>
          <w:tcPr>
            <w:tcW w:w="17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89"/>
              </w:rPr>
              <w:t>129,635</w:t>
            </w:r>
          </w:p>
        </w:tc>
        <w:tc>
          <w:tcPr>
            <w:tcW w:w="1760" w:type="dxa"/>
            <w:vAlign w:val="bottom"/>
          </w:tcPr>
          <w:p>
            <w:pPr>
              <w:jc w:val="center"/>
              <w:spacing w:after="0"/>
              <w:rPr>
                <w:sz w:val="20"/>
                <w:szCs w:val="20"/>
                <w:color w:val="auto"/>
              </w:rPr>
            </w:pPr>
            <w:r>
              <w:rPr>
                <w:rFonts w:ascii="Arial" w:cs="Arial" w:eastAsia="Arial" w:hAnsi="Arial"/>
                <w:sz w:val="18"/>
                <w:szCs w:val="18"/>
                <w:color w:val="auto"/>
                <w:w w:val="88"/>
              </w:rPr>
              <w:t>$1,341,722</w:t>
            </w:r>
          </w:p>
        </w:tc>
        <w:tc>
          <w:tcPr>
            <w:tcW w:w="0" w:type="dxa"/>
            <w:vAlign w:val="bottom"/>
          </w:tcPr>
          <w:p>
            <w:pPr>
              <w:spacing w:after="0"/>
              <w:rPr>
                <w:sz w:val="1"/>
                <w:szCs w:val="1"/>
                <w:color w:val="auto"/>
              </w:rPr>
            </w:pPr>
          </w:p>
        </w:tc>
      </w:tr>
      <w:tr>
        <w:trPr>
          <w:trHeight w:val="147"/>
        </w:trPr>
        <w:tc>
          <w:tcPr>
            <w:tcW w:w="2280" w:type="dxa"/>
            <w:vAlign w:val="bottom"/>
            <w:vMerge w:val="continue"/>
          </w:tcPr>
          <w:p>
            <w:pPr>
              <w:spacing w:after="0"/>
              <w:rPr>
                <w:sz w:val="12"/>
                <w:szCs w:val="12"/>
                <w:color w:val="auto"/>
              </w:rPr>
            </w:pPr>
          </w:p>
        </w:tc>
        <w:tc>
          <w:tcPr>
            <w:tcW w:w="1800" w:type="dxa"/>
            <w:vAlign w:val="bottom"/>
            <w:vMerge w:val="restart"/>
          </w:tcPr>
          <w:p>
            <w:pPr>
              <w:jc w:val="center"/>
              <w:ind w:left="151"/>
              <w:spacing w:after="0"/>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3</w:t>
            </w:r>
          </w:p>
        </w:tc>
        <w:tc>
          <w:tcPr>
            <w:tcW w:w="1760" w:type="dxa"/>
            <w:vAlign w:val="bottom"/>
            <w:vMerge w:val="restart"/>
          </w:tcPr>
          <w:p>
            <w:pPr>
              <w:jc w:val="center"/>
              <w:ind w:right="14"/>
              <w:spacing w:after="0"/>
              <w:rPr>
                <w:sz w:val="20"/>
                <w:szCs w:val="20"/>
                <w:color w:val="auto"/>
              </w:rPr>
            </w:pPr>
            <w:r>
              <w:rPr>
                <w:rFonts w:ascii="Arial" w:cs="Arial" w:eastAsia="Arial" w:hAnsi="Arial"/>
                <w:sz w:val="18"/>
                <w:szCs w:val="18"/>
                <w:color w:val="auto"/>
                <w:w w:val="90"/>
              </w:rPr>
              <w:t>62,817</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0"/>
              </w:rPr>
              <w:t>$650,156</w:t>
            </w:r>
          </w:p>
        </w:tc>
        <w:tc>
          <w:tcPr>
            <w:tcW w:w="186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vMerge w:val="continue"/>
          </w:tcPr>
          <w:p>
            <w:pPr>
              <w:spacing w:after="0"/>
              <w:rPr>
                <w:sz w:val="19"/>
                <w:szCs w:val="19"/>
                <w:color w:val="auto"/>
              </w:rPr>
            </w:pPr>
          </w:p>
        </w:tc>
        <w:tc>
          <w:tcPr>
            <w:tcW w:w="1760" w:type="dxa"/>
            <w:vAlign w:val="bottom"/>
            <w:vMerge w:val="continue"/>
          </w:tcPr>
          <w:p>
            <w:pPr>
              <w:spacing w:after="0"/>
              <w:rPr>
                <w:sz w:val="19"/>
                <w:szCs w:val="19"/>
                <w:color w:val="auto"/>
              </w:rPr>
            </w:pPr>
          </w:p>
        </w:tc>
        <w:tc>
          <w:tcPr>
            <w:tcW w:w="1680" w:type="dxa"/>
            <w:vAlign w:val="bottom"/>
            <w:vMerge w:val="continue"/>
          </w:tcPr>
          <w:p>
            <w:pPr>
              <w:spacing w:after="0"/>
              <w:rPr>
                <w:sz w:val="19"/>
                <w:szCs w:val="19"/>
                <w:color w:val="auto"/>
              </w:rPr>
            </w:pP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51"/>
              <w:spacing w:after="0" w:line="230" w:lineRule="exact"/>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4</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89"/>
              </w:rPr>
              <w:t>376,987</w:t>
            </w:r>
          </w:p>
        </w:tc>
        <w:tc>
          <w:tcPr>
            <w:tcW w:w="1760" w:type="dxa"/>
            <w:vAlign w:val="bottom"/>
          </w:tcPr>
          <w:p>
            <w:pPr>
              <w:jc w:val="center"/>
              <w:spacing w:after="0"/>
              <w:rPr>
                <w:sz w:val="20"/>
                <w:szCs w:val="20"/>
                <w:color w:val="auto"/>
              </w:rPr>
            </w:pPr>
            <w:r>
              <w:rPr>
                <w:rFonts w:ascii="Arial" w:cs="Arial" w:eastAsia="Arial" w:hAnsi="Arial"/>
                <w:sz w:val="18"/>
                <w:szCs w:val="18"/>
                <w:color w:val="auto"/>
                <w:w w:val="88"/>
              </w:rPr>
              <w:t>$3,901,815</w:t>
            </w: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89"/>
              </w:rPr>
              <w:t>103,528</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$1,071,515</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6</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89"/>
              </w:rPr>
              <w:t>157,658</w:t>
            </w:r>
          </w:p>
        </w:tc>
        <w:tc>
          <w:tcPr>
            <w:tcW w:w="1760" w:type="dxa"/>
            <w:vAlign w:val="bottom"/>
          </w:tcPr>
          <w:p>
            <w:pPr>
              <w:jc w:val="center"/>
              <w:spacing w:after="0"/>
              <w:rPr>
                <w:sz w:val="20"/>
                <w:szCs w:val="20"/>
                <w:color w:val="auto"/>
              </w:rPr>
            </w:pPr>
            <w:r>
              <w:rPr>
                <w:rFonts w:ascii="Arial" w:cs="Arial" w:eastAsia="Arial" w:hAnsi="Arial"/>
                <w:sz w:val="18"/>
                <w:szCs w:val="18"/>
                <w:color w:val="auto"/>
                <w:w w:val="88"/>
              </w:rPr>
              <w:t>$1,631,760</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89"/>
              </w:rPr>
              <w:t>119,187</w:t>
            </w:r>
          </w:p>
        </w:tc>
        <w:tc>
          <w:tcPr>
            <w:tcW w:w="1680" w:type="dxa"/>
            <w:vAlign w:val="bottom"/>
          </w:tcPr>
          <w:p>
            <w:pPr>
              <w:jc w:val="center"/>
              <w:spacing w:after="0"/>
              <w:rPr>
                <w:sz w:val="20"/>
                <w:szCs w:val="20"/>
                <w:color w:val="auto"/>
              </w:rPr>
            </w:pPr>
            <w:r>
              <w:rPr>
                <w:rFonts w:ascii="Arial" w:cs="Arial" w:eastAsia="Arial" w:hAnsi="Arial"/>
                <w:sz w:val="18"/>
                <w:szCs w:val="18"/>
                <w:color w:val="auto"/>
                <w:w w:val="88"/>
              </w:rPr>
              <w:t>$1,233,585</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3"/>
        </w:trPr>
        <w:tc>
          <w:tcPr>
            <w:tcW w:w="228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Christopher J. Kuehl</w:t>
            </w:r>
          </w:p>
        </w:tc>
        <w:tc>
          <w:tcPr>
            <w:tcW w:w="1800" w:type="dxa"/>
            <w:vAlign w:val="bottom"/>
          </w:tcPr>
          <w:p>
            <w:pPr>
              <w:jc w:val="center"/>
              <w:ind w:left="131"/>
              <w:spacing w:after="0"/>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6</w:t>
            </w:r>
          </w:p>
        </w:tc>
        <w:tc>
          <w:tcPr>
            <w:tcW w:w="17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89"/>
              </w:rPr>
              <w:t>120,993</w:t>
            </w:r>
          </w:p>
        </w:tc>
        <w:tc>
          <w:tcPr>
            <w:tcW w:w="1760" w:type="dxa"/>
            <w:vAlign w:val="bottom"/>
          </w:tcPr>
          <w:p>
            <w:pPr>
              <w:jc w:val="center"/>
              <w:spacing w:after="0"/>
              <w:rPr>
                <w:sz w:val="20"/>
                <w:szCs w:val="20"/>
                <w:color w:val="auto"/>
              </w:rPr>
            </w:pPr>
            <w:r>
              <w:rPr>
                <w:rFonts w:ascii="Arial" w:cs="Arial" w:eastAsia="Arial" w:hAnsi="Arial"/>
                <w:sz w:val="18"/>
                <w:szCs w:val="18"/>
                <w:color w:val="auto"/>
                <w:w w:val="88"/>
              </w:rPr>
              <w:t>$1,252,278</w:t>
            </w:r>
          </w:p>
        </w:tc>
        <w:tc>
          <w:tcPr>
            <w:tcW w:w="0" w:type="dxa"/>
            <w:vAlign w:val="bottom"/>
          </w:tcPr>
          <w:p>
            <w:pPr>
              <w:spacing w:after="0"/>
              <w:rPr>
                <w:sz w:val="1"/>
                <w:szCs w:val="1"/>
                <w:color w:val="auto"/>
              </w:rPr>
            </w:pPr>
          </w:p>
        </w:tc>
      </w:tr>
      <w:tr>
        <w:trPr>
          <w:trHeight w:val="147"/>
        </w:trPr>
        <w:tc>
          <w:tcPr>
            <w:tcW w:w="2280" w:type="dxa"/>
            <w:vAlign w:val="bottom"/>
            <w:vMerge w:val="continue"/>
          </w:tcPr>
          <w:p>
            <w:pPr>
              <w:spacing w:after="0"/>
              <w:rPr>
                <w:sz w:val="12"/>
                <w:szCs w:val="12"/>
                <w:color w:val="auto"/>
              </w:rPr>
            </w:pPr>
          </w:p>
        </w:tc>
        <w:tc>
          <w:tcPr>
            <w:tcW w:w="1800" w:type="dxa"/>
            <w:vAlign w:val="bottom"/>
            <w:vMerge w:val="restart"/>
          </w:tcPr>
          <w:p>
            <w:pPr>
              <w:jc w:val="center"/>
              <w:ind w:left="151"/>
              <w:spacing w:after="0"/>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3</w:t>
            </w:r>
          </w:p>
        </w:tc>
        <w:tc>
          <w:tcPr>
            <w:tcW w:w="1760" w:type="dxa"/>
            <w:vAlign w:val="bottom"/>
            <w:vMerge w:val="restart"/>
          </w:tcPr>
          <w:p>
            <w:pPr>
              <w:jc w:val="center"/>
              <w:ind w:right="14"/>
              <w:spacing w:after="0"/>
              <w:rPr>
                <w:sz w:val="20"/>
                <w:szCs w:val="20"/>
                <w:color w:val="auto"/>
              </w:rPr>
            </w:pPr>
            <w:r>
              <w:rPr>
                <w:rFonts w:ascii="Arial" w:cs="Arial" w:eastAsia="Arial" w:hAnsi="Arial"/>
                <w:sz w:val="18"/>
                <w:szCs w:val="18"/>
                <w:color w:val="auto"/>
                <w:w w:val="90"/>
              </w:rPr>
              <w:t>12,642</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0"/>
              </w:rPr>
              <w:t>$130,845</w:t>
            </w:r>
          </w:p>
        </w:tc>
        <w:tc>
          <w:tcPr>
            <w:tcW w:w="186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vMerge w:val="continue"/>
          </w:tcPr>
          <w:p>
            <w:pPr>
              <w:spacing w:after="0"/>
              <w:rPr>
                <w:sz w:val="19"/>
                <w:szCs w:val="19"/>
                <w:color w:val="auto"/>
              </w:rPr>
            </w:pPr>
          </w:p>
        </w:tc>
        <w:tc>
          <w:tcPr>
            <w:tcW w:w="1760" w:type="dxa"/>
            <w:vAlign w:val="bottom"/>
            <w:vMerge w:val="continue"/>
          </w:tcPr>
          <w:p>
            <w:pPr>
              <w:spacing w:after="0"/>
              <w:rPr>
                <w:sz w:val="19"/>
                <w:szCs w:val="19"/>
                <w:color w:val="auto"/>
              </w:rPr>
            </w:pPr>
          </w:p>
        </w:tc>
        <w:tc>
          <w:tcPr>
            <w:tcW w:w="1680" w:type="dxa"/>
            <w:vAlign w:val="bottom"/>
            <w:vMerge w:val="continue"/>
          </w:tcPr>
          <w:p>
            <w:pPr>
              <w:spacing w:after="0"/>
              <w:rPr>
                <w:sz w:val="19"/>
                <w:szCs w:val="19"/>
                <w:color w:val="auto"/>
              </w:rPr>
            </w:pP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51"/>
              <w:spacing w:after="0" w:line="230" w:lineRule="exact"/>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4</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77,175</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$798,761</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35,767</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$370,188</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6</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54,475</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$563,816</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73,782</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$763,644</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3"/>
        </w:trPr>
        <w:tc>
          <w:tcPr>
            <w:tcW w:w="228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Bernice E. Bell</w:t>
            </w:r>
          </w:p>
        </w:tc>
        <w:tc>
          <w:tcPr>
            <w:tcW w:w="1800" w:type="dxa"/>
            <w:vAlign w:val="bottom"/>
          </w:tcPr>
          <w:p>
            <w:pPr>
              <w:jc w:val="center"/>
              <w:ind w:left="131"/>
              <w:spacing w:after="0"/>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6</w:t>
            </w:r>
          </w:p>
        </w:tc>
        <w:tc>
          <w:tcPr>
            <w:tcW w:w="17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74,900</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$775,215</w:t>
            </w:r>
          </w:p>
        </w:tc>
        <w:tc>
          <w:tcPr>
            <w:tcW w:w="0" w:type="dxa"/>
            <w:vAlign w:val="bottom"/>
          </w:tcPr>
          <w:p>
            <w:pPr>
              <w:spacing w:after="0"/>
              <w:rPr>
                <w:sz w:val="1"/>
                <w:szCs w:val="1"/>
                <w:color w:val="auto"/>
              </w:rPr>
            </w:pPr>
          </w:p>
        </w:tc>
      </w:tr>
      <w:tr>
        <w:trPr>
          <w:trHeight w:val="147"/>
        </w:trPr>
        <w:tc>
          <w:tcPr>
            <w:tcW w:w="2280" w:type="dxa"/>
            <w:vAlign w:val="bottom"/>
            <w:vMerge w:val="continue"/>
          </w:tcPr>
          <w:p>
            <w:pPr>
              <w:spacing w:after="0"/>
              <w:rPr>
                <w:sz w:val="12"/>
                <w:szCs w:val="12"/>
                <w:color w:val="auto"/>
              </w:rPr>
            </w:pPr>
          </w:p>
        </w:tc>
        <w:tc>
          <w:tcPr>
            <w:tcW w:w="1800" w:type="dxa"/>
            <w:vAlign w:val="bottom"/>
            <w:vMerge w:val="restart"/>
          </w:tcPr>
          <w:p>
            <w:pPr>
              <w:jc w:val="center"/>
              <w:ind w:left="151"/>
              <w:spacing w:after="0"/>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3</w:t>
            </w:r>
          </w:p>
        </w:tc>
        <w:tc>
          <w:tcPr>
            <w:tcW w:w="1760" w:type="dxa"/>
            <w:vAlign w:val="bottom"/>
            <w:vMerge w:val="restart"/>
          </w:tcPr>
          <w:p>
            <w:pPr>
              <w:jc w:val="center"/>
              <w:ind w:right="14"/>
              <w:spacing w:after="0"/>
              <w:rPr>
                <w:sz w:val="20"/>
                <w:szCs w:val="20"/>
                <w:color w:val="auto"/>
              </w:rPr>
            </w:pPr>
            <w:r>
              <w:rPr>
                <w:rFonts w:ascii="Arial" w:cs="Arial" w:eastAsia="Arial" w:hAnsi="Arial"/>
                <w:sz w:val="18"/>
                <w:szCs w:val="18"/>
                <w:color w:val="auto"/>
                <w:w w:val="90"/>
              </w:rPr>
              <w:t>10,152</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0"/>
              </w:rPr>
              <w:t>$105,073</w:t>
            </w:r>
          </w:p>
        </w:tc>
        <w:tc>
          <w:tcPr>
            <w:tcW w:w="186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vMerge w:val="continue"/>
          </w:tcPr>
          <w:p>
            <w:pPr>
              <w:spacing w:after="0"/>
              <w:rPr>
                <w:sz w:val="19"/>
                <w:szCs w:val="19"/>
                <w:color w:val="auto"/>
              </w:rPr>
            </w:pPr>
          </w:p>
        </w:tc>
        <w:tc>
          <w:tcPr>
            <w:tcW w:w="1760" w:type="dxa"/>
            <w:vAlign w:val="bottom"/>
            <w:vMerge w:val="continue"/>
          </w:tcPr>
          <w:p>
            <w:pPr>
              <w:spacing w:after="0"/>
              <w:rPr>
                <w:sz w:val="19"/>
                <w:szCs w:val="19"/>
                <w:color w:val="auto"/>
              </w:rPr>
            </w:pPr>
          </w:p>
        </w:tc>
        <w:tc>
          <w:tcPr>
            <w:tcW w:w="1680" w:type="dxa"/>
            <w:vAlign w:val="bottom"/>
            <w:vMerge w:val="continue"/>
          </w:tcPr>
          <w:p>
            <w:pPr>
              <w:spacing w:after="0"/>
              <w:rPr>
                <w:sz w:val="19"/>
                <w:szCs w:val="19"/>
                <w:color w:val="auto"/>
              </w:rPr>
            </w:pP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51"/>
              <w:spacing w:after="0" w:line="230" w:lineRule="exact"/>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4</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30,541</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$316,099</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28,057</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$290,390</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6</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21,045</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$217,816</w:t>
            </w: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35,473</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$367,146</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3"/>
        </w:trPr>
        <w:tc>
          <w:tcPr>
            <w:tcW w:w="228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Kenneth L. Pollack</w:t>
            </w:r>
          </w:p>
        </w:tc>
        <w:tc>
          <w:tcPr>
            <w:tcW w:w="1800" w:type="dxa"/>
            <w:vAlign w:val="bottom"/>
          </w:tcPr>
          <w:p>
            <w:pPr>
              <w:jc w:val="center"/>
              <w:ind w:left="131"/>
              <w:spacing w:after="0"/>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6</w:t>
            </w:r>
          </w:p>
        </w:tc>
        <w:tc>
          <w:tcPr>
            <w:tcW w:w="17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36,010</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$372,704</w:t>
            </w:r>
          </w:p>
        </w:tc>
        <w:tc>
          <w:tcPr>
            <w:tcW w:w="0" w:type="dxa"/>
            <w:vAlign w:val="bottom"/>
          </w:tcPr>
          <w:p>
            <w:pPr>
              <w:spacing w:after="0"/>
              <w:rPr>
                <w:sz w:val="1"/>
                <w:szCs w:val="1"/>
                <w:color w:val="auto"/>
              </w:rPr>
            </w:pPr>
          </w:p>
        </w:tc>
      </w:tr>
      <w:tr>
        <w:trPr>
          <w:trHeight w:val="147"/>
        </w:trPr>
        <w:tc>
          <w:tcPr>
            <w:tcW w:w="2280" w:type="dxa"/>
            <w:vAlign w:val="bottom"/>
            <w:vMerge w:val="continue"/>
          </w:tcPr>
          <w:p>
            <w:pPr>
              <w:spacing w:after="0"/>
              <w:rPr>
                <w:sz w:val="12"/>
                <w:szCs w:val="12"/>
                <w:color w:val="auto"/>
              </w:rPr>
            </w:pPr>
          </w:p>
        </w:tc>
        <w:tc>
          <w:tcPr>
            <w:tcW w:w="1800" w:type="dxa"/>
            <w:vAlign w:val="bottom"/>
            <w:vMerge w:val="restart"/>
          </w:tcPr>
          <w:p>
            <w:pPr>
              <w:jc w:val="center"/>
              <w:ind w:left="151"/>
              <w:spacing w:after="0"/>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3</w:t>
            </w:r>
          </w:p>
        </w:tc>
        <w:tc>
          <w:tcPr>
            <w:tcW w:w="1760" w:type="dxa"/>
            <w:vAlign w:val="bottom"/>
            <w:vMerge w:val="restart"/>
          </w:tcPr>
          <w:p>
            <w:pPr>
              <w:jc w:val="center"/>
              <w:ind w:right="14"/>
              <w:spacing w:after="0"/>
              <w:rPr>
                <w:sz w:val="20"/>
                <w:szCs w:val="20"/>
                <w:color w:val="auto"/>
              </w:rPr>
            </w:pPr>
            <w:r>
              <w:rPr>
                <w:rFonts w:ascii="Arial" w:cs="Arial" w:eastAsia="Arial" w:hAnsi="Arial"/>
                <w:sz w:val="18"/>
                <w:szCs w:val="18"/>
                <w:color w:val="auto"/>
                <w:w w:val="93"/>
              </w:rPr>
              <w:t>9,278</w:t>
            </w:r>
          </w:p>
        </w:tc>
        <w:tc>
          <w:tcPr>
            <w:tcW w:w="1680" w:type="dxa"/>
            <w:vAlign w:val="bottom"/>
            <w:vMerge w:val="restart"/>
          </w:tcPr>
          <w:p>
            <w:pPr>
              <w:jc w:val="center"/>
              <w:spacing w:after="0"/>
              <w:rPr>
                <w:sz w:val="20"/>
                <w:szCs w:val="20"/>
                <w:color w:val="auto"/>
              </w:rPr>
            </w:pPr>
            <w:r>
              <w:rPr>
                <w:rFonts w:ascii="Arial" w:cs="Arial" w:eastAsia="Arial" w:hAnsi="Arial"/>
                <w:sz w:val="18"/>
                <w:szCs w:val="18"/>
                <w:color w:val="auto"/>
                <w:w w:val="92"/>
              </w:rPr>
              <w:t>$96,027</w:t>
            </w:r>
          </w:p>
        </w:tc>
        <w:tc>
          <w:tcPr>
            <w:tcW w:w="186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vMerge w:val="continue"/>
          </w:tcPr>
          <w:p>
            <w:pPr>
              <w:spacing w:after="0"/>
              <w:rPr>
                <w:sz w:val="19"/>
                <w:szCs w:val="19"/>
                <w:color w:val="auto"/>
              </w:rPr>
            </w:pPr>
          </w:p>
        </w:tc>
        <w:tc>
          <w:tcPr>
            <w:tcW w:w="1760" w:type="dxa"/>
            <w:vAlign w:val="bottom"/>
            <w:vMerge w:val="continue"/>
          </w:tcPr>
          <w:p>
            <w:pPr>
              <w:spacing w:after="0"/>
              <w:rPr>
                <w:sz w:val="19"/>
                <w:szCs w:val="19"/>
                <w:color w:val="auto"/>
              </w:rPr>
            </w:pPr>
          </w:p>
        </w:tc>
        <w:tc>
          <w:tcPr>
            <w:tcW w:w="1680" w:type="dxa"/>
            <w:vAlign w:val="bottom"/>
            <w:vMerge w:val="continue"/>
          </w:tcPr>
          <w:p>
            <w:pPr>
              <w:spacing w:after="0"/>
              <w:rPr>
                <w:sz w:val="19"/>
                <w:szCs w:val="19"/>
                <w:color w:val="auto"/>
              </w:rPr>
            </w:pP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2280" w:type="dxa"/>
            <w:vAlign w:val="bottom"/>
          </w:tcPr>
          <w:p>
            <w:pPr>
              <w:spacing w:after="0"/>
              <w:rPr>
                <w:sz w:val="19"/>
                <w:szCs w:val="19"/>
                <w:color w:val="auto"/>
              </w:rPr>
            </w:pPr>
          </w:p>
        </w:tc>
        <w:tc>
          <w:tcPr>
            <w:tcW w:w="1800" w:type="dxa"/>
            <w:vAlign w:val="bottom"/>
          </w:tcPr>
          <w:p>
            <w:pPr>
              <w:jc w:val="center"/>
              <w:ind w:left="151"/>
              <w:spacing w:after="0" w:line="230" w:lineRule="exact"/>
              <w:rPr>
                <w:sz w:val="20"/>
                <w:szCs w:val="20"/>
                <w:color w:val="auto"/>
              </w:rPr>
            </w:pPr>
            <w:r>
              <w:rPr>
                <w:rFonts w:ascii="Arial" w:cs="Arial" w:eastAsia="Arial" w:hAnsi="Arial"/>
                <w:sz w:val="18"/>
                <w:szCs w:val="18"/>
                <w:color w:val="auto"/>
                <w:w w:val="89"/>
              </w:rPr>
              <w:t xml:space="preserve">2/20/2020 </w:t>
            </w:r>
            <w:r>
              <w:rPr>
                <w:rFonts w:ascii="Arial" w:cs="Arial" w:eastAsia="Arial" w:hAnsi="Arial"/>
                <w:sz w:val="23"/>
                <w:szCs w:val="23"/>
                <w:color w:val="auto"/>
                <w:w w:val="89"/>
                <w:vertAlign w:val="superscript"/>
              </w:rPr>
              <w:t>4</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27,926</w:t>
            </w:r>
          </w:p>
        </w:tc>
        <w:tc>
          <w:tcPr>
            <w:tcW w:w="1760" w:type="dxa"/>
            <w:vAlign w:val="bottom"/>
          </w:tcPr>
          <w:p>
            <w:pPr>
              <w:jc w:val="center"/>
              <w:spacing w:after="0"/>
              <w:rPr>
                <w:sz w:val="20"/>
                <w:szCs w:val="20"/>
                <w:color w:val="auto"/>
              </w:rPr>
            </w:pPr>
            <w:r>
              <w:rPr>
                <w:rFonts w:ascii="Arial" w:cs="Arial" w:eastAsia="Arial" w:hAnsi="Arial"/>
                <w:sz w:val="18"/>
                <w:szCs w:val="18"/>
                <w:color w:val="auto"/>
                <w:w w:val="90"/>
              </w:rPr>
              <w:t>$289,034</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24,225</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$250,729</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3/1/2021 </w:t>
            </w:r>
            <w:r>
              <w:rPr>
                <w:rFonts w:ascii="Arial" w:cs="Arial" w:eastAsia="Arial" w:hAnsi="Arial"/>
                <w:sz w:val="23"/>
                <w:szCs w:val="23"/>
                <w:color w:val="auto"/>
                <w:w w:val="88"/>
                <w:vertAlign w:val="superscript"/>
              </w:rPr>
              <w:t>6</w:t>
            </w:r>
          </w:p>
        </w:tc>
        <w:tc>
          <w:tcPr>
            <w:tcW w:w="17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60" w:type="dxa"/>
            <w:vAlign w:val="bottom"/>
          </w:tcPr>
          <w:p>
            <w:pPr>
              <w:jc w:val="center"/>
              <w:spacing w:after="0"/>
              <w:rPr>
                <w:sz w:val="20"/>
                <w:szCs w:val="20"/>
                <w:color w:val="auto"/>
              </w:rPr>
            </w:pPr>
            <w:r>
              <w:rPr>
                <w:rFonts w:ascii="Arial" w:cs="Arial" w:eastAsia="Arial" w:hAnsi="Arial"/>
                <w:sz w:val="18"/>
                <w:szCs w:val="18"/>
                <w:color w:val="auto"/>
                <w:w w:val="90"/>
              </w:rPr>
              <w:t>18,175</w:t>
            </w:r>
          </w:p>
        </w:tc>
        <w:tc>
          <w:tcPr>
            <w:tcW w:w="1760" w:type="dxa"/>
            <w:vAlign w:val="bottom"/>
          </w:tcPr>
          <w:p>
            <w:pPr>
              <w:jc w:val="center"/>
              <w:spacing w:after="0"/>
              <w:rPr>
                <w:sz w:val="20"/>
                <w:szCs w:val="20"/>
                <w:color w:val="auto"/>
              </w:rPr>
            </w:pPr>
            <w:r>
              <w:rPr>
                <w:rFonts w:ascii="Arial" w:cs="Arial" w:eastAsia="Arial" w:hAnsi="Arial"/>
                <w:sz w:val="18"/>
                <w:szCs w:val="18"/>
                <w:color w:val="auto"/>
                <w:w w:val="87"/>
              </w:rPr>
              <w:t>$188,111</w:t>
            </w:r>
          </w:p>
        </w:tc>
        <w:tc>
          <w:tcPr>
            <w:tcW w:w="0" w:type="dxa"/>
            <w:vAlign w:val="bottom"/>
          </w:tcPr>
          <w:p>
            <w:pPr>
              <w:spacing w:after="0"/>
              <w:rPr>
                <w:sz w:val="1"/>
                <w:szCs w:val="1"/>
                <w:color w:val="auto"/>
              </w:rPr>
            </w:pPr>
          </w:p>
        </w:tc>
      </w:tr>
      <w:tr>
        <w:trPr>
          <w:trHeight w:val="230"/>
        </w:trPr>
        <w:tc>
          <w:tcPr>
            <w:tcW w:w="2280" w:type="dxa"/>
            <w:vAlign w:val="bottom"/>
          </w:tcPr>
          <w:p>
            <w:pPr>
              <w:spacing w:after="0"/>
              <w:rPr>
                <w:sz w:val="19"/>
                <w:szCs w:val="19"/>
                <w:color w:val="auto"/>
              </w:rPr>
            </w:pPr>
          </w:p>
        </w:tc>
        <w:tc>
          <w:tcPr>
            <w:tcW w:w="1800" w:type="dxa"/>
            <w:vAlign w:val="bottom"/>
          </w:tcPr>
          <w:p>
            <w:pPr>
              <w:jc w:val="center"/>
              <w:ind w:left="131"/>
              <w:spacing w:after="0" w:line="230"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5</w:t>
            </w:r>
          </w:p>
        </w:tc>
        <w:tc>
          <w:tcPr>
            <w:tcW w:w="1760" w:type="dxa"/>
            <w:vAlign w:val="bottom"/>
          </w:tcPr>
          <w:p>
            <w:pPr>
              <w:jc w:val="center"/>
              <w:ind w:right="14"/>
              <w:spacing w:after="0"/>
              <w:rPr>
                <w:sz w:val="20"/>
                <w:szCs w:val="20"/>
                <w:color w:val="auto"/>
              </w:rPr>
            </w:pPr>
            <w:r>
              <w:rPr>
                <w:rFonts w:ascii="Arial" w:cs="Arial" w:eastAsia="Arial" w:hAnsi="Arial"/>
                <w:sz w:val="18"/>
                <w:szCs w:val="18"/>
                <w:color w:val="auto"/>
                <w:w w:val="90"/>
              </w:rPr>
              <w:t>28,377</w:t>
            </w:r>
          </w:p>
        </w:tc>
        <w:tc>
          <w:tcPr>
            <w:tcW w:w="1680" w:type="dxa"/>
            <w:vAlign w:val="bottom"/>
          </w:tcPr>
          <w:p>
            <w:pPr>
              <w:jc w:val="center"/>
              <w:spacing w:after="0"/>
              <w:rPr>
                <w:sz w:val="20"/>
                <w:szCs w:val="20"/>
                <w:color w:val="auto"/>
              </w:rPr>
            </w:pPr>
            <w:r>
              <w:rPr>
                <w:rFonts w:ascii="Arial" w:cs="Arial" w:eastAsia="Arial" w:hAnsi="Arial"/>
                <w:sz w:val="18"/>
                <w:szCs w:val="18"/>
                <w:color w:val="auto"/>
                <w:w w:val="90"/>
              </w:rPr>
              <w:t>$293,702</w:t>
            </w:r>
          </w:p>
        </w:tc>
        <w:tc>
          <w:tcPr>
            <w:tcW w:w="18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80" w:type="dxa"/>
            <w:vAlign w:val="bottom"/>
            <w:tcBorders>
              <w:bottom w:val="single" w:sz="8" w:color="407CCA"/>
            </w:tcBorders>
          </w:tcPr>
          <w:p>
            <w:pPr>
              <w:spacing w:after="0"/>
              <w:rPr>
                <w:sz w:val="20"/>
                <w:szCs w:val="20"/>
                <w:color w:val="auto"/>
              </w:rPr>
            </w:pPr>
          </w:p>
        </w:tc>
        <w:tc>
          <w:tcPr>
            <w:tcW w:w="1800" w:type="dxa"/>
            <w:vAlign w:val="bottom"/>
            <w:tcBorders>
              <w:bottom w:val="single" w:sz="8" w:color="407CCA"/>
            </w:tcBorders>
          </w:tcPr>
          <w:p>
            <w:pPr>
              <w:jc w:val="center"/>
              <w:ind w:left="131"/>
              <w:spacing w:after="0" w:line="231" w:lineRule="exact"/>
              <w:rPr>
                <w:sz w:val="20"/>
                <w:szCs w:val="20"/>
                <w:color w:val="auto"/>
              </w:rPr>
            </w:pPr>
            <w:r>
              <w:rPr>
                <w:rFonts w:ascii="Arial" w:cs="Arial" w:eastAsia="Arial" w:hAnsi="Arial"/>
                <w:sz w:val="18"/>
                <w:szCs w:val="18"/>
                <w:color w:val="auto"/>
                <w:w w:val="88"/>
              </w:rPr>
              <w:t xml:space="preserve">3/1/2022 </w:t>
            </w:r>
            <w:r>
              <w:rPr>
                <w:rFonts w:ascii="Arial" w:cs="Arial" w:eastAsia="Arial" w:hAnsi="Arial"/>
                <w:sz w:val="23"/>
                <w:szCs w:val="23"/>
                <w:color w:val="auto"/>
                <w:w w:val="88"/>
                <w:vertAlign w:val="superscript"/>
              </w:rPr>
              <w:t>6</w:t>
            </w:r>
          </w:p>
        </w:tc>
        <w:tc>
          <w:tcPr>
            <w:tcW w:w="1760" w:type="dxa"/>
            <w:vAlign w:val="bottom"/>
            <w:tcBorders>
              <w:bottom w:val="single" w:sz="8" w:color="407CCA"/>
            </w:tcBorders>
          </w:tcPr>
          <w:p>
            <w:pPr>
              <w:spacing w:after="0"/>
              <w:rPr>
                <w:sz w:val="20"/>
                <w:szCs w:val="20"/>
                <w:color w:val="auto"/>
              </w:rPr>
            </w:pPr>
          </w:p>
        </w:tc>
        <w:tc>
          <w:tcPr>
            <w:tcW w:w="1680" w:type="dxa"/>
            <w:vAlign w:val="bottom"/>
            <w:tcBorders>
              <w:bottom w:val="single" w:sz="8" w:color="407CCA"/>
            </w:tcBorders>
          </w:tcPr>
          <w:p>
            <w:pPr>
              <w:spacing w:after="0"/>
              <w:rPr>
                <w:sz w:val="20"/>
                <w:szCs w:val="20"/>
                <w:color w:val="auto"/>
              </w:rPr>
            </w:pPr>
          </w:p>
        </w:tc>
        <w:tc>
          <w:tcPr>
            <w:tcW w:w="186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28,809</w:t>
            </w:r>
          </w:p>
        </w:tc>
        <w:tc>
          <w:tcPr>
            <w:tcW w:w="176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$298,173</w:t>
            </w:r>
          </w:p>
        </w:tc>
        <w:tc>
          <w:tcPr>
            <w:tcW w:w="0" w:type="dxa"/>
            <w:vAlign w:val="bottom"/>
          </w:tcPr>
          <w:p>
            <w:pPr>
              <w:spacing w:after="0"/>
              <w:rPr>
                <w:sz w:val="1"/>
                <w:szCs w:val="1"/>
                <w:color w:val="auto"/>
              </w:rPr>
            </w:pPr>
          </w:p>
        </w:tc>
      </w:tr>
    </w:tbl>
    <w:p>
      <w:pPr>
        <w:spacing w:after="0" w:line="76" w:lineRule="exact"/>
        <w:rPr>
          <w:sz w:val="20"/>
          <w:szCs w:val="20"/>
          <w:color w:val="auto"/>
        </w:rPr>
      </w:pPr>
    </w:p>
    <w:p>
      <w:pPr>
        <w:ind w:left="340" w:hanging="251"/>
        <w:spacing w:after="0"/>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Includes accrued dividend equivalent units.</w:t>
      </w:r>
    </w:p>
    <w:p>
      <w:pPr>
        <w:spacing w:after="0" w:line="13" w:lineRule="exact"/>
        <w:rPr>
          <w:rFonts w:ascii="Arial" w:cs="Arial" w:eastAsia="Arial" w:hAnsi="Arial"/>
          <w:sz w:val="14"/>
          <w:szCs w:val="14"/>
          <w:color w:val="auto"/>
        </w:rPr>
      </w:pPr>
    </w:p>
    <w:p>
      <w:pPr>
        <w:ind w:left="340" w:hanging="251"/>
        <w:spacing w:after="0"/>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30, 2022, or $10.35, by the number of units.</w:t>
      </w:r>
    </w:p>
    <w:p>
      <w:pPr>
        <w:spacing w:after="0" w:line="1" w:lineRule="exact"/>
        <w:rPr>
          <w:rFonts w:ascii="Arial" w:cs="Arial" w:eastAsia="Arial" w:hAnsi="Arial"/>
          <w:sz w:val="14"/>
          <w:szCs w:val="14"/>
          <w:color w:val="auto"/>
        </w:rPr>
      </w:pPr>
    </w:p>
    <w:p>
      <w:pPr>
        <w:ind w:left="340" w:hanging="251"/>
        <w:spacing w:after="0"/>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Time-based vesting RSUs vest ratably over a three-year and three-quarter month period that commenced on the Grant Date with the next vesting date on March 15, 2023.</w:t>
      </w:r>
    </w:p>
    <w:p>
      <w:pPr>
        <w:spacing w:after="0" w:line="1" w:lineRule="exact"/>
        <w:rPr>
          <w:rFonts w:ascii="Arial" w:cs="Arial" w:eastAsia="Arial" w:hAnsi="Arial"/>
          <w:sz w:val="14"/>
          <w:szCs w:val="14"/>
          <w:color w:val="auto"/>
        </w:rPr>
      </w:pPr>
    </w:p>
    <w:p>
      <w:pPr>
        <w:ind w:left="340" w:right="60" w:hanging="251"/>
        <w:spacing w:after="0" w:line="251" w:lineRule="auto"/>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cliff vest three years from the Grant Date. Reflects performance achievement of 100% of target.</w:t>
      </w:r>
    </w:p>
    <w:p>
      <w:pPr>
        <w:ind w:left="340" w:hanging="251"/>
        <w:spacing w:after="0"/>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Time-based vesting RSUs vest ratably over a three-year and one-half month period that commenced on the Grant Date with the next vesting date on March 15, 2023.</w:t>
      </w:r>
    </w:p>
    <w:p>
      <w:pPr>
        <w:spacing w:after="0" w:line="1" w:lineRule="exact"/>
        <w:rPr>
          <w:rFonts w:ascii="Arial" w:cs="Arial" w:eastAsia="Arial" w:hAnsi="Arial"/>
          <w:sz w:val="14"/>
          <w:szCs w:val="14"/>
          <w:color w:val="auto"/>
        </w:rPr>
      </w:pPr>
    </w:p>
    <w:p>
      <w:pPr>
        <w:ind w:left="340" w:right="220" w:hanging="251"/>
        <w:spacing w:after="0" w:line="275" w:lineRule="auto"/>
        <w:tabs>
          <w:tab w:leader="none" w:pos="340" w:val="left"/>
        </w:tabs>
        <w:numPr>
          <w:ilvl w:val="0"/>
          <w:numId w:val="47"/>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cliff vest two years and eleven and one-half months from the Grant Date. Assumes performance achievement at 50% of target.</w:t>
      </w:r>
    </w:p>
    <w:p>
      <w:pPr>
        <w:sectPr>
          <w:pgSz w:w="11900" w:h="16838" w:orient="portrait"/>
          <w:cols w:equalWidth="0" w:num="1">
            <w:col w:w="11220"/>
          </w:cols>
          <w:pgMar w:left="320" w:top="108" w:right="359" w:bottom="1440" w:gutter="0" w:footer="0" w:header="0"/>
        </w:sectPr>
      </w:pPr>
    </w:p>
    <w:p>
      <w:pPr>
        <w:spacing w:after="0" w:line="200" w:lineRule="exact"/>
        <w:rPr>
          <w:sz w:val="20"/>
          <w:szCs w:val="20"/>
          <w:color w:val="auto"/>
        </w:rPr>
      </w:pPr>
    </w:p>
    <w:p>
      <w:pPr>
        <w:spacing w:after="0" w:line="378"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57" w:name="page58"/>
    <w:bookmarkEnd w:id="5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Option Exercises and Stock Vested for Fiscal Year 2022</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following table provides information about stock awards under the 2016 Equity Plan that vested in 2022 for each NEO:</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09"/>
        </w:trPr>
        <w:tc>
          <w:tcPr>
            <w:tcW w:w="6600" w:type="dxa"/>
            <w:vAlign w:val="bottom"/>
            <w:tcBorders>
              <w:top w:val="single" w:sz="8" w:color="407CCA"/>
            </w:tcBorders>
          </w:tcPr>
          <w:p>
            <w:pPr>
              <w:spacing w:after="0"/>
              <w:rPr>
                <w:sz w:val="18"/>
                <w:szCs w:val="18"/>
                <w:color w:val="auto"/>
              </w:rPr>
            </w:pPr>
          </w:p>
        </w:tc>
        <w:tc>
          <w:tcPr>
            <w:tcW w:w="1820" w:type="dxa"/>
            <w:vAlign w:val="bottom"/>
            <w:tcBorders>
              <w:top w:val="single" w:sz="8" w:color="407CCA"/>
              <w:bottom w:val="single" w:sz="8" w:color="407CCA"/>
            </w:tcBorders>
          </w:tcPr>
          <w:p>
            <w:pPr>
              <w:spacing w:after="0"/>
              <w:rPr>
                <w:sz w:val="18"/>
                <w:szCs w:val="18"/>
                <w:color w:val="auto"/>
              </w:rPr>
            </w:pPr>
          </w:p>
        </w:tc>
        <w:tc>
          <w:tcPr>
            <w:tcW w:w="2800" w:type="dxa"/>
            <w:vAlign w:val="bottom"/>
            <w:tcBorders>
              <w:top w:val="single" w:sz="8" w:color="407CCA"/>
              <w:bottom w:val="single" w:sz="8" w:color="407CCA"/>
            </w:tcBorders>
          </w:tcPr>
          <w:p>
            <w:pPr>
              <w:ind w:left="60"/>
              <w:spacing w:after="0"/>
              <w:rPr>
                <w:sz w:val="20"/>
                <w:szCs w:val="20"/>
                <w:color w:val="auto"/>
              </w:rPr>
            </w:pPr>
            <w:r>
              <w:rPr>
                <w:rFonts w:ascii="Arial" w:cs="Arial" w:eastAsia="Arial" w:hAnsi="Arial"/>
                <w:sz w:val="14"/>
                <w:szCs w:val="14"/>
                <w:b w:val="1"/>
                <w:bCs w:val="1"/>
                <w:color w:val="auto"/>
              </w:rPr>
              <w:t>Stock Awards</w:t>
            </w:r>
          </w:p>
        </w:tc>
        <w:tc>
          <w:tcPr>
            <w:tcW w:w="0" w:type="dxa"/>
            <w:vAlign w:val="bottom"/>
          </w:tcPr>
          <w:p>
            <w:pPr>
              <w:spacing w:after="0"/>
              <w:rPr>
                <w:sz w:val="1"/>
                <w:szCs w:val="1"/>
                <w:color w:val="auto"/>
              </w:rPr>
            </w:pPr>
          </w:p>
        </w:tc>
      </w:tr>
      <w:tr>
        <w:trPr>
          <w:trHeight w:val="139"/>
        </w:trPr>
        <w:tc>
          <w:tcPr>
            <w:tcW w:w="660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Name</w:t>
            </w:r>
          </w:p>
        </w:tc>
        <w:tc>
          <w:tcPr>
            <w:tcW w:w="1820" w:type="dxa"/>
            <w:vAlign w:val="bottom"/>
          </w:tcPr>
          <w:p>
            <w:pPr>
              <w:jc w:val="center"/>
              <w:ind w:left="175"/>
              <w:spacing w:after="0" w:line="139" w:lineRule="exact"/>
              <w:rPr>
                <w:sz w:val="20"/>
                <w:szCs w:val="20"/>
                <w:color w:val="auto"/>
              </w:rPr>
            </w:pPr>
            <w:r>
              <w:rPr>
                <w:rFonts w:ascii="Arial" w:cs="Arial" w:eastAsia="Arial" w:hAnsi="Arial"/>
                <w:sz w:val="14"/>
                <w:szCs w:val="14"/>
                <w:b w:val="1"/>
                <w:bCs w:val="1"/>
                <w:color w:val="auto"/>
                <w:w w:val="90"/>
              </w:rPr>
              <w:t>Number of shares</w:t>
            </w:r>
          </w:p>
        </w:tc>
        <w:tc>
          <w:tcPr>
            <w:tcW w:w="2800" w:type="dxa"/>
            <w:vAlign w:val="bottom"/>
            <w:vMerge w:val="restart"/>
          </w:tcPr>
          <w:p>
            <w:pPr>
              <w:ind w:left="680"/>
              <w:spacing w:after="0"/>
              <w:rPr>
                <w:sz w:val="20"/>
                <w:szCs w:val="20"/>
                <w:color w:val="auto"/>
              </w:rPr>
            </w:pPr>
            <w:r>
              <w:rPr>
                <w:rFonts w:ascii="Arial" w:cs="Arial" w:eastAsia="Arial" w:hAnsi="Arial"/>
                <w:sz w:val="14"/>
                <w:szCs w:val="14"/>
                <w:b w:val="1"/>
                <w:bCs w:val="1"/>
                <w:color w:val="auto"/>
              </w:rPr>
              <w:t>Value realized on vesting ($)</w:t>
            </w:r>
          </w:p>
        </w:tc>
        <w:tc>
          <w:tcPr>
            <w:tcW w:w="0" w:type="dxa"/>
            <w:vAlign w:val="bottom"/>
          </w:tcPr>
          <w:p>
            <w:pPr>
              <w:spacing w:after="0"/>
              <w:rPr>
                <w:sz w:val="1"/>
                <w:szCs w:val="1"/>
                <w:color w:val="auto"/>
              </w:rPr>
            </w:pPr>
          </w:p>
        </w:tc>
      </w:tr>
      <w:tr>
        <w:trPr>
          <w:trHeight w:val="198"/>
        </w:trPr>
        <w:tc>
          <w:tcPr>
            <w:tcW w:w="6600" w:type="dxa"/>
            <w:vAlign w:val="bottom"/>
            <w:tcBorders>
              <w:bottom w:val="single" w:sz="8" w:color="407CCA"/>
            </w:tcBorders>
            <w:vMerge w:val="continue"/>
          </w:tcPr>
          <w:p>
            <w:pPr>
              <w:spacing w:after="0"/>
              <w:rPr>
                <w:sz w:val="17"/>
                <w:szCs w:val="17"/>
                <w:color w:val="auto"/>
              </w:rPr>
            </w:pPr>
          </w:p>
        </w:tc>
        <w:tc>
          <w:tcPr>
            <w:tcW w:w="1820" w:type="dxa"/>
            <w:vAlign w:val="bottom"/>
            <w:tcBorders>
              <w:bottom w:val="single" w:sz="8" w:color="407CCA"/>
            </w:tcBorders>
          </w:tcPr>
          <w:p>
            <w:pPr>
              <w:jc w:val="center"/>
              <w:ind w:left="175"/>
              <w:spacing w:after="0"/>
              <w:rPr>
                <w:sz w:val="20"/>
                <w:szCs w:val="20"/>
                <w:color w:val="auto"/>
              </w:rPr>
            </w:pPr>
            <w:r>
              <w:rPr>
                <w:rFonts w:ascii="Arial" w:cs="Arial" w:eastAsia="Arial" w:hAnsi="Arial"/>
                <w:sz w:val="14"/>
                <w:szCs w:val="14"/>
                <w:b w:val="1"/>
                <w:bCs w:val="1"/>
                <w:color w:val="auto"/>
                <w:w w:val="91"/>
              </w:rPr>
              <w:t>acquired on vesting (#)</w:t>
            </w:r>
          </w:p>
        </w:tc>
        <w:tc>
          <w:tcPr>
            <w:tcW w:w="2800" w:type="dxa"/>
            <w:vAlign w:val="bottom"/>
            <w:tcBorders>
              <w:bottom w:val="single" w:sz="8" w:color="407CCA"/>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22"/>
        </w:trPr>
        <w:tc>
          <w:tcPr>
            <w:tcW w:w="6600" w:type="dxa"/>
            <w:vAlign w:val="bottom"/>
          </w:tcPr>
          <w:p>
            <w:pPr>
              <w:ind w:left="180"/>
              <w:spacing w:after="0"/>
              <w:rPr>
                <w:sz w:val="20"/>
                <w:szCs w:val="20"/>
                <w:color w:val="auto"/>
              </w:rPr>
            </w:pPr>
            <w:r>
              <w:rPr>
                <w:rFonts w:ascii="Arial" w:cs="Arial" w:eastAsia="Arial" w:hAnsi="Arial"/>
                <w:sz w:val="18"/>
                <w:szCs w:val="18"/>
                <w:color w:val="auto"/>
              </w:rPr>
              <w:t>Peter J. Federico</w:t>
            </w:r>
          </w:p>
        </w:tc>
        <w:tc>
          <w:tcPr>
            <w:tcW w:w="1820" w:type="dxa"/>
            <w:vAlign w:val="bottom"/>
          </w:tcPr>
          <w:p>
            <w:pPr>
              <w:jc w:val="center"/>
              <w:ind w:left="195"/>
              <w:spacing w:after="0"/>
              <w:rPr>
                <w:sz w:val="20"/>
                <w:szCs w:val="20"/>
                <w:color w:val="auto"/>
              </w:rPr>
            </w:pPr>
            <w:r>
              <w:rPr>
                <w:rFonts w:ascii="Arial" w:cs="Arial" w:eastAsia="Arial" w:hAnsi="Arial"/>
                <w:sz w:val="18"/>
                <w:szCs w:val="18"/>
                <w:color w:val="auto"/>
                <w:w w:val="89"/>
              </w:rPr>
              <w:t>162,183</w:t>
            </w:r>
          </w:p>
        </w:tc>
        <w:tc>
          <w:tcPr>
            <w:tcW w:w="2800" w:type="dxa"/>
            <w:vAlign w:val="bottom"/>
          </w:tcPr>
          <w:p>
            <w:pPr>
              <w:jc w:val="center"/>
              <w:ind w:left="195"/>
              <w:spacing w:after="0"/>
              <w:rPr>
                <w:sz w:val="20"/>
                <w:szCs w:val="20"/>
                <w:color w:val="auto"/>
              </w:rPr>
            </w:pPr>
            <w:r>
              <w:rPr>
                <w:rFonts w:ascii="Arial" w:cs="Arial" w:eastAsia="Arial" w:hAnsi="Arial"/>
                <w:sz w:val="18"/>
                <w:szCs w:val="18"/>
                <w:color w:val="auto"/>
                <w:w w:val="88"/>
              </w:rPr>
              <w:t>$2,185,524</w:t>
            </w:r>
          </w:p>
        </w:tc>
        <w:tc>
          <w:tcPr>
            <w:tcW w:w="0" w:type="dxa"/>
            <w:vAlign w:val="bottom"/>
          </w:tcPr>
          <w:p>
            <w:pPr>
              <w:spacing w:after="0"/>
              <w:rPr>
                <w:sz w:val="1"/>
                <w:szCs w:val="1"/>
                <w:color w:val="auto"/>
              </w:rPr>
            </w:pPr>
          </w:p>
        </w:tc>
      </w:tr>
      <w:tr>
        <w:trPr>
          <w:trHeight w:val="229"/>
        </w:trPr>
        <w:tc>
          <w:tcPr>
            <w:tcW w:w="6600" w:type="dxa"/>
            <w:vAlign w:val="bottom"/>
          </w:tcPr>
          <w:p>
            <w:pPr>
              <w:ind w:left="180"/>
              <w:spacing w:after="0"/>
              <w:rPr>
                <w:sz w:val="20"/>
                <w:szCs w:val="20"/>
                <w:color w:val="auto"/>
              </w:rPr>
            </w:pPr>
            <w:r>
              <w:rPr>
                <w:rFonts w:ascii="Arial" w:cs="Arial" w:eastAsia="Arial" w:hAnsi="Arial"/>
                <w:sz w:val="18"/>
                <w:szCs w:val="18"/>
                <w:color w:val="auto"/>
              </w:rPr>
              <w:t>Gary D. Kain</w:t>
            </w:r>
          </w:p>
        </w:tc>
        <w:tc>
          <w:tcPr>
            <w:tcW w:w="1820" w:type="dxa"/>
            <w:vAlign w:val="bottom"/>
          </w:tcPr>
          <w:p>
            <w:pPr>
              <w:jc w:val="center"/>
              <w:ind w:left="195"/>
              <w:spacing w:after="0"/>
              <w:rPr>
                <w:sz w:val="20"/>
                <w:szCs w:val="20"/>
                <w:color w:val="auto"/>
              </w:rPr>
            </w:pPr>
            <w:r>
              <w:rPr>
                <w:rFonts w:ascii="Arial" w:cs="Arial" w:eastAsia="Arial" w:hAnsi="Arial"/>
                <w:sz w:val="18"/>
                <w:szCs w:val="18"/>
                <w:color w:val="auto"/>
                <w:w w:val="89"/>
              </w:rPr>
              <w:t>759,697</w:t>
            </w:r>
          </w:p>
        </w:tc>
        <w:tc>
          <w:tcPr>
            <w:tcW w:w="2800" w:type="dxa"/>
            <w:vAlign w:val="bottom"/>
          </w:tcPr>
          <w:p>
            <w:pPr>
              <w:jc w:val="center"/>
              <w:ind w:left="175"/>
              <w:spacing w:after="0"/>
              <w:rPr>
                <w:sz w:val="20"/>
                <w:szCs w:val="20"/>
                <w:color w:val="auto"/>
              </w:rPr>
            </w:pPr>
            <w:r>
              <w:rPr>
                <w:rFonts w:ascii="Arial" w:cs="Arial" w:eastAsia="Arial" w:hAnsi="Arial"/>
                <w:sz w:val="18"/>
                <w:szCs w:val="18"/>
                <w:color w:val="auto"/>
                <w:w w:val="89"/>
              </w:rPr>
              <w:t>$10,360,277</w:t>
            </w:r>
          </w:p>
        </w:tc>
        <w:tc>
          <w:tcPr>
            <w:tcW w:w="0" w:type="dxa"/>
            <w:vAlign w:val="bottom"/>
          </w:tcPr>
          <w:p>
            <w:pPr>
              <w:spacing w:after="0"/>
              <w:rPr>
                <w:sz w:val="1"/>
                <w:szCs w:val="1"/>
                <w:color w:val="auto"/>
              </w:rPr>
            </w:pPr>
          </w:p>
        </w:tc>
      </w:tr>
      <w:tr>
        <w:trPr>
          <w:trHeight w:val="230"/>
        </w:trPr>
        <w:tc>
          <w:tcPr>
            <w:tcW w:w="6600" w:type="dxa"/>
            <w:vAlign w:val="bottom"/>
          </w:tcPr>
          <w:p>
            <w:pPr>
              <w:ind w:left="180"/>
              <w:spacing w:after="0"/>
              <w:rPr>
                <w:sz w:val="20"/>
                <w:szCs w:val="20"/>
                <w:color w:val="auto"/>
              </w:rPr>
            </w:pPr>
            <w:r>
              <w:rPr>
                <w:rFonts w:ascii="Arial" w:cs="Arial" w:eastAsia="Arial" w:hAnsi="Arial"/>
                <w:sz w:val="18"/>
                <w:szCs w:val="18"/>
                <w:color w:val="auto"/>
              </w:rPr>
              <w:t>Christopher J. Kuehl</w:t>
            </w:r>
          </w:p>
        </w:tc>
        <w:tc>
          <w:tcPr>
            <w:tcW w:w="1820" w:type="dxa"/>
            <w:vAlign w:val="bottom"/>
          </w:tcPr>
          <w:p>
            <w:pPr>
              <w:jc w:val="center"/>
              <w:ind w:left="195"/>
              <w:spacing w:after="0"/>
              <w:rPr>
                <w:sz w:val="20"/>
                <w:szCs w:val="20"/>
                <w:color w:val="auto"/>
              </w:rPr>
            </w:pPr>
            <w:r>
              <w:rPr>
                <w:rFonts w:ascii="Arial" w:cs="Arial" w:eastAsia="Arial" w:hAnsi="Arial"/>
                <w:sz w:val="18"/>
                <w:szCs w:val="18"/>
                <w:color w:val="auto"/>
                <w:w w:val="89"/>
              </w:rPr>
              <w:t>121,283</w:t>
            </w:r>
          </w:p>
        </w:tc>
        <w:tc>
          <w:tcPr>
            <w:tcW w:w="2800" w:type="dxa"/>
            <w:vAlign w:val="bottom"/>
          </w:tcPr>
          <w:p>
            <w:pPr>
              <w:jc w:val="center"/>
              <w:ind w:left="195"/>
              <w:spacing w:after="0"/>
              <w:rPr>
                <w:sz w:val="20"/>
                <w:szCs w:val="20"/>
                <w:color w:val="auto"/>
              </w:rPr>
            </w:pPr>
            <w:r>
              <w:rPr>
                <w:rFonts w:ascii="Arial" w:cs="Arial" w:eastAsia="Arial" w:hAnsi="Arial"/>
                <w:sz w:val="18"/>
                <w:szCs w:val="18"/>
                <w:color w:val="auto"/>
                <w:w w:val="88"/>
              </w:rPr>
              <w:t>$1,637,167</w:t>
            </w:r>
          </w:p>
        </w:tc>
        <w:tc>
          <w:tcPr>
            <w:tcW w:w="0" w:type="dxa"/>
            <w:vAlign w:val="bottom"/>
          </w:tcPr>
          <w:p>
            <w:pPr>
              <w:spacing w:after="0"/>
              <w:rPr>
                <w:sz w:val="1"/>
                <w:szCs w:val="1"/>
                <w:color w:val="auto"/>
              </w:rPr>
            </w:pPr>
          </w:p>
        </w:tc>
      </w:tr>
      <w:tr>
        <w:trPr>
          <w:trHeight w:val="229"/>
        </w:trPr>
        <w:tc>
          <w:tcPr>
            <w:tcW w:w="6600" w:type="dxa"/>
            <w:vAlign w:val="bottom"/>
          </w:tcPr>
          <w:p>
            <w:pPr>
              <w:ind w:left="180"/>
              <w:spacing w:after="0"/>
              <w:rPr>
                <w:sz w:val="20"/>
                <w:szCs w:val="20"/>
                <w:color w:val="auto"/>
              </w:rPr>
            </w:pPr>
            <w:r>
              <w:rPr>
                <w:rFonts w:ascii="Arial" w:cs="Arial" w:eastAsia="Arial" w:hAnsi="Arial"/>
                <w:sz w:val="18"/>
                <w:szCs w:val="18"/>
                <w:color w:val="auto"/>
              </w:rPr>
              <w:t>Bernice E. Bell</w:t>
            </w:r>
          </w:p>
        </w:tc>
        <w:tc>
          <w:tcPr>
            <w:tcW w:w="1820" w:type="dxa"/>
            <w:vAlign w:val="bottom"/>
          </w:tcPr>
          <w:p>
            <w:pPr>
              <w:jc w:val="center"/>
              <w:ind w:left="175"/>
              <w:spacing w:after="0"/>
              <w:rPr>
                <w:sz w:val="20"/>
                <w:szCs w:val="20"/>
                <w:color w:val="auto"/>
              </w:rPr>
            </w:pPr>
            <w:r>
              <w:rPr>
                <w:rFonts w:ascii="Arial" w:cs="Arial" w:eastAsia="Arial" w:hAnsi="Arial"/>
                <w:sz w:val="18"/>
                <w:szCs w:val="18"/>
                <w:color w:val="auto"/>
                <w:w w:val="87"/>
              </w:rPr>
              <w:t>72,318</w:t>
            </w:r>
          </w:p>
        </w:tc>
        <w:tc>
          <w:tcPr>
            <w:tcW w:w="2800" w:type="dxa"/>
            <w:vAlign w:val="bottom"/>
          </w:tcPr>
          <w:p>
            <w:pPr>
              <w:jc w:val="center"/>
              <w:ind w:left="195"/>
              <w:spacing w:after="0"/>
              <w:rPr>
                <w:sz w:val="20"/>
                <w:szCs w:val="20"/>
                <w:color w:val="auto"/>
              </w:rPr>
            </w:pPr>
            <w:r>
              <w:rPr>
                <w:rFonts w:ascii="Arial" w:cs="Arial" w:eastAsia="Arial" w:hAnsi="Arial"/>
                <w:sz w:val="18"/>
                <w:szCs w:val="18"/>
                <w:color w:val="auto"/>
                <w:w w:val="90"/>
              </w:rPr>
              <w:t>$971,797</w:t>
            </w:r>
          </w:p>
        </w:tc>
        <w:tc>
          <w:tcPr>
            <w:tcW w:w="0" w:type="dxa"/>
            <w:vAlign w:val="bottom"/>
          </w:tcPr>
          <w:p>
            <w:pPr>
              <w:spacing w:after="0"/>
              <w:rPr>
                <w:sz w:val="1"/>
                <w:szCs w:val="1"/>
                <w:color w:val="auto"/>
              </w:rPr>
            </w:pPr>
          </w:p>
        </w:tc>
      </w:tr>
      <w:tr>
        <w:trPr>
          <w:trHeight w:val="230"/>
        </w:trPr>
        <w:tc>
          <w:tcPr>
            <w:tcW w:w="6600" w:type="dxa"/>
            <w:vAlign w:val="bottom"/>
            <w:tcBorders>
              <w:bottom w:val="single" w:sz="8" w:color="407CCA"/>
            </w:tcBorders>
          </w:tcPr>
          <w:p>
            <w:pPr>
              <w:ind w:left="180"/>
              <w:spacing w:after="0"/>
              <w:rPr>
                <w:sz w:val="20"/>
                <w:szCs w:val="20"/>
                <w:color w:val="auto"/>
              </w:rPr>
            </w:pPr>
            <w:r>
              <w:rPr>
                <w:rFonts w:ascii="Arial" w:cs="Arial" w:eastAsia="Arial" w:hAnsi="Arial"/>
                <w:sz w:val="18"/>
                <w:szCs w:val="18"/>
                <w:color w:val="auto"/>
              </w:rPr>
              <w:t>Kenneth L. Pollack</w:t>
            </w:r>
          </w:p>
        </w:tc>
        <w:tc>
          <w:tcPr>
            <w:tcW w:w="1820" w:type="dxa"/>
            <w:vAlign w:val="bottom"/>
            <w:tcBorders>
              <w:bottom w:val="single" w:sz="8" w:color="407CCA"/>
            </w:tcBorders>
          </w:tcPr>
          <w:p>
            <w:pPr>
              <w:jc w:val="center"/>
              <w:ind w:left="175"/>
              <w:spacing w:after="0"/>
              <w:rPr>
                <w:sz w:val="20"/>
                <w:szCs w:val="20"/>
                <w:color w:val="auto"/>
              </w:rPr>
            </w:pPr>
            <w:r>
              <w:rPr>
                <w:rFonts w:ascii="Arial" w:cs="Arial" w:eastAsia="Arial" w:hAnsi="Arial"/>
                <w:sz w:val="18"/>
                <w:szCs w:val="18"/>
                <w:color w:val="auto"/>
                <w:w w:val="87"/>
              </w:rPr>
              <w:t>69,832</w:t>
            </w:r>
          </w:p>
        </w:tc>
        <w:tc>
          <w:tcPr>
            <w:tcW w:w="2800" w:type="dxa"/>
            <w:vAlign w:val="bottom"/>
            <w:tcBorders>
              <w:bottom w:val="single" w:sz="8" w:color="407CCA"/>
            </w:tcBorders>
          </w:tcPr>
          <w:p>
            <w:pPr>
              <w:jc w:val="center"/>
              <w:ind w:left="195"/>
              <w:spacing w:after="0"/>
              <w:rPr>
                <w:sz w:val="20"/>
                <w:szCs w:val="20"/>
                <w:color w:val="auto"/>
              </w:rPr>
            </w:pPr>
            <w:r>
              <w:rPr>
                <w:rFonts w:ascii="Arial" w:cs="Arial" w:eastAsia="Arial" w:hAnsi="Arial"/>
                <w:sz w:val="18"/>
                <w:szCs w:val="18"/>
                <w:color w:val="auto"/>
                <w:w w:val="90"/>
              </w:rPr>
              <w:t>$939,728</w:t>
            </w:r>
          </w:p>
        </w:tc>
        <w:tc>
          <w:tcPr>
            <w:tcW w:w="0" w:type="dxa"/>
            <w:vAlign w:val="bottom"/>
          </w:tcPr>
          <w:p>
            <w:pPr>
              <w:spacing w:after="0"/>
              <w:rPr>
                <w:sz w:val="1"/>
                <w:szCs w:val="1"/>
                <w:color w:val="auto"/>
              </w:rPr>
            </w:pPr>
          </w:p>
        </w:tc>
      </w:tr>
    </w:tbl>
    <w:p>
      <w:pPr>
        <w:spacing w:after="0" w:line="3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Severance and Change of Control Payments</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Employment Agreements</w:t>
      </w:r>
    </w:p>
    <w:p>
      <w:pPr>
        <w:spacing w:after="0" w:line="90" w:lineRule="exact"/>
        <w:rPr>
          <w:sz w:val="20"/>
          <w:szCs w:val="20"/>
          <w:color w:val="auto"/>
        </w:rPr>
      </w:pPr>
    </w:p>
    <w:p>
      <w:pPr>
        <w:ind w:right="80" w:firstLine="648"/>
        <w:spacing w:after="0" w:line="224" w:lineRule="auto"/>
        <w:rPr>
          <w:sz w:val="20"/>
          <w:szCs w:val="20"/>
          <w:color w:val="auto"/>
        </w:rPr>
      </w:pPr>
      <w:r>
        <w:rPr>
          <w:rFonts w:ascii="Arial" w:cs="Arial" w:eastAsia="Arial" w:hAnsi="Arial"/>
          <w:sz w:val="18"/>
          <w:szCs w:val="18"/>
          <w:color w:val="auto"/>
        </w:rPr>
        <w:t>Each of the employment agreements with Ms. Bell and Messrs. Kain, Federico, Kuehl, and Pollack contains provisions for payments upon certain events as set forth below. In the event of a termination by the Company of any of our NEOs for Cause (as defined in their respective employment agreements), our NEOs are not entitled to receive any supplemental payments or incremental benefits.</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w:t>
      </w:r>
    </w:p>
    <w:p>
      <w:pPr>
        <w:spacing w:after="0" w:line="77"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If the employment of Ms. Bell or Messrs. Kain, Federico, Kuehl, or Pollack terminates by reason of a Termination Without Cause or Termination For Good Reason, each as defined in their employment agreements, and such termination does not occur during the 21-month period (24 months in the case</w:t>
      </w:r>
    </w:p>
    <w:p>
      <w:pPr>
        <w:ind w:right="240"/>
        <w:spacing w:after="0" w:line="234" w:lineRule="auto"/>
        <w:rPr>
          <w:sz w:val="20"/>
          <w:szCs w:val="20"/>
          <w:color w:val="auto"/>
        </w:rPr>
      </w:pPr>
      <w:r>
        <w:rPr>
          <w:rFonts w:ascii="Arial" w:cs="Arial" w:eastAsia="Arial" w:hAnsi="Arial"/>
          <w:sz w:val="16"/>
          <w:szCs w:val="16"/>
          <w:color w:val="auto"/>
        </w:rPr>
        <w:t>of Ms. Bell or Mr. Pollack) following a Change of Control, each such executive would be entitled to the following payments from the Company, as applicable, in addition to the payments listed below under “All Terminations” (a) an amount equal to the product of (i) 1.5 for Messrs. Federico, Kain or Kuehl or 1.0 for Ms. Bell or Mr. Pollack, multiplied by (ii) the sum of (A) the executive’s annual base salary at the time of such termination, plus (B) the</w:t>
      </w:r>
    </w:p>
    <w:p>
      <w:pPr>
        <w:spacing w:after="0" w:line="2" w:lineRule="exact"/>
        <w:rPr>
          <w:sz w:val="20"/>
          <w:szCs w:val="20"/>
          <w:color w:val="auto"/>
        </w:rPr>
      </w:pPr>
    </w:p>
    <w:p>
      <w:pPr>
        <w:ind w:right="80"/>
        <w:spacing w:after="0" w:line="234" w:lineRule="auto"/>
        <w:rPr>
          <w:sz w:val="20"/>
          <w:szCs w:val="20"/>
          <w:color w:val="auto"/>
        </w:rPr>
      </w:pPr>
      <w:r>
        <w:rPr>
          <w:rFonts w:ascii="Arial" w:cs="Arial" w:eastAsia="Arial" w:hAnsi="Arial"/>
          <w:sz w:val="16"/>
          <w:szCs w:val="16"/>
          <w:color w:val="auto"/>
        </w:rPr>
        <w:t>target value of the executive’s annual cash bonus for the year in which such termination occurs (the “Severance Amount”), paid over 18 months for Messrs. Federico, Kain, and Kuehl, and 12 months to Ms. Bell and Mr. Pollack, respectively; (b) a pro rata portion of the annual cash bonus the executive would have been entitled to receive if he or she had remained employed through December 31 of the year in which such termination occurs (as determined</w:t>
      </w:r>
    </w:p>
    <w:p>
      <w:pPr>
        <w:spacing w:after="0" w:line="205" w:lineRule="auto"/>
        <w:rPr>
          <w:sz w:val="20"/>
          <w:szCs w:val="20"/>
          <w:color w:val="auto"/>
        </w:rPr>
      </w:pPr>
      <w:r>
        <w:rPr>
          <w:rFonts w:ascii="Arial" w:cs="Arial" w:eastAsia="Arial" w:hAnsi="Arial"/>
          <w:sz w:val="18"/>
          <w:szCs w:val="18"/>
          <w:color w:val="auto"/>
        </w:rPr>
        <w:t>by the Compensation Committee but assuming that all qualitative and subjective performance metrics were achieved at their target level);</w:t>
      </w:r>
    </w:p>
    <w:p>
      <w:pPr>
        <w:spacing w:after="0" w:line="1" w:lineRule="exact"/>
        <w:rPr>
          <w:sz w:val="20"/>
          <w:szCs w:val="20"/>
          <w:color w:val="auto"/>
        </w:rPr>
      </w:pPr>
    </w:p>
    <w:p>
      <w:pPr>
        <w:ind w:right="180" w:firstLine="8"/>
        <w:spacing w:after="0" w:line="237" w:lineRule="auto"/>
        <w:tabs>
          <w:tab w:leader="none" w:pos="245" w:val="left"/>
        </w:tabs>
        <w:numPr>
          <w:ilvl w:val="0"/>
          <w:numId w:val="48"/>
        </w:numPr>
        <w:rPr>
          <w:rFonts w:ascii="Arial" w:cs="Arial" w:eastAsia="Arial" w:hAnsi="Arial"/>
          <w:sz w:val="16"/>
          <w:szCs w:val="16"/>
          <w:color w:val="auto"/>
        </w:rPr>
      </w:pPr>
      <w:r>
        <w:rPr>
          <w:rFonts w:ascii="Arial" w:cs="Arial" w:eastAsia="Arial" w:hAnsi="Arial"/>
          <w:sz w:val="16"/>
          <w:szCs w:val="16"/>
          <w:color w:val="auto"/>
        </w:rPr>
        <w:t>reimbursements under COBRA, or substitute payments, for the executive and his or her eligible dependents for up to 18 months in the case of Messrs. Federico, Kain and Kuehl and 12 months in the case of Ms. Bell and Mr. Pollack; and (d) acceleration of any outstanding unvested equity awards.</w:t>
      </w:r>
    </w:p>
    <w:p>
      <w:pPr>
        <w:spacing w:after="0" w:line="1" w:lineRule="exact"/>
        <w:rPr>
          <w:rFonts w:ascii="Arial" w:cs="Arial" w:eastAsia="Arial" w:hAnsi="Arial"/>
          <w:sz w:val="16"/>
          <w:szCs w:val="16"/>
          <w:color w:val="auto"/>
        </w:rPr>
      </w:pPr>
    </w:p>
    <w:p>
      <w:pPr>
        <w:ind w:right="240"/>
        <w:spacing w:after="0" w:line="268" w:lineRule="auto"/>
        <w:rPr>
          <w:rFonts w:ascii="Arial" w:cs="Arial" w:eastAsia="Arial" w:hAnsi="Arial"/>
          <w:sz w:val="16"/>
          <w:szCs w:val="16"/>
          <w:color w:val="auto"/>
        </w:rPr>
      </w:pPr>
      <w:r>
        <w:rPr>
          <w:rFonts w:ascii="Arial" w:cs="Arial" w:eastAsia="Arial" w:hAnsi="Arial"/>
          <w:sz w:val="16"/>
          <w:szCs w:val="16"/>
          <w:color w:val="auto"/>
        </w:rPr>
        <w:t>Mr. Kain’s Severance Amount (and his eligibility for reimbursements under COBRA or substitute payments) was proportionally reduced for each month that he remained employed between July 1, 2021 and December 31, 2022, and, as of December 31, 2022, the Severance Amount for Mr. Kain is $0.</w:t>
      </w:r>
    </w:p>
    <w:p>
      <w:pPr>
        <w:spacing w:after="0" w:line="140"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 Following a Change of Control</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If the employment of Ms. Bell or Messrs. Kain, Federico, Kuehl, or Pollack terminates by reason of a Termination Without Cause or Termination</w:t>
      </w:r>
    </w:p>
    <w:p>
      <w:pPr>
        <w:spacing w:after="0" w:line="21" w:lineRule="exact"/>
        <w:rPr>
          <w:sz w:val="20"/>
          <w:szCs w:val="20"/>
          <w:color w:val="auto"/>
        </w:rPr>
      </w:pPr>
    </w:p>
    <w:p>
      <w:pPr>
        <w:ind w:right="420"/>
        <w:spacing w:after="0" w:line="234" w:lineRule="auto"/>
        <w:rPr>
          <w:sz w:val="20"/>
          <w:szCs w:val="20"/>
          <w:color w:val="auto"/>
        </w:rPr>
      </w:pPr>
      <w:r>
        <w:rPr>
          <w:rFonts w:ascii="Arial" w:cs="Arial" w:eastAsia="Arial" w:hAnsi="Arial"/>
          <w:sz w:val="16"/>
          <w:szCs w:val="16"/>
          <w:color w:val="auto"/>
        </w:rPr>
        <w:t>For Good Reason, and such termination occurs during the 21-month period following a Change of Control (24 months in the case of Ms. Bell and Mr. Pollack), as defined in their employment agreements, each such executive would be entitled to the following (as applicable), in addition to the payments listed below under “All Terminations”: (a) an amount equal to the product of (i) 2.0 (for Messrs. Federico or Kuehl) or 1.5 (for Ms. Bell and</w:t>
      </w:r>
    </w:p>
    <w:p>
      <w:pPr>
        <w:spacing w:after="0" w:line="2" w:lineRule="exact"/>
        <w:rPr>
          <w:sz w:val="20"/>
          <w:szCs w:val="20"/>
          <w:color w:val="auto"/>
        </w:rPr>
      </w:pPr>
    </w:p>
    <w:p>
      <w:pPr>
        <w:jc w:val="both"/>
        <w:ind w:right="160"/>
        <w:spacing w:after="0" w:line="234" w:lineRule="auto"/>
        <w:rPr>
          <w:sz w:val="20"/>
          <w:szCs w:val="20"/>
          <w:color w:val="auto"/>
        </w:rPr>
      </w:pPr>
      <w:r>
        <w:rPr>
          <w:rFonts w:ascii="Arial" w:cs="Arial" w:eastAsia="Arial" w:hAnsi="Arial"/>
          <w:sz w:val="16"/>
          <w:szCs w:val="16"/>
          <w:color w:val="auto"/>
        </w:rPr>
        <w:t>Messrs. Kain, or Pollack), multiplied by (ii) the sum of (A) the executive’s annual base salary at the time of such termination, plus (B) the target value of the executive’s annual cash bonus for the year in which such termination occurs, paid in a lump sum; (b) a pro rata portion of the target value of his or her annual cash bonus for the year in which such termination occurs; (c) COBRA reimbursements (or substitute payments) for the executive and his or her</w:t>
      </w:r>
    </w:p>
    <w:p>
      <w:pPr>
        <w:spacing w:after="0" w:line="2" w:lineRule="exact"/>
        <w:rPr>
          <w:sz w:val="20"/>
          <w:szCs w:val="20"/>
          <w:color w:val="auto"/>
        </w:rPr>
      </w:pPr>
    </w:p>
    <w:p>
      <w:pPr>
        <w:jc w:val="both"/>
        <w:ind w:right="160"/>
        <w:spacing w:after="0" w:line="231" w:lineRule="auto"/>
        <w:rPr>
          <w:sz w:val="20"/>
          <w:szCs w:val="20"/>
          <w:color w:val="auto"/>
        </w:rPr>
      </w:pPr>
      <w:r>
        <w:rPr>
          <w:rFonts w:ascii="Arial" w:cs="Arial" w:eastAsia="Arial" w:hAnsi="Arial"/>
          <w:sz w:val="17"/>
          <w:szCs w:val="17"/>
          <w:color w:val="auto"/>
        </w:rPr>
        <w:t>eligible dependents for up to 18 months; and (d) acceleration of any outstanding unvested equity awards. The amount payable to Mr. Kain as described in clause (a) of this paragraph (and his eligibility for reimbursements under COBRA or substitute payments) was proportionally reduced for each month that he remained employed between July 1, 2021 and December 31, 2022, and, as of December 31, 2022, this amount is $0.</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Death or Disability</w:t>
      </w:r>
    </w:p>
    <w:p>
      <w:pPr>
        <w:spacing w:after="0" w:line="77" w:lineRule="exact"/>
        <w:rPr>
          <w:sz w:val="20"/>
          <w:szCs w:val="20"/>
          <w:color w:val="auto"/>
        </w:rPr>
      </w:pPr>
    </w:p>
    <w:p>
      <w:pPr>
        <w:ind w:firstLine="648"/>
        <w:spacing w:after="0" w:line="248" w:lineRule="auto"/>
        <w:rPr>
          <w:sz w:val="20"/>
          <w:szCs w:val="20"/>
          <w:color w:val="auto"/>
        </w:rPr>
      </w:pPr>
      <w:r>
        <w:rPr>
          <w:rFonts w:ascii="Arial" w:cs="Arial" w:eastAsia="Arial" w:hAnsi="Arial"/>
          <w:sz w:val="16"/>
          <w:szCs w:val="16"/>
          <w:color w:val="auto"/>
        </w:rPr>
        <w:t>If the employment period of Ms. Bell or Messrs. Kain, Federico, Kuehl, or Pollack terminates early by reason of death or disability, each executive (or his or her estate or eligible dependents, if applicable) is entitled to receive, in addition to the payments listed below under “All Terminations”: (i) a pro</w:t>
      </w:r>
    </w:p>
    <w:p>
      <w:pPr>
        <w:ind w:right="20"/>
        <w:spacing w:after="0" w:line="234" w:lineRule="auto"/>
        <w:rPr>
          <w:sz w:val="20"/>
          <w:szCs w:val="20"/>
          <w:color w:val="auto"/>
        </w:rPr>
      </w:pPr>
      <w:r>
        <w:rPr>
          <w:rFonts w:ascii="Arial" w:cs="Arial" w:eastAsia="Arial" w:hAnsi="Arial"/>
          <w:sz w:val="16"/>
          <w:szCs w:val="16"/>
          <w:color w:val="auto"/>
        </w:rPr>
        <w:t>rata portion of the annual cash bonus the executive would have been entitled to receive if he or she had remained employed through December 31 of the year in which such termination occurs (as determined by the Compensation Committee but assuming that the executive achieved all qualitative and subjective performance metrics at their target level), payable in a lump sum; (ii) COBRA reimbursements (or substitute payments) for the executive and his</w:t>
      </w:r>
    </w:p>
    <w:p>
      <w:pPr>
        <w:spacing w:after="0" w:line="2" w:lineRule="exact"/>
        <w:rPr>
          <w:sz w:val="20"/>
          <w:szCs w:val="20"/>
          <w:color w:val="auto"/>
        </w:rPr>
      </w:pPr>
    </w:p>
    <w:p>
      <w:pPr>
        <w:ind w:right="100"/>
        <w:spacing w:after="0" w:line="234" w:lineRule="auto"/>
        <w:rPr>
          <w:sz w:val="20"/>
          <w:szCs w:val="20"/>
          <w:color w:val="auto"/>
        </w:rPr>
      </w:pPr>
      <w:r>
        <w:rPr>
          <w:rFonts w:ascii="Arial" w:cs="Arial" w:eastAsia="Arial" w:hAnsi="Arial"/>
          <w:sz w:val="16"/>
          <w:szCs w:val="16"/>
          <w:color w:val="auto"/>
        </w:rPr>
        <w:t>or her eligible dependents for up to 18 months (12 months in the case of Ms. Bell and Mr. Pollack); and (iii) acceleration of any outstanding unvested equity awards. After July 1, 2021, the eligibility of Mr. Kain and his eligible dependents to COBRA reimbursements or substitute payments was proportionately reduced for each month that he remained employed between July 1, 2021 and December 31, 2022, and as of December 31, 2022, Mr. Kain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is no longer eligible for COBRA reimbursements or substitute payments.</w:t>
      </w:r>
    </w:p>
    <w:p>
      <w:pPr>
        <w:spacing w:after="0" w:line="200" w:lineRule="exact"/>
        <w:rPr>
          <w:sz w:val="20"/>
          <w:szCs w:val="20"/>
          <w:color w:val="auto"/>
        </w:rPr>
      </w:pPr>
    </w:p>
    <w:p>
      <w:pPr>
        <w:spacing w:after="0" w:line="315"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48</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58" w:name="page59"/>
    <w:bookmarkEnd w:id="5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93"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Voluntary Termination</w:t>
      </w:r>
    </w:p>
    <w:p>
      <w:pPr>
        <w:spacing w:after="0" w:line="77" w:lineRule="exact"/>
        <w:rPr>
          <w:sz w:val="20"/>
          <w:szCs w:val="20"/>
          <w:color w:val="auto"/>
        </w:rPr>
      </w:pPr>
    </w:p>
    <w:p>
      <w:pPr>
        <w:ind w:right="160" w:firstLine="648"/>
        <w:spacing w:after="0" w:line="248" w:lineRule="auto"/>
        <w:rPr>
          <w:sz w:val="20"/>
          <w:szCs w:val="20"/>
          <w:color w:val="auto"/>
        </w:rPr>
      </w:pPr>
      <w:r>
        <w:rPr>
          <w:rFonts w:ascii="Arial" w:cs="Arial" w:eastAsia="Arial" w:hAnsi="Arial"/>
          <w:sz w:val="16"/>
          <w:szCs w:val="16"/>
          <w:color w:val="auto"/>
        </w:rPr>
        <w:t>Pursuant to the terms of his amended and restated employment agreement, effective as of July 1, 2021, if Mr. Kain’s employment had terminated by reason of a voluntary termination before December 31, 2022 (with at least 90 days prior notice to the Board), (i) Mr. Kain’s unvested time-based LTI</w:t>
      </w:r>
    </w:p>
    <w:p>
      <w:pPr>
        <w:spacing w:after="0" w:line="234" w:lineRule="auto"/>
        <w:rPr>
          <w:sz w:val="20"/>
          <w:szCs w:val="20"/>
          <w:color w:val="auto"/>
        </w:rPr>
      </w:pPr>
      <w:r>
        <w:rPr>
          <w:rFonts w:ascii="Arial" w:cs="Arial" w:eastAsia="Arial" w:hAnsi="Arial"/>
          <w:sz w:val="16"/>
          <w:szCs w:val="16"/>
          <w:color w:val="auto"/>
        </w:rPr>
        <w:t>awards granted to him in 2021 or earlier would have vested in full upon such termination and (ii) his performance-based LTI awards granted in 2021 or earlier would have vested on the same terms as though Mr. Kain had remained employed for the remainder of the applicable vesting period. For a voluntary termination on or after December 31, 2022, Mr. Kain would also receive a pro rata portion of his annual cash bonus for the year in which his employment is</w:t>
      </w:r>
    </w:p>
    <w:p>
      <w:pPr>
        <w:spacing w:after="0" w:line="2" w:lineRule="exact"/>
        <w:rPr>
          <w:sz w:val="20"/>
          <w:szCs w:val="20"/>
          <w:color w:val="auto"/>
        </w:rPr>
      </w:pPr>
    </w:p>
    <w:p>
      <w:pPr>
        <w:ind w:right="60"/>
        <w:spacing w:after="0" w:line="234" w:lineRule="auto"/>
        <w:rPr>
          <w:sz w:val="20"/>
          <w:szCs w:val="20"/>
          <w:color w:val="auto"/>
        </w:rPr>
      </w:pPr>
      <w:r>
        <w:rPr>
          <w:rFonts w:ascii="Arial" w:cs="Arial" w:eastAsia="Arial" w:hAnsi="Arial"/>
          <w:sz w:val="16"/>
          <w:szCs w:val="16"/>
          <w:color w:val="auto"/>
        </w:rPr>
        <w:t>terminated, and any unvested LTI awards granted in 2022 or later will be subject to the same accelerated vesting described above, except that, for such LTI awards granted in the year of the voluntary termination, such terms would only apply to a pro rata portion of the awards based on the number of full calendar months Mr. Kain was employed in such year. The continued vesting of any performance-based vesting described in this section shall only occur if</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Mr. Kain continues to comply with certain restrictive covenants contained in the agreement during such time.</w:t>
      </w:r>
    </w:p>
    <w:p>
      <w:pPr>
        <w:spacing w:after="0" w:line="169"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All Terminations</w:t>
      </w:r>
    </w:p>
    <w:p>
      <w:pPr>
        <w:spacing w:after="0" w:line="7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If the employment period of Ms. Bell and Messrs. Kain, Federico, Kuehl, or Pollack terminates early for any reason, each executive is entitled to</w:t>
      </w:r>
    </w:p>
    <w:p>
      <w:pPr>
        <w:spacing w:after="0" w:line="21"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receive (i) any earned but unpaid base salary; (ii) any annual cash bonus that has been earned for a calendar year prior to termination but is unpaid (but only if not a Termination For Cause or (other than Mr. Kain) a voluntary termination by the executive for any reason other than Good Reason); (iii) any unpaid reimbursable expenses that have been incurred by the executive; (iv) any plan benefits which by their terms extend beyond termination of employment; and</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(v) any COBRA benefits generally available to employees.</w:t>
      </w:r>
    </w:p>
    <w:p>
      <w:pPr>
        <w:spacing w:after="0" w:line="169" w:lineRule="exact"/>
        <w:rPr>
          <w:sz w:val="20"/>
          <w:szCs w:val="20"/>
          <w:color w:val="auto"/>
        </w:rPr>
      </w:pPr>
    </w:p>
    <w:p>
      <w:pPr>
        <w:ind w:right="320" w:firstLine="648"/>
        <w:spacing w:after="0" w:line="248" w:lineRule="auto"/>
        <w:rPr>
          <w:sz w:val="20"/>
          <w:szCs w:val="20"/>
          <w:color w:val="auto"/>
        </w:rPr>
      </w:pPr>
      <w:r>
        <w:rPr>
          <w:rFonts w:ascii="Arial" w:cs="Arial" w:eastAsia="Arial" w:hAnsi="Arial"/>
          <w:sz w:val="16"/>
          <w:szCs w:val="16"/>
          <w:color w:val="auto"/>
        </w:rPr>
        <w:t>In addition, each of the employment agreements contains a non-competition provision that prevents the officer from participating as an officer, employee, director, partner, stockholder, consultant or otherwise, in any type of business that engages in the Company’s business for a certain restricted</w:t>
      </w:r>
    </w:p>
    <w:p>
      <w:pPr>
        <w:ind w:right="400"/>
        <w:spacing w:after="0" w:line="226" w:lineRule="auto"/>
        <w:rPr>
          <w:sz w:val="20"/>
          <w:szCs w:val="20"/>
          <w:color w:val="auto"/>
        </w:rPr>
      </w:pPr>
      <w:r>
        <w:rPr>
          <w:rFonts w:ascii="Arial" w:cs="Arial" w:eastAsia="Arial" w:hAnsi="Arial"/>
          <w:sz w:val="18"/>
          <w:szCs w:val="18"/>
          <w:color w:val="auto"/>
        </w:rPr>
        <w:t>period. Each of the employment agreements also contains a provision preventing the executive from soliciting any of our employees or interfering in a similar manner with our business during such restricted period.</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8"/>
          <w:szCs w:val="18"/>
          <w:i w:val="1"/>
          <w:iCs w:val="1"/>
          <w:color w:val="407CCA"/>
        </w:rPr>
        <w:t>Equity Plans</w:t>
      </w:r>
    </w:p>
    <w:p>
      <w:pPr>
        <w:spacing w:after="0" w:line="90" w:lineRule="exact"/>
        <w:rPr>
          <w:sz w:val="20"/>
          <w:szCs w:val="20"/>
          <w:color w:val="auto"/>
        </w:rPr>
      </w:pPr>
    </w:p>
    <w:p>
      <w:pPr>
        <w:ind w:right="160" w:firstLine="648"/>
        <w:spacing w:after="0" w:line="238" w:lineRule="auto"/>
        <w:rPr>
          <w:sz w:val="20"/>
          <w:szCs w:val="20"/>
          <w:color w:val="auto"/>
        </w:rPr>
      </w:pPr>
      <w:r>
        <w:rPr>
          <w:rFonts w:ascii="Arial" w:cs="Arial" w:eastAsia="Arial" w:hAnsi="Arial"/>
          <w:sz w:val="16"/>
          <w:szCs w:val="16"/>
          <w:color w:val="auto"/>
        </w:rPr>
        <w:t>The 2016 Equity Plan includes “double-trigger” acceleration provisions with respect to the vesting of awards in connection with a Change of Control of the Company (as defined in the 2016 Equity Plan). Under the 2016 Equity Plan, the vesting of awards may accelerate in connection with a Change of Control where either (1) within a specified period the participant experiences a qualifying termination of employment or service, as applicable, in a manner described in the award agreement or (2) the award is not continued, assumed, or converted into a replacement award in a manner described in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the applicable award agreement.</w:t>
      </w:r>
    </w:p>
    <w:p>
      <w:pPr>
        <w:spacing w:after="0" w:line="61" w:lineRule="exact"/>
        <w:rPr>
          <w:sz w:val="20"/>
          <w:szCs w:val="20"/>
          <w:color w:val="auto"/>
        </w:rPr>
      </w:pPr>
    </w:p>
    <w:p>
      <w:pPr>
        <w:ind w:right="20" w:firstLine="648"/>
        <w:spacing w:after="0" w:line="248" w:lineRule="auto"/>
        <w:rPr>
          <w:sz w:val="20"/>
          <w:szCs w:val="20"/>
          <w:color w:val="auto"/>
        </w:rPr>
      </w:pPr>
      <w:r>
        <w:rPr>
          <w:rFonts w:ascii="Arial" w:cs="Arial" w:eastAsia="Arial" w:hAnsi="Arial"/>
          <w:sz w:val="16"/>
          <w:szCs w:val="16"/>
          <w:color w:val="auto"/>
        </w:rPr>
        <w:t>The following table summarizes the estimated payments to be made under the employment agreement for each NEO at, following, or in connection with any termination of employment, including by the Company without cause or by the executive for good reason, death or disability and upon</w:t>
      </w:r>
    </w:p>
    <w:p>
      <w:pPr>
        <w:spacing w:after="0" w:line="234" w:lineRule="auto"/>
        <w:rPr>
          <w:sz w:val="20"/>
          <w:szCs w:val="20"/>
          <w:color w:val="auto"/>
        </w:rPr>
      </w:pPr>
      <w:r>
        <w:rPr>
          <w:rFonts w:ascii="Arial" w:cs="Arial" w:eastAsia="Arial" w:hAnsi="Arial"/>
          <w:sz w:val="16"/>
          <w:szCs w:val="16"/>
          <w:color w:val="auto"/>
        </w:rPr>
        <w:t>a change of control. In accordance with SEC regulations, the following table does not include any amount to be provided to an NEO 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w:t>
      </w:r>
    </w:p>
    <w:p>
      <w:pPr>
        <w:spacing w:after="0" w:line="2" w:lineRule="exact"/>
        <w:rPr>
          <w:sz w:val="20"/>
          <w:szCs w:val="20"/>
          <w:color w:val="auto"/>
        </w:rPr>
      </w:pPr>
    </w:p>
    <w:p>
      <w:pPr>
        <w:ind w:right="600"/>
        <w:spacing w:after="0" w:line="226" w:lineRule="auto"/>
        <w:rPr>
          <w:sz w:val="20"/>
          <w:szCs w:val="20"/>
          <w:color w:val="auto"/>
        </w:rPr>
      </w:pPr>
      <w:r>
        <w:rPr>
          <w:rFonts w:ascii="Arial" w:cs="Arial" w:eastAsia="Arial" w:hAnsi="Arial"/>
          <w:sz w:val="18"/>
          <w:szCs w:val="18"/>
          <w:color w:val="auto"/>
        </w:rPr>
        <w:t>to the NEO would be enhanced by the termination event. The amounts in the following table are hypothetical and based on SEC regulations. Actual payments will depend on the circumstances and timing of any termination.</w:t>
      </w:r>
    </w:p>
    <w:p>
      <w:pPr>
        <w:spacing w:after="0" w:line="53" w:lineRule="exact"/>
        <w:rPr>
          <w:sz w:val="20"/>
          <w:szCs w:val="20"/>
          <w:color w:val="auto"/>
        </w:rPr>
      </w:pPr>
    </w:p>
    <w:p>
      <w:pPr>
        <w:ind w:right="120" w:firstLine="648"/>
        <w:spacing w:after="0" w:line="307" w:lineRule="auto"/>
        <w:rPr>
          <w:sz w:val="20"/>
          <w:szCs w:val="20"/>
          <w:color w:val="auto"/>
        </w:rPr>
      </w:pPr>
      <w:r>
        <w:rPr>
          <w:rFonts w:ascii="Arial" w:cs="Arial" w:eastAsia="Arial" w:hAnsi="Arial"/>
          <w:sz w:val="16"/>
          <w:szCs w:val="16"/>
          <w:color w:val="auto"/>
        </w:rPr>
        <w:t>In accordance with SEC regulations, for purposes of the quantitative disclosure in the following table, we have assumed that the termination took place on December 31, 2022, and that the price per share of our common stock is the closing market price as of December 30, 2022, which was $10.35.</w:t>
      </w:r>
    </w:p>
    <w:p>
      <w:pPr>
        <w:spacing w:after="0" w:line="375"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59" w:name="page60"/>
    <w:bookmarkEnd w:id="5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information below constitutes forward-looking statements for purposes of the Private Litigation Securities Reform Act of 1995.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15175"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15175" cy="8255"/>
                    </a:xfrm>
                    <a:prstGeom prst="rect">
                      <a:avLst/>
                    </a:prstGeom>
                    <a:noFill/>
                  </pic:spPr>
                </pic:pic>
              </a:graphicData>
            </a:graphic>
          </wp:anchor>
        </w:drawing>
      </w:r>
    </w:p>
    <w:p>
      <w:pPr>
        <w:spacing w:after="0" w:line="2" w:lineRule="exact"/>
        <w:rPr>
          <w:sz w:val="20"/>
          <w:szCs w:val="20"/>
          <w:color w:val="auto"/>
        </w:rPr>
      </w:pPr>
    </w:p>
    <w:p>
      <w:pPr>
        <w:jc w:val="center"/>
        <w:ind w:left="2400"/>
        <w:spacing w:after="0"/>
        <w:rPr>
          <w:sz w:val="20"/>
          <w:szCs w:val="20"/>
          <w:color w:val="auto"/>
        </w:rPr>
      </w:pPr>
      <w:r>
        <w:rPr>
          <w:rFonts w:ascii="Arial" w:cs="Arial" w:eastAsia="Arial" w:hAnsi="Arial"/>
          <w:sz w:val="13"/>
          <w:szCs w:val="13"/>
          <w:b w:val="1"/>
          <w:bCs w:val="1"/>
          <w:color w:val="auto"/>
        </w:rPr>
        <w:t>Termination by</w:t>
      </w:r>
    </w:p>
    <w:p>
      <w:pPr>
        <w:jc w:val="center"/>
        <w:ind w:left="2400"/>
        <w:spacing w:after="0" w:line="216" w:lineRule="auto"/>
        <w:rPr>
          <w:sz w:val="20"/>
          <w:szCs w:val="20"/>
          <w:color w:val="auto"/>
        </w:rPr>
      </w:pPr>
      <w:r>
        <w:rPr>
          <w:rFonts w:ascii="Arial" w:cs="Arial" w:eastAsia="Arial" w:hAnsi="Arial"/>
          <w:sz w:val="13"/>
          <w:szCs w:val="13"/>
          <w:b w:val="1"/>
          <w:bCs w:val="1"/>
          <w:color w:val="auto"/>
        </w:rPr>
        <w:t>Company Without</w:t>
      </w:r>
    </w:p>
    <w:tbl>
      <w:tblPr>
        <w:tblLayout w:type="fixed"/>
        <w:tblInd w:w="0" w:type="dxa"/>
        <w:tblCellMar>
          <w:top w:w="0" w:type="dxa"/>
          <w:left w:w="0" w:type="dxa"/>
          <w:bottom w:w="0" w:type="dxa"/>
          <w:right w:w="0" w:type="dxa"/>
        </w:tblCellMar>
      </w:tblPr>
      <w:tr>
        <w:trPr>
          <w:trHeight w:val="113"/>
        </w:trPr>
        <w:tc>
          <w:tcPr>
            <w:tcW w:w="3340" w:type="dxa"/>
            <w:vAlign w:val="bottom"/>
          </w:tcPr>
          <w:p>
            <w:pPr>
              <w:spacing w:after="0"/>
              <w:rPr>
                <w:sz w:val="9"/>
                <w:szCs w:val="9"/>
                <w:color w:val="auto"/>
              </w:rPr>
            </w:pPr>
          </w:p>
        </w:tc>
        <w:tc>
          <w:tcPr>
            <w:tcW w:w="2620" w:type="dxa"/>
            <w:vAlign w:val="bottom"/>
            <w:vMerge w:val="restart"/>
          </w:tcPr>
          <w:p>
            <w:pPr>
              <w:jc w:val="center"/>
              <w:ind w:left="755"/>
              <w:spacing w:after="0"/>
              <w:rPr>
                <w:sz w:val="20"/>
                <w:szCs w:val="20"/>
                <w:color w:val="auto"/>
              </w:rPr>
            </w:pPr>
            <w:r>
              <w:rPr>
                <w:rFonts w:ascii="Arial" w:cs="Arial" w:eastAsia="Arial" w:hAnsi="Arial"/>
                <w:sz w:val="13"/>
                <w:szCs w:val="13"/>
                <w:b w:val="1"/>
                <w:bCs w:val="1"/>
                <w:color w:val="auto"/>
                <w:w w:val="87"/>
              </w:rPr>
              <w:t>Termination by</w:t>
            </w:r>
          </w:p>
        </w:tc>
        <w:tc>
          <w:tcPr>
            <w:tcW w:w="1780" w:type="dxa"/>
            <w:vAlign w:val="bottom"/>
          </w:tcPr>
          <w:p>
            <w:pPr>
              <w:jc w:val="center"/>
              <w:spacing w:after="0" w:line="113" w:lineRule="exact"/>
              <w:rPr>
                <w:sz w:val="20"/>
                <w:szCs w:val="20"/>
                <w:color w:val="auto"/>
              </w:rPr>
            </w:pPr>
            <w:r>
              <w:rPr>
                <w:rFonts w:ascii="Arial" w:cs="Arial" w:eastAsia="Arial" w:hAnsi="Arial"/>
                <w:sz w:val="13"/>
                <w:szCs w:val="13"/>
                <w:b w:val="1"/>
                <w:bCs w:val="1"/>
                <w:color w:val="auto"/>
                <w:w w:val="86"/>
              </w:rPr>
              <w:t>Cause or</w:t>
            </w:r>
          </w:p>
        </w:tc>
        <w:tc>
          <w:tcPr>
            <w:tcW w:w="1740" w:type="dxa"/>
            <w:vAlign w:val="bottom"/>
          </w:tcPr>
          <w:p>
            <w:pPr>
              <w:spacing w:after="0"/>
              <w:rPr>
                <w:sz w:val="9"/>
                <w:szCs w:val="9"/>
                <w:color w:val="auto"/>
              </w:rPr>
            </w:pPr>
          </w:p>
        </w:tc>
        <w:tc>
          <w:tcPr>
            <w:tcW w:w="17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2"/>
        </w:trPr>
        <w:tc>
          <w:tcPr>
            <w:tcW w:w="3340" w:type="dxa"/>
            <w:vAlign w:val="bottom"/>
          </w:tcPr>
          <w:p>
            <w:pPr>
              <w:spacing w:after="0"/>
              <w:rPr>
                <w:sz w:val="10"/>
                <w:szCs w:val="10"/>
                <w:color w:val="auto"/>
              </w:rPr>
            </w:pPr>
          </w:p>
        </w:tc>
        <w:tc>
          <w:tcPr>
            <w:tcW w:w="2620" w:type="dxa"/>
            <w:vAlign w:val="bottom"/>
            <w:vMerge w:val="continue"/>
          </w:tcPr>
          <w:p>
            <w:pPr>
              <w:spacing w:after="0"/>
              <w:rPr>
                <w:sz w:val="10"/>
                <w:szCs w:val="10"/>
                <w:color w:val="auto"/>
              </w:rPr>
            </w:pPr>
          </w:p>
        </w:tc>
        <w:tc>
          <w:tcPr>
            <w:tcW w:w="178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90"/>
              </w:rPr>
              <w:t>Termination by</w:t>
            </w:r>
          </w:p>
        </w:tc>
        <w:tc>
          <w:tcPr>
            <w:tcW w:w="1740" w:type="dxa"/>
            <w:vAlign w:val="bottom"/>
          </w:tcPr>
          <w:p>
            <w:pPr>
              <w:spacing w:after="0"/>
              <w:rPr>
                <w:sz w:val="10"/>
                <w:szCs w:val="10"/>
                <w:color w:val="auto"/>
              </w:rPr>
            </w:pPr>
          </w:p>
        </w:tc>
        <w:tc>
          <w:tcPr>
            <w:tcW w:w="174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89"/>
              </w:rPr>
              <w:t>Voluntary</w:t>
            </w:r>
          </w:p>
        </w:tc>
        <w:tc>
          <w:tcPr>
            <w:tcW w:w="0" w:type="dxa"/>
            <w:vAlign w:val="bottom"/>
          </w:tcPr>
          <w:p>
            <w:pPr>
              <w:spacing w:after="0"/>
              <w:rPr>
                <w:sz w:val="1"/>
                <w:szCs w:val="1"/>
                <w:color w:val="auto"/>
              </w:rPr>
            </w:pPr>
          </w:p>
        </w:tc>
      </w:tr>
      <w:tr>
        <w:trPr>
          <w:trHeight w:val="121"/>
        </w:trPr>
        <w:tc>
          <w:tcPr>
            <w:tcW w:w="3340" w:type="dxa"/>
            <w:vAlign w:val="bottom"/>
          </w:tcPr>
          <w:p>
            <w:pPr>
              <w:spacing w:after="0"/>
              <w:rPr>
                <w:sz w:val="10"/>
                <w:szCs w:val="10"/>
                <w:color w:val="auto"/>
              </w:rPr>
            </w:pPr>
          </w:p>
        </w:tc>
        <w:tc>
          <w:tcPr>
            <w:tcW w:w="2620" w:type="dxa"/>
            <w:vAlign w:val="bottom"/>
          </w:tcPr>
          <w:p>
            <w:pPr>
              <w:jc w:val="center"/>
              <w:ind w:left="775"/>
              <w:spacing w:after="0" w:line="122" w:lineRule="exact"/>
              <w:rPr>
                <w:sz w:val="20"/>
                <w:szCs w:val="20"/>
                <w:color w:val="auto"/>
              </w:rPr>
            </w:pPr>
            <w:r>
              <w:rPr>
                <w:rFonts w:ascii="Arial" w:cs="Arial" w:eastAsia="Arial" w:hAnsi="Arial"/>
                <w:sz w:val="13"/>
                <w:szCs w:val="13"/>
                <w:b w:val="1"/>
                <w:bCs w:val="1"/>
                <w:color w:val="auto"/>
                <w:w w:val="89"/>
              </w:rPr>
              <w:t>Company Without</w:t>
            </w:r>
          </w:p>
        </w:tc>
        <w:tc>
          <w:tcPr>
            <w:tcW w:w="178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8"/>
              </w:rPr>
              <w:t>Executive for</w:t>
            </w:r>
          </w:p>
        </w:tc>
        <w:tc>
          <w:tcPr>
            <w:tcW w:w="1740" w:type="dxa"/>
            <w:vAlign w:val="bottom"/>
          </w:tcPr>
          <w:p>
            <w:pPr>
              <w:spacing w:after="0"/>
              <w:rPr>
                <w:sz w:val="10"/>
                <w:szCs w:val="10"/>
                <w:color w:val="auto"/>
              </w:rPr>
            </w:pPr>
          </w:p>
        </w:tc>
        <w:tc>
          <w:tcPr>
            <w:tcW w:w="17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340" w:type="dxa"/>
            <w:vAlign w:val="bottom"/>
          </w:tcPr>
          <w:p>
            <w:pPr>
              <w:spacing w:after="0"/>
              <w:rPr>
                <w:sz w:val="11"/>
                <w:szCs w:val="11"/>
                <w:color w:val="auto"/>
              </w:rPr>
            </w:pPr>
          </w:p>
        </w:tc>
        <w:tc>
          <w:tcPr>
            <w:tcW w:w="2620" w:type="dxa"/>
            <w:vAlign w:val="bottom"/>
          </w:tcPr>
          <w:p>
            <w:pPr>
              <w:jc w:val="center"/>
              <w:ind w:left="755"/>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178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40" w:type="dxa"/>
            <w:vAlign w:val="bottom"/>
          </w:tcPr>
          <w:p>
            <w:pPr>
              <w:spacing w:after="0"/>
              <w:rPr>
                <w:sz w:val="11"/>
                <w:szCs w:val="11"/>
                <w:color w:val="auto"/>
              </w:rPr>
            </w:pPr>
          </w:p>
        </w:tc>
        <w:tc>
          <w:tcPr>
            <w:tcW w:w="17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22"/>
        </w:trPr>
        <w:tc>
          <w:tcPr>
            <w:tcW w:w="3340" w:type="dxa"/>
            <w:vAlign w:val="bottom"/>
            <w:vMerge w:val="restart"/>
          </w:tcPr>
          <w:p>
            <w:pPr>
              <w:ind w:left="20"/>
              <w:spacing w:after="0"/>
              <w:rPr>
                <w:sz w:val="20"/>
                <w:szCs w:val="20"/>
                <w:color w:val="auto"/>
              </w:rPr>
            </w:pPr>
            <w:r>
              <w:rPr>
                <w:rFonts w:ascii="Arial" w:cs="Arial" w:eastAsia="Arial" w:hAnsi="Arial"/>
                <w:sz w:val="18"/>
                <w:szCs w:val="18"/>
                <w:b w:val="1"/>
                <w:bCs w:val="1"/>
                <w:color w:val="auto"/>
              </w:rPr>
              <w:t>NEO Benefits and Payments</w:t>
            </w:r>
          </w:p>
        </w:tc>
        <w:tc>
          <w:tcPr>
            <w:tcW w:w="2620" w:type="dxa"/>
            <w:vAlign w:val="bottom"/>
          </w:tcPr>
          <w:p>
            <w:pPr>
              <w:jc w:val="center"/>
              <w:ind w:left="755"/>
              <w:spacing w:after="0" w:line="122" w:lineRule="exact"/>
              <w:rPr>
                <w:sz w:val="20"/>
                <w:szCs w:val="20"/>
                <w:color w:val="auto"/>
              </w:rPr>
            </w:pPr>
            <w:r>
              <w:rPr>
                <w:rFonts w:ascii="Arial" w:cs="Arial" w:eastAsia="Arial" w:hAnsi="Arial"/>
                <w:sz w:val="13"/>
                <w:szCs w:val="13"/>
                <w:b w:val="1"/>
                <w:bCs w:val="1"/>
                <w:color w:val="auto"/>
                <w:w w:val="89"/>
              </w:rPr>
              <w:t>by Executive for</w:t>
            </w:r>
          </w:p>
        </w:tc>
        <w:tc>
          <w:tcPr>
            <w:tcW w:w="178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5"/>
              </w:rPr>
              <w:t>connection with a</w:t>
            </w:r>
          </w:p>
        </w:tc>
        <w:tc>
          <w:tcPr>
            <w:tcW w:w="1740" w:type="dxa"/>
            <w:vAlign w:val="bottom"/>
            <w:vMerge w:val="restart"/>
          </w:tcPr>
          <w:p>
            <w:pPr>
              <w:ind w:left="340"/>
              <w:spacing w:after="0"/>
              <w:rPr>
                <w:sz w:val="20"/>
                <w:szCs w:val="20"/>
                <w:color w:val="auto"/>
              </w:rPr>
            </w:pPr>
            <w:r>
              <w:rPr>
                <w:rFonts w:ascii="Arial" w:cs="Arial" w:eastAsia="Arial" w:hAnsi="Arial"/>
                <w:sz w:val="13"/>
                <w:szCs w:val="13"/>
                <w:b w:val="1"/>
                <w:bCs w:val="1"/>
                <w:color w:val="auto"/>
              </w:rPr>
              <w:t>Death or Disability</w:t>
            </w:r>
          </w:p>
        </w:tc>
        <w:tc>
          <w:tcPr>
            <w:tcW w:w="174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6"/>
              </w:rPr>
              <w:t>Executive without</w:t>
            </w:r>
          </w:p>
        </w:tc>
        <w:tc>
          <w:tcPr>
            <w:tcW w:w="0" w:type="dxa"/>
            <w:vAlign w:val="bottom"/>
          </w:tcPr>
          <w:p>
            <w:pPr>
              <w:spacing w:after="0"/>
              <w:rPr>
                <w:sz w:val="1"/>
                <w:szCs w:val="1"/>
                <w:color w:val="auto"/>
              </w:rPr>
            </w:pPr>
          </w:p>
        </w:tc>
      </w:tr>
      <w:tr>
        <w:trPr>
          <w:trHeight w:val="122"/>
        </w:trPr>
        <w:tc>
          <w:tcPr>
            <w:tcW w:w="3340" w:type="dxa"/>
            <w:vAlign w:val="bottom"/>
            <w:vMerge w:val="continue"/>
          </w:tcPr>
          <w:p>
            <w:pPr>
              <w:spacing w:after="0"/>
              <w:rPr>
                <w:sz w:val="10"/>
                <w:szCs w:val="10"/>
                <w:color w:val="auto"/>
              </w:rPr>
            </w:pPr>
          </w:p>
        </w:tc>
        <w:tc>
          <w:tcPr>
            <w:tcW w:w="2620" w:type="dxa"/>
            <w:vAlign w:val="bottom"/>
          </w:tcPr>
          <w:p>
            <w:pPr>
              <w:jc w:val="center"/>
              <w:ind w:left="755"/>
              <w:spacing w:after="0" w:line="122" w:lineRule="exact"/>
              <w:rPr>
                <w:sz w:val="20"/>
                <w:szCs w:val="20"/>
                <w:color w:val="auto"/>
              </w:rPr>
            </w:pPr>
            <w:r>
              <w:rPr>
                <w:rFonts w:ascii="Arial" w:cs="Arial" w:eastAsia="Arial" w:hAnsi="Arial"/>
                <w:sz w:val="11"/>
                <w:szCs w:val="11"/>
                <w:b w:val="1"/>
                <w:bCs w:val="1"/>
                <w:color w:val="auto"/>
                <w:w w:val="97"/>
              </w:rPr>
              <w:t xml:space="preserve">Good Reason </w:t>
            </w:r>
            <w:r>
              <w:rPr>
                <w:rFonts w:ascii="Arial" w:cs="Arial" w:eastAsia="Arial" w:hAnsi="Arial"/>
                <w:sz w:val="14"/>
                <w:szCs w:val="14"/>
                <w:b w:val="1"/>
                <w:bCs w:val="1"/>
                <w:color w:val="auto"/>
                <w:w w:val="97"/>
                <w:vertAlign w:val="superscript"/>
              </w:rPr>
              <w:t>1</w:t>
            </w:r>
          </w:p>
        </w:tc>
        <w:tc>
          <w:tcPr>
            <w:tcW w:w="1780" w:type="dxa"/>
            <w:vAlign w:val="bottom"/>
          </w:tcPr>
          <w:p>
            <w:pPr>
              <w:jc w:val="center"/>
              <w:spacing w:after="0" w:line="122" w:lineRule="exact"/>
              <w:rPr>
                <w:sz w:val="20"/>
                <w:szCs w:val="20"/>
                <w:color w:val="auto"/>
              </w:rPr>
            </w:pPr>
            <w:r>
              <w:rPr>
                <w:rFonts w:ascii="Arial" w:cs="Arial" w:eastAsia="Arial" w:hAnsi="Arial"/>
                <w:sz w:val="11"/>
                <w:szCs w:val="11"/>
                <w:b w:val="1"/>
                <w:bCs w:val="1"/>
                <w:color w:val="auto"/>
              </w:rPr>
              <w:t xml:space="preserve">Change in Control </w:t>
            </w:r>
            <w:r>
              <w:rPr>
                <w:rFonts w:ascii="Arial" w:cs="Arial" w:eastAsia="Arial" w:hAnsi="Arial"/>
                <w:sz w:val="14"/>
                <w:szCs w:val="14"/>
                <w:b w:val="1"/>
                <w:bCs w:val="1"/>
                <w:color w:val="auto"/>
                <w:vertAlign w:val="superscript"/>
              </w:rPr>
              <w:t>2</w:t>
            </w:r>
          </w:p>
        </w:tc>
        <w:tc>
          <w:tcPr>
            <w:tcW w:w="1740" w:type="dxa"/>
            <w:vAlign w:val="bottom"/>
            <w:vMerge w:val="continue"/>
          </w:tcPr>
          <w:p>
            <w:pPr>
              <w:spacing w:after="0"/>
              <w:rPr>
                <w:sz w:val="10"/>
                <w:szCs w:val="10"/>
                <w:color w:val="auto"/>
              </w:rPr>
            </w:pPr>
          </w:p>
        </w:tc>
        <w:tc>
          <w:tcPr>
            <w:tcW w:w="1740" w:type="dxa"/>
            <w:vAlign w:val="bottom"/>
          </w:tcPr>
          <w:p>
            <w:pPr>
              <w:jc w:val="center"/>
              <w:spacing w:after="0" w:line="122" w:lineRule="exact"/>
              <w:rPr>
                <w:sz w:val="20"/>
                <w:szCs w:val="20"/>
                <w:color w:val="auto"/>
              </w:rPr>
            </w:pPr>
            <w:r>
              <w:rPr>
                <w:rFonts w:ascii="Arial" w:cs="Arial" w:eastAsia="Arial" w:hAnsi="Arial"/>
                <w:sz w:val="13"/>
                <w:szCs w:val="13"/>
                <w:b w:val="1"/>
                <w:bCs w:val="1"/>
                <w:color w:val="auto"/>
                <w:w w:val="85"/>
              </w:rPr>
              <w:t>Good Reason</w:t>
            </w:r>
          </w:p>
        </w:tc>
        <w:tc>
          <w:tcPr>
            <w:tcW w:w="0" w:type="dxa"/>
            <w:vAlign w:val="bottom"/>
          </w:tcPr>
          <w:p>
            <w:pPr>
              <w:spacing w:after="0"/>
              <w:rPr>
                <w:sz w:val="1"/>
                <w:szCs w:val="1"/>
                <w:color w:val="auto"/>
              </w:rPr>
            </w:pPr>
          </w:p>
        </w:tc>
      </w:tr>
      <w:tr>
        <w:trPr>
          <w:trHeight w:val="189"/>
        </w:trPr>
        <w:tc>
          <w:tcPr>
            <w:tcW w:w="3340" w:type="dxa"/>
            <w:vAlign w:val="bottom"/>
            <w:tcBorders>
              <w:bottom w:val="single" w:sz="8" w:color="407CCA"/>
            </w:tcBorders>
          </w:tcPr>
          <w:p>
            <w:pPr>
              <w:ind w:left="20"/>
              <w:spacing w:after="0" w:line="189" w:lineRule="exact"/>
              <w:rPr>
                <w:sz w:val="20"/>
                <w:szCs w:val="20"/>
                <w:color w:val="auto"/>
              </w:rPr>
            </w:pPr>
            <w:r>
              <w:rPr>
                <w:rFonts w:ascii="Arial" w:cs="Arial" w:eastAsia="Arial" w:hAnsi="Arial"/>
                <w:sz w:val="18"/>
                <w:szCs w:val="18"/>
                <w:b w:val="1"/>
                <w:bCs w:val="1"/>
                <w:color w:val="auto"/>
              </w:rPr>
              <w:t>upon Termination</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3"/>
                <w:szCs w:val="13"/>
                <w:b w:val="1"/>
                <w:bCs w:val="1"/>
                <w:color w:val="auto"/>
                <w:w w:val="87"/>
              </w:rPr>
              <w:t>($)</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7"/>
              </w:rPr>
              <w:t>($)</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rPr>
              <w:t>($)</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22"/>
        </w:trPr>
        <w:tc>
          <w:tcPr>
            <w:tcW w:w="3340" w:type="dxa"/>
            <w:vAlign w:val="bottom"/>
          </w:tcPr>
          <w:p>
            <w:pPr>
              <w:ind w:left="20"/>
              <w:spacing w:after="0"/>
              <w:rPr>
                <w:sz w:val="20"/>
                <w:szCs w:val="20"/>
                <w:color w:val="auto"/>
              </w:rPr>
            </w:pPr>
            <w:r>
              <w:rPr>
                <w:rFonts w:ascii="Arial" w:cs="Arial" w:eastAsia="Arial" w:hAnsi="Arial"/>
                <w:sz w:val="18"/>
                <w:szCs w:val="18"/>
                <w:b w:val="1"/>
                <w:bCs w:val="1"/>
                <w:color w:val="auto"/>
              </w:rPr>
              <w:t>Peter J. Federico</w:t>
            </w:r>
          </w:p>
        </w:tc>
        <w:tc>
          <w:tcPr>
            <w:tcW w:w="262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rPr>
                <w:sz w:val="20"/>
                <w:szCs w:val="20"/>
                <w:color w:val="auto"/>
              </w:rPr>
            </w:pPr>
            <w:r>
              <w:rPr>
                <w:rFonts w:ascii="Arial" w:cs="Arial" w:eastAsia="Arial" w:hAnsi="Arial"/>
                <w:sz w:val="18"/>
                <w:szCs w:val="18"/>
                <w:color w:val="auto"/>
              </w:rPr>
              <w:t>Severance Amount</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6,750,000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9,000,000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4"/>
        </w:trPr>
        <w:tc>
          <w:tcPr>
            <w:tcW w:w="3340" w:type="dxa"/>
            <w:vAlign w:val="bottom"/>
          </w:tcPr>
          <w:p>
            <w:pPr>
              <w:ind w:left="20"/>
              <w:spacing w:after="0"/>
              <w:rPr>
                <w:sz w:val="20"/>
                <w:szCs w:val="20"/>
                <w:color w:val="auto"/>
              </w:rPr>
            </w:pPr>
            <w:r>
              <w:rPr>
                <w:rFonts w:ascii="Arial" w:cs="Arial" w:eastAsia="Arial" w:hAnsi="Arial"/>
                <w:sz w:val="18"/>
                <w:szCs w:val="18"/>
                <w:color w:val="auto"/>
              </w:rPr>
              <w:t>Base Salary</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Cash Bonus </w:t>
            </w:r>
            <w:r>
              <w:rPr>
                <w:rFonts w:ascii="Arial" w:cs="Arial" w:eastAsia="Arial" w:hAnsi="Arial"/>
                <w:sz w:val="23"/>
                <w:szCs w:val="23"/>
                <w:color w:val="auto"/>
                <w:vertAlign w:val="superscript"/>
              </w:rPr>
              <w:t>3</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2,228,400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2,228,400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2,228,400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Accelerated Equity Awards </w:t>
            </w:r>
            <w:r>
              <w:rPr>
                <w:rFonts w:ascii="Arial" w:cs="Arial" w:eastAsia="Arial" w:hAnsi="Arial"/>
                <w:sz w:val="23"/>
                <w:szCs w:val="23"/>
                <w:color w:val="auto"/>
                <w:vertAlign w:val="superscript"/>
              </w:rPr>
              <w:t>4</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5,454,036</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5,454,036</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5,454,036</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6"/>
        </w:trPr>
        <w:tc>
          <w:tcPr>
            <w:tcW w:w="3340" w:type="dxa"/>
            <w:vAlign w:val="bottom"/>
            <w:tcBorders>
              <w:bottom w:val="single" w:sz="8" w:color="407CCA"/>
            </w:tcBorders>
          </w:tcPr>
          <w:p>
            <w:pPr>
              <w:ind w:left="20"/>
              <w:spacing w:after="0" w:line="235" w:lineRule="exact"/>
              <w:rPr>
                <w:sz w:val="20"/>
                <w:szCs w:val="20"/>
                <w:color w:val="auto"/>
              </w:rPr>
            </w:pPr>
            <w:r>
              <w:rPr>
                <w:rFonts w:ascii="Arial" w:cs="Arial" w:eastAsia="Arial" w:hAnsi="Arial"/>
                <w:sz w:val="18"/>
                <w:szCs w:val="18"/>
                <w:color w:val="auto"/>
              </w:rPr>
              <w:t xml:space="preserve">Insurance Benefits </w:t>
            </w:r>
            <w:r>
              <w:rPr>
                <w:rFonts w:ascii="Arial" w:cs="Arial" w:eastAsia="Arial" w:hAnsi="Arial"/>
                <w:sz w:val="23"/>
                <w:szCs w:val="23"/>
                <w:color w:val="auto"/>
                <w:vertAlign w:val="superscript"/>
              </w:rPr>
              <w:t>5</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49,422</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7"/>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3"/>
        </w:trPr>
        <w:tc>
          <w:tcPr>
            <w:tcW w:w="3340" w:type="dxa"/>
            <w:vAlign w:val="bottom"/>
            <w:tcBorders>
              <w:bottom w:val="single" w:sz="8" w:color="407CCA"/>
            </w:tcBorders>
          </w:tcPr>
          <w:p>
            <w:pPr>
              <w:ind w:left="20"/>
              <w:spacing w:after="0"/>
              <w:rPr>
                <w:sz w:val="20"/>
                <w:szCs w:val="20"/>
                <w:color w:val="auto"/>
              </w:rPr>
            </w:pPr>
            <w:r>
              <w:rPr>
                <w:rFonts w:ascii="Arial" w:cs="Arial" w:eastAsia="Arial" w:hAnsi="Arial"/>
                <w:sz w:val="18"/>
                <w:szCs w:val="18"/>
                <w:b w:val="1"/>
                <w:bCs w:val="1"/>
                <w:color w:val="auto"/>
              </w:rPr>
              <w:t>TOTAL:</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14,481,858</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16,731,858</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7,731,858</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2"/>
        </w:trPr>
        <w:tc>
          <w:tcPr>
            <w:tcW w:w="3340" w:type="dxa"/>
            <w:vAlign w:val="bottom"/>
          </w:tcPr>
          <w:p>
            <w:pPr>
              <w:ind w:left="20"/>
              <w:spacing w:after="0"/>
              <w:rPr>
                <w:sz w:val="20"/>
                <w:szCs w:val="20"/>
                <w:color w:val="auto"/>
              </w:rPr>
            </w:pPr>
            <w:r>
              <w:rPr>
                <w:rFonts w:ascii="Arial" w:cs="Arial" w:eastAsia="Arial" w:hAnsi="Arial"/>
                <w:sz w:val="18"/>
                <w:szCs w:val="18"/>
                <w:b w:val="1"/>
                <w:bCs w:val="1"/>
                <w:color w:val="auto"/>
              </w:rPr>
              <w:t>Gary D. Kain</w:t>
            </w:r>
          </w:p>
        </w:tc>
        <w:tc>
          <w:tcPr>
            <w:tcW w:w="262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rPr>
                <w:sz w:val="20"/>
                <w:szCs w:val="20"/>
                <w:color w:val="auto"/>
              </w:rPr>
            </w:pPr>
            <w:r>
              <w:rPr>
                <w:rFonts w:ascii="Arial" w:cs="Arial" w:eastAsia="Arial" w:hAnsi="Arial"/>
                <w:sz w:val="18"/>
                <w:szCs w:val="18"/>
                <w:color w:val="auto"/>
              </w:rPr>
              <w:t>Severance Amount</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4"/>
        </w:trPr>
        <w:tc>
          <w:tcPr>
            <w:tcW w:w="3340" w:type="dxa"/>
            <w:vAlign w:val="bottom"/>
          </w:tcPr>
          <w:p>
            <w:pPr>
              <w:ind w:left="20"/>
              <w:spacing w:after="0"/>
              <w:rPr>
                <w:sz w:val="20"/>
                <w:szCs w:val="20"/>
                <w:color w:val="auto"/>
              </w:rPr>
            </w:pPr>
            <w:r>
              <w:rPr>
                <w:rFonts w:ascii="Arial" w:cs="Arial" w:eastAsia="Arial" w:hAnsi="Arial"/>
                <w:sz w:val="18"/>
                <w:szCs w:val="18"/>
                <w:color w:val="auto"/>
              </w:rPr>
              <w:t>Base Salary</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Cash Bonus </w:t>
            </w:r>
            <w:r>
              <w:rPr>
                <w:rFonts w:ascii="Arial" w:cs="Arial" w:eastAsia="Arial" w:hAnsi="Arial"/>
                <w:sz w:val="23"/>
                <w:szCs w:val="23"/>
                <w:color w:val="auto"/>
                <w:vertAlign w:val="superscript"/>
              </w:rPr>
              <w:t>3</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2,228,400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2,228,400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2,228,400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2,228,400</w:t>
            </w: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Accelerated Equity Awards </w:t>
            </w:r>
            <w:r>
              <w:rPr>
                <w:rFonts w:ascii="Arial" w:cs="Arial" w:eastAsia="Arial" w:hAnsi="Arial"/>
                <w:sz w:val="23"/>
                <w:szCs w:val="23"/>
                <w:color w:val="auto"/>
                <w:vertAlign w:val="superscript"/>
              </w:rPr>
              <w:t>4</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87"/>
              </w:rPr>
              <w:t>9,741,110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9,741,110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9,741,110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9,741,110</w:t>
            </w:r>
          </w:p>
        </w:tc>
        <w:tc>
          <w:tcPr>
            <w:tcW w:w="0" w:type="dxa"/>
            <w:vAlign w:val="bottom"/>
          </w:tcPr>
          <w:p>
            <w:pPr>
              <w:spacing w:after="0"/>
              <w:rPr>
                <w:sz w:val="1"/>
                <w:szCs w:val="1"/>
                <w:color w:val="auto"/>
              </w:rPr>
            </w:pPr>
          </w:p>
        </w:tc>
      </w:tr>
      <w:tr>
        <w:trPr>
          <w:trHeight w:val="236"/>
        </w:trPr>
        <w:tc>
          <w:tcPr>
            <w:tcW w:w="3340" w:type="dxa"/>
            <w:vAlign w:val="bottom"/>
            <w:tcBorders>
              <w:bottom w:val="single" w:sz="8" w:color="407CCA"/>
            </w:tcBorders>
          </w:tcPr>
          <w:p>
            <w:pPr>
              <w:ind w:left="20"/>
              <w:spacing w:after="0" w:line="235" w:lineRule="exact"/>
              <w:rPr>
                <w:sz w:val="20"/>
                <w:szCs w:val="20"/>
                <w:color w:val="auto"/>
              </w:rPr>
            </w:pPr>
            <w:r>
              <w:rPr>
                <w:rFonts w:ascii="Arial" w:cs="Arial" w:eastAsia="Arial" w:hAnsi="Arial"/>
                <w:sz w:val="18"/>
                <w:szCs w:val="18"/>
                <w:color w:val="auto"/>
              </w:rPr>
              <w:t xml:space="preserve">Insurance Benefits </w:t>
            </w:r>
            <w:r>
              <w:rPr>
                <w:rFonts w:ascii="Arial" w:cs="Arial" w:eastAsia="Arial" w:hAnsi="Arial"/>
                <w:sz w:val="23"/>
                <w:szCs w:val="23"/>
                <w:color w:val="auto"/>
                <w:vertAlign w:val="superscript"/>
              </w:rPr>
              <w:t>5</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3"/>
        </w:trPr>
        <w:tc>
          <w:tcPr>
            <w:tcW w:w="3340" w:type="dxa"/>
            <w:vAlign w:val="bottom"/>
            <w:tcBorders>
              <w:bottom w:val="single" w:sz="8" w:color="407CCA"/>
            </w:tcBorders>
          </w:tcPr>
          <w:p>
            <w:pPr>
              <w:ind w:left="20"/>
              <w:spacing w:after="0"/>
              <w:rPr>
                <w:sz w:val="20"/>
                <w:szCs w:val="20"/>
                <w:color w:val="auto"/>
              </w:rPr>
            </w:pPr>
            <w:r>
              <w:rPr>
                <w:rFonts w:ascii="Arial" w:cs="Arial" w:eastAsia="Arial" w:hAnsi="Arial"/>
                <w:sz w:val="18"/>
                <w:szCs w:val="18"/>
                <w:b w:val="1"/>
                <w:bCs w:val="1"/>
                <w:color w:val="auto"/>
              </w:rPr>
              <w:t>TOTAL:</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11,969,510</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8"/>
              </w:rPr>
              <w:t>11,969,510</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8"/>
              </w:rPr>
              <w:t>11,969,510</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8"/>
              </w:rPr>
              <w:t>11,969,510</w:t>
            </w:r>
          </w:p>
        </w:tc>
        <w:tc>
          <w:tcPr>
            <w:tcW w:w="0" w:type="dxa"/>
            <w:vAlign w:val="bottom"/>
          </w:tcPr>
          <w:p>
            <w:pPr>
              <w:spacing w:after="0"/>
              <w:rPr>
                <w:sz w:val="1"/>
                <w:szCs w:val="1"/>
                <w:color w:val="auto"/>
              </w:rPr>
            </w:pPr>
          </w:p>
        </w:tc>
      </w:tr>
      <w:tr>
        <w:trPr>
          <w:trHeight w:val="222"/>
        </w:trPr>
        <w:tc>
          <w:tcPr>
            <w:tcW w:w="3340" w:type="dxa"/>
            <w:vAlign w:val="bottom"/>
          </w:tcPr>
          <w:p>
            <w:pPr>
              <w:ind w:left="20"/>
              <w:spacing w:after="0"/>
              <w:rPr>
                <w:sz w:val="20"/>
                <w:szCs w:val="20"/>
                <w:color w:val="auto"/>
              </w:rPr>
            </w:pPr>
            <w:r>
              <w:rPr>
                <w:rFonts w:ascii="Arial" w:cs="Arial" w:eastAsia="Arial" w:hAnsi="Arial"/>
                <w:sz w:val="18"/>
                <w:szCs w:val="18"/>
                <w:b w:val="1"/>
                <w:bCs w:val="1"/>
                <w:color w:val="auto"/>
              </w:rPr>
              <w:t>Christopher J. Kuehl</w:t>
            </w:r>
          </w:p>
        </w:tc>
        <w:tc>
          <w:tcPr>
            <w:tcW w:w="262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rPr>
                <w:sz w:val="20"/>
                <w:szCs w:val="20"/>
                <w:color w:val="auto"/>
              </w:rPr>
            </w:pPr>
            <w:r>
              <w:rPr>
                <w:rFonts w:ascii="Arial" w:cs="Arial" w:eastAsia="Arial" w:hAnsi="Arial"/>
                <w:sz w:val="18"/>
                <w:szCs w:val="18"/>
                <w:color w:val="auto"/>
              </w:rPr>
              <w:t>Severance Amount</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4,350,000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5,800,000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4"/>
        </w:trPr>
        <w:tc>
          <w:tcPr>
            <w:tcW w:w="3340" w:type="dxa"/>
            <w:vAlign w:val="bottom"/>
          </w:tcPr>
          <w:p>
            <w:pPr>
              <w:ind w:left="20"/>
              <w:spacing w:after="0"/>
              <w:rPr>
                <w:sz w:val="20"/>
                <w:szCs w:val="20"/>
                <w:color w:val="auto"/>
              </w:rPr>
            </w:pPr>
            <w:r>
              <w:rPr>
                <w:rFonts w:ascii="Arial" w:cs="Arial" w:eastAsia="Arial" w:hAnsi="Arial"/>
                <w:sz w:val="18"/>
                <w:szCs w:val="18"/>
                <w:color w:val="auto"/>
              </w:rPr>
              <w:t>Base Salary</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Cash Bonus </w:t>
            </w:r>
            <w:r>
              <w:rPr>
                <w:rFonts w:ascii="Arial" w:cs="Arial" w:eastAsia="Arial" w:hAnsi="Arial"/>
                <w:sz w:val="23"/>
                <w:szCs w:val="23"/>
                <w:color w:val="auto"/>
                <w:vertAlign w:val="superscript"/>
              </w:rPr>
              <w:t>3</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1,512,000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1,512,000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1,512,000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Accelerated Equity Awards </w:t>
            </w:r>
            <w:r>
              <w:rPr>
                <w:rFonts w:ascii="Arial" w:cs="Arial" w:eastAsia="Arial" w:hAnsi="Arial"/>
                <w:sz w:val="23"/>
                <w:szCs w:val="23"/>
                <w:color w:val="auto"/>
                <w:vertAlign w:val="superscript"/>
              </w:rPr>
              <w:t>4</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3,402,469</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3,402,469</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3,402,469</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6"/>
        </w:trPr>
        <w:tc>
          <w:tcPr>
            <w:tcW w:w="3340" w:type="dxa"/>
            <w:vAlign w:val="bottom"/>
            <w:tcBorders>
              <w:bottom w:val="single" w:sz="8" w:color="407CCA"/>
            </w:tcBorders>
          </w:tcPr>
          <w:p>
            <w:pPr>
              <w:ind w:left="20"/>
              <w:spacing w:after="0" w:line="235" w:lineRule="exact"/>
              <w:rPr>
                <w:sz w:val="20"/>
                <w:szCs w:val="20"/>
                <w:color w:val="auto"/>
              </w:rPr>
            </w:pPr>
            <w:r>
              <w:rPr>
                <w:rFonts w:ascii="Arial" w:cs="Arial" w:eastAsia="Arial" w:hAnsi="Arial"/>
                <w:sz w:val="18"/>
                <w:szCs w:val="18"/>
                <w:color w:val="auto"/>
              </w:rPr>
              <w:t xml:space="preserve">Insurance Benefits </w:t>
            </w:r>
            <w:r>
              <w:rPr>
                <w:rFonts w:ascii="Arial" w:cs="Arial" w:eastAsia="Arial" w:hAnsi="Arial"/>
                <w:sz w:val="23"/>
                <w:szCs w:val="23"/>
                <w:color w:val="auto"/>
                <w:vertAlign w:val="superscript"/>
              </w:rPr>
              <w:t>5</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49,422</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7"/>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3"/>
        </w:trPr>
        <w:tc>
          <w:tcPr>
            <w:tcW w:w="3340" w:type="dxa"/>
            <w:vAlign w:val="bottom"/>
            <w:tcBorders>
              <w:bottom w:val="single" w:sz="8" w:color="407CCA"/>
            </w:tcBorders>
          </w:tcPr>
          <w:p>
            <w:pPr>
              <w:ind w:left="20"/>
              <w:spacing w:after="0"/>
              <w:rPr>
                <w:sz w:val="20"/>
                <w:szCs w:val="20"/>
                <w:color w:val="auto"/>
              </w:rPr>
            </w:pPr>
            <w:r>
              <w:rPr>
                <w:rFonts w:ascii="Arial" w:cs="Arial" w:eastAsia="Arial" w:hAnsi="Arial"/>
                <w:sz w:val="18"/>
                <w:szCs w:val="18"/>
                <w:b w:val="1"/>
                <w:bCs w:val="1"/>
                <w:color w:val="auto"/>
              </w:rPr>
              <w:t>TOTAL:</w:t>
            </w:r>
          </w:p>
        </w:tc>
        <w:tc>
          <w:tcPr>
            <w:tcW w:w="2620" w:type="dxa"/>
            <w:vAlign w:val="bottom"/>
            <w:tcBorders>
              <w:bottom w:val="single" w:sz="8" w:color="407CCA"/>
            </w:tcBorders>
          </w:tcPr>
          <w:p>
            <w:pPr>
              <w:jc w:val="center"/>
              <w:ind w:left="775"/>
              <w:spacing w:after="0"/>
              <w:rPr>
                <w:sz w:val="20"/>
                <w:szCs w:val="20"/>
                <w:color w:val="auto"/>
              </w:rPr>
            </w:pPr>
            <w:r>
              <w:rPr>
                <w:rFonts w:ascii="Arial" w:cs="Arial" w:eastAsia="Arial" w:hAnsi="Arial"/>
                <w:sz w:val="18"/>
                <w:szCs w:val="18"/>
                <w:color w:val="auto"/>
                <w:w w:val="89"/>
              </w:rPr>
              <w:t>9,313,891</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10,763,891</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4,963,891</w:t>
            </w:r>
          </w:p>
        </w:tc>
        <w:tc>
          <w:tcPr>
            <w:tcW w:w="1740" w:type="dxa"/>
            <w:vAlign w:val="bottom"/>
            <w:tcBorders>
              <w:bottom w:val="single" w:sz="8" w:color="407CCA"/>
            </w:tcBorders>
          </w:tcPr>
          <w:p>
            <w:pPr>
              <w:spacing w:after="0"/>
              <w:rPr>
                <w:sz w:val="19"/>
                <w:szCs w:val="19"/>
                <w:color w:val="auto"/>
              </w:rPr>
            </w:pPr>
          </w:p>
        </w:tc>
        <w:tc>
          <w:tcPr>
            <w:tcW w:w="0" w:type="dxa"/>
            <w:vAlign w:val="bottom"/>
          </w:tcPr>
          <w:p>
            <w:pPr>
              <w:spacing w:after="0"/>
              <w:rPr>
                <w:sz w:val="1"/>
                <w:szCs w:val="1"/>
                <w:color w:val="auto"/>
              </w:rPr>
            </w:pPr>
          </w:p>
        </w:tc>
      </w:tr>
      <w:tr>
        <w:trPr>
          <w:trHeight w:val="222"/>
        </w:trPr>
        <w:tc>
          <w:tcPr>
            <w:tcW w:w="3340" w:type="dxa"/>
            <w:vAlign w:val="bottom"/>
          </w:tcPr>
          <w:p>
            <w:pPr>
              <w:ind w:left="20"/>
              <w:spacing w:after="0"/>
              <w:rPr>
                <w:sz w:val="20"/>
                <w:szCs w:val="20"/>
                <w:color w:val="auto"/>
              </w:rPr>
            </w:pPr>
            <w:r>
              <w:rPr>
                <w:rFonts w:ascii="Arial" w:cs="Arial" w:eastAsia="Arial" w:hAnsi="Arial"/>
                <w:sz w:val="18"/>
                <w:szCs w:val="18"/>
                <w:b w:val="1"/>
                <w:bCs w:val="1"/>
                <w:color w:val="auto"/>
              </w:rPr>
              <w:t>Bernice E. Bell</w:t>
            </w:r>
          </w:p>
        </w:tc>
        <w:tc>
          <w:tcPr>
            <w:tcW w:w="262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rPr>
                <w:sz w:val="20"/>
                <w:szCs w:val="20"/>
                <w:color w:val="auto"/>
              </w:rPr>
            </w:pPr>
            <w:r>
              <w:rPr>
                <w:rFonts w:ascii="Arial" w:cs="Arial" w:eastAsia="Arial" w:hAnsi="Arial"/>
                <w:sz w:val="18"/>
                <w:szCs w:val="18"/>
                <w:color w:val="auto"/>
              </w:rPr>
              <w:t>Severance Amount</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1,750,000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2,625,000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4"/>
        </w:trPr>
        <w:tc>
          <w:tcPr>
            <w:tcW w:w="3340" w:type="dxa"/>
            <w:vAlign w:val="bottom"/>
          </w:tcPr>
          <w:p>
            <w:pPr>
              <w:ind w:left="20"/>
              <w:spacing w:after="0"/>
              <w:rPr>
                <w:sz w:val="20"/>
                <w:szCs w:val="20"/>
                <w:color w:val="auto"/>
              </w:rPr>
            </w:pPr>
            <w:r>
              <w:rPr>
                <w:rFonts w:ascii="Arial" w:cs="Arial" w:eastAsia="Arial" w:hAnsi="Arial"/>
                <w:sz w:val="18"/>
                <w:szCs w:val="18"/>
                <w:color w:val="auto"/>
              </w:rPr>
              <w:t>Base Salary</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Cash Bonus </w:t>
            </w:r>
            <w:r>
              <w:rPr>
                <w:rFonts w:ascii="Arial" w:cs="Arial" w:eastAsia="Arial" w:hAnsi="Arial"/>
                <w:sz w:val="23"/>
                <w:szCs w:val="23"/>
                <w:color w:val="auto"/>
                <w:vertAlign w:val="superscript"/>
              </w:rPr>
              <w:t>3</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1,001,250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1,001,250</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1,001,250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Accelerated Equity Awards </w:t>
            </w:r>
            <w:r>
              <w:rPr>
                <w:rFonts w:ascii="Arial" w:cs="Arial" w:eastAsia="Arial" w:hAnsi="Arial"/>
                <w:sz w:val="23"/>
                <w:szCs w:val="23"/>
                <w:color w:val="auto"/>
                <w:vertAlign w:val="superscript"/>
              </w:rPr>
              <w:t>4</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1,669,227</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1,669,227</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1,669,227</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6"/>
        </w:trPr>
        <w:tc>
          <w:tcPr>
            <w:tcW w:w="3340" w:type="dxa"/>
            <w:vAlign w:val="bottom"/>
            <w:tcBorders>
              <w:bottom w:val="single" w:sz="8" w:color="407CCA"/>
            </w:tcBorders>
          </w:tcPr>
          <w:p>
            <w:pPr>
              <w:ind w:left="20"/>
              <w:spacing w:after="0" w:line="235" w:lineRule="exact"/>
              <w:rPr>
                <w:sz w:val="20"/>
                <w:szCs w:val="20"/>
                <w:color w:val="auto"/>
              </w:rPr>
            </w:pPr>
            <w:r>
              <w:rPr>
                <w:rFonts w:ascii="Arial" w:cs="Arial" w:eastAsia="Arial" w:hAnsi="Arial"/>
                <w:sz w:val="18"/>
                <w:szCs w:val="18"/>
                <w:color w:val="auto"/>
              </w:rPr>
              <w:t xml:space="preserve">Insurance Benefits </w:t>
            </w:r>
            <w:r>
              <w:rPr>
                <w:rFonts w:ascii="Arial" w:cs="Arial" w:eastAsia="Arial" w:hAnsi="Arial"/>
                <w:sz w:val="23"/>
                <w:szCs w:val="23"/>
                <w:color w:val="auto"/>
                <w:vertAlign w:val="superscript"/>
              </w:rPr>
              <w:t>5</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32,948</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7"/>
              </w:rPr>
              <w:t>32,948</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3"/>
        </w:trPr>
        <w:tc>
          <w:tcPr>
            <w:tcW w:w="3340" w:type="dxa"/>
            <w:vAlign w:val="bottom"/>
            <w:tcBorders>
              <w:bottom w:val="single" w:sz="8" w:color="407CCA"/>
            </w:tcBorders>
          </w:tcPr>
          <w:p>
            <w:pPr>
              <w:ind w:left="20"/>
              <w:spacing w:after="0"/>
              <w:rPr>
                <w:sz w:val="20"/>
                <w:szCs w:val="20"/>
                <w:color w:val="auto"/>
              </w:rPr>
            </w:pPr>
            <w:r>
              <w:rPr>
                <w:rFonts w:ascii="Arial" w:cs="Arial" w:eastAsia="Arial" w:hAnsi="Arial"/>
                <w:sz w:val="18"/>
                <w:szCs w:val="18"/>
                <w:b w:val="1"/>
                <w:bCs w:val="1"/>
                <w:color w:val="auto"/>
              </w:rPr>
              <w:t>TOTAL:</w:t>
            </w:r>
          </w:p>
        </w:tc>
        <w:tc>
          <w:tcPr>
            <w:tcW w:w="2620" w:type="dxa"/>
            <w:vAlign w:val="bottom"/>
            <w:tcBorders>
              <w:bottom w:val="single" w:sz="8" w:color="407CCA"/>
            </w:tcBorders>
          </w:tcPr>
          <w:p>
            <w:pPr>
              <w:jc w:val="center"/>
              <w:ind w:left="775"/>
              <w:spacing w:after="0"/>
              <w:rPr>
                <w:sz w:val="20"/>
                <w:szCs w:val="20"/>
                <w:color w:val="auto"/>
              </w:rPr>
            </w:pPr>
            <w:r>
              <w:rPr>
                <w:rFonts w:ascii="Arial" w:cs="Arial" w:eastAsia="Arial" w:hAnsi="Arial"/>
                <w:sz w:val="18"/>
                <w:szCs w:val="18"/>
                <w:color w:val="auto"/>
                <w:w w:val="89"/>
              </w:rPr>
              <w:t>4,453,425</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5,344,899</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2,703,425</w:t>
            </w:r>
          </w:p>
        </w:tc>
        <w:tc>
          <w:tcPr>
            <w:tcW w:w="1740" w:type="dxa"/>
            <w:vAlign w:val="bottom"/>
            <w:tcBorders>
              <w:bottom w:val="single" w:sz="8" w:color="407CCA"/>
            </w:tcBorders>
          </w:tcPr>
          <w:p>
            <w:pPr>
              <w:spacing w:after="0"/>
              <w:rPr>
                <w:sz w:val="19"/>
                <w:szCs w:val="19"/>
                <w:color w:val="auto"/>
              </w:rPr>
            </w:pPr>
          </w:p>
        </w:tc>
        <w:tc>
          <w:tcPr>
            <w:tcW w:w="0" w:type="dxa"/>
            <w:vAlign w:val="bottom"/>
          </w:tcPr>
          <w:p>
            <w:pPr>
              <w:spacing w:after="0"/>
              <w:rPr>
                <w:sz w:val="1"/>
                <w:szCs w:val="1"/>
                <w:color w:val="auto"/>
              </w:rPr>
            </w:pPr>
          </w:p>
        </w:tc>
      </w:tr>
      <w:tr>
        <w:trPr>
          <w:trHeight w:val="222"/>
        </w:trPr>
        <w:tc>
          <w:tcPr>
            <w:tcW w:w="3340" w:type="dxa"/>
            <w:vAlign w:val="bottom"/>
          </w:tcPr>
          <w:p>
            <w:pPr>
              <w:ind w:left="20"/>
              <w:spacing w:after="0"/>
              <w:rPr>
                <w:sz w:val="20"/>
                <w:szCs w:val="20"/>
                <w:color w:val="auto"/>
              </w:rPr>
            </w:pPr>
            <w:r>
              <w:rPr>
                <w:rFonts w:ascii="Arial" w:cs="Arial" w:eastAsia="Arial" w:hAnsi="Arial"/>
                <w:sz w:val="18"/>
                <w:szCs w:val="18"/>
                <w:b w:val="1"/>
                <w:bCs w:val="1"/>
                <w:color w:val="auto"/>
              </w:rPr>
              <w:t>Kenneth L. Pollack</w:t>
            </w:r>
          </w:p>
        </w:tc>
        <w:tc>
          <w:tcPr>
            <w:tcW w:w="262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rPr>
                <w:sz w:val="20"/>
                <w:szCs w:val="20"/>
                <w:color w:val="auto"/>
              </w:rPr>
            </w:pPr>
            <w:r>
              <w:rPr>
                <w:rFonts w:ascii="Arial" w:cs="Arial" w:eastAsia="Arial" w:hAnsi="Arial"/>
                <w:sz w:val="18"/>
                <w:szCs w:val="18"/>
                <w:color w:val="auto"/>
              </w:rPr>
              <w:t>Severance Amount</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1,500,000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2,250,000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4"/>
        </w:trPr>
        <w:tc>
          <w:tcPr>
            <w:tcW w:w="3340" w:type="dxa"/>
            <w:vAlign w:val="bottom"/>
          </w:tcPr>
          <w:p>
            <w:pPr>
              <w:ind w:left="20"/>
              <w:spacing w:after="0"/>
              <w:rPr>
                <w:sz w:val="20"/>
                <w:szCs w:val="20"/>
                <w:color w:val="auto"/>
              </w:rPr>
            </w:pPr>
            <w:r>
              <w:rPr>
                <w:rFonts w:ascii="Arial" w:cs="Arial" w:eastAsia="Arial" w:hAnsi="Arial"/>
                <w:sz w:val="18"/>
                <w:szCs w:val="18"/>
                <w:color w:val="auto"/>
              </w:rPr>
              <w:t>Base Salary</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99"/>
              </w:rPr>
              <w:t>—</w:t>
            </w:r>
          </w:p>
        </w:tc>
        <w:tc>
          <w:tcPr>
            <w:tcW w:w="17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0"/>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Cash Bonus </w:t>
            </w:r>
            <w:r>
              <w:rPr>
                <w:rFonts w:ascii="Arial" w:cs="Arial" w:eastAsia="Arial" w:hAnsi="Arial"/>
                <w:sz w:val="23"/>
                <w:szCs w:val="23"/>
                <w:color w:val="auto"/>
                <w:vertAlign w:val="superscript"/>
              </w:rPr>
              <w:t>3</w:t>
            </w:r>
          </w:p>
        </w:tc>
        <w:tc>
          <w:tcPr>
            <w:tcW w:w="2620" w:type="dxa"/>
            <w:vAlign w:val="bottom"/>
          </w:tcPr>
          <w:p>
            <w:pPr>
              <w:jc w:val="center"/>
              <w:ind w:left="755"/>
              <w:spacing w:after="0"/>
              <w:rPr>
                <w:sz w:val="20"/>
                <w:szCs w:val="20"/>
                <w:color w:val="auto"/>
              </w:rPr>
            </w:pPr>
            <w:r>
              <w:rPr>
                <w:rFonts w:ascii="Arial" w:cs="Arial" w:eastAsia="Arial" w:hAnsi="Arial"/>
                <w:sz w:val="18"/>
                <w:szCs w:val="18"/>
                <w:color w:val="auto"/>
                <w:w w:val="89"/>
              </w:rPr>
              <w:t>801,000</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801,000</w:t>
            </w:r>
          </w:p>
        </w:tc>
        <w:tc>
          <w:tcPr>
            <w:tcW w:w="1740" w:type="dxa"/>
            <w:vAlign w:val="bottom"/>
          </w:tcPr>
          <w:p>
            <w:pPr>
              <w:jc w:val="center"/>
              <w:spacing w:after="0"/>
              <w:rPr>
                <w:sz w:val="20"/>
                <w:szCs w:val="20"/>
                <w:color w:val="auto"/>
              </w:rPr>
            </w:pPr>
            <w:r>
              <w:rPr>
                <w:rFonts w:ascii="Arial" w:cs="Arial" w:eastAsia="Arial" w:hAnsi="Arial"/>
                <w:sz w:val="18"/>
                <w:szCs w:val="18"/>
                <w:color w:val="auto"/>
                <w:w w:val="92"/>
              </w:rPr>
              <w:t>801,000</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9"/>
        </w:trPr>
        <w:tc>
          <w:tcPr>
            <w:tcW w:w="3340" w:type="dxa"/>
            <w:vAlign w:val="bottom"/>
          </w:tcPr>
          <w:p>
            <w:pPr>
              <w:ind w:left="20"/>
              <w:spacing w:after="0" w:line="230" w:lineRule="exact"/>
              <w:rPr>
                <w:sz w:val="20"/>
                <w:szCs w:val="20"/>
                <w:color w:val="auto"/>
              </w:rPr>
            </w:pPr>
            <w:r>
              <w:rPr>
                <w:rFonts w:ascii="Arial" w:cs="Arial" w:eastAsia="Arial" w:hAnsi="Arial"/>
                <w:sz w:val="18"/>
                <w:szCs w:val="18"/>
                <w:color w:val="auto"/>
              </w:rPr>
              <w:t xml:space="preserve">Accelerated Equity Awards </w:t>
            </w:r>
            <w:r>
              <w:rPr>
                <w:rFonts w:ascii="Arial" w:cs="Arial" w:eastAsia="Arial" w:hAnsi="Arial"/>
                <w:sz w:val="23"/>
                <w:szCs w:val="23"/>
                <w:color w:val="auto"/>
                <w:vertAlign w:val="superscript"/>
              </w:rPr>
              <w:t>4</w:t>
            </w:r>
          </w:p>
        </w:tc>
        <w:tc>
          <w:tcPr>
            <w:tcW w:w="2620" w:type="dxa"/>
            <w:vAlign w:val="bottom"/>
          </w:tcPr>
          <w:p>
            <w:pPr>
              <w:jc w:val="center"/>
              <w:ind w:left="775"/>
              <w:spacing w:after="0"/>
              <w:rPr>
                <w:sz w:val="20"/>
                <w:szCs w:val="20"/>
                <w:color w:val="auto"/>
              </w:rPr>
            </w:pPr>
            <w:r>
              <w:rPr>
                <w:rFonts w:ascii="Arial" w:cs="Arial" w:eastAsia="Arial" w:hAnsi="Arial"/>
                <w:sz w:val="18"/>
                <w:szCs w:val="18"/>
                <w:color w:val="auto"/>
                <w:w w:val="89"/>
              </w:rPr>
              <w:t>1,415,777</w:t>
            </w:r>
          </w:p>
        </w:tc>
        <w:tc>
          <w:tcPr>
            <w:tcW w:w="1780" w:type="dxa"/>
            <w:vAlign w:val="bottom"/>
          </w:tcPr>
          <w:p>
            <w:pPr>
              <w:jc w:val="center"/>
              <w:spacing w:after="0"/>
              <w:rPr>
                <w:sz w:val="20"/>
                <w:szCs w:val="20"/>
                <w:color w:val="auto"/>
              </w:rPr>
            </w:pPr>
            <w:r>
              <w:rPr>
                <w:rFonts w:ascii="Arial" w:cs="Arial" w:eastAsia="Arial" w:hAnsi="Arial"/>
                <w:sz w:val="18"/>
                <w:szCs w:val="18"/>
                <w:color w:val="auto"/>
                <w:w w:val="89"/>
              </w:rPr>
              <w:t>1,415,777</w:t>
            </w:r>
          </w:p>
        </w:tc>
        <w:tc>
          <w:tcPr>
            <w:tcW w:w="1740" w:type="dxa"/>
            <w:vAlign w:val="bottom"/>
          </w:tcPr>
          <w:p>
            <w:pPr>
              <w:jc w:val="center"/>
              <w:spacing w:after="0"/>
              <w:rPr>
                <w:sz w:val="20"/>
                <w:szCs w:val="20"/>
                <w:color w:val="auto"/>
              </w:rPr>
            </w:pPr>
            <w:r>
              <w:rPr>
                <w:rFonts w:ascii="Arial" w:cs="Arial" w:eastAsia="Arial" w:hAnsi="Arial"/>
                <w:sz w:val="18"/>
                <w:szCs w:val="18"/>
                <w:color w:val="auto"/>
                <w:w w:val="89"/>
              </w:rPr>
              <w:t>1,415,777</w:t>
            </w:r>
          </w:p>
        </w:tc>
        <w:tc>
          <w:tcPr>
            <w:tcW w:w="174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6"/>
        </w:trPr>
        <w:tc>
          <w:tcPr>
            <w:tcW w:w="3340" w:type="dxa"/>
            <w:vAlign w:val="bottom"/>
            <w:tcBorders>
              <w:bottom w:val="single" w:sz="8" w:color="407CCA"/>
            </w:tcBorders>
          </w:tcPr>
          <w:p>
            <w:pPr>
              <w:ind w:left="20"/>
              <w:spacing w:after="0" w:line="235" w:lineRule="exact"/>
              <w:rPr>
                <w:sz w:val="20"/>
                <w:szCs w:val="20"/>
                <w:color w:val="auto"/>
              </w:rPr>
            </w:pPr>
            <w:r>
              <w:rPr>
                <w:rFonts w:ascii="Arial" w:cs="Arial" w:eastAsia="Arial" w:hAnsi="Arial"/>
                <w:sz w:val="18"/>
                <w:szCs w:val="18"/>
                <w:color w:val="auto"/>
              </w:rPr>
              <w:t xml:space="preserve">Insurance Benefits </w:t>
            </w:r>
            <w:r>
              <w:rPr>
                <w:rFonts w:ascii="Arial" w:cs="Arial" w:eastAsia="Arial" w:hAnsi="Arial"/>
                <w:sz w:val="23"/>
                <w:szCs w:val="23"/>
                <w:color w:val="auto"/>
                <w:vertAlign w:val="superscript"/>
              </w:rPr>
              <w:t>5</w:t>
            </w:r>
          </w:p>
        </w:tc>
        <w:tc>
          <w:tcPr>
            <w:tcW w:w="2620" w:type="dxa"/>
            <w:vAlign w:val="bottom"/>
            <w:tcBorders>
              <w:bottom w:val="single" w:sz="8" w:color="407CCA"/>
            </w:tcBorders>
          </w:tcPr>
          <w:p>
            <w:pPr>
              <w:jc w:val="center"/>
              <w:ind w:left="755"/>
              <w:spacing w:after="0"/>
              <w:rPr>
                <w:sz w:val="20"/>
                <w:szCs w:val="20"/>
                <w:color w:val="auto"/>
              </w:rPr>
            </w:pPr>
            <w:r>
              <w:rPr>
                <w:rFonts w:ascii="Arial" w:cs="Arial" w:eastAsia="Arial" w:hAnsi="Arial"/>
                <w:sz w:val="18"/>
                <w:szCs w:val="18"/>
                <w:color w:val="auto"/>
                <w:w w:val="90"/>
              </w:rPr>
              <w:t>32,948</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0"/>
              </w:rPr>
              <w:t>49,422</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7"/>
              </w:rPr>
              <w:t>32,948</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23"/>
        </w:trPr>
        <w:tc>
          <w:tcPr>
            <w:tcW w:w="3340" w:type="dxa"/>
            <w:vAlign w:val="bottom"/>
            <w:tcBorders>
              <w:bottom w:val="single" w:sz="8" w:color="407CCA"/>
            </w:tcBorders>
          </w:tcPr>
          <w:p>
            <w:pPr>
              <w:ind w:left="20"/>
              <w:spacing w:after="0"/>
              <w:rPr>
                <w:sz w:val="20"/>
                <w:szCs w:val="20"/>
                <w:color w:val="auto"/>
              </w:rPr>
            </w:pPr>
            <w:r>
              <w:rPr>
                <w:rFonts w:ascii="Arial" w:cs="Arial" w:eastAsia="Arial" w:hAnsi="Arial"/>
                <w:sz w:val="18"/>
                <w:szCs w:val="18"/>
                <w:b w:val="1"/>
                <w:bCs w:val="1"/>
                <w:color w:val="auto"/>
              </w:rPr>
              <w:t>TOTAL:</w:t>
            </w:r>
          </w:p>
        </w:tc>
        <w:tc>
          <w:tcPr>
            <w:tcW w:w="2620" w:type="dxa"/>
            <w:vAlign w:val="bottom"/>
            <w:tcBorders>
              <w:bottom w:val="single" w:sz="8" w:color="407CCA"/>
            </w:tcBorders>
          </w:tcPr>
          <w:p>
            <w:pPr>
              <w:jc w:val="center"/>
              <w:ind w:left="775"/>
              <w:spacing w:after="0"/>
              <w:rPr>
                <w:sz w:val="20"/>
                <w:szCs w:val="20"/>
                <w:color w:val="auto"/>
              </w:rPr>
            </w:pPr>
            <w:r>
              <w:rPr>
                <w:rFonts w:ascii="Arial" w:cs="Arial" w:eastAsia="Arial" w:hAnsi="Arial"/>
                <w:sz w:val="18"/>
                <w:szCs w:val="18"/>
                <w:color w:val="auto"/>
                <w:w w:val="89"/>
              </w:rPr>
              <w:t>3,749,725</w:t>
            </w:r>
          </w:p>
        </w:tc>
        <w:tc>
          <w:tcPr>
            <w:tcW w:w="178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4,516,199</w:t>
            </w:r>
          </w:p>
        </w:tc>
        <w:tc>
          <w:tcPr>
            <w:tcW w:w="174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89"/>
              </w:rPr>
              <w:t>2,249,725</w:t>
            </w:r>
          </w:p>
        </w:tc>
        <w:tc>
          <w:tcPr>
            <w:tcW w:w="1740" w:type="dxa"/>
            <w:vAlign w:val="bottom"/>
            <w:tcBorders>
              <w:bottom w:val="single" w:sz="8" w:color="407CCA"/>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156" w:lineRule="exact"/>
        <w:rPr>
          <w:sz w:val="20"/>
          <w:szCs w:val="20"/>
          <w:color w:val="auto"/>
        </w:rPr>
      </w:pPr>
    </w:p>
    <w:p>
      <w:pPr>
        <w:ind w:left="340" w:hanging="239"/>
        <w:spacing w:after="0"/>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Severance amounts are payable over a period of 18 months for Messrs. Federico and Kuehl and over a period of 12 months for each of Messrs. Kain and Pollack and Ms. Bell.</w:t>
      </w:r>
    </w:p>
    <w:p>
      <w:pPr>
        <w:ind w:left="340" w:hanging="239"/>
        <w:spacing w:after="0" w:line="221" w:lineRule="auto"/>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Severance amounts are payable in a lump sum on the first payroll date 60 days after termination.</w:t>
      </w:r>
    </w:p>
    <w:p>
      <w:pPr>
        <w:ind w:left="340" w:right="100" w:hanging="239"/>
        <w:spacing w:after="0" w:line="211" w:lineRule="auto"/>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Payable in a lump sum by March 15 of the calendar year following the calendar year in which termination occurs. Reflects cash bonus NEO is entitled to receive for fiscal year 2022 based on achievement of Corporate Scorecard measures and personal performance, as applicable.</w:t>
      </w:r>
    </w:p>
    <w:p>
      <w:pPr>
        <w:ind w:left="340" w:right="40" w:hanging="239"/>
        <w:spacing w:after="0" w:line="221" w:lineRule="auto"/>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Reflects performance achievement of 100% of target for February 20, 2020 performance-based vesting RSUs award. Assumes performance achievement at 50% of target for March 1, 2021 and March 1, 2022 performance-based vesting RSUs awards.</w:t>
      </w:r>
    </w:p>
    <w:p>
      <w:pPr>
        <w:ind w:left="340" w:hanging="239"/>
        <w:spacing w:after="0"/>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Insurance Benefits are based on the December 2022 monthly payment for Health, Dental and Vision coverage for each NEO.</w:t>
      </w:r>
    </w:p>
    <w:p>
      <w:pPr>
        <w:spacing w:after="0" w:line="354"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60" w:name="page61"/>
    <w:bookmarkEnd w:id="6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4680"/>
        <w:spacing w:after="0"/>
        <w:rPr>
          <w:sz w:val="20"/>
          <w:szCs w:val="20"/>
          <w:color w:val="auto"/>
        </w:rPr>
      </w:pPr>
      <w:r>
        <w:rPr>
          <w:rFonts w:ascii="Arial" w:cs="Arial" w:eastAsia="Arial" w:hAnsi="Arial"/>
          <w:sz w:val="18"/>
          <w:szCs w:val="18"/>
          <w:b w:val="1"/>
          <w:bCs w:val="1"/>
          <w:color w:val="auto"/>
        </w:rPr>
        <w:t>Pay Versus Performance</w:t>
      </w:r>
    </w:p>
    <w:p>
      <w:pPr>
        <w:spacing w:after="0" w:line="8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As required by Section 953(a) of the Dodd-Frank Wall Street Reform and Consumer Protection Act and Item 402(v) of Regulation S-K, we have</w:t>
      </w:r>
    </w:p>
    <w:p>
      <w:pPr>
        <w:spacing w:after="0" w:line="21" w:lineRule="exact"/>
        <w:rPr>
          <w:sz w:val="20"/>
          <w:szCs w:val="20"/>
          <w:color w:val="auto"/>
        </w:rPr>
      </w:pPr>
    </w:p>
    <w:p>
      <w:pPr>
        <w:ind w:right="780"/>
        <w:spacing w:after="0" w:line="226" w:lineRule="auto"/>
        <w:rPr>
          <w:sz w:val="20"/>
          <w:szCs w:val="20"/>
          <w:color w:val="auto"/>
        </w:rPr>
      </w:pPr>
      <w:r>
        <w:rPr>
          <w:rFonts w:ascii="Arial" w:cs="Arial" w:eastAsia="Arial" w:hAnsi="Arial"/>
          <w:sz w:val="18"/>
          <w:szCs w:val="18"/>
          <w:color w:val="auto"/>
        </w:rPr>
        <w:t>prepared this pay versus performance disclosure, which serves to further demonstrate the alignment of our executive compensation program with stockholder interests.</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460" w:type="dxa"/>
            <w:vAlign w:val="bottom"/>
          </w:tcPr>
          <w:p>
            <w:pPr>
              <w:spacing w:after="0"/>
              <w:rPr>
                <w:sz w:val="16"/>
                <w:szCs w:val="16"/>
                <w:color w:val="auto"/>
              </w:rPr>
            </w:pPr>
          </w:p>
        </w:tc>
        <w:tc>
          <w:tcPr>
            <w:tcW w:w="132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620" w:type="dxa"/>
            <w:vAlign w:val="bottom"/>
            <w:gridSpan w:val="2"/>
          </w:tcPr>
          <w:p>
            <w:pPr>
              <w:jc w:val="center"/>
              <w:spacing w:after="0"/>
              <w:rPr>
                <w:sz w:val="20"/>
                <w:szCs w:val="20"/>
                <w:color w:val="auto"/>
              </w:rPr>
            </w:pPr>
            <w:r>
              <w:rPr>
                <w:rFonts w:ascii="Arial" w:cs="Arial" w:eastAsia="Arial" w:hAnsi="Arial"/>
                <w:sz w:val="16"/>
                <w:szCs w:val="16"/>
                <w:color w:val="auto"/>
                <w:w w:val="95"/>
              </w:rPr>
              <w:t>Value of Initial Fixed</w:t>
            </w:r>
          </w:p>
        </w:tc>
        <w:tc>
          <w:tcPr>
            <w:tcW w:w="9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4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620" w:type="dxa"/>
            <w:vAlign w:val="bottom"/>
            <w:gridSpan w:val="2"/>
          </w:tcPr>
          <w:p>
            <w:pPr>
              <w:jc w:val="center"/>
              <w:spacing w:after="0" w:line="162" w:lineRule="exact"/>
              <w:rPr>
                <w:sz w:val="20"/>
                <w:szCs w:val="20"/>
                <w:color w:val="auto"/>
              </w:rPr>
            </w:pPr>
            <w:r>
              <w:rPr>
                <w:rFonts w:ascii="Arial" w:cs="Arial" w:eastAsia="Arial" w:hAnsi="Arial"/>
                <w:sz w:val="16"/>
                <w:szCs w:val="16"/>
                <w:color w:val="auto"/>
                <w:w w:val="90"/>
              </w:rPr>
              <w:t>$100 Investment Based</w:t>
            </w:r>
          </w:p>
        </w:tc>
        <w:tc>
          <w:tcPr>
            <w:tcW w:w="9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6"/>
        </w:trPr>
        <w:tc>
          <w:tcPr>
            <w:tcW w:w="460" w:type="dxa"/>
            <w:vAlign w:val="bottom"/>
          </w:tcPr>
          <w:p>
            <w:pPr>
              <w:spacing w:after="0"/>
              <w:rPr>
                <w:sz w:val="17"/>
                <w:szCs w:val="17"/>
                <w:color w:val="auto"/>
              </w:rPr>
            </w:pPr>
          </w:p>
        </w:tc>
        <w:tc>
          <w:tcPr>
            <w:tcW w:w="13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680" w:type="dxa"/>
            <w:vAlign w:val="bottom"/>
            <w:tcBorders>
              <w:bottom w:val="single" w:sz="8" w:color="407CCA"/>
            </w:tcBorders>
          </w:tcPr>
          <w:p>
            <w:pPr>
              <w:spacing w:after="0"/>
              <w:rPr>
                <w:sz w:val="17"/>
                <w:szCs w:val="17"/>
                <w:color w:val="auto"/>
              </w:rPr>
            </w:pPr>
          </w:p>
        </w:tc>
        <w:tc>
          <w:tcPr>
            <w:tcW w:w="940" w:type="dxa"/>
            <w:vAlign w:val="bottom"/>
            <w:tcBorders>
              <w:bottom w:val="single" w:sz="8" w:color="407CCA"/>
            </w:tcBorders>
          </w:tcPr>
          <w:p>
            <w:pPr>
              <w:jc w:val="center"/>
              <w:ind w:right="580"/>
              <w:spacing w:after="0"/>
              <w:rPr>
                <w:sz w:val="20"/>
                <w:szCs w:val="20"/>
                <w:color w:val="auto"/>
              </w:rPr>
            </w:pPr>
            <w:r>
              <w:rPr>
                <w:rFonts w:ascii="Arial" w:cs="Arial" w:eastAsia="Arial" w:hAnsi="Arial"/>
                <w:sz w:val="16"/>
                <w:szCs w:val="16"/>
                <w:color w:val="auto"/>
                <w:w w:val="89"/>
              </w:rPr>
              <w:t>on:</w:t>
            </w:r>
          </w:p>
        </w:tc>
        <w:tc>
          <w:tcPr>
            <w:tcW w:w="9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 w:type="dxa"/>
            <w:vAlign w:val="bottom"/>
          </w:tcPr>
          <w:p>
            <w:pPr>
              <w:spacing w:after="0"/>
              <w:rPr>
                <w:sz w:val="17"/>
                <w:szCs w:val="17"/>
                <w:color w:val="auto"/>
              </w:rPr>
            </w:pPr>
          </w:p>
        </w:tc>
        <w:tc>
          <w:tcPr>
            <w:tcW w:w="13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0" w:type="dxa"/>
            <w:vAlign w:val="bottom"/>
          </w:tcPr>
          <w:p>
            <w:pPr>
              <w:jc w:val="center"/>
              <w:spacing w:after="0"/>
              <w:rPr>
                <w:sz w:val="20"/>
                <w:szCs w:val="20"/>
                <w:color w:val="auto"/>
              </w:rPr>
            </w:pPr>
            <w:r>
              <w:rPr>
                <w:rFonts w:ascii="Arial" w:cs="Arial" w:eastAsia="Arial" w:hAnsi="Arial"/>
                <w:sz w:val="16"/>
                <w:szCs w:val="16"/>
                <w:color w:val="auto"/>
                <w:w w:val="90"/>
              </w:rPr>
              <w:t>Average</w:t>
            </w:r>
          </w:p>
        </w:tc>
        <w:tc>
          <w:tcPr>
            <w:tcW w:w="1200" w:type="dxa"/>
            <w:vAlign w:val="bottom"/>
            <w:vMerge w:val="restart"/>
          </w:tcPr>
          <w:p>
            <w:pPr>
              <w:jc w:val="center"/>
              <w:spacing w:after="0"/>
              <w:rPr>
                <w:sz w:val="20"/>
                <w:szCs w:val="20"/>
                <w:color w:val="auto"/>
              </w:rPr>
            </w:pPr>
            <w:r>
              <w:rPr>
                <w:rFonts w:ascii="Arial" w:cs="Arial" w:eastAsia="Arial" w:hAnsi="Arial"/>
                <w:sz w:val="16"/>
                <w:szCs w:val="16"/>
                <w:color w:val="auto"/>
                <w:w w:val="90"/>
              </w:rPr>
              <w:t>Average</w:t>
            </w:r>
          </w:p>
        </w:tc>
        <w:tc>
          <w:tcPr>
            <w:tcW w:w="6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460" w:type="dxa"/>
            <w:vAlign w:val="bottom"/>
          </w:tcPr>
          <w:p>
            <w:pPr>
              <w:spacing w:after="0"/>
              <w:rPr>
                <w:sz w:val="14"/>
                <w:szCs w:val="14"/>
                <w:color w:val="auto"/>
              </w:rPr>
            </w:pPr>
          </w:p>
        </w:tc>
        <w:tc>
          <w:tcPr>
            <w:tcW w:w="1320" w:type="dxa"/>
            <w:vAlign w:val="bottom"/>
            <w:vMerge w:val="restart"/>
          </w:tcPr>
          <w:p>
            <w:pPr>
              <w:jc w:val="center"/>
              <w:spacing w:after="0"/>
              <w:rPr>
                <w:sz w:val="20"/>
                <w:szCs w:val="20"/>
                <w:color w:val="auto"/>
              </w:rPr>
            </w:pPr>
            <w:r>
              <w:rPr>
                <w:rFonts w:ascii="Arial" w:cs="Arial" w:eastAsia="Arial" w:hAnsi="Arial"/>
                <w:sz w:val="16"/>
                <w:szCs w:val="16"/>
                <w:color w:val="auto"/>
                <w:w w:val="93"/>
              </w:rPr>
              <w:t>Summary</w:t>
            </w:r>
          </w:p>
        </w:tc>
        <w:tc>
          <w:tcPr>
            <w:tcW w:w="1160" w:type="dxa"/>
            <w:vAlign w:val="bottom"/>
            <w:vMerge w:val="restart"/>
          </w:tcPr>
          <w:p>
            <w:pPr>
              <w:jc w:val="center"/>
              <w:spacing w:after="0"/>
              <w:rPr>
                <w:sz w:val="20"/>
                <w:szCs w:val="20"/>
                <w:color w:val="auto"/>
              </w:rPr>
            </w:pPr>
            <w:r>
              <w:rPr>
                <w:rFonts w:ascii="Arial" w:cs="Arial" w:eastAsia="Arial" w:hAnsi="Arial"/>
                <w:sz w:val="16"/>
                <w:szCs w:val="16"/>
                <w:color w:val="auto"/>
                <w:w w:val="93"/>
              </w:rPr>
              <w:t>Summary</w:t>
            </w:r>
          </w:p>
        </w:tc>
        <w:tc>
          <w:tcPr>
            <w:tcW w:w="12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200" w:type="dxa"/>
            <w:vAlign w:val="bottom"/>
          </w:tcPr>
          <w:p>
            <w:pPr>
              <w:jc w:val="center"/>
              <w:spacing w:after="0" w:line="162" w:lineRule="exact"/>
              <w:rPr>
                <w:sz w:val="20"/>
                <w:szCs w:val="20"/>
                <w:color w:val="auto"/>
              </w:rPr>
            </w:pPr>
            <w:r>
              <w:rPr>
                <w:rFonts w:ascii="Arial" w:cs="Arial" w:eastAsia="Arial" w:hAnsi="Arial"/>
                <w:sz w:val="16"/>
                <w:szCs w:val="16"/>
                <w:color w:val="auto"/>
                <w:w w:val="93"/>
              </w:rPr>
              <w:t>Summary</w:t>
            </w:r>
          </w:p>
        </w:tc>
        <w:tc>
          <w:tcPr>
            <w:tcW w:w="1200" w:type="dxa"/>
            <w:vAlign w:val="bottom"/>
            <w:vMerge w:val="continue"/>
          </w:tcPr>
          <w:p>
            <w:pPr>
              <w:spacing w:after="0"/>
              <w:rPr>
                <w:sz w:val="14"/>
                <w:szCs w:val="14"/>
                <w:color w:val="auto"/>
              </w:rPr>
            </w:pPr>
          </w:p>
        </w:tc>
        <w:tc>
          <w:tcPr>
            <w:tcW w:w="680" w:type="dxa"/>
            <w:vAlign w:val="bottom"/>
            <w:vMerge w:val="restart"/>
          </w:tcPr>
          <w:p>
            <w:pPr>
              <w:jc w:val="center"/>
              <w:spacing w:after="0"/>
              <w:rPr>
                <w:sz w:val="20"/>
                <w:szCs w:val="20"/>
                <w:color w:val="auto"/>
              </w:rPr>
            </w:pPr>
            <w:r>
              <w:rPr>
                <w:rFonts w:ascii="Arial" w:cs="Arial" w:eastAsia="Arial" w:hAnsi="Arial"/>
                <w:sz w:val="16"/>
                <w:szCs w:val="16"/>
                <w:color w:val="auto"/>
                <w:w w:val="95"/>
              </w:rPr>
              <w:t>Total</w:t>
            </w:r>
          </w:p>
        </w:tc>
        <w:tc>
          <w:tcPr>
            <w:tcW w:w="940" w:type="dxa"/>
            <w:vAlign w:val="bottom"/>
            <w:vMerge w:val="restart"/>
          </w:tcPr>
          <w:p>
            <w:pPr>
              <w:jc w:val="center"/>
              <w:spacing w:after="0"/>
              <w:rPr>
                <w:sz w:val="20"/>
                <w:szCs w:val="20"/>
                <w:color w:val="auto"/>
              </w:rPr>
            </w:pPr>
            <w:r>
              <w:rPr>
                <w:rFonts w:ascii="Arial" w:cs="Arial" w:eastAsia="Arial" w:hAnsi="Arial"/>
                <w:sz w:val="16"/>
                <w:szCs w:val="16"/>
                <w:color w:val="auto"/>
                <w:w w:val="89"/>
              </w:rPr>
              <w:t>Peer Group</w:t>
            </w:r>
          </w:p>
        </w:tc>
        <w:tc>
          <w:tcPr>
            <w:tcW w:w="920" w:type="dxa"/>
            <w:vAlign w:val="bottom"/>
          </w:tcPr>
          <w:p>
            <w:pPr>
              <w:spacing w:after="0"/>
              <w:rPr>
                <w:sz w:val="14"/>
                <w:szCs w:val="14"/>
                <w:color w:val="auto"/>
              </w:rPr>
            </w:pPr>
          </w:p>
        </w:tc>
        <w:tc>
          <w:tcPr>
            <w:tcW w:w="920" w:type="dxa"/>
            <w:vAlign w:val="bottom"/>
            <w:vMerge w:val="restart"/>
          </w:tcPr>
          <w:p>
            <w:pPr>
              <w:jc w:val="center"/>
              <w:spacing w:after="0"/>
              <w:rPr>
                <w:sz w:val="20"/>
                <w:szCs w:val="20"/>
                <w:color w:val="auto"/>
              </w:rPr>
            </w:pPr>
            <w:r>
              <w:rPr>
                <w:rFonts w:ascii="Arial" w:cs="Arial" w:eastAsia="Arial" w:hAnsi="Arial"/>
                <w:sz w:val="16"/>
                <w:szCs w:val="16"/>
                <w:color w:val="auto"/>
                <w:w w:val="93"/>
              </w:rPr>
              <w:t>Relative</w:t>
            </w:r>
          </w:p>
        </w:tc>
        <w:tc>
          <w:tcPr>
            <w:tcW w:w="0" w:type="dxa"/>
            <w:vAlign w:val="bottom"/>
          </w:tcPr>
          <w:p>
            <w:pPr>
              <w:spacing w:after="0"/>
              <w:rPr>
                <w:sz w:val="1"/>
                <w:szCs w:val="1"/>
                <w:color w:val="auto"/>
              </w:rPr>
            </w:pPr>
          </w:p>
        </w:tc>
      </w:tr>
      <w:tr>
        <w:trPr>
          <w:trHeight w:val="108"/>
        </w:trPr>
        <w:tc>
          <w:tcPr>
            <w:tcW w:w="460" w:type="dxa"/>
            <w:vAlign w:val="bottom"/>
          </w:tcPr>
          <w:p>
            <w:pPr>
              <w:spacing w:after="0"/>
              <w:rPr>
                <w:sz w:val="9"/>
                <w:szCs w:val="9"/>
                <w:color w:val="auto"/>
              </w:rPr>
            </w:pPr>
          </w:p>
        </w:tc>
        <w:tc>
          <w:tcPr>
            <w:tcW w:w="1320" w:type="dxa"/>
            <w:vAlign w:val="bottom"/>
            <w:vMerge w:val="continue"/>
          </w:tcPr>
          <w:p>
            <w:pPr>
              <w:spacing w:after="0"/>
              <w:rPr>
                <w:sz w:val="9"/>
                <w:szCs w:val="9"/>
                <w:color w:val="auto"/>
              </w:rPr>
            </w:pPr>
          </w:p>
        </w:tc>
        <w:tc>
          <w:tcPr>
            <w:tcW w:w="1160" w:type="dxa"/>
            <w:vAlign w:val="bottom"/>
            <w:vMerge w:val="continue"/>
          </w:tcPr>
          <w:p>
            <w:pPr>
              <w:spacing w:after="0"/>
              <w:rPr>
                <w:sz w:val="9"/>
                <w:szCs w:val="9"/>
                <w:color w:val="auto"/>
              </w:rPr>
            </w:pPr>
          </w:p>
        </w:tc>
        <w:tc>
          <w:tcPr>
            <w:tcW w:w="124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89"/>
              </w:rPr>
              <w:t>Compensation</w:t>
            </w:r>
          </w:p>
        </w:tc>
        <w:tc>
          <w:tcPr>
            <w:tcW w:w="1200" w:type="dxa"/>
            <w:vAlign w:val="bottom"/>
          </w:tcPr>
          <w:p>
            <w:pPr>
              <w:spacing w:after="0"/>
              <w:rPr>
                <w:sz w:val="9"/>
                <w:szCs w:val="9"/>
                <w:color w:val="auto"/>
              </w:rPr>
            </w:pPr>
          </w:p>
        </w:tc>
        <w:tc>
          <w:tcPr>
            <w:tcW w:w="120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89"/>
              </w:rPr>
              <w:t>Compensation</w:t>
            </w:r>
          </w:p>
        </w:tc>
        <w:tc>
          <w:tcPr>
            <w:tcW w:w="120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1"/>
              </w:rPr>
              <w:t>Compensation</w:t>
            </w:r>
          </w:p>
        </w:tc>
        <w:tc>
          <w:tcPr>
            <w:tcW w:w="680" w:type="dxa"/>
            <w:vAlign w:val="bottom"/>
            <w:vMerge w:val="continue"/>
          </w:tcPr>
          <w:p>
            <w:pPr>
              <w:spacing w:after="0"/>
              <w:rPr>
                <w:sz w:val="9"/>
                <w:szCs w:val="9"/>
                <w:color w:val="auto"/>
              </w:rPr>
            </w:pPr>
          </w:p>
        </w:tc>
        <w:tc>
          <w:tcPr>
            <w:tcW w:w="940" w:type="dxa"/>
            <w:vAlign w:val="bottom"/>
            <w:vMerge w:val="continue"/>
          </w:tcPr>
          <w:p>
            <w:pPr>
              <w:spacing w:after="0"/>
              <w:rPr>
                <w:sz w:val="9"/>
                <w:szCs w:val="9"/>
                <w:color w:val="auto"/>
              </w:rPr>
            </w:pPr>
          </w:p>
        </w:tc>
        <w:tc>
          <w:tcPr>
            <w:tcW w:w="920" w:type="dxa"/>
            <w:vAlign w:val="bottom"/>
          </w:tcPr>
          <w:p>
            <w:pPr>
              <w:spacing w:after="0"/>
              <w:rPr>
                <w:sz w:val="9"/>
                <w:szCs w:val="9"/>
                <w:color w:val="auto"/>
              </w:rPr>
            </w:pPr>
          </w:p>
        </w:tc>
        <w:tc>
          <w:tcPr>
            <w:tcW w:w="9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4"/>
        </w:trPr>
        <w:tc>
          <w:tcPr>
            <w:tcW w:w="460" w:type="dxa"/>
            <w:vAlign w:val="bottom"/>
          </w:tcPr>
          <w:p>
            <w:pPr>
              <w:spacing w:after="0"/>
              <w:rPr>
                <w:sz w:val="4"/>
                <w:szCs w:val="4"/>
                <w:color w:val="auto"/>
              </w:rPr>
            </w:pPr>
          </w:p>
        </w:tc>
        <w:tc>
          <w:tcPr>
            <w:tcW w:w="132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1"/>
              </w:rPr>
              <w:t>Compensation</w:t>
            </w:r>
          </w:p>
        </w:tc>
        <w:tc>
          <w:tcPr>
            <w:tcW w:w="116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1"/>
              </w:rPr>
              <w:t>Compensation</w:t>
            </w:r>
          </w:p>
        </w:tc>
        <w:tc>
          <w:tcPr>
            <w:tcW w:w="1240" w:type="dxa"/>
            <w:vAlign w:val="bottom"/>
            <w:vMerge w:val="continue"/>
          </w:tcPr>
          <w:p>
            <w:pPr>
              <w:spacing w:after="0"/>
              <w:rPr>
                <w:sz w:val="4"/>
                <w:szCs w:val="4"/>
                <w:color w:val="auto"/>
              </w:rPr>
            </w:pPr>
          </w:p>
        </w:tc>
        <w:tc>
          <w:tcPr>
            <w:tcW w:w="120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89"/>
              </w:rPr>
              <w:t>Compensation</w:t>
            </w:r>
          </w:p>
        </w:tc>
        <w:tc>
          <w:tcPr>
            <w:tcW w:w="1200" w:type="dxa"/>
            <w:vAlign w:val="bottom"/>
            <w:vMerge w:val="continue"/>
          </w:tcPr>
          <w:p>
            <w:pPr>
              <w:spacing w:after="0"/>
              <w:rPr>
                <w:sz w:val="4"/>
                <w:szCs w:val="4"/>
                <w:color w:val="auto"/>
              </w:rPr>
            </w:pPr>
          </w:p>
        </w:tc>
        <w:tc>
          <w:tcPr>
            <w:tcW w:w="1200" w:type="dxa"/>
            <w:vAlign w:val="bottom"/>
            <w:vMerge w:val="continue"/>
          </w:tcPr>
          <w:p>
            <w:pPr>
              <w:spacing w:after="0"/>
              <w:rPr>
                <w:sz w:val="4"/>
                <w:szCs w:val="4"/>
                <w:color w:val="auto"/>
              </w:rPr>
            </w:pPr>
          </w:p>
        </w:tc>
        <w:tc>
          <w:tcPr>
            <w:tcW w:w="68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2"/>
              </w:rPr>
              <w:t>Stock-</w:t>
            </w:r>
          </w:p>
        </w:tc>
        <w:tc>
          <w:tcPr>
            <w:tcW w:w="94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3"/>
              </w:rPr>
              <w:t>Total Stock-</w:t>
            </w:r>
          </w:p>
        </w:tc>
        <w:tc>
          <w:tcPr>
            <w:tcW w:w="92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2"/>
              </w:rPr>
              <w:t>Net Income</w:t>
            </w:r>
          </w:p>
        </w:tc>
        <w:tc>
          <w:tcPr>
            <w:tcW w:w="92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6"/>
              </w:rPr>
              <w:t>Annual</w:t>
            </w:r>
          </w:p>
        </w:tc>
        <w:tc>
          <w:tcPr>
            <w:tcW w:w="0" w:type="dxa"/>
            <w:vAlign w:val="bottom"/>
          </w:tcPr>
          <w:p>
            <w:pPr>
              <w:spacing w:after="0"/>
              <w:rPr>
                <w:sz w:val="1"/>
                <w:szCs w:val="1"/>
                <w:color w:val="auto"/>
              </w:rPr>
            </w:pPr>
          </w:p>
        </w:tc>
      </w:tr>
      <w:tr>
        <w:trPr>
          <w:trHeight w:val="108"/>
        </w:trPr>
        <w:tc>
          <w:tcPr>
            <w:tcW w:w="460" w:type="dxa"/>
            <w:vAlign w:val="bottom"/>
          </w:tcPr>
          <w:p>
            <w:pPr>
              <w:spacing w:after="0"/>
              <w:rPr>
                <w:sz w:val="9"/>
                <w:szCs w:val="9"/>
                <w:color w:val="auto"/>
              </w:rPr>
            </w:pPr>
          </w:p>
        </w:tc>
        <w:tc>
          <w:tcPr>
            <w:tcW w:w="1320" w:type="dxa"/>
            <w:vAlign w:val="bottom"/>
            <w:vMerge w:val="continue"/>
          </w:tcPr>
          <w:p>
            <w:pPr>
              <w:spacing w:after="0"/>
              <w:rPr>
                <w:sz w:val="9"/>
                <w:szCs w:val="9"/>
                <w:color w:val="auto"/>
              </w:rPr>
            </w:pPr>
          </w:p>
        </w:tc>
        <w:tc>
          <w:tcPr>
            <w:tcW w:w="1160" w:type="dxa"/>
            <w:vAlign w:val="bottom"/>
            <w:vMerge w:val="continue"/>
          </w:tcPr>
          <w:p>
            <w:pPr>
              <w:spacing w:after="0"/>
              <w:rPr>
                <w:sz w:val="9"/>
                <w:szCs w:val="9"/>
                <w:color w:val="auto"/>
              </w:rPr>
            </w:pPr>
          </w:p>
        </w:tc>
        <w:tc>
          <w:tcPr>
            <w:tcW w:w="124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4"/>
              </w:rPr>
              <w:t>Actually Paid to</w:t>
            </w:r>
          </w:p>
        </w:tc>
        <w:tc>
          <w:tcPr>
            <w:tcW w:w="1200" w:type="dxa"/>
            <w:vAlign w:val="bottom"/>
            <w:vMerge w:val="continue"/>
          </w:tcPr>
          <w:p>
            <w:pPr>
              <w:spacing w:after="0"/>
              <w:rPr>
                <w:sz w:val="9"/>
                <w:szCs w:val="9"/>
                <w:color w:val="auto"/>
              </w:rPr>
            </w:pPr>
          </w:p>
        </w:tc>
        <w:tc>
          <w:tcPr>
            <w:tcW w:w="120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3"/>
              </w:rPr>
              <w:t>Table Total for</w:t>
            </w:r>
          </w:p>
        </w:tc>
        <w:tc>
          <w:tcPr>
            <w:tcW w:w="1200" w:type="dxa"/>
            <w:vAlign w:val="bottom"/>
            <w:vMerge w:val="restart"/>
          </w:tcPr>
          <w:p>
            <w:pPr>
              <w:jc w:val="center"/>
              <w:spacing w:after="0" w:line="162" w:lineRule="exact"/>
              <w:rPr>
                <w:sz w:val="20"/>
                <w:szCs w:val="20"/>
                <w:color w:val="auto"/>
              </w:rPr>
            </w:pPr>
            <w:r>
              <w:rPr>
                <w:rFonts w:ascii="Arial" w:cs="Arial" w:eastAsia="Arial" w:hAnsi="Arial"/>
                <w:sz w:val="16"/>
                <w:szCs w:val="16"/>
                <w:color w:val="auto"/>
                <w:w w:val="94"/>
              </w:rPr>
              <w:t>Actually Paid to</w:t>
            </w:r>
          </w:p>
        </w:tc>
        <w:tc>
          <w:tcPr>
            <w:tcW w:w="680" w:type="dxa"/>
            <w:vAlign w:val="bottom"/>
            <w:vMerge w:val="continue"/>
          </w:tcPr>
          <w:p>
            <w:pPr>
              <w:spacing w:after="0"/>
              <w:rPr>
                <w:sz w:val="9"/>
                <w:szCs w:val="9"/>
                <w:color w:val="auto"/>
              </w:rPr>
            </w:pPr>
          </w:p>
        </w:tc>
        <w:tc>
          <w:tcPr>
            <w:tcW w:w="940" w:type="dxa"/>
            <w:vAlign w:val="bottom"/>
            <w:vMerge w:val="continue"/>
          </w:tcPr>
          <w:p>
            <w:pPr>
              <w:spacing w:after="0"/>
              <w:rPr>
                <w:sz w:val="9"/>
                <w:szCs w:val="9"/>
                <w:color w:val="auto"/>
              </w:rPr>
            </w:pPr>
          </w:p>
        </w:tc>
        <w:tc>
          <w:tcPr>
            <w:tcW w:w="920" w:type="dxa"/>
            <w:vAlign w:val="bottom"/>
            <w:vMerge w:val="continue"/>
          </w:tcPr>
          <w:p>
            <w:pPr>
              <w:spacing w:after="0"/>
              <w:rPr>
                <w:sz w:val="9"/>
                <w:szCs w:val="9"/>
                <w:color w:val="auto"/>
              </w:rPr>
            </w:pPr>
          </w:p>
        </w:tc>
        <w:tc>
          <w:tcPr>
            <w:tcW w:w="9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4"/>
        </w:trPr>
        <w:tc>
          <w:tcPr>
            <w:tcW w:w="460" w:type="dxa"/>
            <w:vAlign w:val="bottom"/>
          </w:tcPr>
          <w:p>
            <w:pPr>
              <w:spacing w:after="0"/>
              <w:rPr>
                <w:sz w:val="4"/>
                <w:szCs w:val="4"/>
                <w:color w:val="auto"/>
              </w:rPr>
            </w:pPr>
          </w:p>
        </w:tc>
        <w:tc>
          <w:tcPr>
            <w:tcW w:w="1320" w:type="dxa"/>
            <w:vAlign w:val="bottom"/>
            <w:vMerge w:val="restart"/>
          </w:tcPr>
          <w:p>
            <w:pPr>
              <w:jc w:val="center"/>
              <w:spacing w:after="0"/>
              <w:rPr>
                <w:sz w:val="20"/>
                <w:szCs w:val="20"/>
                <w:color w:val="auto"/>
              </w:rPr>
            </w:pPr>
            <w:r>
              <w:rPr>
                <w:rFonts w:ascii="Arial" w:cs="Arial" w:eastAsia="Arial" w:hAnsi="Arial"/>
                <w:sz w:val="16"/>
                <w:szCs w:val="16"/>
                <w:color w:val="auto"/>
                <w:w w:val="93"/>
              </w:rPr>
              <w:t>Table Total for</w:t>
            </w:r>
          </w:p>
        </w:tc>
        <w:tc>
          <w:tcPr>
            <w:tcW w:w="1160" w:type="dxa"/>
            <w:vAlign w:val="bottom"/>
            <w:vMerge w:val="restart"/>
          </w:tcPr>
          <w:p>
            <w:pPr>
              <w:jc w:val="center"/>
              <w:spacing w:after="0"/>
              <w:rPr>
                <w:sz w:val="20"/>
                <w:szCs w:val="20"/>
                <w:color w:val="auto"/>
              </w:rPr>
            </w:pPr>
            <w:r>
              <w:rPr>
                <w:rFonts w:ascii="Arial" w:cs="Arial" w:eastAsia="Arial" w:hAnsi="Arial"/>
                <w:sz w:val="16"/>
                <w:szCs w:val="16"/>
                <w:color w:val="auto"/>
                <w:w w:val="93"/>
              </w:rPr>
              <w:t>Table Total for</w:t>
            </w:r>
          </w:p>
        </w:tc>
        <w:tc>
          <w:tcPr>
            <w:tcW w:w="1240" w:type="dxa"/>
            <w:vAlign w:val="bottom"/>
            <w:vMerge w:val="continue"/>
          </w:tcPr>
          <w:p>
            <w:pPr>
              <w:spacing w:after="0"/>
              <w:rPr>
                <w:sz w:val="4"/>
                <w:szCs w:val="4"/>
                <w:color w:val="auto"/>
              </w:rPr>
            </w:pPr>
          </w:p>
        </w:tc>
        <w:tc>
          <w:tcPr>
            <w:tcW w:w="1200" w:type="dxa"/>
            <w:vAlign w:val="bottom"/>
            <w:vMerge w:val="restart"/>
          </w:tcPr>
          <w:p>
            <w:pPr>
              <w:jc w:val="center"/>
              <w:spacing w:after="0"/>
              <w:rPr>
                <w:sz w:val="20"/>
                <w:szCs w:val="20"/>
                <w:color w:val="auto"/>
              </w:rPr>
            </w:pPr>
            <w:r>
              <w:rPr>
                <w:rFonts w:ascii="Arial" w:cs="Arial" w:eastAsia="Arial" w:hAnsi="Arial"/>
                <w:sz w:val="16"/>
                <w:szCs w:val="16"/>
                <w:color w:val="auto"/>
                <w:w w:val="94"/>
              </w:rPr>
              <w:t>Actually Paid to</w:t>
            </w:r>
          </w:p>
        </w:tc>
        <w:tc>
          <w:tcPr>
            <w:tcW w:w="1200" w:type="dxa"/>
            <w:vAlign w:val="bottom"/>
            <w:vMerge w:val="continue"/>
          </w:tcPr>
          <w:p>
            <w:pPr>
              <w:spacing w:after="0"/>
              <w:rPr>
                <w:sz w:val="4"/>
                <w:szCs w:val="4"/>
                <w:color w:val="auto"/>
              </w:rPr>
            </w:pPr>
          </w:p>
        </w:tc>
        <w:tc>
          <w:tcPr>
            <w:tcW w:w="1200" w:type="dxa"/>
            <w:vAlign w:val="bottom"/>
            <w:vMerge w:val="continue"/>
          </w:tcPr>
          <w:p>
            <w:pPr>
              <w:spacing w:after="0"/>
              <w:rPr>
                <w:sz w:val="4"/>
                <w:szCs w:val="4"/>
                <w:color w:val="auto"/>
              </w:rPr>
            </w:pPr>
          </w:p>
        </w:tc>
        <w:tc>
          <w:tcPr>
            <w:tcW w:w="680" w:type="dxa"/>
            <w:vAlign w:val="bottom"/>
            <w:vMerge w:val="restart"/>
          </w:tcPr>
          <w:p>
            <w:pPr>
              <w:jc w:val="center"/>
              <w:spacing w:after="0"/>
              <w:rPr>
                <w:sz w:val="20"/>
                <w:szCs w:val="20"/>
                <w:color w:val="auto"/>
              </w:rPr>
            </w:pPr>
            <w:r>
              <w:rPr>
                <w:rFonts w:ascii="Arial" w:cs="Arial" w:eastAsia="Arial" w:hAnsi="Arial"/>
                <w:sz w:val="16"/>
                <w:szCs w:val="16"/>
                <w:color w:val="auto"/>
                <w:w w:val="94"/>
              </w:rPr>
              <w:t>holder</w:t>
            </w:r>
          </w:p>
        </w:tc>
        <w:tc>
          <w:tcPr>
            <w:tcW w:w="940" w:type="dxa"/>
            <w:vAlign w:val="bottom"/>
            <w:vMerge w:val="restart"/>
          </w:tcPr>
          <w:p>
            <w:pPr>
              <w:jc w:val="center"/>
              <w:spacing w:after="0"/>
              <w:rPr>
                <w:sz w:val="20"/>
                <w:szCs w:val="20"/>
                <w:color w:val="auto"/>
              </w:rPr>
            </w:pPr>
            <w:r>
              <w:rPr>
                <w:rFonts w:ascii="Arial" w:cs="Arial" w:eastAsia="Arial" w:hAnsi="Arial"/>
                <w:sz w:val="16"/>
                <w:szCs w:val="16"/>
                <w:color w:val="auto"/>
                <w:w w:val="94"/>
              </w:rPr>
              <w:t>holder</w:t>
            </w:r>
          </w:p>
        </w:tc>
        <w:tc>
          <w:tcPr>
            <w:tcW w:w="920" w:type="dxa"/>
            <w:vAlign w:val="bottom"/>
            <w:vMerge w:val="restart"/>
          </w:tcPr>
          <w:p>
            <w:pPr>
              <w:jc w:val="center"/>
              <w:spacing w:after="0"/>
              <w:rPr>
                <w:sz w:val="20"/>
                <w:szCs w:val="20"/>
                <w:color w:val="auto"/>
              </w:rPr>
            </w:pPr>
            <w:r>
              <w:rPr>
                <w:rFonts w:ascii="Arial" w:cs="Arial" w:eastAsia="Arial" w:hAnsi="Arial"/>
                <w:sz w:val="16"/>
                <w:szCs w:val="16"/>
                <w:color w:val="auto"/>
                <w:w w:val="96"/>
              </w:rPr>
              <w:t>($ in</w:t>
            </w:r>
          </w:p>
        </w:tc>
        <w:tc>
          <w:tcPr>
            <w:tcW w:w="920" w:type="dxa"/>
            <w:vAlign w:val="bottom"/>
            <w:vMerge w:val="restart"/>
          </w:tcPr>
          <w:p>
            <w:pPr>
              <w:jc w:val="center"/>
              <w:spacing w:after="0"/>
              <w:rPr>
                <w:sz w:val="20"/>
                <w:szCs w:val="20"/>
                <w:color w:val="auto"/>
              </w:rPr>
            </w:pPr>
            <w:r>
              <w:rPr>
                <w:rFonts w:ascii="Arial" w:cs="Arial" w:eastAsia="Arial" w:hAnsi="Arial"/>
                <w:sz w:val="16"/>
                <w:szCs w:val="16"/>
                <w:color w:val="auto"/>
                <w:w w:val="91"/>
              </w:rPr>
              <w:t>Economic</w:t>
            </w:r>
          </w:p>
        </w:tc>
        <w:tc>
          <w:tcPr>
            <w:tcW w:w="0" w:type="dxa"/>
            <w:vAlign w:val="bottom"/>
          </w:tcPr>
          <w:p>
            <w:pPr>
              <w:spacing w:after="0"/>
              <w:rPr>
                <w:sz w:val="1"/>
                <w:szCs w:val="1"/>
                <w:color w:val="auto"/>
              </w:rPr>
            </w:pPr>
          </w:p>
        </w:tc>
      </w:tr>
      <w:tr>
        <w:trPr>
          <w:trHeight w:val="158"/>
        </w:trPr>
        <w:tc>
          <w:tcPr>
            <w:tcW w:w="460" w:type="dxa"/>
            <w:vAlign w:val="bottom"/>
            <w:vMerge w:val="restart"/>
          </w:tcPr>
          <w:p>
            <w:pPr>
              <w:ind w:left="100"/>
              <w:spacing w:after="0"/>
              <w:rPr>
                <w:sz w:val="20"/>
                <w:szCs w:val="20"/>
                <w:color w:val="auto"/>
              </w:rPr>
            </w:pPr>
            <w:r>
              <w:rPr>
                <w:rFonts w:ascii="Arial" w:cs="Arial" w:eastAsia="Arial" w:hAnsi="Arial"/>
                <w:sz w:val="16"/>
                <w:szCs w:val="16"/>
                <w:color w:val="auto"/>
              </w:rPr>
              <w:t>Year</w:t>
            </w:r>
          </w:p>
        </w:tc>
        <w:tc>
          <w:tcPr>
            <w:tcW w:w="1320" w:type="dxa"/>
            <w:vAlign w:val="bottom"/>
            <w:vMerge w:val="continue"/>
          </w:tcPr>
          <w:p>
            <w:pPr>
              <w:spacing w:after="0"/>
              <w:rPr>
                <w:sz w:val="13"/>
                <w:szCs w:val="13"/>
                <w:color w:val="auto"/>
              </w:rPr>
            </w:pPr>
          </w:p>
        </w:tc>
        <w:tc>
          <w:tcPr>
            <w:tcW w:w="1160" w:type="dxa"/>
            <w:vAlign w:val="bottom"/>
            <w:vMerge w:val="continue"/>
          </w:tcPr>
          <w:p>
            <w:pPr>
              <w:spacing w:after="0"/>
              <w:rPr>
                <w:sz w:val="13"/>
                <w:szCs w:val="13"/>
                <w:color w:val="auto"/>
              </w:rPr>
            </w:pPr>
          </w:p>
        </w:tc>
        <w:tc>
          <w:tcPr>
            <w:tcW w:w="1240" w:type="dxa"/>
            <w:vAlign w:val="bottom"/>
          </w:tcPr>
          <w:p>
            <w:pPr>
              <w:jc w:val="center"/>
              <w:spacing w:after="0" w:line="158" w:lineRule="exact"/>
              <w:rPr>
                <w:sz w:val="20"/>
                <w:szCs w:val="20"/>
                <w:color w:val="auto"/>
              </w:rPr>
            </w:pPr>
            <w:r>
              <w:rPr>
                <w:rFonts w:ascii="Arial" w:cs="Arial" w:eastAsia="Arial" w:hAnsi="Arial"/>
                <w:sz w:val="16"/>
                <w:szCs w:val="16"/>
                <w:color w:val="auto"/>
                <w:w w:val="92"/>
              </w:rPr>
              <w:t>Current CEO ($)</w:t>
            </w:r>
          </w:p>
        </w:tc>
        <w:tc>
          <w:tcPr>
            <w:tcW w:w="1200" w:type="dxa"/>
            <w:vAlign w:val="bottom"/>
            <w:vMerge w:val="continue"/>
          </w:tcPr>
          <w:p>
            <w:pPr>
              <w:spacing w:after="0"/>
              <w:rPr>
                <w:sz w:val="13"/>
                <w:szCs w:val="13"/>
                <w:color w:val="auto"/>
              </w:rPr>
            </w:pPr>
          </w:p>
        </w:tc>
        <w:tc>
          <w:tcPr>
            <w:tcW w:w="1200" w:type="dxa"/>
            <w:vAlign w:val="bottom"/>
          </w:tcPr>
          <w:p>
            <w:pPr>
              <w:jc w:val="center"/>
              <w:spacing w:after="0" w:line="158" w:lineRule="exact"/>
              <w:rPr>
                <w:sz w:val="20"/>
                <w:szCs w:val="20"/>
                <w:color w:val="auto"/>
              </w:rPr>
            </w:pPr>
            <w:r>
              <w:rPr>
                <w:rFonts w:ascii="Arial" w:cs="Arial" w:eastAsia="Arial" w:hAnsi="Arial"/>
                <w:sz w:val="16"/>
                <w:szCs w:val="16"/>
                <w:color w:val="auto"/>
                <w:w w:val="92"/>
              </w:rPr>
              <w:t>Non-CEO NEOs</w:t>
            </w:r>
          </w:p>
        </w:tc>
        <w:tc>
          <w:tcPr>
            <w:tcW w:w="1200" w:type="dxa"/>
            <w:vAlign w:val="bottom"/>
          </w:tcPr>
          <w:p>
            <w:pPr>
              <w:jc w:val="center"/>
              <w:spacing w:after="0" w:line="158" w:lineRule="exact"/>
              <w:rPr>
                <w:sz w:val="20"/>
                <w:szCs w:val="20"/>
                <w:color w:val="auto"/>
              </w:rPr>
            </w:pPr>
            <w:r>
              <w:rPr>
                <w:rFonts w:ascii="Arial" w:cs="Arial" w:eastAsia="Arial" w:hAnsi="Arial"/>
                <w:sz w:val="16"/>
                <w:szCs w:val="16"/>
                <w:color w:val="auto"/>
                <w:w w:val="92"/>
              </w:rPr>
              <w:t>Non-CEO NEOs</w:t>
            </w:r>
          </w:p>
        </w:tc>
        <w:tc>
          <w:tcPr>
            <w:tcW w:w="680" w:type="dxa"/>
            <w:vAlign w:val="bottom"/>
            <w:vMerge w:val="continue"/>
          </w:tcPr>
          <w:p>
            <w:pPr>
              <w:spacing w:after="0"/>
              <w:rPr>
                <w:sz w:val="13"/>
                <w:szCs w:val="13"/>
                <w:color w:val="auto"/>
              </w:rPr>
            </w:pPr>
          </w:p>
        </w:tc>
        <w:tc>
          <w:tcPr>
            <w:tcW w:w="940" w:type="dxa"/>
            <w:vAlign w:val="bottom"/>
            <w:vMerge w:val="continue"/>
          </w:tcPr>
          <w:p>
            <w:pPr>
              <w:spacing w:after="0"/>
              <w:rPr>
                <w:sz w:val="13"/>
                <w:szCs w:val="13"/>
                <w:color w:val="auto"/>
              </w:rPr>
            </w:pPr>
          </w:p>
        </w:tc>
        <w:tc>
          <w:tcPr>
            <w:tcW w:w="920" w:type="dxa"/>
            <w:vAlign w:val="bottom"/>
            <w:vMerge w:val="continue"/>
          </w:tcPr>
          <w:p>
            <w:pPr>
              <w:spacing w:after="0"/>
              <w:rPr>
                <w:sz w:val="13"/>
                <w:szCs w:val="13"/>
                <w:color w:val="auto"/>
              </w:rPr>
            </w:pPr>
          </w:p>
        </w:tc>
        <w:tc>
          <w:tcPr>
            <w:tcW w:w="92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460" w:type="dxa"/>
            <w:vAlign w:val="bottom"/>
            <w:tcBorders>
              <w:bottom w:val="single" w:sz="8" w:color="407CCA"/>
            </w:tcBorders>
            <w:vMerge w:val="continue"/>
          </w:tcPr>
          <w:p>
            <w:pPr>
              <w:spacing w:after="0"/>
              <w:rPr>
                <w:sz w:val="14"/>
                <w:szCs w:val="14"/>
                <w:color w:val="auto"/>
              </w:rPr>
            </w:pPr>
          </w:p>
        </w:tc>
        <w:tc>
          <w:tcPr>
            <w:tcW w:w="132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rPr>
              <w:t xml:space="preserve">Current CEO ($) </w:t>
            </w:r>
            <w:r>
              <w:rPr>
                <w:rFonts w:ascii="Arial" w:cs="Arial" w:eastAsia="Arial" w:hAnsi="Arial"/>
                <w:sz w:val="18"/>
                <w:szCs w:val="18"/>
                <w:color w:val="auto"/>
                <w:vertAlign w:val="superscript"/>
              </w:rPr>
              <w:t>1</w:t>
            </w:r>
          </w:p>
        </w:tc>
        <w:tc>
          <w:tcPr>
            <w:tcW w:w="116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rPr>
              <w:t xml:space="preserve">Prior CEO ($) </w:t>
            </w:r>
            <w:r>
              <w:rPr>
                <w:rFonts w:ascii="Arial" w:cs="Arial" w:eastAsia="Arial" w:hAnsi="Arial"/>
                <w:sz w:val="18"/>
                <w:szCs w:val="18"/>
                <w:color w:val="auto"/>
                <w:vertAlign w:val="superscript"/>
              </w:rPr>
              <w:t>1</w:t>
            </w:r>
          </w:p>
        </w:tc>
        <w:tc>
          <w:tcPr>
            <w:tcW w:w="1240" w:type="dxa"/>
            <w:vAlign w:val="bottom"/>
            <w:tcBorders>
              <w:bottom w:val="single" w:sz="8" w:color="407CCA"/>
            </w:tcBorders>
          </w:tcPr>
          <w:p>
            <w:pPr>
              <w:jc w:val="center"/>
              <w:spacing w:after="0"/>
              <w:rPr>
                <w:sz w:val="20"/>
                <w:szCs w:val="20"/>
                <w:color w:val="auto"/>
              </w:rPr>
            </w:pPr>
            <w:r>
              <w:rPr>
                <w:rFonts w:ascii="Arial" w:cs="Arial" w:eastAsia="Arial" w:hAnsi="Arial"/>
                <w:sz w:val="9"/>
                <w:szCs w:val="9"/>
                <w:color w:val="auto"/>
                <w:w w:val="78"/>
              </w:rPr>
              <w:t>1</w:t>
            </w:r>
          </w:p>
        </w:tc>
        <w:tc>
          <w:tcPr>
            <w:tcW w:w="120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rPr>
              <w:t xml:space="preserve">Prior CEO ($) </w:t>
            </w:r>
            <w:r>
              <w:rPr>
                <w:rFonts w:ascii="Arial" w:cs="Arial" w:eastAsia="Arial" w:hAnsi="Arial"/>
                <w:sz w:val="18"/>
                <w:szCs w:val="18"/>
                <w:color w:val="auto"/>
                <w:vertAlign w:val="superscript"/>
              </w:rPr>
              <w:t>1</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9"/>
                <w:szCs w:val="9"/>
                <w:color w:val="auto"/>
                <w:w w:val="78"/>
              </w:rPr>
              <w:t>2</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9"/>
                <w:szCs w:val="9"/>
                <w:color w:val="auto"/>
                <w:w w:val="78"/>
              </w:rPr>
              <w:t>2</w:t>
            </w:r>
          </w:p>
        </w:tc>
        <w:tc>
          <w:tcPr>
            <w:tcW w:w="68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rPr>
              <w:t xml:space="preserve">Return </w:t>
            </w:r>
            <w:r>
              <w:rPr>
                <w:rFonts w:ascii="Arial" w:cs="Arial" w:eastAsia="Arial" w:hAnsi="Arial"/>
                <w:sz w:val="18"/>
                <w:szCs w:val="18"/>
                <w:color w:val="auto"/>
                <w:vertAlign w:val="superscript"/>
              </w:rPr>
              <w:t>3</w:t>
            </w:r>
          </w:p>
        </w:tc>
        <w:tc>
          <w:tcPr>
            <w:tcW w:w="94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w w:val="98"/>
              </w:rPr>
              <w:t xml:space="preserve">Return </w:t>
            </w:r>
            <w:r>
              <w:rPr>
                <w:rFonts w:ascii="Arial" w:cs="Arial" w:eastAsia="Arial" w:hAnsi="Arial"/>
                <w:sz w:val="18"/>
                <w:szCs w:val="18"/>
                <w:color w:val="auto"/>
                <w:w w:val="98"/>
                <w:vertAlign w:val="superscript"/>
              </w:rPr>
              <w:t>3,4</w:t>
            </w:r>
          </w:p>
        </w:tc>
        <w:tc>
          <w:tcPr>
            <w:tcW w:w="92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rPr>
              <w:t xml:space="preserve">Millions) </w:t>
            </w:r>
            <w:r>
              <w:rPr>
                <w:rFonts w:ascii="Arial" w:cs="Arial" w:eastAsia="Arial" w:hAnsi="Arial"/>
                <w:sz w:val="18"/>
                <w:szCs w:val="18"/>
                <w:color w:val="auto"/>
                <w:vertAlign w:val="superscript"/>
              </w:rPr>
              <w:t>5</w:t>
            </w:r>
          </w:p>
        </w:tc>
        <w:tc>
          <w:tcPr>
            <w:tcW w:w="920" w:type="dxa"/>
            <w:vAlign w:val="bottom"/>
            <w:tcBorders>
              <w:bottom w:val="single" w:sz="8" w:color="407CCA"/>
            </w:tcBorders>
          </w:tcPr>
          <w:p>
            <w:pPr>
              <w:jc w:val="center"/>
              <w:spacing w:after="0" w:line="162" w:lineRule="exact"/>
              <w:rPr>
                <w:sz w:val="20"/>
                <w:szCs w:val="20"/>
                <w:color w:val="auto"/>
              </w:rPr>
            </w:pPr>
            <w:r>
              <w:rPr>
                <w:rFonts w:ascii="Arial" w:cs="Arial" w:eastAsia="Arial" w:hAnsi="Arial"/>
                <w:sz w:val="14"/>
                <w:szCs w:val="14"/>
                <w:color w:val="auto"/>
                <w:w w:val="98"/>
              </w:rPr>
              <w:t xml:space="preserve">Return </w:t>
            </w:r>
            <w:r>
              <w:rPr>
                <w:rFonts w:ascii="Arial" w:cs="Arial" w:eastAsia="Arial" w:hAnsi="Arial"/>
                <w:sz w:val="18"/>
                <w:szCs w:val="18"/>
                <w:color w:val="auto"/>
                <w:w w:val="98"/>
                <w:vertAlign w:val="superscript"/>
              </w:rPr>
              <w:t>6</w:t>
            </w:r>
          </w:p>
        </w:tc>
        <w:tc>
          <w:tcPr>
            <w:tcW w:w="0" w:type="dxa"/>
            <w:vAlign w:val="bottom"/>
          </w:tcPr>
          <w:p>
            <w:pPr>
              <w:spacing w:after="0"/>
              <w:rPr>
                <w:sz w:val="1"/>
                <w:szCs w:val="1"/>
                <w:color w:val="auto"/>
              </w:rPr>
            </w:pPr>
          </w:p>
        </w:tc>
      </w:tr>
      <w:tr>
        <w:trPr>
          <w:trHeight w:val="204"/>
        </w:trPr>
        <w:tc>
          <w:tcPr>
            <w:tcW w:w="460" w:type="dxa"/>
            <w:vAlign w:val="bottom"/>
          </w:tcPr>
          <w:p>
            <w:pPr>
              <w:ind w:left="80"/>
              <w:spacing w:after="0"/>
              <w:rPr>
                <w:sz w:val="20"/>
                <w:szCs w:val="20"/>
                <w:color w:val="auto"/>
              </w:rPr>
            </w:pPr>
            <w:r>
              <w:rPr>
                <w:rFonts w:ascii="Arial" w:cs="Arial" w:eastAsia="Arial" w:hAnsi="Arial"/>
                <w:sz w:val="16"/>
                <w:szCs w:val="16"/>
                <w:color w:val="auto"/>
              </w:rPr>
              <w:t>2022</w:t>
            </w:r>
          </w:p>
        </w:tc>
        <w:tc>
          <w:tcPr>
            <w:tcW w:w="1320" w:type="dxa"/>
            <w:vAlign w:val="bottom"/>
          </w:tcPr>
          <w:p>
            <w:pPr>
              <w:jc w:val="center"/>
              <w:spacing w:after="0"/>
              <w:rPr>
                <w:sz w:val="20"/>
                <w:szCs w:val="20"/>
                <w:color w:val="auto"/>
              </w:rPr>
            </w:pPr>
            <w:r>
              <w:rPr>
                <w:rFonts w:ascii="Arial" w:cs="Arial" w:eastAsia="Arial" w:hAnsi="Arial"/>
                <w:sz w:val="16"/>
                <w:szCs w:val="16"/>
                <w:color w:val="auto"/>
                <w:w w:val="89"/>
              </w:rPr>
              <w:t>$7,646,700</w:t>
            </w:r>
          </w:p>
        </w:tc>
        <w:tc>
          <w:tcPr>
            <w:tcW w:w="1160" w:type="dxa"/>
            <w:vAlign w:val="bottom"/>
          </w:tcPr>
          <w:p>
            <w:pPr>
              <w:jc w:val="center"/>
              <w:spacing w:after="0"/>
              <w:rPr>
                <w:sz w:val="20"/>
                <w:szCs w:val="20"/>
                <w:color w:val="auto"/>
              </w:rPr>
            </w:pPr>
            <w:r>
              <w:rPr>
                <w:rFonts w:ascii="Arial" w:cs="Arial" w:eastAsia="Arial" w:hAnsi="Arial"/>
                <w:sz w:val="16"/>
                <w:szCs w:val="16"/>
                <w:color w:val="auto"/>
              </w:rPr>
              <w:t>N/A</w:t>
            </w:r>
          </w:p>
        </w:tc>
        <w:tc>
          <w:tcPr>
            <w:tcW w:w="1240" w:type="dxa"/>
            <w:vAlign w:val="bottom"/>
          </w:tcPr>
          <w:p>
            <w:pPr>
              <w:jc w:val="center"/>
              <w:spacing w:after="0"/>
              <w:rPr>
                <w:sz w:val="20"/>
                <w:szCs w:val="20"/>
                <w:color w:val="auto"/>
              </w:rPr>
            </w:pPr>
            <w:r>
              <w:rPr>
                <w:rFonts w:ascii="Arial" w:cs="Arial" w:eastAsia="Arial" w:hAnsi="Arial"/>
                <w:sz w:val="16"/>
                <w:szCs w:val="16"/>
                <w:color w:val="auto"/>
                <w:w w:val="89"/>
              </w:rPr>
              <w:t>$3,653,990</w:t>
            </w:r>
          </w:p>
        </w:tc>
        <w:tc>
          <w:tcPr>
            <w:tcW w:w="1200" w:type="dxa"/>
            <w:vAlign w:val="bottom"/>
          </w:tcPr>
          <w:p>
            <w:pPr>
              <w:jc w:val="center"/>
              <w:spacing w:after="0"/>
              <w:rPr>
                <w:sz w:val="20"/>
                <w:szCs w:val="20"/>
                <w:color w:val="auto"/>
              </w:rPr>
            </w:pPr>
            <w:r>
              <w:rPr>
                <w:rFonts w:ascii="Arial" w:cs="Arial" w:eastAsia="Arial" w:hAnsi="Arial"/>
                <w:sz w:val="16"/>
                <w:szCs w:val="16"/>
                <w:color w:val="auto"/>
              </w:rPr>
              <w:t>N/A</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$4,266,463</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$1,425,320</w:t>
            </w:r>
          </w:p>
        </w:tc>
        <w:tc>
          <w:tcPr>
            <w:tcW w:w="680" w:type="dxa"/>
            <w:vAlign w:val="bottom"/>
          </w:tcPr>
          <w:p>
            <w:pPr>
              <w:jc w:val="center"/>
              <w:spacing w:after="0"/>
              <w:rPr>
                <w:sz w:val="20"/>
                <w:szCs w:val="20"/>
                <w:color w:val="auto"/>
              </w:rPr>
            </w:pPr>
            <w:r>
              <w:rPr>
                <w:rFonts w:ascii="Arial" w:cs="Arial" w:eastAsia="Arial" w:hAnsi="Arial"/>
                <w:sz w:val="16"/>
                <w:szCs w:val="16"/>
                <w:color w:val="auto"/>
                <w:w w:val="89"/>
              </w:rPr>
              <w:t>$81.01</w:t>
            </w:r>
          </w:p>
        </w:tc>
        <w:tc>
          <w:tcPr>
            <w:tcW w:w="940" w:type="dxa"/>
            <w:vAlign w:val="bottom"/>
          </w:tcPr>
          <w:p>
            <w:pPr>
              <w:jc w:val="center"/>
              <w:spacing w:after="0"/>
              <w:rPr>
                <w:sz w:val="20"/>
                <w:szCs w:val="20"/>
                <w:color w:val="auto"/>
              </w:rPr>
            </w:pPr>
            <w:r>
              <w:rPr>
                <w:rFonts w:ascii="Arial" w:cs="Arial" w:eastAsia="Arial" w:hAnsi="Arial"/>
                <w:sz w:val="16"/>
                <w:szCs w:val="16"/>
                <w:color w:val="auto"/>
                <w:w w:val="89"/>
              </w:rPr>
              <w:t>$69.20</w:t>
            </w:r>
          </w:p>
        </w:tc>
        <w:tc>
          <w:tcPr>
            <w:tcW w:w="920" w:type="dxa"/>
            <w:vAlign w:val="bottom"/>
          </w:tcPr>
          <w:p>
            <w:pPr>
              <w:jc w:val="center"/>
              <w:spacing w:after="0"/>
              <w:rPr>
                <w:sz w:val="20"/>
                <w:szCs w:val="20"/>
                <w:color w:val="auto"/>
              </w:rPr>
            </w:pPr>
            <w:r>
              <w:rPr>
                <w:rFonts w:ascii="Arial" w:cs="Arial" w:eastAsia="Arial" w:hAnsi="Arial"/>
                <w:sz w:val="16"/>
                <w:szCs w:val="16"/>
                <w:color w:val="auto"/>
                <w:w w:val="93"/>
              </w:rPr>
              <w:t>$(1,190)</w:t>
            </w:r>
          </w:p>
        </w:tc>
        <w:tc>
          <w:tcPr>
            <w:tcW w:w="9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0" w:type="dxa"/>
            <w:vAlign w:val="bottom"/>
          </w:tcPr>
          <w:p>
            <w:pPr>
              <w:ind w:left="80"/>
              <w:spacing w:after="0"/>
              <w:rPr>
                <w:sz w:val="20"/>
                <w:szCs w:val="20"/>
                <w:color w:val="auto"/>
              </w:rPr>
            </w:pPr>
            <w:r>
              <w:rPr>
                <w:rFonts w:ascii="Arial" w:cs="Arial" w:eastAsia="Arial" w:hAnsi="Arial"/>
                <w:sz w:val="16"/>
                <w:szCs w:val="16"/>
                <w:color w:val="auto"/>
              </w:rPr>
              <w:t>2021</w:t>
            </w:r>
          </w:p>
        </w:tc>
        <w:tc>
          <w:tcPr>
            <w:tcW w:w="1320" w:type="dxa"/>
            <w:vAlign w:val="bottom"/>
          </w:tcPr>
          <w:p>
            <w:pPr>
              <w:jc w:val="center"/>
              <w:spacing w:after="0"/>
              <w:rPr>
                <w:sz w:val="20"/>
                <w:szCs w:val="20"/>
                <w:color w:val="auto"/>
              </w:rPr>
            </w:pPr>
            <w:r>
              <w:rPr>
                <w:rFonts w:ascii="Arial" w:cs="Arial" w:eastAsia="Arial" w:hAnsi="Arial"/>
                <w:sz w:val="16"/>
                <w:szCs w:val="16"/>
                <w:color w:val="auto"/>
                <w:w w:val="89"/>
              </w:rPr>
              <w:t>$6,949,900</w:t>
            </w:r>
          </w:p>
        </w:tc>
        <w:tc>
          <w:tcPr>
            <w:tcW w:w="1160" w:type="dxa"/>
            <w:vAlign w:val="bottom"/>
          </w:tcPr>
          <w:p>
            <w:pPr>
              <w:jc w:val="center"/>
              <w:spacing w:after="0"/>
              <w:rPr>
                <w:sz w:val="20"/>
                <w:szCs w:val="20"/>
                <w:color w:val="auto"/>
              </w:rPr>
            </w:pPr>
            <w:r>
              <w:rPr>
                <w:rFonts w:ascii="Arial" w:cs="Arial" w:eastAsia="Arial" w:hAnsi="Arial"/>
                <w:sz w:val="16"/>
                <w:szCs w:val="16"/>
                <w:color w:val="auto"/>
                <w:w w:val="89"/>
              </w:rPr>
              <w:t>$11,254,900</w:t>
            </w:r>
          </w:p>
        </w:tc>
        <w:tc>
          <w:tcPr>
            <w:tcW w:w="1240" w:type="dxa"/>
            <w:vAlign w:val="bottom"/>
          </w:tcPr>
          <w:p>
            <w:pPr>
              <w:jc w:val="center"/>
              <w:spacing w:after="0"/>
              <w:rPr>
                <w:sz w:val="20"/>
                <w:szCs w:val="20"/>
                <w:color w:val="auto"/>
              </w:rPr>
            </w:pPr>
            <w:r>
              <w:rPr>
                <w:rFonts w:ascii="Arial" w:cs="Arial" w:eastAsia="Arial" w:hAnsi="Arial"/>
                <w:sz w:val="16"/>
                <w:szCs w:val="16"/>
                <w:color w:val="auto"/>
                <w:w w:val="89"/>
              </w:rPr>
              <w:t>$7,745,878</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$15,106,695</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$2,952,885</w:t>
            </w:r>
          </w:p>
        </w:tc>
        <w:tc>
          <w:tcPr>
            <w:tcW w:w="1200" w:type="dxa"/>
            <w:vAlign w:val="bottom"/>
          </w:tcPr>
          <w:p>
            <w:pPr>
              <w:jc w:val="center"/>
              <w:spacing w:after="0"/>
              <w:rPr>
                <w:sz w:val="20"/>
                <w:szCs w:val="20"/>
                <w:color w:val="auto"/>
              </w:rPr>
            </w:pPr>
            <w:r>
              <w:rPr>
                <w:rFonts w:ascii="Arial" w:cs="Arial" w:eastAsia="Arial" w:hAnsi="Arial"/>
                <w:sz w:val="16"/>
                <w:szCs w:val="16"/>
                <w:color w:val="auto"/>
                <w:w w:val="89"/>
              </w:rPr>
              <w:t>$3,317,861</w:t>
            </w:r>
          </w:p>
        </w:tc>
        <w:tc>
          <w:tcPr>
            <w:tcW w:w="680" w:type="dxa"/>
            <w:vAlign w:val="bottom"/>
          </w:tcPr>
          <w:p>
            <w:pPr>
              <w:jc w:val="center"/>
              <w:spacing w:after="0"/>
              <w:rPr>
                <w:sz w:val="20"/>
                <w:szCs w:val="20"/>
                <w:color w:val="auto"/>
              </w:rPr>
            </w:pPr>
            <w:r>
              <w:rPr>
                <w:rFonts w:ascii="Arial" w:cs="Arial" w:eastAsia="Arial" w:hAnsi="Arial"/>
                <w:sz w:val="16"/>
                <w:szCs w:val="16"/>
                <w:color w:val="auto"/>
                <w:w w:val="89"/>
              </w:rPr>
              <w:t>$103.51</w:t>
            </w:r>
          </w:p>
        </w:tc>
        <w:tc>
          <w:tcPr>
            <w:tcW w:w="940" w:type="dxa"/>
            <w:vAlign w:val="bottom"/>
          </w:tcPr>
          <w:p>
            <w:pPr>
              <w:jc w:val="center"/>
              <w:spacing w:after="0"/>
              <w:rPr>
                <w:sz w:val="20"/>
                <w:szCs w:val="20"/>
                <w:color w:val="auto"/>
              </w:rPr>
            </w:pPr>
            <w:r>
              <w:rPr>
                <w:rFonts w:ascii="Arial" w:cs="Arial" w:eastAsia="Arial" w:hAnsi="Arial"/>
                <w:sz w:val="16"/>
                <w:szCs w:val="16"/>
                <w:color w:val="auto"/>
                <w:w w:val="89"/>
              </w:rPr>
              <w:t>$91.50</w:t>
            </w:r>
          </w:p>
        </w:tc>
        <w:tc>
          <w:tcPr>
            <w:tcW w:w="920" w:type="dxa"/>
            <w:vAlign w:val="bottom"/>
          </w:tcPr>
          <w:p>
            <w:pPr>
              <w:jc w:val="center"/>
              <w:spacing w:after="0"/>
              <w:rPr>
                <w:sz w:val="20"/>
                <w:szCs w:val="20"/>
                <w:color w:val="auto"/>
              </w:rPr>
            </w:pPr>
            <w:r>
              <w:rPr>
                <w:rFonts w:ascii="Arial" w:cs="Arial" w:eastAsia="Arial" w:hAnsi="Arial"/>
                <w:sz w:val="16"/>
                <w:szCs w:val="16"/>
                <w:color w:val="auto"/>
                <w:w w:val="89"/>
              </w:rPr>
              <w:t>$749</w:t>
            </w:r>
          </w:p>
        </w:tc>
        <w:tc>
          <w:tcPr>
            <w:tcW w:w="920" w:type="dxa"/>
            <w:vAlign w:val="bottom"/>
          </w:tcPr>
          <w:p>
            <w:pPr>
              <w:jc w:val="right"/>
              <w:ind w:right="241"/>
              <w:spacing w:after="0"/>
              <w:rPr>
                <w:sz w:val="20"/>
                <w:szCs w:val="20"/>
                <w:color w:val="auto"/>
              </w:rPr>
            </w:pPr>
            <w:r>
              <w:rPr>
                <w:rFonts w:ascii="Arial" w:cs="Arial" w:eastAsia="Arial" w:hAnsi="Arial"/>
                <w:sz w:val="16"/>
                <w:szCs w:val="16"/>
                <w:color w:val="auto"/>
              </w:rPr>
              <w:t>9.9%</w:t>
            </w:r>
          </w:p>
        </w:tc>
        <w:tc>
          <w:tcPr>
            <w:tcW w:w="0" w:type="dxa"/>
            <w:vAlign w:val="bottom"/>
          </w:tcPr>
          <w:p>
            <w:pPr>
              <w:spacing w:after="0"/>
              <w:rPr>
                <w:sz w:val="1"/>
                <w:szCs w:val="1"/>
                <w:color w:val="auto"/>
              </w:rPr>
            </w:pPr>
          </w:p>
        </w:tc>
      </w:tr>
      <w:tr>
        <w:trPr>
          <w:trHeight w:val="219"/>
        </w:trPr>
        <w:tc>
          <w:tcPr>
            <w:tcW w:w="460" w:type="dxa"/>
            <w:vAlign w:val="bottom"/>
            <w:tcBorders>
              <w:bottom w:val="single" w:sz="8" w:color="407CCA"/>
            </w:tcBorders>
          </w:tcPr>
          <w:p>
            <w:pPr>
              <w:ind w:left="80"/>
              <w:spacing w:after="0"/>
              <w:rPr>
                <w:sz w:val="20"/>
                <w:szCs w:val="20"/>
                <w:color w:val="auto"/>
              </w:rPr>
            </w:pPr>
            <w:r>
              <w:rPr>
                <w:rFonts w:ascii="Arial" w:cs="Arial" w:eastAsia="Arial" w:hAnsi="Arial"/>
                <w:sz w:val="16"/>
                <w:szCs w:val="16"/>
                <w:color w:val="auto"/>
              </w:rPr>
              <w:t>2020</w:t>
            </w:r>
          </w:p>
        </w:tc>
        <w:tc>
          <w:tcPr>
            <w:tcW w:w="132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rPr>
              <w:t>N/A</w:t>
            </w:r>
          </w:p>
        </w:tc>
        <w:tc>
          <w:tcPr>
            <w:tcW w:w="116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$15,826,500</w:t>
            </w:r>
          </w:p>
        </w:tc>
        <w:tc>
          <w:tcPr>
            <w:tcW w:w="124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rPr>
              <w:t>N/A</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$13,076,972</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$3,623,342</w:t>
            </w: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$3,153,609</w:t>
            </w:r>
          </w:p>
        </w:tc>
        <w:tc>
          <w:tcPr>
            <w:tcW w:w="68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$98.36</w:t>
            </w:r>
          </w:p>
        </w:tc>
        <w:tc>
          <w:tcPr>
            <w:tcW w:w="94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$77.80</w:t>
            </w:r>
          </w:p>
        </w:tc>
        <w:tc>
          <w:tcPr>
            <w:tcW w:w="92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95"/>
              </w:rPr>
              <w:t>$(266)</w:t>
            </w:r>
          </w:p>
        </w:tc>
        <w:tc>
          <w:tcPr>
            <w:tcW w:w="920" w:type="dxa"/>
            <w:vAlign w:val="bottom"/>
            <w:tcBorders>
              <w:bottom w:val="single" w:sz="8" w:color="407CCA"/>
            </w:tcBorders>
          </w:tcPr>
          <w:p>
            <w:pPr>
              <w:jc w:val="right"/>
              <w:ind w:right="181"/>
              <w:spacing w:after="0"/>
              <w:rPr>
                <w:sz w:val="20"/>
                <w:szCs w:val="20"/>
                <w:color w:val="auto"/>
              </w:rPr>
            </w:pPr>
            <w:r>
              <w:rPr>
                <w:rFonts w:ascii="Arial" w:cs="Arial" w:eastAsia="Arial" w:hAnsi="Arial"/>
                <w:sz w:val="16"/>
                <w:szCs w:val="16"/>
                <w:color w:val="auto"/>
              </w:rPr>
              <w:t>28.8%</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13" w:lineRule="exact"/>
        <w:rPr>
          <w:sz w:val="20"/>
          <w:szCs w:val="20"/>
          <w:color w:val="auto"/>
        </w:rPr>
      </w:pPr>
    </w:p>
    <w:p>
      <w:pPr>
        <w:jc w:val="both"/>
        <w:ind w:left="340" w:right="60" w:hanging="332"/>
        <w:spacing w:after="0" w:line="227" w:lineRule="auto"/>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During 2022, our CEO was Peter Federico (“Current CEO”). During 2021, our CEOs were Peter Federico and Gary Kain (“Prior CEO”). Messrs. Kain and Federico each served as CEO of the Company for a six month period during 2021. Compensation totals during 2021 reflect the full-year compensation received by each of Messrs. Kain and Federico and do not reflect pro-rated payment for the period that each individual served as CEO. During 2020, our CEO was Gary Kain.</w:t>
      </w:r>
    </w:p>
    <w:p>
      <w:pPr>
        <w:ind w:left="340" w:right="100" w:hanging="332"/>
        <w:spacing w:after="0" w:line="232" w:lineRule="auto"/>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During 2022, our remaining NEOs consisted of Messrs. Kain, Kuehl and Pollack and Ms. Bell. During 2021, our remaining NEOs consisted of Messrs. Kuehl, Pas, and Pollack and Ms. Bell. During 2020, our remaining NEOs consisted of Messrs. Federico, Kuehl, and Pollack and Ms. Bell. For more details regarding how the amounts in this column are calculated, refer to the “Adjustments to Summary Compensation Tables to Determine Compensation Actually Paid" tables immediately below.</w:t>
      </w:r>
    </w:p>
    <w:p>
      <w:pPr>
        <w:ind w:left="340" w:hanging="332"/>
        <w:spacing w:after="0" w:line="229" w:lineRule="auto"/>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Total Stockholder Return and Peer Group Total Stockholder Return assumes $100 invested at December 31, 2019.</w:t>
      </w:r>
    </w:p>
    <w:p>
      <w:pPr>
        <w:ind w:left="340" w:hanging="332"/>
        <w:spacing w:after="0"/>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As permitted by SEC rules, the Peer Group referenced for purpose of the Total Stockholder Return comparison consists of the Bloomberg Mortgage REIT Index.</w:t>
      </w:r>
    </w:p>
    <w:p>
      <w:pPr>
        <w:spacing w:after="0" w:line="9" w:lineRule="exact"/>
        <w:rPr>
          <w:rFonts w:ascii="Arial" w:cs="Arial" w:eastAsia="Arial" w:hAnsi="Arial"/>
          <w:sz w:val="14"/>
          <w:szCs w:val="14"/>
          <w:color w:val="auto"/>
        </w:rPr>
      </w:pPr>
    </w:p>
    <w:p>
      <w:pPr>
        <w:ind w:left="340" w:hanging="332"/>
        <w:spacing w:after="0"/>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Reflects after-tax net income attributable to stockholders prepared in accordance with GAAP for each of the years shown.</w:t>
      </w:r>
    </w:p>
    <w:p>
      <w:pPr>
        <w:spacing w:after="0" w:line="14" w:lineRule="exact"/>
        <w:rPr>
          <w:rFonts w:ascii="Arial" w:cs="Arial" w:eastAsia="Arial" w:hAnsi="Arial"/>
          <w:sz w:val="14"/>
          <w:szCs w:val="14"/>
          <w:color w:val="auto"/>
        </w:rPr>
      </w:pPr>
    </w:p>
    <w:p>
      <w:pPr>
        <w:ind w:left="340" w:hanging="332"/>
        <w:spacing w:after="0" w:line="239" w:lineRule="auto"/>
        <w:tabs>
          <w:tab w:leader="none" w:pos="340" w:val="left"/>
        </w:tabs>
        <w:numPr>
          <w:ilvl w:val="0"/>
          <w:numId w:val="50"/>
        </w:numPr>
        <w:rPr>
          <w:rFonts w:ascii="Arial" w:cs="Arial" w:eastAsia="Arial" w:hAnsi="Arial"/>
          <w:sz w:val="13"/>
          <w:szCs w:val="13"/>
          <w:color w:val="auto"/>
        </w:rPr>
      </w:pPr>
      <w:r>
        <w:rPr>
          <w:rFonts w:ascii="Arial" w:cs="Arial" w:eastAsia="Arial" w:hAnsi="Arial"/>
          <w:sz w:val="13"/>
          <w:szCs w:val="13"/>
          <w:color w:val="auto"/>
        </w:rPr>
        <w:t xml:space="preserve">The Company has designated </w:t>
      </w:r>
      <w:r>
        <w:rPr>
          <w:rFonts w:ascii="Arial" w:cs="Arial" w:eastAsia="Arial" w:hAnsi="Arial"/>
          <w:sz w:val="15"/>
          <w:szCs w:val="15"/>
          <w:color w:val="auto"/>
        </w:rPr>
        <w:t>“</w:t>
      </w:r>
      <w:r>
        <w:rPr>
          <w:rFonts w:ascii="Arial" w:cs="Arial" w:eastAsia="Arial" w:hAnsi="Arial"/>
          <w:sz w:val="13"/>
          <w:szCs w:val="13"/>
          <w:color w:val="auto"/>
        </w:rPr>
        <w:t>Relative Annual Economic Return” as its Company Selected Measure, as this is the largest financial component of our 2022 Corporate Scorecard and our most important financial measure (that is not otherwise required to be disclosed in this table) used by us to link compensation actually paid to our NEOs to Company performance. Relative Annual Economic Return compares the economic return of AGNC to that of the average of the Agency REIT Peer Group. For purposes of AGNC's Corporate Scorecard, relative annual economic return is calculated on an October 1 - September 30 year, but consistent with the requirements of Regulation S-K, it is calculated for purposes of this table on a calendar year basis. Additional details regarding the calculation of Relative Annual Economic Return and the companies included in the Agency REIT Peer Group for 2022 are included in the discussion of our 2022 Corporate Scorecard on page 33. For 2020, the peer group consisted of NLY, ANH, ARR, CMO, DX, IVR, and TWO. For 2021, the component companies were NLY, ARR, CMO, DX, IVR, and TWO, although CMO was included only through September 30, 2021 as a result of its acquisition. ANH was not included in 2021 as a result of its acquisition.</w:t>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Compensation Actually Paid represents the Summary Compensation Table Totals adjusted for the following items:</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209"/>
        </w:trPr>
        <w:tc>
          <w:tcPr>
            <w:tcW w:w="7480" w:type="dxa"/>
            <w:vAlign w:val="bottom"/>
          </w:tcPr>
          <w:p>
            <w:pPr>
              <w:spacing w:after="0"/>
              <w:rPr>
                <w:sz w:val="18"/>
                <w:szCs w:val="18"/>
                <w:color w:val="auto"/>
              </w:rPr>
            </w:pPr>
          </w:p>
        </w:tc>
        <w:tc>
          <w:tcPr>
            <w:tcW w:w="140" w:type="dxa"/>
            <w:vAlign w:val="bottom"/>
            <w:tcBorders>
              <w:bottom w:val="single" w:sz="8" w:color="407CCA"/>
            </w:tcBorders>
          </w:tcPr>
          <w:p>
            <w:pPr>
              <w:spacing w:after="0"/>
              <w:rPr>
                <w:sz w:val="18"/>
                <w:szCs w:val="18"/>
                <w:color w:val="auto"/>
              </w:rPr>
            </w:pPr>
          </w:p>
        </w:tc>
        <w:tc>
          <w:tcPr>
            <w:tcW w:w="1200" w:type="dxa"/>
            <w:vAlign w:val="bottom"/>
            <w:tcBorders>
              <w:bottom w:val="single" w:sz="8" w:color="407CCA"/>
            </w:tcBorders>
          </w:tcPr>
          <w:p>
            <w:pPr>
              <w:spacing w:after="0"/>
              <w:rPr>
                <w:sz w:val="18"/>
                <w:szCs w:val="18"/>
                <w:color w:val="auto"/>
              </w:rPr>
            </w:pPr>
          </w:p>
        </w:tc>
        <w:tc>
          <w:tcPr>
            <w:tcW w:w="98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89"/>
              </w:rPr>
              <w:t>Year 2022</w:t>
            </w:r>
          </w:p>
        </w:tc>
        <w:tc>
          <w:tcPr>
            <w:tcW w:w="300" w:type="dxa"/>
            <w:vAlign w:val="bottom"/>
            <w:tcBorders>
              <w:bottom w:val="single" w:sz="8" w:color="407CCA"/>
            </w:tcBorders>
          </w:tcPr>
          <w:p>
            <w:pPr>
              <w:spacing w:after="0"/>
              <w:rPr>
                <w:sz w:val="18"/>
                <w:szCs w:val="18"/>
                <w:color w:val="auto"/>
              </w:rPr>
            </w:pPr>
          </w:p>
        </w:tc>
        <w:tc>
          <w:tcPr>
            <w:tcW w:w="920" w:type="dxa"/>
            <w:vAlign w:val="bottom"/>
            <w:tcBorders>
              <w:bottom w:val="single" w:sz="8" w:color="407CCA"/>
            </w:tcBorders>
          </w:tcPr>
          <w:p>
            <w:pPr>
              <w:spacing w:after="0"/>
              <w:rPr>
                <w:sz w:val="18"/>
                <w:szCs w:val="18"/>
                <w:color w:val="auto"/>
              </w:rPr>
            </w:pPr>
          </w:p>
        </w:tc>
        <w:tc>
          <w:tcPr>
            <w:tcW w:w="200" w:type="dxa"/>
            <w:vAlign w:val="bottom"/>
            <w:tcBorders>
              <w:bottom w:val="single" w:sz="8" w:color="407CCA"/>
            </w:tcBorders>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7480" w:type="dxa"/>
            <w:vAlign w:val="bottom"/>
            <w:vMerge w:val="restart"/>
          </w:tcPr>
          <w:p>
            <w:pPr>
              <w:ind w:left="20"/>
              <w:spacing w:after="0"/>
              <w:rPr>
                <w:sz w:val="20"/>
                <w:szCs w:val="20"/>
                <w:color w:val="auto"/>
              </w:rPr>
            </w:pPr>
            <w:r>
              <w:rPr>
                <w:rFonts w:ascii="Arial" w:cs="Arial" w:eastAsia="Arial" w:hAnsi="Arial"/>
                <w:sz w:val="16"/>
                <w:szCs w:val="16"/>
                <w:color w:val="auto"/>
              </w:rPr>
              <w:t>Adjustments to Summary Compensation Table Totals to Determine Compensation Actually Paid</w:t>
            </w:r>
          </w:p>
        </w:tc>
        <w:tc>
          <w:tcPr>
            <w:tcW w:w="140" w:type="dxa"/>
            <w:vAlign w:val="bottom"/>
          </w:tcPr>
          <w:p>
            <w:pPr>
              <w:spacing w:after="0"/>
              <w:rPr>
                <w:sz w:val="14"/>
                <w:szCs w:val="14"/>
                <w:color w:val="auto"/>
              </w:rPr>
            </w:pPr>
          </w:p>
        </w:tc>
        <w:tc>
          <w:tcPr>
            <w:tcW w:w="1200" w:type="dxa"/>
            <w:vAlign w:val="bottom"/>
            <w:vMerge w:val="restart"/>
          </w:tcPr>
          <w:p>
            <w:pPr>
              <w:jc w:val="right"/>
              <w:ind w:right="220"/>
              <w:spacing w:after="0"/>
              <w:rPr>
                <w:sz w:val="20"/>
                <w:szCs w:val="20"/>
                <w:color w:val="auto"/>
              </w:rPr>
            </w:pPr>
            <w:r>
              <w:rPr>
                <w:rFonts w:ascii="Arial" w:cs="Arial" w:eastAsia="Arial" w:hAnsi="Arial"/>
                <w:sz w:val="16"/>
                <w:szCs w:val="16"/>
                <w:color w:val="auto"/>
                <w:w w:val="95"/>
              </w:rPr>
              <w:t>Current CEO</w:t>
            </w:r>
          </w:p>
        </w:tc>
        <w:tc>
          <w:tcPr>
            <w:tcW w:w="980" w:type="dxa"/>
            <w:vAlign w:val="bottom"/>
            <w:vMerge w:val="restart"/>
          </w:tcPr>
          <w:p>
            <w:pPr>
              <w:jc w:val="center"/>
              <w:spacing w:after="0"/>
              <w:rPr>
                <w:sz w:val="20"/>
                <w:szCs w:val="20"/>
                <w:color w:val="auto"/>
              </w:rPr>
            </w:pPr>
            <w:r>
              <w:rPr>
                <w:rFonts w:ascii="Arial" w:cs="Arial" w:eastAsia="Arial" w:hAnsi="Arial"/>
                <w:sz w:val="16"/>
                <w:szCs w:val="16"/>
                <w:color w:val="auto"/>
                <w:w w:val="95"/>
              </w:rPr>
              <w:t>Prior CEO</w:t>
            </w:r>
          </w:p>
        </w:tc>
        <w:tc>
          <w:tcPr>
            <w:tcW w:w="1440" w:type="dxa"/>
            <w:vAlign w:val="bottom"/>
            <w:gridSpan w:val="4"/>
          </w:tcPr>
          <w:p>
            <w:pPr>
              <w:jc w:val="center"/>
              <w:ind w:left="19"/>
              <w:spacing w:after="0" w:line="162" w:lineRule="exact"/>
              <w:rPr>
                <w:sz w:val="20"/>
                <w:szCs w:val="20"/>
                <w:color w:val="auto"/>
              </w:rPr>
            </w:pPr>
            <w:r>
              <w:rPr>
                <w:rFonts w:ascii="Arial" w:cs="Arial" w:eastAsia="Arial" w:hAnsi="Arial"/>
                <w:sz w:val="16"/>
                <w:szCs w:val="16"/>
                <w:color w:val="auto"/>
                <w:w w:val="93"/>
              </w:rPr>
              <w:t>Average for Non-</w:t>
            </w: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vMerge w:val="continue"/>
          </w:tcPr>
          <w:p>
            <w:pPr>
              <w:spacing w:after="0"/>
              <w:rPr>
                <w:sz w:val="18"/>
                <w:szCs w:val="18"/>
                <w:color w:val="auto"/>
              </w:rPr>
            </w:pPr>
          </w:p>
        </w:tc>
        <w:tc>
          <w:tcPr>
            <w:tcW w:w="140" w:type="dxa"/>
            <w:vAlign w:val="bottom"/>
            <w:tcBorders>
              <w:bottom w:val="single" w:sz="8" w:color="407CCA"/>
            </w:tcBorders>
          </w:tcPr>
          <w:p>
            <w:pPr>
              <w:spacing w:after="0"/>
              <w:rPr>
                <w:sz w:val="18"/>
                <w:szCs w:val="18"/>
                <w:color w:val="auto"/>
              </w:rPr>
            </w:pPr>
          </w:p>
        </w:tc>
        <w:tc>
          <w:tcPr>
            <w:tcW w:w="1200" w:type="dxa"/>
            <w:vAlign w:val="bottom"/>
            <w:tcBorders>
              <w:bottom w:val="single" w:sz="8" w:color="407CCA"/>
            </w:tcBorders>
            <w:vMerge w:val="continue"/>
          </w:tcPr>
          <w:p>
            <w:pPr>
              <w:spacing w:after="0"/>
              <w:rPr>
                <w:sz w:val="18"/>
                <w:szCs w:val="18"/>
                <w:color w:val="auto"/>
              </w:rPr>
            </w:pPr>
          </w:p>
        </w:tc>
        <w:tc>
          <w:tcPr>
            <w:tcW w:w="980" w:type="dxa"/>
            <w:vAlign w:val="bottom"/>
            <w:tcBorders>
              <w:bottom w:val="single" w:sz="8" w:color="407CCA"/>
            </w:tcBorders>
            <w:vMerge w:val="continue"/>
          </w:tcPr>
          <w:p>
            <w:pPr>
              <w:spacing w:after="0"/>
              <w:rPr>
                <w:sz w:val="18"/>
                <w:szCs w:val="18"/>
                <w:color w:val="auto"/>
              </w:rPr>
            </w:pPr>
          </w:p>
        </w:tc>
        <w:tc>
          <w:tcPr>
            <w:tcW w:w="300" w:type="dxa"/>
            <w:vAlign w:val="bottom"/>
            <w:tcBorders>
              <w:bottom w:val="single" w:sz="8" w:color="407CCA"/>
            </w:tcBorders>
          </w:tcPr>
          <w:p>
            <w:pPr>
              <w:spacing w:after="0"/>
              <w:rPr>
                <w:sz w:val="18"/>
                <w:szCs w:val="18"/>
                <w:color w:val="auto"/>
              </w:rPr>
            </w:pPr>
          </w:p>
        </w:tc>
        <w:tc>
          <w:tcPr>
            <w:tcW w:w="92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94"/>
              </w:rPr>
              <w:t>CEO-NEOs</w:t>
            </w:r>
          </w:p>
        </w:tc>
        <w:tc>
          <w:tcPr>
            <w:tcW w:w="200" w:type="dxa"/>
            <w:vAlign w:val="bottom"/>
            <w:tcBorders>
              <w:bottom w:val="single" w:sz="8" w:color="407CCA"/>
            </w:tcBorders>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7620" w:type="dxa"/>
            <w:vAlign w:val="bottom"/>
            <w:gridSpan w:val="2"/>
          </w:tcPr>
          <w:p>
            <w:pPr>
              <w:ind w:left="20"/>
              <w:spacing w:after="0"/>
              <w:rPr>
                <w:sz w:val="20"/>
                <w:szCs w:val="20"/>
                <w:color w:val="auto"/>
              </w:rPr>
            </w:pPr>
            <w:r>
              <w:rPr>
                <w:rFonts w:ascii="Arial" w:cs="Arial" w:eastAsia="Arial" w:hAnsi="Arial"/>
                <w:sz w:val="18"/>
                <w:szCs w:val="18"/>
                <w:color w:val="auto"/>
                <w:w w:val="91"/>
              </w:rPr>
              <w:t xml:space="preserve">Deduction for amounts reported under the Stock Awards Column in the Summary Compensation Table </w:t>
            </w:r>
            <w:r>
              <w:rPr>
                <w:rFonts w:ascii="Arial" w:cs="Arial" w:eastAsia="Arial" w:hAnsi="Arial"/>
                <w:sz w:val="16"/>
                <w:szCs w:val="16"/>
                <w:color w:val="auto"/>
                <w:w w:val="91"/>
              </w:rPr>
              <w:t>$</w:t>
            </w:r>
          </w:p>
        </w:tc>
        <w:tc>
          <w:tcPr>
            <w:tcW w:w="1200" w:type="dxa"/>
            <w:vAlign w:val="bottom"/>
          </w:tcPr>
          <w:p>
            <w:pPr>
              <w:jc w:val="right"/>
              <w:ind w:right="60"/>
              <w:spacing w:after="0"/>
              <w:rPr>
                <w:sz w:val="20"/>
                <w:szCs w:val="20"/>
                <w:color w:val="auto"/>
              </w:rPr>
            </w:pPr>
            <w:r>
              <w:rPr>
                <w:rFonts w:ascii="Arial" w:cs="Arial" w:eastAsia="Arial" w:hAnsi="Arial"/>
                <w:sz w:val="16"/>
                <w:szCs w:val="16"/>
                <w:color w:val="auto"/>
              </w:rPr>
              <w:t>(4,500,000)</w:t>
            </w:r>
          </w:p>
        </w:tc>
        <w:tc>
          <w:tcPr>
            <w:tcW w:w="980" w:type="dxa"/>
            <w:vAlign w:val="bottom"/>
          </w:tcPr>
          <w:p>
            <w:pPr>
              <w:jc w:val="center"/>
              <w:spacing w:after="0"/>
              <w:rPr>
                <w:sz w:val="20"/>
                <w:szCs w:val="20"/>
                <w:color w:val="auto"/>
              </w:rPr>
            </w:pPr>
            <w:r>
              <w:rPr>
                <w:rFonts w:ascii="Arial" w:cs="Arial" w:eastAsia="Arial" w:hAnsi="Arial"/>
                <w:sz w:val="16"/>
                <w:szCs w:val="16"/>
                <w:color w:val="auto"/>
                <w:w w:val="97"/>
              </w:rPr>
              <w:t>N/A</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120" w:type="dxa"/>
            <w:vAlign w:val="bottom"/>
            <w:gridSpan w:val="2"/>
          </w:tcPr>
          <w:p>
            <w:pPr>
              <w:jc w:val="right"/>
              <w:spacing w:after="0"/>
              <w:rPr>
                <w:sz w:val="20"/>
                <w:szCs w:val="20"/>
                <w:color w:val="auto"/>
              </w:rPr>
            </w:pPr>
            <w:r>
              <w:rPr>
                <w:rFonts w:ascii="Arial" w:cs="Arial" w:eastAsia="Arial" w:hAnsi="Arial"/>
                <w:sz w:val="16"/>
                <w:szCs w:val="16"/>
                <w:color w:val="auto"/>
              </w:rPr>
              <w:t>(2,262,500)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480" w:type="dxa"/>
            <w:vAlign w:val="bottom"/>
          </w:tcPr>
          <w:p>
            <w:pPr>
              <w:ind w:left="20"/>
              <w:spacing w:after="0"/>
              <w:rPr>
                <w:sz w:val="20"/>
                <w:szCs w:val="20"/>
                <w:color w:val="auto"/>
              </w:rPr>
            </w:pPr>
            <w:r>
              <w:rPr>
                <w:rFonts w:ascii="Arial" w:cs="Arial" w:eastAsia="Arial" w:hAnsi="Arial"/>
                <w:sz w:val="18"/>
                <w:szCs w:val="18"/>
                <w:color w:val="auto"/>
                <w:w w:val="92"/>
              </w:rPr>
              <w:t>Increase for fair value at year-end of awards granted during year that remain unvested as of year-end</w:t>
            </w:r>
          </w:p>
        </w:tc>
        <w:tc>
          <w:tcPr>
            <w:tcW w:w="14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ind w:right="100"/>
              <w:spacing w:after="0"/>
              <w:rPr>
                <w:sz w:val="20"/>
                <w:szCs w:val="20"/>
                <w:color w:val="auto"/>
              </w:rPr>
            </w:pPr>
            <w:r>
              <w:rPr>
                <w:rFonts w:ascii="Arial" w:cs="Arial" w:eastAsia="Arial" w:hAnsi="Arial"/>
                <w:sz w:val="16"/>
                <w:szCs w:val="16"/>
                <w:color w:val="auto"/>
              </w:rPr>
              <w:t>2,663,407</w:t>
            </w:r>
          </w:p>
        </w:tc>
        <w:tc>
          <w:tcPr>
            <w:tcW w:w="980" w:type="dxa"/>
            <w:vAlign w:val="bottom"/>
          </w:tcPr>
          <w:p>
            <w:pPr>
              <w:jc w:val="center"/>
              <w:spacing w:after="0"/>
              <w:rPr>
                <w:sz w:val="20"/>
                <w:szCs w:val="20"/>
                <w:color w:val="auto"/>
              </w:rPr>
            </w:pPr>
            <w:r>
              <w:rPr>
                <w:rFonts w:ascii="Arial" w:cs="Arial" w:eastAsia="Arial" w:hAnsi="Arial"/>
                <w:sz w:val="16"/>
                <w:szCs w:val="16"/>
                <w:color w:val="auto"/>
                <w:w w:val="97"/>
              </w:rPr>
              <w:t>N/A</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120" w:type="dxa"/>
            <w:vAlign w:val="bottom"/>
            <w:gridSpan w:val="2"/>
          </w:tcPr>
          <w:p>
            <w:pPr>
              <w:jc w:val="right"/>
              <w:ind w:right="8"/>
              <w:spacing w:after="0"/>
              <w:rPr>
                <w:sz w:val="20"/>
                <w:szCs w:val="20"/>
                <w:color w:val="auto"/>
              </w:rPr>
            </w:pPr>
            <w:r>
              <w:rPr>
                <w:rFonts w:ascii="Arial" w:cs="Arial" w:eastAsia="Arial" w:hAnsi="Arial"/>
                <w:sz w:val="16"/>
                <w:szCs w:val="16"/>
                <w:color w:val="auto"/>
              </w:rPr>
              <w:t>1,339,108</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9"/>
        </w:trPr>
        <w:tc>
          <w:tcPr>
            <w:tcW w:w="7480" w:type="dxa"/>
            <w:vAlign w:val="bottom"/>
          </w:tcPr>
          <w:p>
            <w:pPr>
              <w:ind w:left="20"/>
              <w:spacing w:after="0" w:line="189" w:lineRule="exact"/>
              <w:rPr>
                <w:sz w:val="20"/>
                <w:szCs w:val="20"/>
                <w:color w:val="auto"/>
              </w:rPr>
            </w:pPr>
            <w:r>
              <w:rPr>
                <w:rFonts w:ascii="Arial" w:cs="Arial" w:eastAsia="Arial" w:hAnsi="Arial"/>
                <w:sz w:val="18"/>
                <w:szCs w:val="18"/>
                <w:color w:val="auto"/>
                <w:w w:val="98"/>
              </w:rPr>
              <w:t>Increase/(Deduction) for change in fair value from prior year-end to current year-end of awards</w:t>
            </w:r>
          </w:p>
        </w:tc>
        <w:tc>
          <w:tcPr>
            <w:tcW w:w="14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0"/>
        </w:trPr>
        <w:tc>
          <w:tcPr>
            <w:tcW w:w="7480" w:type="dxa"/>
            <w:vAlign w:val="bottom"/>
          </w:tcPr>
          <w:p>
            <w:pPr>
              <w:ind w:left="20"/>
              <w:spacing w:after="0"/>
              <w:rPr>
                <w:sz w:val="20"/>
                <w:szCs w:val="20"/>
                <w:color w:val="auto"/>
              </w:rPr>
            </w:pPr>
            <w:r>
              <w:rPr>
                <w:rFonts w:ascii="Arial" w:cs="Arial" w:eastAsia="Arial" w:hAnsi="Arial"/>
                <w:sz w:val="18"/>
                <w:szCs w:val="18"/>
                <w:color w:val="auto"/>
              </w:rPr>
              <w:t>granted prior to year that were outstanding and unvested as of year-end</w:t>
            </w:r>
          </w:p>
        </w:tc>
        <w:tc>
          <w:tcPr>
            <w:tcW w:w="14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Pr>
          <w:p>
            <w:pPr>
              <w:jc w:val="right"/>
              <w:ind w:right="60"/>
              <w:spacing w:after="0"/>
              <w:rPr>
                <w:sz w:val="20"/>
                <w:szCs w:val="20"/>
                <w:color w:val="auto"/>
              </w:rPr>
            </w:pPr>
            <w:r>
              <w:rPr>
                <w:rFonts w:ascii="Arial" w:cs="Arial" w:eastAsia="Arial" w:hAnsi="Arial"/>
                <w:sz w:val="16"/>
                <w:szCs w:val="16"/>
                <w:color w:val="auto"/>
              </w:rPr>
              <w:t>(2,009,058)</w:t>
            </w:r>
          </w:p>
        </w:tc>
        <w:tc>
          <w:tcPr>
            <w:tcW w:w="980" w:type="dxa"/>
            <w:vAlign w:val="bottom"/>
          </w:tcPr>
          <w:p>
            <w:pPr>
              <w:jc w:val="center"/>
              <w:spacing w:after="0"/>
              <w:rPr>
                <w:sz w:val="20"/>
                <w:szCs w:val="20"/>
                <w:color w:val="auto"/>
              </w:rPr>
            </w:pPr>
            <w:r>
              <w:rPr>
                <w:rFonts w:ascii="Arial" w:cs="Arial" w:eastAsia="Arial" w:hAnsi="Arial"/>
                <w:sz w:val="16"/>
                <w:szCs w:val="16"/>
                <w:color w:val="auto"/>
                <w:w w:val="97"/>
              </w:rPr>
              <w:t>N/A</w:t>
            </w:r>
          </w:p>
        </w:tc>
        <w:tc>
          <w:tcPr>
            <w:tcW w:w="300" w:type="dxa"/>
            <w:vAlign w:val="bottom"/>
          </w:tcPr>
          <w:p>
            <w:pPr>
              <w:jc w:val="right"/>
              <w:spacing w:after="0"/>
              <w:rPr>
                <w:sz w:val="20"/>
                <w:szCs w:val="20"/>
                <w:color w:val="auto"/>
              </w:rPr>
            </w:pPr>
            <w:r>
              <w:rPr>
                <w:rFonts w:ascii="Arial" w:cs="Arial" w:eastAsia="Arial" w:hAnsi="Arial"/>
                <w:sz w:val="16"/>
                <w:szCs w:val="16"/>
                <w:color w:val="auto"/>
              </w:rPr>
              <w:t>$</w:t>
            </w:r>
          </w:p>
        </w:tc>
        <w:tc>
          <w:tcPr>
            <w:tcW w:w="1120" w:type="dxa"/>
            <w:vAlign w:val="bottom"/>
            <w:gridSpan w:val="2"/>
          </w:tcPr>
          <w:p>
            <w:pPr>
              <w:jc w:val="right"/>
              <w:spacing w:after="0"/>
              <w:rPr>
                <w:sz w:val="20"/>
                <w:szCs w:val="20"/>
                <w:color w:val="auto"/>
              </w:rPr>
            </w:pPr>
            <w:r>
              <w:rPr>
                <w:rFonts w:ascii="Arial" w:cs="Arial" w:eastAsia="Arial" w:hAnsi="Arial"/>
                <w:sz w:val="16"/>
                <w:szCs w:val="16"/>
                <w:color w:val="auto"/>
              </w:rPr>
              <w:t>(1,669,332)</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6"/>
        </w:trPr>
        <w:tc>
          <w:tcPr>
            <w:tcW w:w="7480" w:type="dxa"/>
            <w:vAlign w:val="bottom"/>
          </w:tcPr>
          <w:p>
            <w:pPr>
              <w:ind w:left="20"/>
              <w:spacing w:after="0" w:line="166" w:lineRule="exact"/>
              <w:rPr>
                <w:sz w:val="20"/>
                <w:szCs w:val="20"/>
                <w:color w:val="auto"/>
              </w:rPr>
            </w:pPr>
            <w:r>
              <w:rPr>
                <w:rFonts w:ascii="Arial" w:cs="Arial" w:eastAsia="Arial" w:hAnsi="Arial"/>
                <w:sz w:val="16"/>
                <w:szCs w:val="16"/>
                <w:color w:val="auto"/>
                <w:w w:val="94"/>
              </w:rPr>
              <w:t>Increase/(Deduction) for change in fair value from prior year-end to vesting date of awards granted prior to year</w:t>
            </w:r>
          </w:p>
        </w:tc>
        <w:tc>
          <w:tcPr>
            <w:tcW w:w="14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vMerge w:val="restart"/>
          </w:tcPr>
          <w:p>
            <w:pPr>
              <w:jc w:val="right"/>
              <w:ind w:right="60"/>
              <w:spacing w:after="0"/>
              <w:rPr>
                <w:sz w:val="20"/>
                <w:szCs w:val="20"/>
                <w:color w:val="auto"/>
              </w:rPr>
            </w:pPr>
            <w:r>
              <w:rPr>
                <w:rFonts w:ascii="Arial" w:cs="Arial" w:eastAsia="Arial" w:hAnsi="Arial"/>
                <w:sz w:val="16"/>
                <w:szCs w:val="16"/>
                <w:color w:val="auto"/>
              </w:rPr>
              <w:t>(147,059)</w:t>
            </w:r>
          </w:p>
        </w:tc>
        <w:tc>
          <w:tcPr>
            <w:tcW w:w="980" w:type="dxa"/>
            <w:vAlign w:val="bottom"/>
            <w:vMerge w:val="restart"/>
          </w:tcPr>
          <w:p>
            <w:pPr>
              <w:jc w:val="center"/>
              <w:spacing w:after="0"/>
              <w:rPr>
                <w:sz w:val="20"/>
                <w:szCs w:val="20"/>
                <w:color w:val="auto"/>
              </w:rPr>
            </w:pPr>
            <w:r>
              <w:rPr>
                <w:rFonts w:ascii="Arial" w:cs="Arial" w:eastAsia="Arial" w:hAnsi="Arial"/>
                <w:sz w:val="16"/>
                <w:szCs w:val="16"/>
                <w:color w:val="auto"/>
                <w:w w:val="97"/>
              </w:rPr>
              <w:t>N/A</w:t>
            </w:r>
          </w:p>
        </w:tc>
        <w:tc>
          <w:tcPr>
            <w:tcW w:w="300" w:type="dxa"/>
            <w:vAlign w:val="bottom"/>
            <w:vMerge w:val="restart"/>
          </w:tcPr>
          <w:p>
            <w:pPr>
              <w:jc w:val="right"/>
              <w:spacing w:after="0"/>
              <w:rPr>
                <w:sz w:val="20"/>
                <w:szCs w:val="20"/>
                <w:color w:val="auto"/>
              </w:rPr>
            </w:pPr>
            <w:r>
              <w:rPr>
                <w:rFonts w:ascii="Arial" w:cs="Arial" w:eastAsia="Arial" w:hAnsi="Arial"/>
                <w:sz w:val="16"/>
                <w:szCs w:val="16"/>
                <w:color w:val="auto"/>
              </w:rPr>
              <w:t>$</w:t>
            </w:r>
          </w:p>
        </w:tc>
        <w:tc>
          <w:tcPr>
            <w:tcW w:w="1120" w:type="dxa"/>
            <w:vAlign w:val="bottom"/>
            <w:gridSpan w:val="2"/>
            <w:vMerge w:val="restart"/>
          </w:tcPr>
          <w:p>
            <w:pPr>
              <w:jc w:val="right"/>
              <w:spacing w:after="0"/>
              <w:rPr>
                <w:sz w:val="20"/>
                <w:szCs w:val="20"/>
                <w:color w:val="auto"/>
              </w:rPr>
            </w:pPr>
            <w:r>
              <w:rPr>
                <w:rFonts w:ascii="Arial" w:cs="Arial" w:eastAsia="Arial" w:hAnsi="Arial"/>
                <w:sz w:val="16"/>
                <w:szCs w:val="16"/>
                <w:color w:val="auto"/>
              </w:rPr>
              <w:t>(248,419)</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that vested during year</w:t>
            </w:r>
          </w:p>
        </w:tc>
        <w:tc>
          <w:tcPr>
            <w:tcW w:w="140" w:type="dxa"/>
            <w:vAlign w:val="bottom"/>
            <w:tcBorders>
              <w:bottom w:val="single" w:sz="8" w:color="407CCA"/>
            </w:tcBorders>
            <w:vMerge w:val="continue"/>
          </w:tcPr>
          <w:p>
            <w:pPr>
              <w:spacing w:after="0"/>
              <w:rPr>
                <w:sz w:val="18"/>
                <w:szCs w:val="18"/>
                <w:color w:val="auto"/>
              </w:rPr>
            </w:pPr>
          </w:p>
        </w:tc>
        <w:tc>
          <w:tcPr>
            <w:tcW w:w="1200" w:type="dxa"/>
            <w:vAlign w:val="bottom"/>
            <w:tcBorders>
              <w:bottom w:val="single" w:sz="8" w:color="407CCA"/>
            </w:tcBorders>
            <w:vMerge w:val="continue"/>
          </w:tcPr>
          <w:p>
            <w:pPr>
              <w:spacing w:after="0"/>
              <w:rPr>
                <w:sz w:val="18"/>
                <w:szCs w:val="18"/>
                <w:color w:val="auto"/>
              </w:rPr>
            </w:pPr>
          </w:p>
        </w:tc>
        <w:tc>
          <w:tcPr>
            <w:tcW w:w="980" w:type="dxa"/>
            <w:vAlign w:val="bottom"/>
            <w:tcBorders>
              <w:bottom w:val="single" w:sz="8" w:color="407CCA"/>
            </w:tcBorders>
            <w:vMerge w:val="continue"/>
          </w:tcPr>
          <w:p>
            <w:pPr>
              <w:spacing w:after="0"/>
              <w:rPr>
                <w:sz w:val="18"/>
                <w:szCs w:val="18"/>
                <w:color w:val="auto"/>
              </w:rPr>
            </w:pPr>
          </w:p>
        </w:tc>
        <w:tc>
          <w:tcPr>
            <w:tcW w:w="300" w:type="dxa"/>
            <w:vAlign w:val="bottom"/>
            <w:tcBorders>
              <w:bottom w:val="single" w:sz="8" w:color="407CCA"/>
            </w:tcBorders>
            <w:vMerge w:val="continue"/>
          </w:tcPr>
          <w:p>
            <w:pPr>
              <w:spacing w:after="0"/>
              <w:rPr>
                <w:sz w:val="18"/>
                <w:szCs w:val="18"/>
                <w:color w:val="auto"/>
              </w:rPr>
            </w:pPr>
          </w:p>
        </w:tc>
        <w:tc>
          <w:tcPr>
            <w:tcW w:w="1120" w:type="dxa"/>
            <w:vAlign w:val="bottom"/>
            <w:tcBorders>
              <w:bottom w:val="single" w:sz="8" w:color="407CCA"/>
            </w:tcBorders>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Total adjustments</w:t>
            </w:r>
          </w:p>
        </w:tc>
        <w:tc>
          <w:tcPr>
            <w:tcW w:w="14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200" w:type="dxa"/>
            <w:vAlign w:val="bottom"/>
            <w:tcBorders>
              <w:bottom w:val="single" w:sz="8" w:color="407CCA"/>
            </w:tcBorders>
          </w:tcPr>
          <w:p>
            <w:pPr>
              <w:jc w:val="right"/>
              <w:ind w:right="60"/>
              <w:spacing w:after="0"/>
              <w:rPr>
                <w:sz w:val="20"/>
                <w:szCs w:val="20"/>
                <w:color w:val="auto"/>
              </w:rPr>
            </w:pPr>
            <w:r>
              <w:rPr>
                <w:rFonts w:ascii="Arial" w:cs="Arial" w:eastAsia="Arial" w:hAnsi="Arial"/>
                <w:sz w:val="16"/>
                <w:szCs w:val="16"/>
                <w:color w:val="auto"/>
              </w:rPr>
              <w:t>(3,992,710)</w:t>
            </w:r>
          </w:p>
        </w:tc>
        <w:tc>
          <w:tcPr>
            <w:tcW w:w="980" w:type="dxa"/>
            <w:vAlign w:val="bottom"/>
            <w:tcBorders>
              <w:bottom w:val="single" w:sz="8" w:color="407CCA"/>
            </w:tcBorders>
          </w:tcPr>
          <w:p>
            <w:pPr>
              <w:jc w:val="center"/>
              <w:spacing w:after="0"/>
              <w:rPr>
                <w:sz w:val="20"/>
                <w:szCs w:val="20"/>
                <w:color w:val="auto"/>
              </w:rPr>
            </w:pPr>
            <w:r>
              <w:rPr>
                <w:rFonts w:ascii="Arial" w:cs="Arial" w:eastAsia="Arial" w:hAnsi="Arial"/>
                <w:sz w:val="16"/>
                <w:szCs w:val="16"/>
                <w:color w:val="auto"/>
                <w:w w:val="97"/>
              </w:rPr>
              <w:t>N/A</w:t>
            </w:r>
          </w:p>
        </w:tc>
        <w:tc>
          <w:tcPr>
            <w:tcW w:w="30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w:t>
            </w:r>
          </w:p>
        </w:tc>
        <w:tc>
          <w:tcPr>
            <w:tcW w:w="1120" w:type="dxa"/>
            <w:vAlign w:val="bottom"/>
            <w:tcBorders>
              <w:bottom w:val="single" w:sz="8" w:color="407CCA"/>
            </w:tcBorders>
            <w:gridSpan w:val="2"/>
          </w:tcPr>
          <w:p>
            <w:pPr>
              <w:jc w:val="right"/>
              <w:spacing w:after="0"/>
              <w:rPr>
                <w:sz w:val="20"/>
                <w:szCs w:val="20"/>
                <w:color w:val="auto"/>
              </w:rPr>
            </w:pPr>
            <w:r>
              <w:rPr>
                <w:rFonts w:ascii="Arial" w:cs="Arial" w:eastAsia="Arial" w:hAnsi="Arial"/>
                <w:sz w:val="16"/>
                <w:szCs w:val="16"/>
                <w:color w:val="auto"/>
              </w:rPr>
              <w:t>(2,841,143)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875"/>
        </w:trPr>
        <w:tc>
          <w:tcPr>
            <w:tcW w:w="7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400" w:type="dxa"/>
            <w:vAlign w:val="bottom"/>
            <w:gridSpan w:val="4"/>
          </w:tcPr>
          <w:p>
            <w:pPr>
              <w:jc w:val="center"/>
              <w:ind w:left="20"/>
              <w:spacing w:after="0"/>
              <w:rPr>
                <w:sz w:val="20"/>
                <w:szCs w:val="20"/>
                <w:color w:val="auto"/>
              </w:rPr>
            </w:pPr>
            <w:r>
              <w:rPr>
                <w:rFonts w:ascii="Arial" w:cs="Arial" w:eastAsia="Arial" w:hAnsi="Arial"/>
                <w:sz w:val="14"/>
                <w:szCs w:val="14"/>
                <w:color w:val="407CCA"/>
                <w:w w:val="95"/>
              </w:rPr>
              <w:t xml:space="preserve">AGNC INVESTMENT CORP. - </w:t>
            </w:r>
            <w:r>
              <w:rPr>
                <w:rFonts w:ascii="Arial" w:cs="Arial" w:eastAsia="Arial" w:hAnsi="Arial"/>
                <w:sz w:val="14"/>
                <w:szCs w:val="14"/>
                <w:i w:val="1"/>
                <w:iCs w:val="1"/>
                <w:color w:val="407CCA"/>
                <w:w w:val="95"/>
              </w:rPr>
              <w:t>Proxy Statement</w:t>
            </w:r>
          </w:p>
        </w:tc>
        <w:tc>
          <w:tcPr>
            <w:tcW w:w="220" w:type="dxa"/>
            <w:vAlign w:val="bottom"/>
            <w:gridSpan w:val="2"/>
          </w:tcPr>
          <w:p>
            <w:pPr>
              <w:jc w:val="right"/>
              <w:ind w:right="20"/>
              <w:spacing w:after="0"/>
              <w:rPr>
                <w:sz w:val="20"/>
                <w:szCs w:val="20"/>
                <w:color w:val="auto"/>
              </w:rPr>
            </w:pPr>
            <w:r>
              <w:rPr>
                <w:rFonts w:ascii="Arial" w:cs="Arial" w:eastAsia="Arial" w:hAnsi="Arial"/>
                <w:sz w:val="14"/>
                <w:szCs w:val="14"/>
                <w:color w:val="407CCA"/>
              </w:rPr>
              <w:t>51</w:t>
            </w:r>
          </w:p>
        </w:tc>
        <w:tc>
          <w:tcPr>
            <w:tcW w:w="0" w:type="dxa"/>
            <w:vAlign w:val="bottom"/>
          </w:tcPr>
          <w:p>
            <w:pPr>
              <w:spacing w:after="0"/>
              <w:rPr>
                <w:sz w:val="1"/>
                <w:szCs w:val="1"/>
                <w:color w:val="auto"/>
              </w:rPr>
            </w:pPr>
          </w:p>
        </w:tc>
      </w:tr>
      <w:tr>
        <w:trPr>
          <w:trHeight w:val="235"/>
        </w:trPr>
        <w:tc>
          <w:tcPr>
            <w:tcW w:w="7480" w:type="dxa"/>
            <w:vAlign w:val="bottom"/>
            <w:tcBorders>
              <w:bottom w:val="single" w:sz="8" w:color="9A9A9A"/>
            </w:tcBorders>
          </w:tcPr>
          <w:p>
            <w:pPr>
              <w:spacing w:after="0"/>
              <w:rPr>
                <w:sz w:val="20"/>
                <w:szCs w:val="20"/>
                <w:color w:val="auto"/>
              </w:rPr>
            </w:pPr>
          </w:p>
        </w:tc>
        <w:tc>
          <w:tcPr>
            <w:tcW w:w="140" w:type="dxa"/>
            <w:vAlign w:val="bottom"/>
            <w:tcBorders>
              <w:bottom w:val="single" w:sz="8" w:color="9A9A9A"/>
            </w:tcBorders>
          </w:tcPr>
          <w:p>
            <w:pPr>
              <w:spacing w:after="0"/>
              <w:rPr>
                <w:sz w:val="20"/>
                <w:szCs w:val="20"/>
                <w:color w:val="auto"/>
              </w:rPr>
            </w:pPr>
          </w:p>
        </w:tc>
        <w:tc>
          <w:tcPr>
            <w:tcW w:w="1200" w:type="dxa"/>
            <w:vAlign w:val="bottom"/>
            <w:tcBorders>
              <w:bottom w:val="single" w:sz="8" w:color="9A9A9A"/>
            </w:tcBorders>
          </w:tcPr>
          <w:p>
            <w:pPr>
              <w:spacing w:after="0"/>
              <w:rPr>
                <w:sz w:val="20"/>
                <w:szCs w:val="20"/>
                <w:color w:val="auto"/>
              </w:rPr>
            </w:pPr>
          </w:p>
        </w:tc>
        <w:tc>
          <w:tcPr>
            <w:tcW w:w="980" w:type="dxa"/>
            <w:vAlign w:val="bottom"/>
            <w:tcBorders>
              <w:bottom w:val="single" w:sz="8" w:color="9A9A9A"/>
            </w:tcBorders>
          </w:tcPr>
          <w:p>
            <w:pPr>
              <w:spacing w:after="0"/>
              <w:rPr>
                <w:sz w:val="20"/>
                <w:szCs w:val="20"/>
                <w:color w:val="auto"/>
              </w:rPr>
            </w:pPr>
          </w:p>
        </w:tc>
        <w:tc>
          <w:tcPr>
            <w:tcW w:w="300" w:type="dxa"/>
            <w:vAlign w:val="bottom"/>
            <w:tcBorders>
              <w:bottom w:val="single" w:sz="8" w:color="9A9A9A"/>
            </w:tcBorders>
          </w:tcPr>
          <w:p>
            <w:pPr>
              <w:spacing w:after="0"/>
              <w:rPr>
                <w:sz w:val="20"/>
                <w:szCs w:val="20"/>
                <w:color w:val="auto"/>
              </w:rPr>
            </w:pPr>
          </w:p>
        </w:tc>
        <w:tc>
          <w:tcPr>
            <w:tcW w:w="920" w:type="dxa"/>
            <w:vAlign w:val="bottom"/>
            <w:tcBorders>
              <w:bottom w:val="single" w:sz="8" w:color="9A9A9A"/>
            </w:tcBorders>
          </w:tcPr>
          <w:p>
            <w:pPr>
              <w:spacing w:after="0"/>
              <w:rPr>
                <w:sz w:val="20"/>
                <w:szCs w:val="20"/>
                <w:color w:val="auto"/>
              </w:rPr>
            </w:pPr>
          </w:p>
        </w:tc>
        <w:tc>
          <w:tcPr>
            <w:tcW w:w="200" w:type="dxa"/>
            <w:vAlign w:val="bottom"/>
            <w:tcBorders>
              <w:bottom w:val="single" w:sz="8" w:color="9A9A9A"/>
            </w:tcBorders>
          </w:tcPr>
          <w:p>
            <w:pPr>
              <w:spacing w:after="0"/>
              <w:rPr>
                <w:sz w:val="20"/>
                <w:szCs w:val="20"/>
                <w:color w:val="auto"/>
              </w:rPr>
            </w:pPr>
          </w:p>
        </w:tc>
        <w:tc>
          <w:tcPr>
            <w:tcW w:w="20" w:type="dxa"/>
            <w:vAlign w:val="bottom"/>
            <w:tcBorders>
              <w:bottom w:val="single" w:sz="8" w:color="9A9A9A"/>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7115810</wp:posOffset>
            </wp:positionH>
            <wp:positionV relativeFrom="paragraph">
              <wp:posOffset>-29210</wp:posOffset>
            </wp:positionV>
            <wp:extent cx="33655" cy="425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61" w:name="page62"/>
    <w:bookmarkEnd w:id="6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11" w:lineRule="exact"/>
        <w:rPr>
          <w:sz w:val="20"/>
          <w:szCs w:val="20"/>
          <w:color w:val="auto"/>
        </w:rPr>
      </w:pPr>
    </w:p>
    <w:tbl>
      <w:tblPr>
        <w:tblLayout w:type="fixed"/>
        <w:tblInd w:w="0" w:type="dxa"/>
        <w:tblCellMar>
          <w:top w:w="0" w:type="dxa"/>
          <w:left w:w="0" w:type="dxa"/>
          <w:bottom w:w="0" w:type="dxa"/>
          <w:right w:w="0" w:type="dxa"/>
        </w:tblCellMar>
      </w:tblPr>
      <w:tr>
        <w:trPr>
          <w:trHeight w:val="209"/>
        </w:trPr>
        <w:tc>
          <w:tcPr>
            <w:tcW w:w="7480" w:type="dxa"/>
            <w:vAlign w:val="bottom"/>
          </w:tcPr>
          <w:p>
            <w:pPr>
              <w:spacing w:after="0"/>
              <w:rPr>
                <w:sz w:val="18"/>
                <w:szCs w:val="18"/>
                <w:color w:val="auto"/>
              </w:rPr>
            </w:pPr>
          </w:p>
        </w:tc>
        <w:tc>
          <w:tcPr>
            <w:tcW w:w="140" w:type="dxa"/>
            <w:vAlign w:val="bottom"/>
            <w:tcBorders>
              <w:bottom w:val="single" w:sz="8" w:color="407CCA"/>
            </w:tcBorders>
          </w:tcPr>
          <w:p>
            <w:pPr>
              <w:spacing w:after="0"/>
              <w:rPr>
                <w:sz w:val="18"/>
                <w:szCs w:val="18"/>
                <w:color w:val="auto"/>
              </w:rPr>
            </w:pPr>
          </w:p>
        </w:tc>
        <w:tc>
          <w:tcPr>
            <w:tcW w:w="1080" w:type="dxa"/>
            <w:vAlign w:val="bottom"/>
            <w:tcBorders>
              <w:bottom w:val="single" w:sz="8" w:color="407CCA"/>
            </w:tcBorders>
          </w:tcPr>
          <w:p>
            <w:pPr>
              <w:spacing w:after="0"/>
              <w:rPr>
                <w:sz w:val="18"/>
                <w:szCs w:val="18"/>
                <w:color w:val="auto"/>
              </w:rPr>
            </w:pPr>
          </w:p>
        </w:tc>
        <w:tc>
          <w:tcPr>
            <w:tcW w:w="180" w:type="dxa"/>
            <w:vAlign w:val="bottom"/>
            <w:tcBorders>
              <w:bottom w:val="single" w:sz="8" w:color="407CCA"/>
            </w:tcBorders>
          </w:tcPr>
          <w:p>
            <w:pPr>
              <w:spacing w:after="0"/>
              <w:rPr>
                <w:sz w:val="18"/>
                <w:szCs w:val="18"/>
                <w:color w:val="auto"/>
              </w:rPr>
            </w:pPr>
          </w:p>
        </w:tc>
        <w:tc>
          <w:tcPr>
            <w:tcW w:w="1040" w:type="dxa"/>
            <w:vAlign w:val="bottom"/>
            <w:tcBorders>
              <w:bottom w:val="single" w:sz="8" w:color="407CCA"/>
            </w:tcBorders>
          </w:tcPr>
          <w:p>
            <w:pPr>
              <w:jc w:val="right"/>
              <w:ind w:right="159"/>
              <w:spacing w:after="0"/>
              <w:rPr>
                <w:sz w:val="20"/>
                <w:szCs w:val="20"/>
                <w:color w:val="auto"/>
              </w:rPr>
            </w:pPr>
            <w:r>
              <w:rPr>
                <w:rFonts w:ascii="Arial" w:cs="Arial" w:eastAsia="Arial" w:hAnsi="Arial"/>
                <w:sz w:val="16"/>
                <w:szCs w:val="16"/>
                <w:color w:val="auto"/>
              </w:rPr>
              <w:t>Year 2021</w:t>
            </w:r>
          </w:p>
        </w:tc>
        <w:tc>
          <w:tcPr>
            <w:tcW w:w="180" w:type="dxa"/>
            <w:vAlign w:val="bottom"/>
            <w:tcBorders>
              <w:bottom w:val="single" w:sz="8" w:color="407CCA"/>
            </w:tcBorders>
          </w:tcPr>
          <w:p>
            <w:pPr>
              <w:spacing w:after="0"/>
              <w:rPr>
                <w:sz w:val="18"/>
                <w:szCs w:val="18"/>
                <w:color w:val="auto"/>
              </w:rPr>
            </w:pPr>
          </w:p>
        </w:tc>
        <w:tc>
          <w:tcPr>
            <w:tcW w:w="112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7480" w:type="dxa"/>
            <w:vAlign w:val="bottom"/>
            <w:vMerge w:val="restart"/>
          </w:tcPr>
          <w:p>
            <w:pPr>
              <w:ind w:left="20"/>
              <w:spacing w:after="0"/>
              <w:rPr>
                <w:sz w:val="20"/>
                <w:szCs w:val="20"/>
                <w:color w:val="auto"/>
              </w:rPr>
            </w:pPr>
            <w:r>
              <w:rPr>
                <w:rFonts w:ascii="Arial" w:cs="Arial" w:eastAsia="Arial" w:hAnsi="Arial"/>
                <w:sz w:val="16"/>
                <w:szCs w:val="16"/>
                <w:color w:val="auto"/>
              </w:rPr>
              <w:t>Adjustments to Summary Compensation Table Totals to Determine Compensation Actually Paid</w:t>
            </w:r>
          </w:p>
        </w:tc>
        <w:tc>
          <w:tcPr>
            <w:tcW w:w="140" w:type="dxa"/>
            <w:vAlign w:val="bottom"/>
          </w:tcPr>
          <w:p>
            <w:pPr>
              <w:spacing w:after="0"/>
              <w:rPr>
                <w:sz w:val="14"/>
                <w:szCs w:val="14"/>
                <w:color w:val="auto"/>
              </w:rPr>
            </w:pPr>
          </w:p>
        </w:tc>
        <w:tc>
          <w:tcPr>
            <w:tcW w:w="1080" w:type="dxa"/>
            <w:vAlign w:val="bottom"/>
            <w:vMerge w:val="restart"/>
          </w:tcPr>
          <w:p>
            <w:pPr>
              <w:jc w:val="center"/>
              <w:ind w:right="59"/>
              <w:spacing w:after="0"/>
              <w:rPr>
                <w:sz w:val="20"/>
                <w:szCs w:val="20"/>
                <w:color w:val="auto"/>
              </w:rPr>
            </w:pPr>
            <w:r>
              <w:rPr>
                <w:rFonts w:ascii="Arial" w:cs="Arial" w:eastAsia="Arial" w:hAnsi="Arial"/>
                <w:sz w:val="16"/>
                <w:szCs w:val="16"/>
                <w:color w:val="auto"/>
                <w:w w:val="92"/>
              </w:rPr>
              <w:t>Current CEO</w:t>
            </w:r>
          </w:p>
        </w:tc>
        <w:tc>
          <w:tcPr>
            <w:tcW w:w="180" w:type="dxa"/>
            <w:vAlign w:val="bottom"/>
          </w:tcPr>
          <w:p>
            <w:pPr>
              <w:spacing w:after="0"/>
              <w:rPr>
                <w:sz w:val="14"/>
                <w:szCs w:val="14"/>
                <w:color w:val="auto"/>
              </w:rPr>
            </w:pPr>
          </w:p>
        </w:tc>
        <w:tc>
          <w:tcPr>
            <w:tcW w:w="1040" w:type="dxa"/>
            <w:vAlign w:val="bottom"/>
            <w:vMerge w:val="restart"/>
          </w:tcPr>
          <w:p>
            <w:pPr>
              <w:jc w:val="right"/>
              <w:ind w:right="179"/>
              <w:spacing w:after="0"/>
              <w:rPr>
                <w:sz w:val="20"/>
                <w:szCs w:val="20"/>
                <w:color w:val="auto"/>
              </w:rPr>
            </w:pPr>
            <w:r>
              <w:rPr>
                <w:rFonts w:ascii="Arial" w:cs="Arial" w:eastAsia="Arial" w:hAnsi="Arial"/>
                <w:sz w:val="16"/>
                <w:szCs w:val="16"/>
                <w:color w:val="auto"/>
              </w:rPr>
              <w:t>Prior CEO</w:t>
            </w:r>
          </w:p>
        </w:tc>
        <w:tc>
          <w:tcPr>
            <w:tcW w:w="1300" w:type="dxa"/>
            <w:vAlign w:val="bottom"/>
            <w:gridSpan w:val="2"/>
          </w:tcPr>
          <w:p>
            <w:pPr>
              <w:jc w:val="center"/>
              <w:spacing w:after="0" w:line="162" w:lineRule="exact"/>
              <w:rPr>
                <w:sz w:val="20"/>
                <w:szCs w:val="20"/>
                <w:color w:val="auto"/>
              </w:rPr>
            </w:pPr>
            <w:r>
              <w:rPr>
                <w:rFonts w:ascii="Arial" w:cs="Arial" w:eastAsia="Arial" w:hAnsi="Arial"/>
                <w:sz w:val="16"/>
                <w:szCs w:val="16"/>
                <w:color w:val="auto"/>
                <w:w w:val="93"/>
              </w:rPr>
              <w:t>Average for Non-</w:t>
            </w: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vMerge w:val="continue"/>
          </w:tcPr>
          <w:p>
            <w:pPr>
              <w:spacing w:after="0"/>
              <w:rPr>
                <w:sz w:val="18"/>
                <w:szCs w:val="18"/>
                <w:color w:val="auto"/>
              </w:rPr>
            </w:pPr>
          </w:p>
        </w:tc>
        <w:tc>
          <w:tcPr>
            <w:tcW w:w="140" w:type="dxa"/>
            <w:vAlign w:val="bottom"/>
            <w:tcBorders>
              <w:bottom w:val="single" w:sz="8" w:color="407CCA"/>
            </w:tcBorders>
          </w:tcPr>
          <w:p>
            <w:pPr>
              <w:spacing w:after="0"/>
              <w:rPr>
                <w:sz w:val="18"/>
                <w:szCs w:val="18"/>
                <w:color w:val="auto"/>
              </w:rPr>
            </w:pPr>
          </w:p>
        </w:tc>
        <w:tc>
          <w:tcPr>
            <w:tcW w:w="108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tcPr>
          <w:p>
            <w:pPr>
              <w:spacing w:after="0"/>
              <w:rPr>
                <w:sz w:val="18"/>
                <w:szCs w:val="18"/>
                <w:color w:val="auto"/>
              </w:rPr>
            </w:pPr>
          </w:p>
        </w:tc>
        <w:tc>
          <w:tcPr>
            <w:tcW w:w="104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tcPr>
          <w:p>
            <w:pPr>
              <w:spacing w:after="0"/>
              <w:rPr>
                <w:sz w:val="18"/>
                <w:szCs w:val="18"/>
                <w:color w:val="auto"/>
              </w:rPr>
            </w:pPr>
          </w:p>
        </w:tc>
        <w:tc>
          <w:tcPr>
            <w:tcW w:w="1120" w:type="dxa"/>
            <w:vAlign w:val="bottom"/>
            <w:tcBorders>
              <w:bottom w:val="single" w:sz="8" w:color="407CCA"/>
            </w:tcBorders>
          </w:tcPr>
          <w:p>
            <w:pPr>
              <w:jc w:val="center"/>
              <w:ind w:right="99"/>
              <w:spacing w:after="0"/>
              <w:rPr>
                <w:sz w:val="20"/>
                <w:szCs w:val="20"/>
                <w:color w:val="auto"/>
              </w:rPr>
            </w:pPr>
            <w:r>
              <w:rPr>
                <w:rFonts w:ascii="Arial" w:cs="Arial" w:eastAsia="Arial" w:hAnsi="Arial"/>
                <w:sz w:val="16"/>
                <w:szCs w:val="16"/>
                <w:color w:val="auto"/>
                <w:w w:val="94"/>
              </w:rPr>
              <w:t>CEO-NEOs</w:t>
            </w:r>
          </w:p>
        </w:tc>
        <w:tc>
          <w:tcPr>
            <w:tcW w:w="0" w:type="dxa"/>
            <w:vAlign w:val="bottom"/>
          </w:tcPr>
          <w:p>
            <w:pPr>
              <w:spacing w:after="0"/>
              <w:rPr>
                <w:sz w:val="1"/>
                <w:szCs w:val="1"/>
                <w:color w:val="auto"/>
              </w:rPr>
            </w:pPr>
          </w:p>
        </w:tc>
      </w:tr>
      <w:tr>
        <w:trPr>
          <w:trHeight w:val="225"/>
        </w:trPr>
        <w:tc>
          <w:tcPr>
            <w:tcW w:w="7620" w:type="dxa"/>
            <w:vAlign w:val="bottom"/>
            <w:gridSpan w:val="2"/>
          </w:tcPr>
          <w:p>
            <w:pPr>
              <w:ind w:left="20"/>
              <w:spacing w:after="0"/>
              <w:rPr>
                <w:sz w:val="20"/>
                <w:szCs w:val="20"/>
                <w:color w:val="auto"/>
              </w:rPr>
            </w:pPr>
            <w:r>
              <w:rPr>
                <w:rFonts w:ascii="Arial" w:cs="Arial" w:eastAsia="Arial" w:hAnsi="Arial"/>
                <w:sz w:val="18"/>
                <w:szCs w:val="18"/>
                <w:color w:val="auto"/>
                <w:w w:val="91"/>
              </w:rPr>
              <w:t xml:space="preserve">Deduction for amounts reported under the Stock Awards Column in the Summary Compensation Table </w:t>
            </w:r>
            <w:r>
              <w:rPr>
                <w:rFonts w:ascii="Arial" w:cs="Arial" w:eastAsia="Arial" w:hAnsi="Arial"/>
                <w:sz w:val="16"/>
                <w:szCs w:val="16"/>
                <w:color w:val="auto"/>
                <w:w w:val="91"/>
              </w:rPr>
              <w:t>$</w:t>
            </w:r>
          </w:p>
        </w:tc>
        <w:tc>
          <w:tcPr>
            <w:tcW w:w="1080" w:type="dxa"/>
            <w:vAlign w:val="bottom"/>
          </w:tcPr>
          <w:p>
            <w:pPr>
              <w:jc w:val="right"/>
              <w:spacing w:after="0"/>
              <w:rPr>
                <w:sz w:val="20"/>
                <w:szCs w:val="20"/>
                <w:color w:val="auto"/>
              </w:rPr>
            </w:pPr>
            <w:r>
              <w:rPr>
                <w:rFonts w:ascii="Arial" w:cs="Arial" w:eastAsia="Arial" w:hAnsi="Arial"/>
                <w:sz w:val="16"/>
                <w:szCs w:val="16"/>
                <w:color w:val="auto"/>
              </w:rPr>
              <w:t>(3,400,000)</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(6,150,000)</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(1,257,500)</w:t>
            </w:r>
          </w:p>
        </w:tc>
        <w:tc>
          <w:tcPr>
            <w:tcW w:w="0" w:type="dxa"/>
            <w:vAlign w:val="bottom"/>
          </w:tcPr>
          <w:p>
            <w:pPr>
              <w:spacing w:after="0"/>
              <w:rPr>
                <w:sz w:val="1"/>
                <w:szCs w:val="1"/>
                <w:color w:val="auto"/>
              </w:rPr>
            </w:pPr>
          </w:p>
        </w:tc>
      </w:tr>
      <w:tr>
        <w:trPr>
          <w:trHeight w:val="229"/>
        </w:trPr>
        <w:tc>
          <w:tcPr>
            <w:tcW w:w="7480" w:type="dxa"/>
            <w:vAlign w:val="bottom"/>
          </w:tcPr>
          <w:p>
            <w:pPr>
              <w:ind w:left="20"/>
              <w:spacing w:after="0"/>
              <w:rPr>
                <w:sz w:val="20"/>
                <w:szCs w:val="20"/>
                <w:color w:val="auto"/>
              </w:rPr>
            </w:pPr>
            <w:r>
              <w:rPr>
                <w:rFonts w:ascii="Arial" w:cs="Arial" w:eastAsia="Arial" w:hAnsi="Arial"/>
                <w:sz w:val="18"/>
                <w:szCs w:val="18"/>
                <w:color w:val="auto"/>
                <w:w w:val="92"/>
              </w:rPr>
              <w:t>Increase for fair value at year-end of awards granted during year that remain unvested as of year-end</w:t>
            </w:r>
          </w:p>
        </w:tc>
        <w:tc>
          <w:tcPr>
            <w:tcW w:w="14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80" w:type="dxa"/>
            <w:vAlign w:val="bottom"/>
          </w:tcPr>
          <w:p>
            <w:pPr>
              <w:jc w:val="right"/>
              <w:spacing w:after="0"/>
              <w:rPr>
                <w:sz w:val="20"/>
                <w:szCs w:val="20"/>
                <w:color w:val="auto"/>
              </w:rPr>
            </w:pPr>
            <w:r>
              <w:rPr>
                <w:rFonts w:ascii="Arial" w:cs="Arial" w:eastAsia="Arial" w:hAnsi="Arial"/>
                <w:sz w:val="16"/>
                <w:szCs w:val="16"/>
                <w:color w:val="auto"/>
              </w:rPr>
              <w:t>3,443,197</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6,228,139</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1,273,459</w:t>
            </w:r>
          </w:p>
        </w:tc>
        <w:tc>
          <w:tcPr>
            <w:tcW w:w="0" w:type="dxa"/>
            <w:vAlign w:val="bottom"/>
          </w:tcPr>
          <w:p>
            <w:pPr>
              <w:spacing w:after="0"/>
              <w:rPr>
                <w:sz w:val="1"/>
                <w:szCs w:val="1"/>
                <w:color w:val="auto"/>
              </w:rPr>
            </w:pPr>
          </w:p>
        </w:tc>
      </w:tr>
      <w:tr>
        <w:trPr>
          <w:trHeight w:val="176"/>
        </w:trPr>
        <w:tc>
          <w:tcPr>
            <w:tcW w:w="7480" w:type="dxa"/>
            <w:vAlign w:val="bottom"/>
          </w:tcPr>
          <w:p>
            <w:pPr>
              <w:ind w:left="20"/>
              <w:spacing w:after="0" w:line="176" w:lineRule="exact"/>
              <w:rPr>
                <w:sz w:val="20"/>
                <w:szCs w:val="20"/>
                <w:color w:val="auto"/>
              </w:rPr>
            </w:pPr>
            <w:r>
              <w:rPr>
                <w:rFonts w:ascii="Arial" w:cs="Arial" w:eastAsia="Arial" w:hAnsi="Arial"/>
                <w:sz w:val="18"/>
                <w:szCs w:val="18"/>
                <w:color w:val="auto"/>
                <w:w w:val="98"/>
              </w:rPr>
              <w:t>Increase/(Deduction) for change in fair value from prior year-end to current year-end of awards</w:t>
            </w:r>
          </w:p>
        </w:tc>
        <w:tc>
          <w:tcPr>
            <w:tcW w:w="1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7"/>
        </w:trPr>
        <w:tc>
          <w:tcPr>
            <w:tcW w:w="7480" w:type="dxa"/>
            <w:vAlign w:val="bottom"/>
          </w:tcPr>
          <w:p>
            <w:pPr>
              <w:ind w:left="20"/>
              <w:spacing w:after="0"/>
              <w:rPr>
                <w:sz w:val="20"/>
                <w:szCs w:val="20"/>
                <w:color w:val="auto"/>
              </w:rPr>
            </w:pPr>
            <w:r>
              <w:rPr>
                <w:rFonts w:ascii="Arial" w:cs="Arial" w:eastAsia="Arial" w:hAnsi="Arial"/>
                <w:sz w:val="18"/>
                <w:szCs w:val="18"/>
                <w:color w:val="auto"/>
              </w:rPr>
              <w:t>granted prior to year that were outstanding and unvested as of year-end</w:t>
            </w:r>
          </w:p>
        </w:tc>
        <w:tc>
          <w:tcPr>
            <w:tcW w:w="14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80" w:type="dxa"/>
            <w:vAlign w:val="bottom"/>
          </w:tcPr>
          <w:p>
            <w:pPr>
              <w:jc w:val="right"/>
              <w:spacing w:after="0"/>
              <w:rPr>
                <w:sz w:val="20"/>
                <w:szCs w:val="20"/>
                <w:color w:val="auto"/>
              </w:rPr>
            </w:pPr>
            <w:r>
              <w:rPr>
                <w:rFonts w:ascii="Arial" w:cs="Arial" w:eastAsia="Arial" w:hAnsi="Arial"/>
                <w:sz w:val="16"/>
                <w:szCs w:val="16"/>
                <w:color w:val="auto"/>
              </w:rPr>
              <w:t>635,848</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3,420,757</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316,660</w:t>
            </w:r>
          </w:p>
        </w:tc>
        <w:tc>
          <w:tcPr>
            <w:tcW w:w="0" w:type="dxa"/>
            <w:vAlign w:val="bottom"/>
          </w:tcPr>
          <w:p>
            <w:pPr>
              <w:spacing w:after="0"/>
              <w:rPr>
                <w:sz w:val="1"/>
                <w:szCs w:val="1"/>
                <w:color w:val="auto"/>
              </w:rPr>
            </w:pPr>
          </w:p>
        </w:tc>
      </w:tr>
      <w:tr>
        <w:trPr>
          <w:trHeight w:val="172"/>
        </w:trPr>
        <w:tc>
          <w:tcPr>
            <w:tcW w:w="7480" w:type="dxa"/>
            <w:vAlign w:val="bottom"/>
          </w:tcPr>
          <w:p>
            <w:pPr>
              <w:ind w:left="20"/>
              <w:spacing w:after="0" w:line="171" w:lineRule="exact"/>
              <w:rPr>
                <w:sz w:val="20"/>
                <w:szCs w:val="20"/>
                <w:color w:val="auto"/>
              </w:rPr>
            </w:pPr>
            <w:r>
              <w:rPr>
                <w:rFonts w:ascii="Arial" w:cs="Arial" w:eastAsia="Arial" w:hAnsi="Arial"/>
                <w:sz w:val="16"/>
                <w:szCs w:val="16"/>
                <w:color w:val="auto"/>
                <w:w w:val="94"/>
              </w:rPr>
              <w:t>Increase/(Deduction) for change in fair value from prior year-end to vesting date of awards granted prior to year</w:t>
            </w:r>
          </w:p>
        </w:tc>
        <w:tc>
          <w:tcPr>
            <w:tcW w:w="14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080" w:type="dxa"/>
            <w:vAlign w:val="bottom"/>
            <w:vMerge w:val="restart"/>
          </w:tcPr>
          <w:p>
            <w:pPr>
              <w:jc w:val="right"/>
              <w:spacing w:after="0"/>
              <w:rPr>
                <w:sz w:val="20"/>
                <w:szCs w:val="20"/>
                <w:color w:val="auto"/>
              </w:rPr>
            </w:pPr>
            <w:r>
              <w:rPr>
                <w:rFonts w:ascii="Arial" w:cs="Arial" w:eastAsia="Arial" w:hAnsi="Arial"/>
                <w:sz w:val="16"/>
                <w:szCs w:val="16"/>
                <w:color w:val="auto"/>
              </w:rPr>
              <w:t>116,933</w:t>
            </w:r>
          </w:p>
        </w:tc>
        <w:tc>
          <w:tcPr>
            <w:tcW w:w="18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vMerge w:val="restart"/>
          </w:tcPr>
          <w:p>
            <w:pPr>
              <w:jc w:val="right"/>
              <w:spacing w:after="0"/>
              <w:rPr>
                <w:sz w:val="20"/>
                <w:szCs w:val="20"/>
                <w:color w:val="auto"/>
              </w:rPr>
            </w:pPr>
            <w:r>
              <w:rPr>
                <w:rFonts w:ascii="Arial" w:cs="Arial" w:eastAsia="Arial" w:hAnsi="Arial"/>
                <w:sz w:val="16"/>
                <w:szCs w:val="16"/>
                <w:color w:val="auto"/>
              </w:rPr>
              <w:t>352,899</w:t>
            </w:r>
          </w:p>
        </w:tc>
        <w:tc>
          <w:tcPr>
            <w:tcW w:w="18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vMerge w:val="restart"/>
          </w:tcPr>
          <w:p>
            <w:pPr>
              <w:jc w:val="right"/>
              <w:spacing w:after="0"/>
              <w:rPr>
                <w:sz w:val="20"/>
                <w:szCs w:val="20"/>
                <w:color w:val="auto"/>
              </w:rPr>
            </w:pPr>
            <w:r>
              <w:rPr>
                <w:rFonts w:ascii="Arial" w:cs="Arial" w:eastAsia="Arial" w:hAnsi="Arial"/>
                <w:sz w:val="16"/>
                <w:szCs w:val="16"/>
                <w:color w:val="auto"/>
              </w:rPr>
              <w:t>32,357</w:t>
            </w: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that vested during year</w:t>
            </w:r>
          </w:p>
        </w:tc>
        <w:tc>
          <w:tcPr>
            <w:tcW w:w="140" w:type="dxa"/>
            <w:vAlign w:val="bottom"/>
            <w:tcBorders>
              <w:bottom w:val="single" w:sz="8" w:color="407CCA"/>
            </w:tcBorders>
            <w:vMerge w:val="continue"/>
          </w:tcPr>
          <w:p>
            <w:pPr>
              <w:spacing w:after="0"/>
              <w:rPr>
                <w:sz w:val="18"/>
                <w:szCs w:val="18"/>
                <w:color w:val="auto"/>
              </w:rPr>
            </w:pPr>
          </w:p>
        </w:tc>
        <w:tc>
          <w:tcPr>
            <w:tcW w:w="108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vMerge w:val="continue"/>
          </w:tcPr>
          <w:p>
            <w:pPr>
              <w:spacing w:after="0"/>
              <w:rPr>
                <w:sz w:val="18"/>
                <w:szCs w:val="18"/>
                <w:color w:val="auto"/>
              </w:rPr>
            </w:pPr>
          </w:p>
        </w:tc>
        <w:tc>
          <w:tcPr>
            <w:tcW w:w="104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vMerge w:val="continue"/>
          </w:tcPr>
          <w:p>
            <w:pPr>
              <w:spacing w:after="0"/>
              <w:rPr>
                <w:sz w:val="18"/>
                <w:szCs w:val="18"/>
                <w:color w:val="auto"/>
              </w:rPr>
            </w:pPr>
          </w:p>
        </w:tc>
        <w:tc>
          <w:tcPr>
            <w:tcW w:w="1120" w:type="dxa"/>
            <w:vAlign w:val="bottom"/>
            <w:tcBorders>
              <w:bottom w:val="single" w:sz="8" w:color="407CCA"/>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Total adjustments</w:t>
            </w:r>
          </w:p>
        </w:tc>
        <w:tc>
          <w:tcPr>
            <w:tcW w:w="14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08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795,978</w:t>
            </w:r>
          </w:p>
        </w:tc>
        <w:tc>
          <w:tcPr>
            <w:tcW w:w="18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3,851,795</w:t>
            </w:r>
          </w:p>
        </w:tc>
        <w:tc>
          <w:tcPr>
            <w:tcW w:w="18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364,976</w:t>
            </w:r>
          </w:p>
        </w:tc>
        <w:tc>
          <w:tcPr>
            <w:tcW w:w="0" w:type="dxa"/>
            <w:vAlign w:val="bottom"/>
          </w:tcPr>
          <w:p>
            <w:pPr>
              <w:spacing w:after="0"/>
              <w:rPr>
                <w:sz w:val="1"/>
                <w:szCs w:val="1"/>
                <w:color w:val="auto"/>
              </w:rPr>
            </w:pPr>
          </w:p>
        </w:tc>
      </w:tr>
      <w:tr>
        <w:trPr>
          <w:trHeight w:val="466"/>
        </w:trPr>
        <w:tc>
          <w:tcPr>
            <w:tcW w:w="7480" w:type="dxa"/>
            <w:vAlign w:val="bottom"/>
          </w:tcPr>
          <w:p>
            <w:pPr>
              <w:spacing w:after="0"/>
              <w:rPr>
                <w:sz w:val="24"/>
                <w:szCs w:val="24"/>
                <w:color w:val="auto"/>
              </w:rPr>
            </w:pPr>
          </w:p>
        </w:tc>
        <w:tc>
          <w:tcPr>
            <w:tcW w:w="140" w:type="dxa"/>
            <w:vAlign w:val="bottom"/>
            <w:tcBorders>
              <w:bottom w:val="single" w:sz="8" w:color="407CCA"/>
            </w:tcBorders>
          </w:tcPr>
          <w:p>
            <w:pPr>
              <w:spacing w:after="0"/>
              <w:rPr>
                <w:sz w:val="24"/>
                <w:szCs w:val="24"/>
                <w:color w:val="auto"/>
              </w:rPr>
            </w:pPr>
          </w:p>
        </w:tc>
        <w:tc>
          <w:tcPr>
            <w:tcW w:w="1080" w:type="dxa"/>
            <w:vAlign w:val="bottom"/>
            <w:tcBorders>
              <w:bottom w:val="single" w:sz="8" w:color="407CCA"/>
            </w:tcBorders>
          </w:tcPr>
          <w:p>
            <w:pPr>
              <w:spacing w:after="0"/>
              <w:rPr>
                <w:sz w:val="24"/>
                <w:szCs w:val="24"/>
                <w:color w:val="auto"/>
              </w:rPr>
            </w:pPr>
          </w:p>
        </w:tc>
        <w:tc>
          <w:tcPr>
            <w:tcW w:w="180" w:type="dxa"/>
            <w:vAlign w:val="bottom"/>
            <w:tcBorders>
              <w:bottom w:val="single" w:sz="8" w:color="407CCA"/>
            </w:tcBorders>
          </w:tcPr>
          <w:p>
            <w:pPr>
              <w:spacing w:after="0"/>
              <w:rPr>
                <w:sz w:val="24"/>
                <w:szCs w:val="24"/>
                <w:color w:val="auto"/>
              </w:rPr>
            </w:pPr>
          </w:p>
        </w:tc>
        <w:tc>
          <w:tcPr>
            <w:tcW w:w="1040" w:type="dxa"/>
            <w:vAlign w:val="bottom"/>
            <w:tcBorders>
              <w:bottom w:val="single" w:sz="8" w:color="407CCA"/>
            </w:tcBorders>
          </w:tcPr>
          <w:p>
            <w:pPr>
              <w:jc w:val="right"/>
              <w:ind w:right="159"/>
              <w:spacing w:after="0"/>
              <w:rPr>
                <w:sz w:val="20"/>
                <w:szCs w:val="20"/>
                <w:color w:val="auto"/>
              </w:rPr>
            </w:pPr>
            <w:r>
              <w:rPr>
                <w:rFonts w:ascii="Arial" w:cs="Arial" w:eastAsia="Arial" w:hAnsi="Arial"/>
                <w:sz w:val="16"/>
                <w:szCs w:val="16"/>
                <w:color w:val="auto"/>
              </w:rPr>
              <w:t>Year 2020</w:t>
            </w:r>
          </w:p>
        </w:tc>
        <w:tc>
          <w:tcPr>
            <w:tcW w:w="180" w:type="dxa"/>
            <w:vAlign w:val="bottom"/>
            <w:tcBorders>
              <w:bottom w:val="single" w:sz="8" w:color="407CCA"/>
            </w:tcBorders>
          </w:tcPr>
          <w:p>
            <w:pPr>
              <w:spacing w:after="0"/>
              <w:rPr>
                <w:sz w:val="24"/>
                <w:szCs w:val="24"/>
                <w:color w:val="auto"/>
              </w:rPr>
            </w:pPr>
          </w:p>
        </w:tc>
        <w:tc>
          <w:tcPr>
            <w:tcW w:w="1120" w:type="dxa"/>
            <w:vAlign w:val="bottom"/>
            <w:tcBorders>
              <w:bottom w:val="single" w:sz="8" w:color="407CCA"/>
            </w:tcBorders>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7480" w:type="dxa"/>
            <w:vAlign w:val="bottom"/>
            <w:vMerge w:val="restart"/>
          </w:tcPr>
          <w:p>
            <w:pPr>
              <w:ind w:left="20"/>
              <w:spacing w:after="0"/>
              <w:rPr>
                <w:sz w:val="20"/>
                <w:szCs w:val="20"/>
                <w:color w:val="auto"/>
              </w:rPr>
            </w:pPr>
            <w:r>
              <w:rPr>
                <w:rFonts w:ascii="Arial" w:cs="Arial" w:eastAsia="Arial" w:hAnsi="Arial"/>
                <w:sz w:val="16"/>
                <w:szCs w:val="16"/>
                <w:color w:val="auto"/>
              </w:rPr>
              <w:t>Adjustments to Summary Compensation Table Totals to Determine Compensation Actually Paid</w:t>
            </w:r>
          </w:p>
        </w:tc>
        <w:tc>
          <w:tcPr>
            <w:tcW w:w="140" w:type="dxa"/>
            <w:vAlign w:val="bottom"/>
          </w:tcPr>
          <w:p>
            <w:pPr>
              <w:spacing w:after="0"/>
              <w:rPr>
                <w:sz w:val="14"/>
                <w:szCs w:val="14"/>
                <w:color w:val="auto"/>
              </w:rPr>
            </w:pPr>
          </w:p>
        </w:tc>
        <w:tc>
          <w:tcPr>
            <w:tcW w:w="1080" w:type="dxa"/>
            <w:vAlign w:val="bottom"/>
            <w:vMerge w:val="restart"/>
          </w:tcPr>
          <w:p>
            <w:pPr>
              <w:jc w:val="center"/>
              <w:ind w:right="59"/>
              <w:spacing w:after="0"/>
              <w:rPr>
                <w:sz w:val="20"/>
                <w:szCs w:val="20"/>
                <w:color w:val="auto"/>
              </w:rPr>
            </w:pPr>
            <w:r>
              <w:rPr>
                <w:rFonts w:ascii="Arial" w:cs="Arial" w:eastAsia="Arial" w:hAnsi="Arial"/>
                <w:sz w:val="16"/>
                <w:szCs w:val="16"/>
                <w:color w:val="auto"/>
                <w:w w:val="92"/>
              </w:rPr>
              <w:t>Current CEO</w:t>
            </w:r>
          </w:p>
        </w:tc>
        <w:tc>
          <w:tcPr>
            <w:tcW w:w="180" w:type="dxa"/>
            <w:vAlign w:val="bottom"/>
          </w:tcPr>
          <w:p>
            <w:pPr>
              <w:spacing w:after="0"/>
              <w:rPr>
                <w:sz w:val="14"/>
                <w:szCs w:val="14"/>
                <w:color w:val="auto"/>
              </w:rPr>
            </w:pPr>
          </w:p>
        </w:tc>
        <w:tc>
          <w:tcPr>
            <w:tcW w:w="1040" w:type="dxa"/>
            <w:vAlign w:val="bottom"/>
            <w:vMerge w:val="restart"/>
          </w:tcPr>
          <w:p>
            <w:pPr>
              <w:jc w:val="right"/>
              <w:ind w:right="179"/>
              <w:spacing w:after="0"/>
              <w:rPr>
                <w:sz w:val="20"/>
                <w:szCs w:val="20"/>
                <w:color w:val="auto"/>
              </w:rPr>
            </w:pPr>
            <w:r>
              <w:rPr>
                <w:rFonts w:ascii="Arial" w:cs="Arial" w:eastAsia="Arial" w:hAnsi="Arial"/>
                <w:sz w:val="16"/>
                <w:szCs w:val="16"/>
                <w:color w:val="auto"/>
              </w:rPr>
              <w:t>Prior CEO</w:t>
            </w:r>
          </w:p>
        </w:tc>
        <w:tc>
          <w:tcPr>
            <w:tcW w:w="1300" w:type="dxa"/>
            <w:vAlign w:val="bottom"/>
            <w:gridSpan w:val="2"/>
          </w:tcPr>
          <w:p>
            <w:pPr>
              <w:jc w:val="center"/>
              <w:spacing w:after="0" w:line="162" w:lineRule="exact"/>
              <w:rPr>
                <w:sz w:val="20"/>
                <w:szCs w:val="20"/>
                <w:color w:val="auto"/>
              </w:rPr>
            </w:pPr>
            <w:r>
              <w:rPr>
                <w:rFonts w:ascii="Arial" w:cs="Arial" w:eastAsia="Arial" w:hAnsi="Arial"/>
                <w:sz w:val="16"/>
                <w:szCs w:val="16"/>
                <w:color w:val="auto"/>
                <w:w w:val="93"/>
              </w:rPr>
              <w:t>Average for Non-</w:t>
            </w: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vMerge w:val="continue"/>
          </w:tcPr>
          <w:p>
            <w:pPr>
              <w:spacing w:after="0"/>
              <w:rPr>
                <w:sz w:val="18"/>
                <w:szCs w:val="18"/>
                <w:color w:val="auto"/>
              </w:rPr>
            </w:pPr>
          </w:p>
        </w:tc>
        <w:tc>
          <w:tcPr>
            <w:tcW w:w="140" w:type="dxa"/>
            <w:vAlign w:val="bottom"/>
            <w:tcBorders>
              <w:bottom w:val="single" w:sz="8" w:color="407CCA"/>
            </w:tcBorders>
          </w:tcPr>
          <w:p>
            <w:pPr>
              <w:spacing w:after="0"/>
              <w:rPr>
                <w:sz w:val="18"/>
                <w:szCs w:val="18"/>
                <w:color w:val="auto"/>
              </w:rPr>
            </w:pPr>
          </w:p>
        </w:tc>
        <w:tc>
          <w:tcPr>
            <w:tcW w:w="108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tcPr>
          <w:p>
            <w:pPr>
              <w:spacing w:after="0"/>
              <w:rPr>
                <w:sz w:val="18"/>
                <w:szCs w:val="18"/>
                <w:color w:val="auto"/>
              </w:rPr>
            </w:pPr>
          </w:p>
        </w:tc>
        <w:tc>
          <w:tcPr>
            <w:tcW w:w="104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tcPr>
          <w:p>
            <w:pPr>
              <w:spacing w:after="0"/>
              <w:rPr>
                <w:sz w:val="18"/>
                <w:szCs w:val="18"/>
                <w:color w:val="auto"/>
              </w:rPr>
            </w:pPr>
          </w:p>
        </w:tc>
        <w:tc>
          <w:tcPr>
            <w:tcW w:w="1120" w:type="dxa"/>
            <w:vAlign w:val="bottom"/>
            <w:tcBorders>
              <w:bottom w:val="single" w:sz="8" w:color="407CCA"/>
            </w:tcBorders>
          </w:tcPr>
          <w:p>
            <w:pPr>
              <w:jc w:val="center"/>
              <w:ind w:right="99"/>
              <w:spacing w:after="0"/>
              <w:rPr>
                <w:sz w:val="20"/>
                <w:szCs w:val="20"/>
                <w:color w:val="auto"/>
              </w:rPr>
            </w:pPr>
            <w:r>
              <w:rPr>
                <w:rFonts w:ascii="Arial" w:cs="Arial" w:eastAsia="Arial" w:hAnsi="Arial"/>
                <w:sz w:val="16"/>
                <w:szCs w:val="16"/>
                <w:color w:val="auto"/>
                <w:w w:val="94"/>
              </w:rPr>
              <w:t>CEO-NEOs</w:t>
            </w:r>
          </w:p>
        </w:tc>
        <w:tc>
          <w:tcPr>
            <w:tcW w:w="0" w:type="dxa"/>
            <w:vAlign w:val="bottom"/>
          </w:tcPr>
          <w:p>
            <w:pPr>
              <w:spacing w:after="0"/>
              <w:rPr>
                <w:sz w:val="1"/>
                <w:szCs w:val="1"/>
                <w:color w:val="auto"/>
              </w:rPr>
            </w:pPr>
          </w:p>
        </w:tc>
      </w:tr>
      <w:tr>
        <w:trPr>
          <w:trHeight w:val="225"/>
        </w:trPr>
        <w:tc>
          <w:tcPr>
            <w:tcW w:w="7480" w:type="dxa"/>
            <w:vAlign w:val="bottom"/>
          </w:tcPr>
          <w:p>
            <w:pPr>
              <w:ind w:left="20"/>
              <w:spacing w:after="0"/>
              <w:rPr>
                <w:sz w:val="20"/>
                <w:szCs w:val="20"/>
                <w:color w:val="auto"/>
              </w:rPr>
            </w:pPr>
            <w:r>
              <w:rPr>
                <w:rFonts w:ascii="Arial" w:cs="Arial" w:eastAsia="Arial" w:hAnsi="Arial"/>
                <w:sz w:val="18"/>
                <w:szCs w:val="18"/>
                <w:color w:val="auto"/>
                <w:w w:val="90"/>
              </w:rPr>
              <w:t>Deduction for amounts reported under the Stock Awards Column in the Summary Compensation Table</w:t>
            </w:r>
          </w:p>
        </w:tc>
        <w:tc>
          <w:tcPr>
            <w:tcW w:w="140" w:type="dxa"/>
            <w:vAlign w:val="bottom"/>
          </w:tcPr>
          <w:p>
            <w:pPr>
              <w:spacing w:after="0"/>
              <w:rPr>
                <w:sz w:val="19"/>
                <w:szCs w:val="19"/>
                <w:color w:val="auto"/>
              </w:rPr>
            </w:pPr>
          </w:p>
        </w:tc>
        <w:tc>
          <w:tcPr>
            <w:tcW w:w="1080" w:type="dxa"/>
            <w:vAlign w:val="bottom"/>
          </w:tcPr>
          <w:p>
            <w:pPr>
              <w:jc w:val="center"/>
              <w:ind w:right="39"/>
              <w:spacing w:after="0"/>
              <w:rPr>
                <w:sz w:val="20"/>
                <w:szCs w:val="20"/>
                <w:color w:val="auto"/>
              </w:rPr>
            </w:pPr>
            <w:r>
              <w:rPr>
                <w:rFonts w:ascii="Arial" w:cs="Arial" w:eastAsia="Arial" w:hAnsi="Arial"/>
                <w:sz w:val="16"/>
                <w:szCs w:val="16"/>
                <w:color w:val="auto"/>
              </w:rPr>
              <w:t>N/A</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(8,100,000)</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(1,406,250)</w:t>
            </w:r>
          </w:p>
        </w:tc>
        <w:tc>
          <w:tcPr>
            <w:tcW w:w="0" w:type="dxa"/>
            <w:vAlign w:val="bottom"/>
          </w:tcPr>
          <w:p>
            <w:pPr>
              <w:spacing w:after="0"/>
              <w:rPr>
                <w:sz w:val="1"/>
                <w:szCs w:val="1"/>
                <w:color w:val="auto"/>
              </w:rPr>
            </w:pPr>
          </w:p>
        </w:tc>
      </w:tr>
      <w:tr>
        <w:trPr>
          <w:trHeight w:val="229"/>
        </w:trPr>
        <w:tc>
          <w:tcPr>
            <w:tcW w:w="7480" w:type="dxa"/>
            <w:vAlign w:val="bottom"/>
          </w:tcPr>
          <w:p>
            <w:pPr>
              <w:ind w:left="20"/>
              <w:spacing w:after="0"/>
              <w:rPr>
                <w:sz w:val="20"/>
                <w:szCs w:val="20"/>
                <w:color w:val="auto"/>
              </w:rPr>
            </w:pPr>
            <w:r>
              <w:rPr>
                <w:rFonts w:ascii="Arial" w:cs="Arial" w:eastAsia="Arial" w:hAnsi="Arial"/>
                <w:sz w:val="18"/>
                <w:szCs w:val="18"/>
                <w:color w:val="auto"/>
                <w:w w:val="92"/>
              </w:rPr>
              <w:t>Increase for fair value at year-end of awards granted during year that remain unvested as of year-end</w:t>
            </w:r>
          </w:p>
        </w:tc>
        <w:tc>
          <w:tcPr>
            <w:tcW w:w="140" w:type="dxa"/>
            <w:vAlign w:val="bottom"/>
          </w:tcPr>
          <w:p>
            <w:pPr>
              <w:spacing w:after="0"/>
              <w:rPr>
                <w:sz w:val="19"/>
                <w:szCs w:val="19"/>
                <w:color w:val="auto"/>
              </w:rPr>
            </w:pPr>
          </w:p>
        </w:tc>
        <w:tc>
          <w:tcPr>
            <w:tcW w:w="1080" w:type="dxa"/>
            <w:vAlign w:val="bottom"/>
          </w:tcPr>
          <w:p>
            <w:pPr>
              <w:jc w:val="center"/>
              <w:ind w:right="39"/>
              <w:spacing w:after="0"/>
              <w:rPr>
                <w:sz w:val="20"/>
                <w:szCs w:val="20"/>
                <w:color w:val="auto"/>
              </w:rPr>
            </w:pPr>
            <w:r>
              <w:rPr>
                <w:rFonts w:ascii="Arial" w:cs="Arial" w:eastAsia="Arial" w:hAnsi="Arial"/>
                <w:sz w:val="16"/>
                <w:szCs w:val="16"/>
                <w:color w:val="auto"/>
              </w:rPr>
              <w:t>N/A</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7,117,718</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1,235,711</w:t>
            </w:r>
          </w:p>
        </w:tc>
        <w:tc>
          <w:tcPr>
            <w:tcW w:w="0" w:type="dxa"/>
            <w:vAlign w:val="bottom"/>
          </w:tcPr>
          <w:p>
            <w:pPr>
              <w:spacing w:after="0"/>
              <w:rPr>
                <w:sz w:val="1"/>
                <w:szCs w:val="1"/>
                <w:color w:val="auto"/>
              </w:rPr>
            </w:pPr>
          </w:p>
        </w:tc>
      </w:tr>
      <w:tr>
        <w:trPr>
          <w:trHeight w:val="176"/>
        </w:trPr>
        <w:tc>
          <w:tcPr>
            <w:tcW w:w="7480" w:type="dxa"/>
            <w:vAlign w:val="bottom"/>
          </w:tcPr>
          <w:p>
            <w:pPr>
              <w:ind w:left="20"/>
              <w:spacing w:after="0" w:line="176" w:lineRule="exact"/>
              <w:rPr>
                <w:sz w:val="20"/>
                <w:szCs w:val="20"/>
                <w:color w:val="auto"/>
              </w:rPr>
            </w:pPr>
            <w:r>
              <w:rPr>
                <w:rFonts w:ascii="Arial" w:cs="Arial" w:eastAsia="Arial" w:hAnsi="Arial"/>
                <w:sz w:val="18"/>
                <w:szCs w:val="18"/>
                <w:color w:val="auto"/>
                <w:w w:val="98"/>
              </w:rPr>
              <w:t>Increase/(Deduction) for change in fair value from prior year-end to current year-end of awards</w:t>
            </w:r>
          </w:p>
        </w:tc>
        <w:tc>
          <w:tcPr>
            <w:tcW w:w="1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7"/>
        </w:trPr>
        <w:tc>
          <w:tcPr>
            <w:tcW w:w="7480" w:type="dxa"/>
            <w:vAlign w:val="bottom"/>
          </w:tcPr>
          <w:p>
            <w:pPr>
              <w:ind w:left="20"/>
              <w:spacing w:after="0"/>
              <w:rPr>
                <w:sz w:val="20"/>
                <w:szCs w:val="20"/>
                <w:color w:val="auto"/>
              </w:rPr>
            </w:pPr>
            <w:r>
              <w:rPr>
                <w:rFonts w:ascii="Arial" w:cs="Arial" w:eastAsia="Arial" w:hAnsi="Arial"/>
                <w:sz w:val="18"/>
                <w:szCs w:val="18"/>
                <w:color w:val="auto"/>
              </w:rPr>
              <w:t>granted prior to year that were outstanding and unvested as of year-end</w:t>
            </w:r>
          </w:p>
        </w:tc>
        <w:tc>
          <w:tcPr>
            <w:tcW w:w="140" w:type="dxa"/>
            <w:vAlign w:val="bottom"/>
          </w:tcPr>
          <w:p>
            <w:pPr>
              <w:spacing w:after="0"/>
              <w:rPr>
                <w:sz w:val="20"/>
                <w:szCs w:val="20"/>
                <w:color w:val="auto"/>
              </w:rPr>
            </w:pPr>
          </w:p>
        </w:tc>
        <w:tc>
          <w:tcPr>
            <w:tcW w:w="1080" w:type="dxa"/>
            <w:vAlign w:val="bottom"/>
          </w:tcPr>
          <w:p>
            <w:pPr>
              <w:jc w:val="center"/>
              <w:ind w:right="39"/>
              <w:spacing w:after="0"/>
              <w:rPr>
                <w:sz w:val="20"/>
                <w:szCs w:val="20"/>
                <w:color w:val="auto"/>
              </w:rPr>
            </w:pPr>
            <w:r>
              <w:rPr>
                <w:rFonts w:ascii="Arial" w:cs="Arial" w:eastAsia="Arial" w:hAnsi="Arial"/>
                <w:sz w:val="16"/>
                <w:szCs w:val="16"/>
                <w:color w:val="auto"/>
              </w:rPr>
              <w:t>N/A</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Pr>
          <w:p>
            <w:pPr>
              <w:jc w:val="right"/>
              <w:spacing w:after="0"/>
              <w:rPr>
                <w:sz w:val="20"/>
                <w:szCs w:val="20"/>
                <w:color w:val="auto"/>
              </w:rPr>
            </w:pPr>
            <w:r>
              <w:rPr>
                <w:rFonts w:ascii="Arial" w:cs="Arial" w:eastAsia="Arial" w:hAnsi="Arial"/>
                <w:sz w:val="16"/>
                <w:szCs w:val="16"/>
                <w:color w:val="auto"/>
              </w:rPr>
              <w:t>(14,176)</w:t>
            </w:r>
          </w:p>
        </w:tc>
        <w:tc>
          <w:tcPr>
            <w:tcW w:w="18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Pr>
          <w:p>
            <w:pPr>
              <w:jc w:val="right"/>
              <w:spacing w:after="0"/>
              <w:rPr>
                <w:sz w:val="20"/>
                <w:szCs w:val="20"/>
                <w:color w:val="auto"/>
              </w:rPr>
            </w:pPr>
            <w:r>
              <w:rPr>
                <w:rFonts w:ascii="Arial" w:cs="Arial" w:eastAsia="Arial" w:hAnsi="Arial"/>
                <w:sz w:val="16"/>
                <w:szCs w:val="16"/>
                <w:color w:val="auto"/>
              </w:rPr>
              <w:t>(19,510)</w:t>
            </w:r>
          </w:p>
        </w:tc>
        <w:tc>
          <w:tcPr>
            <w:tcW w:w="0" w:type="dxa"/>
            <w:vAlign w:val="bottom"/>
          </w:tcPr>
          <w:p>
            <w:pPr>
              <w:spacing w:after="0"/>
              <w:rPr>
                <w:sz w:val="1"/>
                <w:szCs w:val="1"/>
                <w:color w:val="auto"/>
              </w:rPr>
            </w:pPr>
          </w:p>
        </w:tc>
      </w:tr>
      <w:tr>
        <w:trPr>
          <w:trHeight w:val="172"/>
        </w:trPr>
        <w:tc>
          <w:tcPr>
            <w:tcW w:w="7480" w:type="dxa"/>
            <w:vAlign w:val="bottom"/>
          </w:tcPr>
          <w:p>
            <w:pPr>
              <w:ind w:left="20"/>
              <w:spacing w:after="0" w:line="171" w:lineRule="exact"/>
              <w:rPr>
                <w:sz w:val="20"/>
                <w:szCs w:val="20"/>
                <w:color w:val="auto"/>
              </w:rPr>
            </w:pPr>
            <w:r>
              <w:rPr>
                <w:rFonts w:ascii="Arial" w:cs="Arial" w:eastAsia="Arial" w:hAnsi="Arial"/>
                <w:sz w:val="16"/>
                <w:szCs w:val="16"/>
                <w:color w:val="auto"/>
                <w:w w:val="94"/>
              </w:rPr>
              <w:t>Increase/(Deduction) for change in fair value from prior year-end to vesting date of awards granted prior to year</w:t>
            </w:r>
          </w:p>
        </w:tc>
        <w:tc>
          <w:tcPr>
            <w:tcW w:w="140" w:type="dxa"/>
            <w:vAlign w:val="bottom"/>
          </w:tcPr>
          <w:p>
            <w:pPr>
              <w:spacing w:after="0"/>
              <w:rPr>
                <w:sz w:val="14"/>
                <w:szCs w:val="14"/>
                <w:color w:val="auto"/>
              </w:rPr>
            </w:pPr>
          </w:p>
        </w:tc>
        <w:tc>
          <w:tcPr>
            <w:tcW w:w="1080" w:type="dxa"/>
            <w:vAlign w:val="bottom"/>
            <w:vMerge w:val="restart"/>
          </w:tcPr>
          <w:p>
            <w:pPr>
              <w:jc w:val="center"/>
              <w:ind w:right="39"/>
              <w:spacing w:after="0"/>
              <w:rPr>
                <w:sz w:val="20"/>
                <w:szCs w:val="20"/>
                <w:color w:val="auto"/>
              </w:rPr>
            </w:pPr>
            <w:r>
              <w:rPr>
                <w:rFonts w:ascii="Arial" w:cs="Arial" w:eastAsia="Arial" w:hAnsi="Arial"/>
                <w:sz w:val="16"/>
                <w:szCs w:val="16"/>
                <w:color w:val="auto"/>
              </w:rPr>
              <w:t>N/A</w:t>
            </w:r>
          </w:p>
        </w:tc>
        <w:tc>
          <w:tcPr>
            <w:tcW w:w="18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vMerge w:val="restart"/>
          </w:tcPr>
          <w:p>
            <w:pPr>
              <w:jc w:val="right"/>
              <w:spacing w:after="0"/>
              <w:rPr>
                <w:sz w:val="20"/>
                <w:szCs w:val="20"/>
                <w:color w:val="auto"/>
              </w:rPr>
            </w:pPr>
            <w:r>
              <w:rPr>
                <w:rFonts w:ascii="Arial" w:cs="Arial" w:eastAsia="Arial" w:hAnsi="Arial"/>
                <w:sz w:val="16"/>
                <w:szCs w:val="16"/>
                <w:color w:val="auto"/>
              </w:rPr>
              <w:t>(1,753,070)</w:t>
            </w:r>
          </w:p>
        </w:tc>
        <w:tc>
          <w:tcPr>
            <w:tcW w:w="180" w:type="dxa"/>
            <w:vAlign w:val="bottom"/>
            <w:vMerge w:val="restart"/>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vMerge w:val="restart"/>
          </w:tcPr>
          <w:p>
            <w:pPr>
              <w:jc w:val="right"/>
              <w:spacing w:after="0"/>
              <w:rPr>
                <w:sz w:val="20"/>
                <w:szCs w:val="20"/>
                <w:color w:val="auto"/>
              </w:rPr>
            </w:pPr>
            <w:r>
              <w:rPr>
                <w:rFonts w:ascii="Arial" w:cs="Arial" w:eastAsia="Arial" w:hAnsi="Arial"/>
                <w:sz w:val="16"/>
                <w:szCs w:val="16"/>
                <w:color w:val="auto"/>
              </w:rPr>
              <w:t>(279,684)</w:t>
            </w: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that vested during year</w:t>
            </w:r>
          </w:p>
        </w:tc>
        <w:tc>
          <w:tcPr>
            <w:tcW w:w="140" w:type="dxa"/>
            <w:vAlign w:val="bottom"/>
            <w:tcBorders>
              <w:bottom w:val="single" w:sz="8" w:color="407CCA"/>
            </w:tcBorders>
          </w:tcPr>
          <w:p>
            <w:pPr>
              <w:spacing w:after="0"/>
              <w:rPr>
                <w:sz w:val="18"/>
                <w:szCs w:val="18"/>
                <w:color w:val="auto"/>
              </w:rPr>
            </w:pPr>
          </w:p>
        </w:tc>
        <w:tc>
          <w:tcPr>
            <w:tcW w:w="108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vMerge w:val="continue"/>
          </w:tcPr>
          <w:p>
            <w:pPr>
              <w:spacing w:after="0"/>
              <w:rPr>
                <w:sz w:val="18"/>
                <w:szCs w:val="18"/>
                <w:color w:val="auto"/>
              </w:rPr>
            </w:pPr>
          </w:p>
        </w:tc>
        <w:tc>
          <w:tcPr>
            <w:tcW w:w="1040" w:type="dxa"/>
            <w:vAlign w:val="bottom"/>
            <w:tcBorders>
              <w:bottom w:val="single" w:sz="8" w:color="407CCA"/>
            </w:tcBorders>
            <w:vMerge w:val="continue"/>
          </w:tcPr>
          <w:p>
            <w:pPr>
              <w:spacing w:after="0"/>
              <w:rPr>
                <w:sz w:val="18"/>
                <w:szCs w:val="18"/>
                <w:color w:val="auto"/>
              </w:rPr>
            </w:pPr>
          </w:p>
        </w:tc>
        <w:tc>
          <w:tcPr>
            <w:tcW w:w="180" w:type="dxa"/>
            <w:vAlign w:val="bottom"/>
            <w:tcBorders>
              <w:bottom w:val="single" w:sz="8" w:color="407CCA"/>
            </w:tcBorders>
            <w:vMerge w:val="continue"/>
          </w:tcPr>
          <w:p>
            <w:pPr>
              <w:spacing w:after="0"/>
              <w:rPr>
                <w:sz w:val="18"/>
                <w:szCs w:val="18"/>
                <w:color w:val="auto"/>
              </w:rPr>
            </w:pPr>
          </w:p>
        </w:tc>
        <w:tc>
          <w:tcPr>
            <w:tcW w:w="1120" w:type="dxa"/>
            <w:vAlign w:val="bottom"/>
            <w:tcBorders>
              <w:bottom w:val="single" w:sz="8" w:color="407CCA"/>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480" w:type="dxa"/>
            <w:vAlign w:val="bottom"/>
            <w:tcBorders>
              <w:bottom w:val="single" w:sz="8" w:color="407CCA"/>
            </w:tcBorders>
          </w:tcPr>
          <w:p>
            <w:pPr>
              <w:ind w:left="20"/>
              <w:spacing w:after="0"/>
              <w:rPr>
                <w:sz w:val="20"/>
                <w:szCs w:val="20"/>
                <w:color w:val="auto"/>
              </w:rPr>
            </w:pPr>
            <w:r>
              <w:rPr>
                <w:rFonts w:ascii="Arial" w:cs="Arial" w:eastAsia="Arial" w:hAnsi="Arial"/>
                <w:sz w:val="16"/>
                <w:szCs w:val="16"/>
                <w:color w:val="auto"/>
              </w:rPr>
              <w:t>Total adjustments</w:t>
            </w:r>
          </w:p>
        </w:tc>
        <w:tc>
          <w:tcPr>
            <w:tcW w:w="140" w:type="dxa"/>
            <w:vAlign w:val="bottom"/>
            <w:tcBorders>
              <w:bottom w:val="single" w:sz="8" w:color="407CCA"/>
            </w:tcBorders>
          </w:tcPr>
          <w:p>
            <w:pPr>
              <w:spacing w:after="0"/>
              <w:rPr>
                <w:sz w:val="18"/>
                <w:szCs w:val="18"/>
                <w:color w:val="auto"/>
              </w:rPr>
            </w:pPr>
          </w:p>
        </w:tc>
        <w:tc>
          <w:tcPr>
            <w:tcW w:w="1080" w:type="dxa"/>
            <w:vAlign w:val="bottom"/>
            <w:tcBorders>
              <w:bottom w:val="single" w:sz="8" w:color="407CCA"/>
            </w:tcBorders>
          </w:tcPr>
          <w:p>
            <w:pPr>
              <w:jc w:val="center"/>
              <w:ind w:right="39"/>
              <w:spacing w:after="0"/>
              <w:rPr>
                <w:sz w:val="20"/>
                <w:szCs w:val="20"/>
                <w:color w:val="auto"/>
              </w:rPr>
            </w:pPr>
            <w:r>
              <w:rPr>
                <w:rFonts w:ascii="Arial" w:cs="Arial" w:eastAsia="Arial" w:hAnsi="Arial"/>
                <w:sz w:val="16"/>
                <w:szCs w:val="16"/>
                <w:color w:val="auto"/>
              </w:rPr>
              <w:t>N/A</w:t>
            </w:r>
          </w:p>
        </w:tc>
        <w:tc>
          <w:tcPr>
            <w:tcW w:w="18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04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(2,749,528)</w:t>
            </w:r>
          </w:p>
        </w:tc>
        <w:tc>
          <w:tcPr>
            <w:tcW w:w="18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w w:val="89"/>
              </w:rPr>
              <w:t>$</w:t>
            </w:r>
          </w:p>
        </w:tc>
        <w:tc>
          <w:tcPr>
            <w:tcW w:w="1120" w:type="dxa"/>
            <w:vAlign w:val="bottom"/>
            <w:tcBorders>
              <w:bottom w:val="single" w:sz="8" w:color="407CCA"/>
            </w:tcBorders>
          </w:tcPr>
          <w:p>
            <w:pPr>
              <w:jc w:val="right"/>
              <w:spacing w:after="0"/>
              <w:rPr>
                <w:sz w:val="20"/>
                <w:szCs w:val="20"/>
                <w:color w:val="auto"/>
              </w:rPr>
            </w:pPr>
            <w:r>
              <w:rPr>
                <w:rFonts w:ascii="Arial" w:cs="Arial" w:eastAsia="Arial" w:hAnsi="Arial"/>
                <w:sz w:val="16"/>
                <w:szCs w:val="16"/>
                <w:color w:val="auto"/>
              </w:rPr>
              <w:t>(469,733)</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26" w:lineRule="exact"/>
        <w:rPr>
          <w:sz w:val="20"/>
          <w:szCs w:val="20"/>
          <w:color w:val="auto"/>
        </w:rPr>
      </w:pPr>
    </w:p>
    <w:p>
      <w:pPr>
        <w:ind w:right="520" w:firstLine="648"/>
        <w:spacing w:after="0" w:line="235" w:lineRule="auto"/>
        <w:rPr>
          <w:sz w:val="20"/>
          <w:szCs w:val="20"/>
          <w:color w:val="auto"/>
        </w:rPr>
      </w:pPr>
      <w:r>
        <w:rPr>
          <w:rFonts w:ascii="Arial" w:cs="Arial" w:eastAsia="Arial" w:hAnsi="Arial"/>
          <w:sz w:val="18"/>
          <w:szCs w:val="18"/>
          <w:color w:val="auto"/>
        </w:rPr>
        <w:t>The following graph illustrates the relationship between compensation actually paid to our NEOs and AGNC’s total stockholder return on a cumulative basis assuming investment of $100 on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51435</wp:posOffset>
            </wp:positionV>
            <wp:extent cx="5760720" cy="34804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5760720" cy="3480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62" w:name="page63"/>
    <w:bookmarkEnd w:id="62"/>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 following graph illustrates the relationship between compensation actually paid to our NEOs and AGNC’s net income on an annual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80645</wp:posOffset>
            </wp:positionV>
            <wp:extent cx="5760720" cy="34201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5760720" cy="3420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The following graph illustrates the relationship between compensation actually paid to our NEOs and AGNC’s economic return relative to the</w:t>
      </w:r>
    </w:p>
    <w:p>
      <w:pPr>
        <w:spacing w:after="0"/>
        <w:rPr>
          <w:sz w:val="20"/>
          <w:szCs w:val="20"/>
          <w:color w:val="auto"/>
        </w:rPr>
      </w:pPr>
      <w:r>
        <w:rPr>
          <w:rFonts w:ascii="Arial" w:cs="Arial" w:eastAsia="Arial" w:hAnsi="Arial"/>
          <w:sz w:val="18"/>
          <w:szCs w:val="18"/>
          <w:color w:val="auto"/>
        </w:rPr>
        <w:t>AGNC Peer Group on an annual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64770</wp:posOffset>
            </wp:positionV>
            <wp:extent cx="5760720" cy="33947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5760720" cy="3394710"/>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63" w:name="page64"/>
    <w:bookmarkEnd w:id="63"/>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right="640" w:firstLine="648"/>
        <w:spacing w:after="0" w:line="235" w:lineRule="auto"/>
        <w:rPr>
          <w:sz w:val="20"/>
          <w:szCs w:val="20"/>
          <w:color w:val="auto"/>
        </w:rPr>
      </w:pPr>
      <w:r>
        <w:rPr>
          <w:rFonts w:ascii="Arial" w:cs="Arial" w:eastAsia="Arial" w:hAnsi="Arial"/>
          <w:sz w:val="18"/>
          <w:szCs w:val="18"/>
          <w:color w:val="auto"/>
        </w:rPr>
        <w:t>The relationship between AGNC’s total stockholder return and the total stockholder return of The Bloomberg Mortgage REIT Index on a cumulative basis is shown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60325</wp:posOffset>
            </wp:positionV>
            <wp:extent cx="5760720" cy="300863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5760720" cy="3008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firstLine="216"/>
        <w:spacing w:after="0" w:line="256" w:lineRule="auto"/>
        <w:rPr>
          <w:sz w:val="20"/>
          <w:szCs w:val="20"/>
          <w:color w:val="auto"/>
        </w:rPr>
      </w:pPr>
      <w:r>
        <w:rPr>
          <w:rFonts w:ascii="Arial" w:cs="Arial" w:eastAsia="Arial" w:hAnsi="Arial"/>
          <w:sz w:val="16"/>
          <w:szCs w:val="16"/>
          <w:color w:val="auto"/>
        </w:rPr>
        <w:t>Since its adoption in 2016, our current compensation program has linked the compensation of our NEOs to achievement of short- and long-term financial and strategic goals. Our 2022 Corporate Scorecard consists 75% of financial metrics and 25% of strategic and operational measures. A significant</w:t>
      </w:r>
    </w:p>
    <w:p>
      <w:pPr>
        <w:spacing w:after="0" w:line="1" w:lineRule="exact"/>
        <w:rPr>
          <w:sz w:val="20"/>
          <w:szCs w:val="20"/>
          <w:color w:val="auto"/>
        </w:rPr>
      </w:pPr>
    </w:p>
    <w:p>
      <w:pPr>
        <w:ind w:right="480"/>
        <w:spacing w:after="0" w:line="234" w:lineRule="auto"/>
        <w:rPr>
          <w:sz w:val="20"/>
          <w:szCs w:val="20"/>
          <w:color w:val="auto"/>
        </w:rPr>
      </w:pPr>
      <w:r>
        <w:rPr>
          <w:rFonts w:ascii="Arial" w:cs="Arial" w:eastAsia="Arial" w:hAnsi="Arial"/>
          <w:sz w:val="16"/>
          <w:szCs w:val="16"/>
          <w:color w:val="auto"/>
        </w:rPr>
        <w:t>percentage of our NEOs’ compensation is in the form of equity awards that vest over three years, and in 2022, 67% of these awards to NEOs were performance vesting. In 2022, incentive compensation served as a material element of each NEO’s compensation package and serves to further align compensation to Company performance. The most important financial performance measures utilized by the Compensation Committee to link</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compensation paid to our NEOs to AGNC's performance for 2022 were:</w:t>
      </w:r>
    </w:p>
    <w:p>
      <w:pPr>
        <w:spacing w:after="0" w:line="61" w:lineRule="exact"/>
        <w:rPr>
          <w:sz w:val="20"/>
          <w:szCs w:val="20"/>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Annual Economic Return Relative to the Agency REIT Peer Group</w:t>
      </w:r>
    </w:p>
    <w:p>
      <w:pPr>
        <w:spacing w:after="0" w:line="76" w:lineRule="exact"/>
        <w:rPr>
          <w:rFonts w:ascii="Arial" w:cs="Arial" w:eastAsia="Arial" w:hAnsi="Arial"/>
          <w:sz w:val="18"/>
          <w:szCs w:val="18"/>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Absolute Annual Economic Return</w:t>
      </w:r>
    </w:p>
    <w:p>
      <w:pPr>
        <w:spacing w:after="0" w:line="90" w:lineRule="exact"/>
        <w:rPr>
          <w:rFonts w:ascii="Arial" w:cs="Arial" w:eastAsia="Arial" w:hAnsi="Arial"/>
          <w:sz w:val="18"/>
          <w:szCs w:val="18"/>
          <w:color w:val="auto"/>
        </w:rPr>
      </w:pPr>
    </w:p>
    <w:p>
      <w:pPr>
        <w:ind w:left="660" w:hanging="328"/>
        <w:spacing w:after="0"/>
        <w:tabs>
          <w:tab w:leader="none" w:pos="66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Ratio of Price-to-Tangible Book Value Relative to the Agency REIT Peer Group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54</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80"/>
          </w:cols>
          <w:pgMar w:left="320" w:top="108" w:right="399" w:bottom="1440" w:gutter="0" w:footer="0" w:header="0"/>
        </w:sectPr>
      </w:pPr>
    </w:p>
    <w:bookmarkStart w:id="64" w:name="page65"/>
    <w:bookmarkEnd w:id="64"/>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8"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26670</wp:posOffset>
            </wp:positionV>
            <wp:extent cx="7132320"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CEO Compensation Pay Ratio</w:t>
      </w:r>
    </w:p>
    <w:p>
      <w:pPr>
        <w:spacing w:after="0" w:line="81" w:lineRule="exact"/>
        <w:rPr>
          <w:sz w:val="20"/>
          <w:szCs w:val="20"/>
          <w:color w:val="auto"/>
        </w:rPr>
      </w:pPr>
    </w:p>
    <w:p>
      <w:pPr>
        <w:ind w:right="220" w:firstLine="648"/>
        <w:spacing w:after="0" w:line="248" w:lineRule="auto"/>
        <w:rPr>
          <w:sz w:val="20"/>
          <w:szCs w:val="20"/>
          <w:color w:val="auto"/>
        </w:rPr>
      </w:pPr>
      <w:r>
        <w:rPr>
          <w:rFonts w:ascii="Arial" w:cs="Arial" w:eastAsia="Arial" w:hAnsi="Arial"/>
          <w:sz w:val="16"/>
          <w:szCs w:val="16"/>
          <w:color w:val="auto"/>
        </w:rPr>
        <w:t>As required by Section 953(b) of the Dodd-Frank Wall Street Reform and Consumer Protection Act, and Item 402(u) of Regulation S-K, we determined that the 2022 total compensation of Peter Federico, our President and Chief Executive Officer, of $7,646,700 was approximately 25.48 times</w:t>
      </w:r>
    </w:p>
    <w:p>
      <w:pPr>
        <w:spacing w:after="0"/>
        <w:rPr>
          <w:sz w:val="20"/>
          <w:szCs w:val="20"/>
          <w:color w:val="auto"/>
        </w:rPr>
      </w:pPr>
      <w:r>
        <w:rPr>
          <w:rFonts w:ascii="Arial" w:cs="Arial" w:eastAsia="Arial" w:hAnsi="Arial"/>
          <w:sz w:val="18"/>
          <w:szCs w:val="18"/>
          <w:color w:val="auto"/>
        </w:rPr>
        <w:t>the total compensation of a median employee in 2022 of $300,104.</w:t>
      </w:r>
    </w:p>
    <w:p>
      <w:pPr>
        <w:spacing w:after="0" w:line="169" w:lineRule="exact"/>
        <w:rPr>
          <w:sz w:val="20"/>
          <w:szCs w:val="20"/>
          <w:color w:val="auto"/>
        </w:rPr>
      </w:pPr>
    </w:p>
    <w:p>
      <w:pPr>
        <w:ind w:right="20" w:firstLine="648"/>
        <w:spacing w:after="0" w:line="248" w:lineRule="auto"/>
        <w:rPr>
          <w:sz w:val="20"/>
          <w:szCs w:val="20"/>
          <w:color w:val="auto"/>
        </w:rPr>
      </w:pPr>
      <w:r>
        <w:rPr>
          <w:rFonts w:ascii="Arial" w:cs="Arial" w:eastAsia="Arial" w:hAnsi="Arial"/>
          <w:sz w:val="16"/>
          <w:szCs w:val="16"/>
          <w:color w:val="auto"/>
        </w:rPr>
        <w:t>We identified the median employee using the annual base salary and expected bonus, as of December 31, 2022, plus any long-term incentive stock awards granted in 2022 for all individuals, excluding our Chief Executive Officer, who were employed by us on December 31, 2022, the last day of our</w:t>
      </w:r>
    </w:p>
    <w:p>
      <w:pPr>
        <w:ind w:right="380"/>
        <w:spacing w:after="0" w:line="218" w:lineRule="auto"/>
        <w:rPr>
          <w:sz w:val="20"/>
          <w:szCs w:val="20"/>
          <w:color w:val="auto"/>
        </w:rPr>
      </w:pPr>
      <w:r>
        <w:rPr>
          <w:rFonts w:ascii="Arial" w:cs="Arial" w:eastAsia="Arial" w:hAnsi="Arial"/>
          <w:sz w:val="18"/>
          <w:szCs w:val="18"/>
          <w:color w:val="auto"/>
        </w:rPr>
        <w:t>payroll year (whether employed on a full-time, part-time, or seasonal basis). After identifying the median employee, we calculated annual total compensation for such employee using the same methodology we used for determining the CEO Compensation shown in the Summary Compensation Table.</w:t>
      </w:r>
    </w:p>
    <w:p>
      <w:pPr>
        <w:spacing w:after="0" w:line="334"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65" w:name="page66"/>
    <w:bookmarkEnd w:id="65"/>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ind w:left="24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81" w:lineRule="exact"/>
        <w:rPr>
          <w:sz w:val="20"/>
          <w:szCs w:val="20"/>
          <w:color w:val="auto"/>
        </w:rPr>
      </w:pPr>
    </w:p>
    <w:p>
      <w:pPr>
        <w:ind w:right="240" w:firstLine="648"/>
        <w:spacing w:after="0" w:line="248" w:lineRule="auto"/>
        <w:rPr>
          <w:sz w:val="20"/>
          <w:szCs w:val="20"/>
          <w:color w:val="auto"/>
        </w:rPr>
      </w:pPr>
      <w:r>
        <w:rPr>
          <w:rFonts w:ascii="Arial" w:cs="Arial" w:eastAsia="Arial" w:hAnsi="Arial"/>
          <w:sz w:val="16"/>
          <w:szCs w:val="16"/>
          <w:color w:val="auto"/>
        </w:rPr>
        <w:t>The following table sets forth, as of February 24, 2023 (unless otherwise indicated), the beneficial ownership of common stock of each current director, each nominee for director, each of our named executive officers, our executive officers and directors as a group, and each stockholder known to</w:t>
      </w:r>
    </w:p>
    <w:p>
      <w:pPr>
        <w:jc w:val="both"/>
        <w:ind w:right="180"/>
        <w:spacing w:after="0" w:line="268" w:lineRule="auto"/>
        <w:rPr>
          <w:sz w:val="20"/>
          <w:szCs w:val="20"/>
          <w:color w:val="auto"/>
        </w:rPr>
      </w:pPr>
      <w:r>
        <w:rPr>
          <w:rFonts w:ascii="Arial" w:cs="Arial" w:eastAsia="Arial" w:hAnsi="Arial"/>
          <w:sz w:val="16"/>
          <w:szCs w:val="16"/>
          <w:color w:val="auto"/>
        </w:rPr>
        <w:t>management to own beneficially more than 5% of the outstanding shares of our common stock. Unless otherwise indicated, we believe that the beneficial owners set forth in the table below have sole voting and investment power. As of February 24, 2023, there were shares of our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123825</wp:posOffset>
            </wp:positionV>
            <wp:extent cx="7046595"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046595" cy="825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31750</wp:posOffset>
            </wp:positionV>
            <wp:extent cx="7046595"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046595" cy="8890"/>
                    </a:xfrm>
                    <a:prstGeom prst="rect">
                      <a:avLst/>
                    </a:prstGeom>
                    <a:noFill/>
                  </pic:spPr>
                </pic:pic>
              </a:graphicData>
            </a:graphic>
          </wp:anchor>
        </w:drawing>
      </w:r>
    </w:p>
    <w:p>
      <w:pPr>
        <w:spacing w:after="0" w:line="43" w:lineRule="exact"/>
        <w:rPr>
          <w:sz w:val="20"/>
          <w:szCs w:val="20"/>
          <w:color w:val="auto"/>
        </w:rPr>
      </w:pPr>
    </w:p>
    <w:p>
      <w:pPr>
        <w:ind w:left="20"/>
        <w:spacing w:after="0"/>
        <w:rPr>
          <w:sz w:val="20"/>
          <w:szCs w:val="20"/>
          <w:color w:val="auto"/>
        </w:rPr>
      </w:pPr>
      <w:r>
        <w:rPr>
          <w:rFonts w:ascii="Arial" w:cs="Arial" w:eastAsia="Arial" w:hAnsi="Arial"/>
          <w:sz w:val="18"/>
          <w:szCs w:val="18"/>
          <w:i w:val="1"/>
          <w:iCs w:val="1"/>
          <w:color w:val="auto"/>
        </w:rPr>
        <w:t>Beneficial Owners of more than 5%:</w:t>
      </w:r>
    </w:p>
    <w:p>
      <w:pPr>
        <w:spacing w:after="0" w:line="20" w:lineRule="exact"/>
        <w:rPr>
          <w:sz w:val="20"/>
          <w:szCs w:val="20"/>
          <w:color w:val="auto"/>
        </w:rPr>
      </w:pPr>
      <w:r>
        <w:rPr>
          <w:sz w:val="20"/>
          <w:szCs w:val="20"/>
          <w:color w:val="auto"/>
        </w:rPr>
        <w:br w:type="column"/>
      </w:r>
    </w:p>
    <w:p>
      <w:pPr>
        <w:spacing w:after="0" w:line="23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420" w:type="dxa"/>
            <w:vAlign w:val="bottom"/>
          </w:tcPr>
          <w:p>
            <w:pPr>
              <w:spacing w:after="0"/>
              <w:rPr>
                <w:sz w:val="13"/>
                <w:szCs w:val="13"/>
                <w:color w:val="auto"/>
              </w:rPr>
            </w:pPr>
          </w:p>
        </w:tc>
        <w:tc>
          <w:tcPr>
            <w:tcW w:w="1020" w:type="dxa"/>
            <w:vAlign w:val="bottom"/>
          </w:tcPr>
          <w:p>
            <w:pPr>
              <w:jc w:val="center"/>
              <w:ind w:left="237"/>
              <w:spacing w:after="0"/>
              <w:rPr>
                <w:sz w:val="20"/>
                <w:szCs w:val="20"/>
                <w:color w:val="auto"/>
              </w:rPr>
            </w:pPr>
            <w:r>
              <w:rPr>
                <w:rFonts w:ascii="Arial" w:cs="Arial" w:eastAsia="Arial" w:hAnsi="Arial"/>
                <w:sz w:val="13"/>
                <w:szCs w:val="13"/>
                <w:b w:val="1"/>
                <w:bCs w:val="1"/>
                <w:color w:val="auto"/>
                <w:w w:val="83"/>
              </w:rPr>
              <w:t>Percentage of</w:t>
            </w:r>
          </w:p>
        </w:tc>
        <w:tc>
          <w:tcPr>
            <w:tcW w:w="0" w:type="dxa"/>
            <w:vAlign w:val="bottom"/>
          </w:tcPr>
          <w:p>
            <w:pPr>
              <w:spacing w:after="0"/>
              <w:rPr>
                <w:sz w:val="1"/>
                <w:szCs w:val="1"/>
                <w:color w:val="auto"/>
              </w:rPr>
            </w:pPr>
          </w:p>
        </w:tc>
      </w:tr>
      <w:tr>
        <w:trPr>
          <w:trHeight w:val="126"/>
        </w:trPr>
        <w:tc>
          <w:tcPr>
            <w:tcW w:w="1420" w:type="dxa"/>
            <w:vAlign w:val="bottom"/>
            <w:vMerge w:val="restart"/>
          </w:tcPr>
          <w:p>
            <w:pPr>
              <w:jc w:val="center"/>
              <w:ind w:right="237"/>
              <w:spacing w:after="0"/>
              <w:rPr>
                <w:sz w:val="20"/>
                <w:szCs w:val="20"/>
                <w:color w:val="auto"/>
              </w:rPr>
            </w:pPr>
            <w:r>
              <w:rPr>
                <w:rFonts w:ascii="Arial" w:cs="Arial" w:eastAsia="Arial" w:hAnsi="Arial"/>
                <w:sz w:val="13"/>
                <w:szCs w:val="13"/>
                <w:b w:val="1"/>
                <w:bCs w:val="1"/>
                <w:color w:val="auto"/>
                <w:w w:val="87"/>
              </w:rPr>
              <w:t>Number of Shares of</w:t>
            </w:r>
          </w:p>
        </w:tc>
        <w:tc>
          <w:tcPr>
            <w:tcW w:w="1020" w:type="dxa"/>
            <w:vAlign w:val="bottom"/>
          </w:tcPr>
          <w:p>
            <w:pPr>
              <w:jc w:val="center"/>
              <w:ind w:left="237"/>
              <w:spacing w:after="0" w:line="126" w:lineRule="exact"/>
              <w:rPr>
                <w:sz w:val="20"/>
                <w:szCs w:val="20"/>
                <w:color w:val="auto"/>
              </w:rPr>
            </w:pPr>
            <w:r>
              <w:rPr>
                <w:rFonts w:ascii="Arial" w:cs="Arial" w:eastAsia="Arial" w:hAnsi="Arial"/>
                <w:sz w:val="13"/>
                <w:szCs w:val="13"/>
                <w:b w:val="1"/>
                <w:bCs w:val="1"/>
                <w:color w:val="auto"/>
                <w:w w:val="85"/>
              </w:rPr>
              <w:t>Common</w:t>
            </w:r>
          </w:p>
        </w:tc>
        <w:tc>
          <w:tcPr>
            <w:tcW w:w="0" w:type="dxa"/>
            <w:vAlign w:val="bottom"/>
          </w:tcPr>
          <w:p>
            <w:pPr>
              <w:spacing w:after="0"/>
              <w:rPr>
                <w:sz w:val="1"/>
                <w:szCs w:val="1"/>
                <w:color w:val="auto"/>
              </w:rPr>
            </w:pPr>
          </w:p>
        </w:tc>
      </w:tr>
      <w:tr>
        <w:trPr>
          <w:trHeight w:val="122"/>
        </w:trPr>
        <w:tc>
          <w:tcPr>
            <w:tcW w:w="1420" w:type="dxa"/>
            <w:vAlign w:val="bottom"/>
            <w:vMerge w:val="continue"/>
          </w:tcPr>
          <w:p>
            <w:pPr>
              <w:spacing w:after="0"/>
              <w:rPr>
                <w:sz w:val="10"/>
                <w:szCs w:val="10"/>
                <w:color w:val="auto"/>
              </w:rPr>
            </w:pPr>
          </w:p>
        </w:tc>
        <w:tc>
          <w:tcPr>
            <w:tcW w:w="1020" w:type="dxa"/>
            <w:vAlign w:val="bottom"/>
          </w:tcPr>
          <w:p>
            <w:pPr>
              <w:jc w:val="center"/>
              <w:ind w:left="217"/>
              <w:spacing w:after="0" w:line="122" w:lineRule="exact"/>
              <w:rPr>
                <w:sz w:val="20"/>
                <w:szCs w:val="20"/>
                <w:color w:val="auto"/>
              </w:rPr>
            </w:pPr>
            <w:r>
              <w:rPr>
                <w:rFonts w:ascii="Arial" w:cs="Arial" w:eastAsia="Arial" w:hAnsi="Arial"/>
                <w:sz w:val="13"/>
                <w:szCs w:val="13"/>
                <w:b w:val="1"/>
                <w:bCs w:val="1"/>
                <w:color w:val="auto"/>
                <w:w w:val="84"/>
              </w:rPr>
              <w:t>Stock</w:t>
            </w:r>
          </w:p>
        </w:tc>
        <w:tc>
          <w:tcPr>
            <w:tcW w:w="0" w:type="dxa"/>
            <w:vAlign w:val="bottom"/>
          </w:tcPr>
          <w:p>
            <w:pPr>
              <w:spacing w:after="0"/>
              <w:rPr>
                <w:sz w:val="1"/>
                <w:szCs w:val="1"/>
                <w:color w:val="auto"/>
              </w:rPr>
            </w:pPr>
          </w:p>
        </w:tc>
      </w:tr>
      <w:tr>
        <w:trPr>
          <w:trHeight w:val="135"/>
        </w:trPr>
        <w:tc>
          <w:tcPr>
            <w:tcW w:w="1420" w:type="dxa"/>
            <w:vAlign w:val="bottom"/>
          </w:tcPr>
          <w:p>
            <w:pPr>
              <w:jc w:val="center"/>
              <w:ind w:right="217"/>
              <w:spacing w:after="0" w:line="135" w:lineRule="exact"/>
              <w:rPr>
                <w:sz w:val="20"/>
                <w:szCs w:val="20"/>
                <w:color w:val="auto"/>
              </w:rPr>
            </w:pPr>
            <w:r>
              <w:rPr>
                <w:rFonts w:ascii="Arial" w:cs="Arial" w:eastAsia="Arial" w:hAnsi="Arial"/>
                <w:sz w:val="13"/>
                <w:szCs w:val="13"/>
                <w:b w:val="1"/>
                <w:bCs w:val="1"/>
                <w:color w:val="auto"/>
                <w:w w:val="85"/>
              </w:rPr>
              <w:t>Common Stock</w:t>
            </w:r>
          </w:p>
        </w:tc>
        <w:tc>
          <w:tcPr>
            <w:tcW w:w="1020" w:type="dxa"/>
            <w:vAlign w:val="bottom"/>
          </w:tcPr>
          <w:p>
            <w:pPr>
              <w:jc w:val="center"/>
              <w:ind w:left="237"/>
              <w:spacing w:after="0" w:line="135" w:lineRule="exact"/>
              <w:rPr>
                <w:sz w:val="20"/>
                <w:szCs w:val="20"/>
                <w:color w:val="auto"/>
              </w:rPr>
            </w:pPr>
            <w:r>
              <w:rPr>
                <w:rFonts w:ascii="Arial" w:cs="Arial" w:eastAsia="Arial" w:hAnsi="Arial"/>
                <w:sz w:val="13"/>
                <w:szCs w:val="13"/>
                <w:b w:val="1"/>
                <w:bCs w:val="1"/>
                <w:color w:val="auto"/>
                <w:w w:val="88"/>
              </w:rPr>
              <w:t>Beneficially</w:t>
            </w:r>
          </w:p>
        </w:tc>
        <w:tc>
          <w:tcPr>
            <w:tcW w:w="0" w:type="dxa"/>
            <w:vAlign w:val="bottom"/>
          </w:tcPr>
          <w:p>
            <w:pPr>
              <w:spacing w:after="0"/>
              <w:rPr>
                <w:sz w:val="1"/>
                <w:szCs w:val="1"/>
                <w:color w:val="auto"/>
              </w:rPr>
            </w:pPr>
          </w:p>
        </w:tc>
      </w:tr>
      <w:tr>
        <w:trPr>
          <w:trHeight w:val="214"/>
        </w:trPr>
        <w:tc>
          <w:tcPr>
            <w:tcW w:w="1420" w:type="dxa"/>
            <w:vAlign w:val="bottom"/>
          </w:tcPr>
          <w:p>
            <w:pPr>
              <w:jc w:val="center"/>
              <w:ind w:right="237"/>
              <w:spacing w:after="0"/>
              <w:rPr>
                <w:sz w:val="20"/>
                <w:szCs w:val="20"/>
                <w:color w:val="auto"/>
              </w:rPr>
            </w:pPr>
            <w:r>
              <w:rPr>
                <w:rFonts w:ascii="Arial" w:cs="Arial" w:eastAsia="Arial" w:hAnsi="Arial"/>
                <w:sz w:val="13"/>
                <w:szCs w:val="13"/>
                <w:b w:val="1"/>
                <w:bCs w:val="1"/>
                <w:color w:val="auto"/>
                <w:w w:val="86"/>
              </w:rPr>
              <w:t xml:space="preserve">Beneficially Owned </w:t>
            </w:r>
            <w:r>
              <w:rPr>
                <w:rFonts w:ascii="Arial" w:cs="Arial" w:eastAsia="Arial" w:hAnsi="Arial"/>
                <w:sz w:val="16"/>
                <w:szCs w:val="16"/>
                <w:b w:val="1"/>
                <w:bCs w:val="1"/>
                <w:color w:val="auto"/>
                <w:w w:val="86"/>
                <w:vertAlign w:val="superscript"/>
              </w:rPr>
              <w:t>1</w:t>
            </w:r>
          </w:p>
        </w:tc>
        <w:tc>
          <w:tcPr>
            <w:tcW w:w="1020" w:type="dxa"/>
            <w:vAlign w:val="bottom"/>
          </w:tcPr>
          <w:p>
            <w:pPr>
              <w:jc w:val="center"/>
              <w:ind w:left="237"/>
              <w:spacing w:after="0"/>
              <w:rPr>
                <w:sz w:val="20"/>
                <w:szCs w:val="20"/>
                <w:color w:val="auto"/>
              </w:rPr>
            </w:pPr>
            <w:r>
              <w:rPr>
                <w:rFonts w:ascii="Arial" w:cs="Arial" w:eastAsia="Arial" w:hAnsi="Arial"/>
                <w:sz w:val="13"/>
                <w:szCs w:val="13"/>
                <w:b w:val="1"/>
                <w:bCs w:val="1"/>
                <w:color w:val="auto"/>
                <w:w w:val="92"/>
              </w:rPr>
              <w:t>Owned</w:t>
            </w:r>
          </w:p>
        </w:tc>
        <w:tc>
          <w:tcPr>
            <w:tcW w:w="0" w:type="dxa"/>
            <w:vAlign w:val="bottom"/>
          </w:tcPr>
          <w:p>
            <w:pPr>
              <w:spacing w:after="0"/>
              <w:rPr>
                <w:sz w:val="1"/>
                <w:szCs w:val="1"/>
                <w:color w:val="auto"/>
              </w:rPr>
            </w:pPr>
          </w:p>
        </w:tc>
      </w:tr>
    </w:tbl>
    <w:p>
      <w:pPr>
        <w:spacing w:after="0" w:line="203" w:lineRule="exact"/>
        <w:rPr>
          <w:sz w:val="20"/>
          <w:szCs w:val="20"/>
          <w:color w:val="auto"/>
        </w:rPr>
      </w:pPr>
    </w:p>
    <w:p>
      <w:pPr>
        <w:sectPr>
          <w:pgSz w:w="11900" w:h="16838" w:orient="portrait"/>
          <w:cols w:equalWidth="0" w:num="2">
            <w:col w:w="7740" w:space="720"/>
            <w:col w:w="2780"/>
          </w:cols>
          <w:pgMar w:left="320" w:top="108" w:right="339" w:bottom="1440" w:gutter="0" w:footer="0" w:header="0"/>
          <w:type w:val="continuous"/>
        </w:sectPr>
      </w:pPr>
    </w:p>
    <w:tbl>
      <w:tblPr>
        <w:tblLayout w:type="fixed"/>
        <w:tblInd w:w="0" w:type="dxa"/>
        <w:tblCellMar>
          <w:top w:w="0" w:type="dxa"/>
          <w:left w:w="0" w:type="dxa"/>
          <w:bottom w:w="0" w:type="dxa"/>
          <w:right w:w="0" w:type="dxa"/>
        </w:tblCellMar>
      </w:tblPr>
      <w:tr>
        <w:trPr>
          <w:trHeight w:val="229"/>
        </w:trPr>
        <w:tc>
          <w:tcPr>
            <w:tcW w:w="6380" w:type="dxa"/>
            <w:vAlign w:val="bottom"/>
          </w:tcPr>
          <w:p>
            <w:pPr>
              <w:ind w:left="380"/>
              <w:spacing w:after="0"/>
              <w:rPr>
                <w:sz w:val="20"/>
                <w:szCs w:val="20"/>
                <w:color w:val="auto"/>
              </w:rPr>
            </w:pPr>
            <w:r>
              <w:rPr>
                <w:rFonts w:ascii="Arial" w:cs="Arial" w:eastAsia="Arial" w:hAnsi="Arial"/>
                <w:sz w:val="18"/>
                <w:szCs w:val="18"/>
                <w:color w:val="auto"/>
              </w:rPr>
              <w:t xml:space="preserve">The Vanguard Group </w:t>
            </w:r>
            <w:r>
              <w:rPr>
                <w:rFonts w:ascii="Arial" w:cs="Arial" w:eastAsia="Arial" w:hAnsi="Arial"/>
                <w:sz w:val="9"/>
                <w:szCs w:val="9"/>
                <w:color w:val="auto"/>
              </w:rPr>
              <w:t>2</w:t>
            </w:r>
          </w:p>
        </w:tc>
        <w:tc>
          <w:tcPr>
            <w:tcW w:w="3520" w:type="dxa"/>
            <w:vAlign w:val="bottom"/>
          </w:tcPr>
          <w:p>
            <w:pPr>
              <w:jc w:val="right"/>
              <w:ind w:right="370"/>
              <w:spacing w:after="0"/>
              <w:rPr>
                <w:sz w:val="20"/>
                <w:szCs w:val="20"/>
                <w:color w:val="auto"/>
              </w:rPr>
            </w:pPr>
            <w:r>
              <w:rPr>
                <w:rFonts w:ascii="Arial" w:cs="Arial" w:eastAsia="Arial" w:hAnsi="Arial"/>
                <w:sz w:val="18"/>
                <w:szCs w:val="18"/>
                <w:color w:val="auto"/>
              </w:rPr>
              <w:t>54,355,072</w:t>
            </w:r>
          </w:p>
        </w:tc>
        <w:tc>
          <w:tcPr>
            <w:tcW w:w="1200" w:type="dxa"/>
            <w:vAlign w:val="bottom"/>
          </w:tcPr>
          <w:p>
            <w:pPr>
              <w:jc w:val="center"/>
              <w:spacing w:after="0"/>
              <w:rPr>
                <w:sz w:val="20"/>
                <w:szCs w:val="20"/>
                <w:color w:val="auto"/>
              </w:rPr>
            </w:pPr>
            <w:r>
              <w:rPr>
                <w:rFonts w:ascii="Arial" w:cs="Arial" w:eastAsia="Arial" w:hAnsi="Arial"/>
                <w:sz w:val="18"/>
                <w:szCs w:val="18"/>
                <w:color w:val="auto"/>
                <w:w w:val="87"/>
              </w:rPr>
              <w:t>9.5%</w:t>
            </w:r>
          </w:p>
        </w:tc>
      </w:tr>
      <w:tr>
        <w:trPr>
          <w:trHeight w:val="189"/>
        </w:trPr>
        <w:tc>
          <w:tcPr>
            <w:tcW w:w="6380" w:type="dxa"/>
            <w:vAlign w:val="bottom"/>
          </w:tcPr>
          <w:p>
            <w:pPr>
              <w:ind w:left="680"/>
              <w:spacing w:after="0" w:line="189" w:lineRule="exact"/>
              <w:rPr>
                <w:sz w:val="20"/>
                <w:szCs w:val="20"/>
                <w:color w:val="auto"/>
              </w:rPr>
            </w:pPr>
            <w:r>
              <w:rPr>
                <w:rFonts w:ascii="Arial" w:cs="Arial" w:eastAsia="Arial" w:hAnsi="Arial"/>
                <w:sz w:val="18"/>
                <w:szCs w:val="18"/>
                <w:color w:val="auto"/>
              </w:rPr>
              <w:t>100 Vanguard Blvd.</w:t>
            </w:r>
          </w:p>
        </w:tc>
        <w:tc>
          <w:tcPr>
            <w:tcW w:w="3520" w:type="dxa"/>
            <w:vAlign w:val="bottom"/>
          </w:tcPr>
          <w:p>
            <w:pPr>
              <w:spacing w:after="0"/>
              <w:rPr>
                <w:sz w:val="16"/>
                <w:szCs w:val="16"/>
                <w:color w:val="auto"/>
              </w:rPr>
            </w:pPr>
          </w:p>
        </w:tc>
        <w:tc>
          <w:tcPr>
            <w:tcW w:w="1200" w:type="dxa"/>
            <w:vAlign w:val="bottom"/>
          </w:tcPr>
          <w:p>
            <w:pPr>
              <w:spacing w:after="0"/>
              <w:rPr>
                <w:sz w:val="16"/>
                <w:szCs w:val="16"/>
                <w:color w:val="auto"/>
              </w:rPr>
            </w:pPr>
          </w:p>
        </w:tc>
      </w:tr>
      <w:tr>
        <w:trPr>
          <w:trHeight w:val="230"/>
        </w:trPr>
        <w:tc>
          <w:tcPr>
            <w:tcW w:w="6380" w:type="dxa"/>
            <w:vAlign w:val="bottom"/>
          </w:tcPr>
          <w:p>
            <w:pPr>
              <w:ind w:left="680"/>
              <w:spacing w:after="0"/>
              <w:rPr>
                <w:sz w:val="20"/>
                <w:szCs w:val="20"/>
                <w:color w:val="auto"/>
              </w:rPr>
            </w:pPr>
            <w:r>
              <w:rPr>
                <w:rFonts w:ascii="Arial" w:cs="Arial" w:eastAsia="Arial" w:hAnsi="Arial"/>
                <w:sz w:val="18"/>
                <w:szCs w:val="18"/>
                <w:color w:val="auto"/>
              </w:rPr>
              <w:t>Malvern, PA 19355</w:t>
            </w:r>
          </w:p>
        </w:tc>
        <w:tc>
          <w:tcPr>
            <w:tcW w:w="3520" w:type="dxa"/>
            <w:vAlign w:val="bottom"/>
          </w:tcPr>
          <w:p>
            <w:pPr>
              <w:spacing w:after="0"/>
              <w:rPr>
                <w:sz w:val="20"/>
                <w:szCs w:val="20"/>
                <w:color w:val="auto"/>
              </w:rPr>
            </w:pPr>
          </w:p>
        </w:tc>
        <w:tc>
          <w:tcPr>
            <w:tcW w:w="1200" w:type="dxa"/>
            <w:vAlign w:val="bottom"/>
          </w:tcPr>
          <w:p>
            <w:pPr>
              <w:spacing w:after="0"/>
              <w:rPr>
                <w:sz w:val="20"/>
                <w:szCs w:val="20"/>
                <w:color w:val="auto"/>
              </w:rPr>
            </w:pPr>
          </w:p>
        </w:tc>
      </w:tr>
      <w:tr>
        <w:trPr>
          <w:trHeight w:val="242"/>
        </w:trPr>
        <w:tc>
          <w:tcPr>
            <w:tcW w:w="6380" w:type="dxa"/>
            <w:vAlign w:val="bottom"/>
          </w:tcPr>
          <w:p>
            <w:pPr>
              <w:ind w:left="360"/>
              <w:spacing w:after="0"/>
              <w:rPr>
                <w:sz w:val="20"/>
                <w:szCs w:val="20"/>
                <w:color w:val="auto"/>
              </w:rPr>
            </w:pPr>
            <w:r>
              <w:rPr>
                <w:rFonts w:ascii="Arial" w:cs="Arial" w:eastAsia="Arial" w:hAnsi="Arial"/>
                <w:sz w:val="18"/>
                <w:szCs w:val="18"/>
                <w:color w:val="auto"/>
              </w:rPr>
              <w:t>BlackRock, Inc.</w:t>
            </w:r>
            <w:r>
              <w:rPr>
                <w:rFonts w:ascii="Arial" w:cs="Arial" w:eastAsia="Arial" w:hAnsi="Arial"/>
                <w:sz w:val="9"/>
                <w:szCs w:val="9"/>
                <w:color w:val="auto"/>
              </w:rPr>
              <w:t>3</w:t>
            </w:r>
          </w:p>
        </w:tc>
        <w:tc>
          <w:tcPr>
            <w:tcW w:w="3520" w:type="dxa"/>
            <w:vAlign w:val="bottom"/>
          </w:tcPr>
          <w:p>
            <w:pPr>
              <w:jc w:val="right"/>
              <w:ind w:right="370"/>
              <w:spacing w:after="0"/>
              <w:rPr>
                <w:sz w:val="20"/>
                <w:szCs w:val="20"/>
                <w:color w:val="auto"/>
              </w:rPr>
            </w:pPr>
            <w:r>
              <w:rPr>
                <w:rFonts w:ascii="Arial" w:cs="Arial" w:eastAsia="Arial" w:hAnsi="Arial"/>
                <w:sz w:val="18"/>
                <w:szCs w:val="18"/>
                <w:color w:val="auto"/>
              </w:rPr>
              <w:t>32,777,157</w:t>
            </w:r>
          </w:p>
        </w:tc>
        <w:tc>
          <w:tcPr>
            <w:tcW w:w="1200" w:type="dxa"/>
            <w:vAlign w:val="bottom"/>
          </w:tcPr>
          <w:p>
            <w:pPr>
              <w:jc w:val="center"/>
              <w:spacing w:after="0"/>
              <w:rPr>
                <w:sz w:val="20"/>
                <w:szCs w:val="20"/>
                <w:color w:val="auto"/>
              </w:rPr>
            </w:pPr>
            <w:r>
              <w:rPr>
                <w:rFonts w:ascii="Arial" w:cs="Arial" w:eastAsia="Arial" w:hAnsi="Arial"/>
                <w:sz w:val="18"/>
                <w:szCs w:val="18"/>
                <w:color w:val="auto"/>
                <w:w w:val="87"/>
              </w:rPr>
              <w:t>5.7%</w:t>
            </w:r>
          </w:p>
        </w:tc>
      </w:tr>
      <w:tr>
        <w:trPr>
          <w:trHeight w:val="189"/>
        </w:trPr>
        <w:tc>
          <w:tcPr>
            <w:tcW w:w="6380" w:type="dxa"/>
            <w:vAlign w:val="bottom"/>
          </w:tcPr>
          <w:p>
            <w:pPr>
              <w:ind w:left="680"/>
              <w:spacing w:after="0" w:line="189" w:lineRule="exact"/>
              <w:rPr>
                <w:sz w:val="20"/>
                <w:szCs w:val="20"/>
                <w:color w:val="auto"/>
              </w:rPr>
            </w:pPr>
            <w:r>
              <w:rPr>
                <w:rFonts w:ascii="Arial" w:cs="Arial" w:eastAsia="Arial" w:hAnsi="Arial"/>
                <w:sz w:val="18"/>
                <w:szCs w:val="18"/>
                <w:color w:val="auto"/>
              </w:rPr>
              <w:t>55 East 52nd Street</w:t>
            </w:r>
          </w:p>
        </w:tc>
        <w:tc>
          <w:tcPr>
            <w:tcW w:w="3520" w:type="dxa"/>
            <w:vAlign w:val="bottom"/>
          </w:tcPr>
          <w:p>
            <w:pPr>
              <w:spacing w:after="0"/>
              <w:rPr>
                <w:sz w:val="16"/>
                <w:szCs w:val="16"/>
                <w:color w:val="auto"/>
              </w:rPr>
            </w:pPr>
          </w:p>
        </w:tc>
        <w:tc>
          <w:tcPr>
            <w:tcW w:w="1200" w:type="dxa"/>
            <w:vAlign w:val="bottom"/>
          </w:tcPr>
          <w:p>
            <w:pPr>
              <w:spacing w:after="0"/>
              <w:rPr>
                <w:sz w:val="16"/>
                <w:szCs w:val="16"/>
                <w:color w:val="auto"/>
              </w:rPr>
            </w:pPr>
          </w:p>
        </w:tc>
      </w:tr>
      <w:tr>
        <w:trPr>
          <w:trHeight w:val="230"/>
        </w:trPr>
        <w:tc>
          <w:tcPr>
            <w:tcW w:w="6380" w:type="dxa"/>
            <w:vAlign w:val="bottom"/>
          </w:tcPr>
          <w:p>
            <w:pPr>
              <w:ind w:left="680"/>
              <w:spacing w:after="0"/>
              <w:rPr>
                <w:sz w:val="20"/>
                <w:szCs w:val="20"/>
                <w:color w:val="auto"/>
              </w:rPr>
            </w:pPr>
            <w:r>
              <w:rPr>
                <w:rFonts w:ascii="Arial" w:cs="Arial" w:eastAsia="Arial" w:hAnsi="Arial"/>
                <w:sz w:val="18"/>
                <w:szCs w:val="18"/>
                <w:color w:val="auto"/>
              </w:rPr>
              <w:t>New York, NY 10055</w:t>
            </w:r>
          </w:p>
        </w:tc>
        <w:tc>
          <w:tcPr>
            <w:tcW w:w="3520" w:type="dxa"/>
            <w:vAlign w:val="bottom"/>
          </w:tcPr>
          <w:p>
            <w:pPr>
              <w:spacing w:after="0"/>
              <w:rPr>
                <w:sz w:val="20"/>
                <w:szCs w:val="20"/>
                <w:color w:val="auto"/>
              </w:rPr>
            </w:pPr>
          </w:p>
        </w:tc>
        <w:tc>
          <w:tcPr>
            <w:tcW w:w="1200" w:type="dxa"/>
            <w:vAlign w:val="bottom"/>
          </w:tcPr>
          <w:p>
            <w:pPr>
              <w:spacing w:after="0"/>
              <w:rPr>
                <w:sz w:val="20"/>
                <w:szCs w:val="20"/>
                <w:color w:val="auto"/>
              </w:rPr>
            </w:pPr>
          </w:p>
        </w:tc>
      </w:tr>
      <w:tr>
        <w:trPr>
          <w:trHeight w:val="242"/>
        </w:trPr>
        <w:tc>
          <w:tcPr>
            <w:tcW w:w="6380" w:type="dxa"/>
            <w:vAlign w:val="bottom"/>
          </w:tcPr>
          <w:p>
            <w:pPr>
              <w:ind w:left="20"/>
              <w:spacing w:after="0"/>
              <w:rPr>
                <w:sz w:val="20"/>
                <w:szCs w:val="20"/>
                <w:color w:val="auto"/>
              </w:rPr>
            </w:pPr>
            <w:r>
              <w:rPr>
                <w:rFonts w:ascii="Arial" w:cs="Arial" w:eastAsia="Arial" w:hAnsi="Arial"/>
                <w:sz w:val="18"/>
                <w:szCs w:val="18"/>
                <w:i w:val="1"/>
                <w:iCs w:val="1"/>
                <w:color w:val="auto"/>
              </w:rPr>
              <w:t xml:space="preserve">Directors and Named Executive Officers: </w:t>
            </w:r>
            <w:r>
              <w:rPr>
                <w:rFonts w:ascii="Arial" w:cs="Arial" w:eastAsia="Arial" w:hAnsi="Arial"/>
                <w:sz w:val="9"/>
                <w:szCs w:val="9"/>
                <w:i w:val="1"/>
                <w:iCs w:val="1"/>
                <w:color w:val="auto"/>
              </w:rPr>
              <w:t>4</w:t>
            </w:r>
          </w:p>
        </w:tc>
        <w:tc>
          <w:tcPr>
            <w:tcW w:w="3520" w:type="dxa"/>
            <w:vAlign w:val="bottom"/>
          </w:tcPr>
          <w:p>
            <w:pPr>
              <w:spacing w:after="0"/>
              <w:rPr>
                <w:sz w:val="21"/>
                <w:szCs w:val="21"/>
                <w:color w:val="auto"/>
              </w:rPr>
            </w:pPr>
          </w:p>
        </w:tc>
        <w:tc>
          <w:tcPr>
            <w:tcW w:w="1200" w:type="dxa"/>
            <w:vAlign w:val="bottom"/>
          </w:tcPr>
          <w:p>
            <w:pPr>
              <w:spacing w:after="0"/>
              <w:rPr>
                <w:sz w:val="21"/>
                <w:szCs w:val="21"/>
                <w:color w:val="auto"/>
              </w:rPr>
            </w:pPr>
          </w:p>
        </w:tc>
      </w:tr>
      <w:tr>
        <w:trPr>
          <w:trHeight w:val="229"/>
        </w:trPr>
        <w:tc>
          <w:tcPr>
            <w:tcW w:w="6380" w:type="dxa"/>
            <w:vAlign w:val="bottom"/>
          </w:tcPr>
          <w:p>
            <w:pPr>
              <w:ind w:left="380"/>
              <w:spacing w:after="0"/>
              <w:rPr>
                <w:sz w:val="20"/>
                <w:szCs w:val="20"/>
                <w:color w:val="auto"/>
              </w:rPr>
            </w:pPr>
            <w:r>
              <w:rPr>
                <w:rFonts w:ascii="Arial" w:cs="Arial" w:eastAsia="Arial" w:hAnsi="Arial"/>
                <w:sz w:val="18"/>
                <w:szCs w:val="18"/>
                <w:color w:val="auto"/>
              </w:rPr>
              <w:t>Peter J. Federico</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43"/>
        </w:trPr>
        <w:tc>
          <w:tcPr>
            <w:tcW w:w="6380" w:type="dxa"/>
            <w:vAlign w:val="bottom"/>
          </w:tcPr>
          <w:p>
            <w:pPr>
              <w:ind w:left="380"/>
              <w:spacing w:after="0" w:line="243" w:lineRule="exact"/>
              <w:rPr>
                <w:sz w:val="20"/>
                <w:szCs w:val="20"/>
                <w:color w:val="auto"/>
              </w:rPr>
            </w:pPr>
            <w:r>
              <w:rPr>
                <w:rFonts w:ascii="Arial" w:cs="Arial" w:eastAsia="Arial" w:hAnsi="Arial"/>
                <w:sz w:val="18"/>
                <w:szCs w:val="18"/>
                <w:color w:val="auto"/>
              </w:rPr>
              <w:t xml:space="preserve">Gary D. Kain </w:t>
            </w:r>
            <w:r>
              <w:rPr>
                <w:rFonts w:ascii="Arial" w:cs="Arial" w:eastAsia="Arial" w:hAnsi="Arial"/>
                <w:sz w:val="23"/>
                <w:szCs w:val="23"/>
                <w:color w:val="auto"/>
                <w:vertAlign w:val="superscript"/>
              </w:rPr>
              <w:t>5</w:t>
            </w:r>
          </w:p>
        </w:tc>
        <w:tc>
          <w:tcPr>
            <w:tcW w:w="3520" w:type="dxa"/>
            <w:vAlign w:val="bottom"/>
          </w:tcPr>
          <w:p>
            <w:pPr>
              <w:spacing w:after="0"/>
              <w:rPr>
                <w:sz w:val="21"/>
                <w:szCs w:val="21"/>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29"/>
        </w:trPr>
        <w:tc>
          <w:tcPr>
            <w:tcW w:w="6380" w:type="dxa"/>
            <w:vAlign w:val="bottom"/>
          </w:tcPr>
          <w:p>
            <w:pPr>
              <w:ind w:left="380"/>
              <w:spacing w:after="0"/>
              <w:rPr>
                <w:sz w:val="20"/>
                <w:szCs w:val="20"/>
                <w:color w:val="auto"/>
              </w:rPr>
            </w:pPr>
            <w:r>
              <w:rPr>
                <w:rFonts w:ascii="Arial" w:cs="Arial" w:eastAsia="Arial" w:hAnsi="Arial"/>
                <w:sz w:val="18"/>
                <w:szCs w:val="18"/>
                <w:color w:val="auto"/>
              </w:rPr>
              <w:t>Christopher J. Kuehl</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Donna J. Blank</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29"/>
        </w:trPr>
        <w:tc>
          <w:tcPr>
            <w:tcW w:w="6380" w:type="dxa"/>
            <w:vAlign w:val="bottom"/>
          </w:tcPr>
          <w:p>
            <w:pPr>
              <w:ind w:left="380"/>
              <w:spacing w:after="0"/>
              <w:rPr>
                <w:sz w:val="20"/>
                <w:szCs w:val="20"/>
                <w:color w:val="auto"/>
              </w:rPr>
            </w:pPr>
            <w:r>
              <w:rPr>
                <w:rFonts w:ascii="Arial" w:cs="Arial" w:eastAsia="Arial" w:hAnsi="Arial"/>
                <w:sz w:val="18"/>
                <w:szCs w:val="18"/>
                <w:color w:val="auto"/>
              </w:rPr>
              <w:t>Bernice E. Bell</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Morris A. Davis</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29"/>
        </w:trPr>
        <w:tc>
          <w:tcPr>
            <w:tcW w:w="6380" w:type="dxa"/>
            <w:vAlign w:val="bottom"/>
          </w:tcPr>
          <w:p>
            <w:pPr>
              <w:ind w:left="380"/>
              <w:spacing w:after="0"/>
              <w:rPr>
                <w:sz w:val="20"/>
                <w:szCs w:val="20"/>
                <w:color w:val="auto"/>
              </w:rPr>
            </w:pPr>
            <w:r>
              <w:rPr>
                <w:rFonts w:ascii="Arial" w:cs="Arial" w:eastAsia="Arial" w:hAnsi="Arial"/>
                <w:sz w:val="18"/>
                <w:szCs w:val="18"/>
                <w:color w:val="auto"/>
              </w:rPr>
              <w:t>John D. Fisk</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Andrew A. Johnson, Jr.</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Prue B. Larocca</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Paul E. Mullings</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Pr>
          <w:p>
            <w:pPr>
              <w:ind w:left="380"/>
              <w:spacing w:after="0"/>
              <w:rPr>
                <w:sz w:val="20"/>
                <w:szCs w:val="20"/>
                <w:color w:val="auto"/>
              </w:rPr>
            </w:pPr>
            <w:r>
              <w:rPr>
                <w:rFonts w:ascii="Arial" w:cs="Arial" w:eastAsia="Arial" w:hAnsi="Arial"/>
                <w:sz w:val="18"/>
                <w:szCs w:val="18"/>
                <w:color w:val="auto"/>
              </w:rPr>
              <w:t>Kenneth L. Pollack</w:t>
            </w:r>
          </w:p>
        </w:tc>
        <w:tc>
          <w:tcPr>
            <w:tcW w:w="3520" w:type="dxa"/>
            <w:vAlign w:val="bottom"/>
          </w:tcPr>
          <w:p>
            <w:pPr>
              <w:spacing w:after="0"/>
              <w:rPr>
                <w:sz w:val="19"/>
                <w:szCs w:val="19"/>
                <w:color w:val="auto"/>
              </w:rPr>
            </w:pPr>
          </w:p>
        </w:tc>
        <w:tc>
          <w:tcPr>
            <w:tcW w:w="120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30"/>
        </w:trPr>
        <w:tc>
          <w:tcPr>
            <w:tcW w:w="6380" w:type="dxa"/>
            <w:vAlign w:val="bottom"/>
            <w:tcBorders>
              <w:bottom w:val="single" w:sz="8" w:color="407CCA"/>
            </w:tcBorders>
          </w:tcPr>
          <w:p>
            <w:pPr>
              <w:ind w:left="380"/>
              <w:spacing w:after="0"/>
              <w:rPr>
                <w:sz w:val="20"/>
                <w:szCs w:val="20"/>
                <w:color w:val="auto"/>
              </w:rPr>
            </w:pPr>
            <w:r>
              <w:rPr>
                <w:rFonts w:ascii="Arial" w:cs="Arial" w:eastAsia="Arial" w:hAnsi="Arial"/>
                <w:sz w:val="18"/>
                <w:szCs w:val="18"/>
                <w:color w:val="auto"/>
              </w:rPr>
              <w:t>Frances R. Spark</w:t>
            </w:r>
          </w:p>
        </w:tc>
        <w:tc>
          <w:tcPr>
            <w:tcW w:w="3520" w:type="dxa"/>
            <w:vAlign w:val="bottom"/>
            <w:tcBorders>
              <w:bottom w:val="single" w:sz="8" w:color="407CCA"/>
            </w:tcBorders>
          </w:tcPr>
          <w:p>
            <w:pPr>
              <w:spacing w:after="0"/>
              <w:rPr>
                <w:sz w:val="20"/>
                <w:szCs w:val="20"/>
                <w:color w:val="auto"/>
              </w:rPr>
            </w:pP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rPr>
              <w:t>*</w:t>
            </w:r>
          </w:p>
        </w:tc>
      </w:tr>
      <w:tr>
        <w:trPr>
          <w:trHeight w:val="223"/>
        </w:trPr>
        <w:tc>
          <w:tcPr>
            <w:tcW w:w="6380" w:type="dxa"/>
            <w:vAlign w:val="bottom"/>
            <w:tcBorders>
              <w:bottom w:val="single" w:sz="8" w:color="407CCA"/>
            </w:tcBorders>
          </w:tcPr>
          <w:p>
            <w:pPr>
              <w:ind w:left="20"/>
              <w:spacing w:after="0"/>
              <w:rPr>
                <w:sz w:val="20"/>
                <w:szCs w:val="20"/>
                <w:color w:val="auto"/>
              </w:rPr>
            </w:pPr>
            <w:r>
              <w:rPr>
                <w:rFonts w:ascii="Arial" w:cs="Arial" w:eastAsia="Arial" w:hAnsi="Arial"/>
                <w:sz w:val="18"/>
                <w:szCs w:val="18"/>
                <w:i w:val="1"/>
                <w:iCs w:val="1"/>
                <w:color w:val="auto"/>
              </w:rPr>
              <w:t>Directors and Executive Officers as a group (13 persons)</w:t>
            </w:r>
          </w:p>
        </w:tc>
        <w:tc>
          <w:tcPr>
            <w:tcW w:w="3520" w:type="dxa"/>
            <w:vAlign w:val="bottom"/>
            <w:tcBorders>
              <w:bottom w:val="single" w:sz="8" w:color="407CCA"/>
            </w:tcBorders>
          </w:tcPr>
          <w:p>
            <w:pPr>
              <w:spacing w:after="0"/>
              <w:rPr>
                <w:sz w:val="19"/>
                <w:szCs w:val="19"/>
                <w:color w:val="auto"/>
              </w:rPr>
            </w:pPr>
          </w:p>
        </w:tc>
        <w:tc>
          <w:tcPr>
            <w:tcW w:w="120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111125</wp:posOffset>
            </wp:positionV>
            <wp:extent cx="1054100"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054100" cy="8255"/>
                    </a:xfrm>
                    <a:prstGeom prst="rect">
                      <a:avLst/>
                    </a:prstGeom>
                    <a:noFill/>
                  </pic:spPr>
                </pic:pic>
              </a:graphicData>
            </a:graphic>
          </wp:anchor>
        </w:drawing>
      </w:r>
    </w:p>
    <w:p>
      <w:pPr>
        <w:spacing w:after="0" w:line="217" w:lineRule="exact"/>
        <w:rPr>
          <w:sz w:val="20"/>
          <w:szCs w:val="20"/>
          <w:color w:val="auto"/>
        </w:rPr>
      </w:pPr>
    </w:p>
    <w:p>
      <w:pPr>
        <w:ind w:left="80"/>
        <w:spacing w:after="0"/>
        <w:tabs>
          <w:tab w:leader="none" w:pos="280" w:val="left"/>
        </w:tabs>
        <w:rPr>
          <w:sz w:val="20"/>
          <w:szCs w:val="20"/>
          <w:color w:val="auto"/>
        </w:rPr>
      </w:pPr>
      <w:r>
        <w:rPr>
          <w:rFonts w:ascii="Arial" w:cs="Arial" w:eastAsia="Arial" w:hAnsi="Arial"/>
          <w:sz w:val="14"/>
          <w:szCs w:val="14"/>
          <w:color w:val="auto"/>
        </w:rPr>
        <w:t>*</w:t>
      </w:r>
      <w:r>
        <w:rPr>
          <w:sz w:val="20"/>
          <w:szCs w:val="20"/>
          <w:color w:val="auto"/>
        </w:rPr>
        <w:tab/>
      </w:r>
      <w:r>
        <w:rPr>
          <w:rFonts w:ascii="Arial" w:cs="Arial" w:eastAsia="Arial" w:hAnsi="Arial"/>
          <w:sz w:val="12"/>
          <w:szCs w:val="12"/>
          <w:color w:val="auto"/>
        </w:rPr>
        <w:t>Less than one percent.</w:t>
      </w:r>
    </w:p>
    <w:p>
      <w:pPr>
        <w:ind w:left="340" w:hanging="251"/>
        <w:spacing w:after="0" w:line="214"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The amounts shown reflect shares of our common stock. Mr. Kain also owns 10,900 shares of our 6.875% Series D Fixed-to-Floating Rate Cumulative Redeemable Preferred Stock (“Series D Preferred Stock”), representing less than one percent of the shares of Series D Preferred Stock issued and outstanding as of February 24, 2023. Holders of Series D Preferred Stock generally do not have any voting rights. Other than Mr. Kain’s ownership of Series D Preferred Stock, our Directors and executive officers do not own shares of our 7.00% Series C Fixed-to-Floating Rate Cumulative Redeemable Preferred Stock, 6.875%, Series D Fixed-to-Floating Rate Cumulative Redeemable Preferred Stock, 6.50% Series E Fixed-to-Floating Rate Cumulative Redeemable Preferred Stock, 6.125% Series F Fixed-to-Floating Rate Cumulative Redeemable Preferred Stock, or Series G Fixed-Rate-Reset Cumulative Redeemable Preferred Stock.</w:t>
      </w:r>
    </w:p>
    <w:p>
      <w:pPr>
        <w:spacing w:after="0" w:line="2" w:lineRule="exact"/>
        <w:rPr>
          <w:rFonts w:ascii="Arial" w:cs="Arial" w:eastAsia="Arial" w:hAnsi="Arial"/>
          <w:sz w:val="14"/>
          <w:szCs w:val="14"/>
          <w:color w:val="auto"/>
        </w:rPr>
      </w:pPr>
    </w:p>
    <w:p>
      <w:pPr>
        <w:ind w:left="340" w:right="180" w:hanging="251"/>
        <w:spacing w:after="0" w:line="214"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9, 2023 by The Vanguard Group, Inc. (“Vanguard”), as an investment adviser. Vanguard is the beneficial owner of 54,355,072 shares and has the sole power to dispose or direct the disposition of 53,216,704 of such shares, shared power to dispose or direct the disposition of 1,138,368 of such shares, and shared power to vote or direct the vote of 256,477 of such shares.</w:t>
      </w:r>
    </w:p>
    <w:p>
      <w:pPr>
        <w:spacing w:after="0" w:line="1" w:lineRule="exact"/>
        <w:rPr>
          <w:rFonts w:ascii="Arial" w:cs="Arial" w:eastAsia="Arial" w:hAnsi="Arial"/>
          <w:sz w:val="14"/>
          <w:szCs w:val="14"/>
          <w:color w:val="auto"/>
        </w:rPr>
      </w:pPr>
    </w:p>
    <w:p>
      <w:pPr>
        <w:ind w:left="340" w:right="220" w:hanging="251"/>
        <w:spacing w:after="0" w:line="214"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1, 2023 by BlackRock, Inc., as a parent holding company or control person of certain named funds (“BlackRock”). BlackRock is the beneficial owner of 32,777,157 shares and has the sole power to dispose or direct the disposition of 32,777,157 of such shares and sole power to vote or direct the vote of 30,893,478 of such shares.</w:t>
      </w:r>
    </w:p>
    <w:p>
      <w:pPr>
        <w:spacing w:after="0" w:line="1" w:lineRule="exact"/>
        <w:rPr>
          <w:rFonts w:ascii="Arial" w:cs="Arial" w:eastAsia="Arial" w:hAnsi="Arial"/>
          <w:sz w:val="14"/>
          <w:szCs w:val="14"/>
          <w:color w:val="auto"/>
        </w:rPr>
      </w:pPr>
    </w:p>
    <w:p>
      <w:pPr>
        <w:ind w:left="340" w:hanging="251"/>
        <w:spacing w:after="0" w:line="22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12th Floor, Bethesda, MD 20814.</w:t>
      </w:r>
    </w:p>
    <w:p>
      <w:pPr>
        <w:ind w:left="340" w:hanging="251"/>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 xml:space="preserve">Includes </w:t>
      </w:r>
      <w:r>
        <w:rPr>
          <w:rFonts w:ascii="Arial" w:cs="Arial" w:eastAsia="Arial" w:hAnsi="Arial"/>
          <w:sz w:val="14"/>
          <w:szCs w:val="14"/>
          <w:color w:val="FFFFFF"/>
        </w:rPr>
        <w:t>667,920</w:t>
      </w:r>
      <w:r>
        <w:rPr>
          <w:rFonts w:ascii="Arial" w:cs="Arial" w:eastAsia="Arial" w:hAnsi="Arial"/>
          <w:sz w:val="14"/>
          <w:szCs w:val="14"/>
          <w:color w:val="auto"/>
        </w:rPr>
        <w:t xml:space="preserve"> shares held in a family trust over which shares Mr. Kain has voting and dispositive power.</w:t>
      </w:r>
    </w:p>
    <w:p>
      <w:pPr>
        <w:spacing w:after="0" w:line="200" w:lineRule="exact"/>
        <w:rPr>
          <w:sz w:val="20"/>
          <w:szCs w:val="20"/>
          <w:color w:val="auto"/>
        </w:rPr>
      </w:pPr>
    </w:p>
    <w:p>
      <w:pPr>
        <w:spacing w:after="0" w:line="383"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type w:val="continuous"/>
        </w:sectPr>
      </w:pPr>
    </w:p>
    <w:bookmarkStart w:id="66" w:name="page67"/>
    <w:bookmarkEnd w:id="66"/>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Delinquent Section 16(a) Report</w:t>
      </w:r>
    </w:p>
    <w:p>
      <w:pPr>
        <w:spacing w:after="0" w:line="94" w:lineRule="exact"/>
        <w:rPr>
          <w:sz w:val="20"/>
          <w:szCs w:val="20"/>
          <w:color w:val="auto"/>
        </w:rPr>
      </w:pPr>
    </w:p>
    <w:p>
      <w:pPr>
        <w:ind w:firstLine="648"/>
        <w:spacing w:after="0" w:line="238" w:lineRule="auto"/>
        <w:rPr>
          <w:sz w:val="20"/>
          <w:szCs w:val="20"/>
          <w:color w:val="auto"/>
        </w:rPr>
      </w:pPr>
      <w:r>
        <w:rPr>
          <w:rFonts w:ascii="Arial" w:cs="Arial" w:eastAsia="Arial" w:hAnsi="Arial"/>
          <w:sz w:val="16"/>
          <w:szCs w:val="16"/>
          <w:color w:val="auto"/>
        </w:rPr>
        <w:t>Section 16(a) of the Exchange Act requires our executive officers and directors, as well as beneficial owners of more than 10% of the outstanding shares of our common stock, to file reports regarding their ownership and subsequent changes to their ownership with the SEC. Based solely on a review of copies of reports filed for 2022 and written representations from reporting persons, we believe that for the fiscal year ended December 31, 2022, all required reports under Section 16(a) were filed on a timely basis with the exception of one Form 4 report related to a single transaction to withhold shares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for taxes that was filed late for Mr. Kain due to an administrative error.</w:t>
      </w:r>
    </w:p>
    <w:p>
      <w:pPr>
        <w:spacing w:after="0" w:line="340"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67" w:name="page68"/>
    <w:bookmarkEnd w:id="67"/>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188" w:lineRule="exact"/>
        <w:rPr>
          <w:sz w:val="20"/>
          <w:szCs w:val="20"/>
          <w:color w:val="auto"/>
        </w:rPr>
      </w:pPr>
    </w:p>
    <w:p>
      <w:pPr>
        <w:ind w:left="120"/>
        <w:spacing w:after="0"/>
        <w:tabs>
          <w:tab w:leader="none" w:pos="420" w:val="left"/>
        </w:tabs>
        <w:rPr>
          <w:sz w:val="20"/>
          <w:szCs w:val="20"/>
          <w:color w:val="auto"/>
        </w:rPr>
      </w:pPr>
      <w:r>
        <w:rPr>
          <w:rFonts w:ascii="Arial" w:cs="Arial" w:eastAsia="Arial" w:hAnsi="Arial"/>
          <w:sz w:val="18"/>
          <w:szCs w:val="18"/>
          <w:b w:val="1"/>
          <w:bCs w:val="1"/>
          <w:color w:val="auto"/>
        </w:rPr>
        <w:t>1.</w:t>
      </w:r>
      <w:r>
        <w:rPr>
          <w:sz w:val="20"/>
          <w:szCs w:val="20"/>
          <w:color w:val="auto"/>
        </w:rPr>
        <w:tab/>
      </w:r>
      <w:r>
        <w:rPr>
          <w:rFonts w:ascii="Arial" w:cs="Arial" w:eastAsia="Arial" w:hAnsi="Arial"/>
          <w:sz w:val="17"/>
          <w:szCs w:val="17"/>
          <w:b w:val="1"/>
          <w:bCs w:val="1"/>
          <w:color w:val="auto"/>
        </w:rPr>
        <w:t>WHO IS RESPONSIBLE FOR STOCKHOLDER COMMUNICATIONS?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44" w:lineRule="exact"/>
        <w:rPr>
          <w:sz w:val="20"/>
          <w:szCs w:val="20"/>
          <w:color w:val="auto"/>
        </w:rPr>
      </w:pPr>
    </w:p>
    <w:p>
      <w:pPr>
        <w:spacing w:after="0" w:line="224" w:lineRule="auto"/>
        <w:rPr>
          <w:sz w:val="20"/>
          <w:szCs w:val="20"/>
          <w:color w:val="auto"/>
        </w:rPr>
      </w:pPr>
      <w:r>
        <w:rPr>
          <w:rFonts w:ascii="Arial" w:cs="Arial" w:eastAsia="Arial" w:hAnsi="Arial"/>
          <w:sz w:val="18"/>
          <w:szCs w:val="18"/>
          <w:color w:val="auto"/>
        </w:rPr>
        <w:t>The Board is of the view that management is primarily responsible for all communications on behalf of AGNC with stockholders and the public at large. Thus, in addition to our executive officers, we employ a Vice President, Investor Relations, whose primary responsibilities include investor and stockholder relations.</w:t>
      </w:r>
    </w:p>
    <w:p>
      <w:pPr>
        <w:spacing w:after="0" w:line="172" w:lineRule="exact"/>
        <w:rPr>
          <w:sz w:val="20"/>
          <w:szCs w:val="20"/>
          <w:color w:val="auto"/>
        </w:rPr>
      </w:pPr>
    </w:p>
    <w:p>
      <w:pPr>
        <w:ind w:left="120"/>
        <w:spacing w:after="0"/>
        <w:tabs>
          <w:tab w:leader="none" w:pos="420" w:val="left"/>
        </w:tabs>
        <w:rPr>
          <w:sz w:val="20"/>
          <w:szCs w:val="20"/>
          <w:color w:val="auto"/>
        </w:rPr>
      </w:pPr>
      <w:r>
        <w:rPr>
          <w:rFonts w:ascii="Arial" w:cs="Arial" w:eastAsia="Arial" w:hAnsi="Arial"/>
          <w:sz w:val="18"/>
          <w:szCs w:val="18"/>
          <w:b w:val="1"/>
          <w:bCs w:val="1"/>
          <w:color w:val="auto"/>
        </w:rPr>
        <w:t>2.</w:t>
        <w:tab/>
        <w:t>HOW DO I COMMUNICATE WITH THE COMPANY’S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44" w:lineRule="exact"/>
        <w:rPr>
          <w:sz w:val="20"/>
          <w:szCs w:val="20"/>
          <w:color w:val="auto"/>
        </w:rPr>
      </w:pPr>
    </w:p>
    <w:p>
      <w:pPr>
        <w:spacing w:after="0" w:line="224" w:lineRule="auto"/>
        <w:rPr>
          <w:sz w:val="20"/>
          <w:szCs w:val="20"/>
          <w:color w:val="auto"/>
        </w:rPr>
      </w:pPr>
      <w:r>
        <w:rPr>
          <w:rFonts w:ascii="Arial" w:cs="Arial" w:eastAsia="Arial" w:hAnsi="Arial"/>
          <w:sz w:val="18"/>
          <w:szCs w:val="18"/>
          <w:color w:val="auto"/>
        </w:rPr>
        <w:t>Stockholders who wish to communicate with our Board or with a particular director may send a letter to our Secretary at AGNC Investment Corp., 2 Bethesda Metro Center, 12th Floor, Bethesda, MD 20814. Any communication should clearly specify that it is intended to be made to the entire Board or to one or more particular director(s).</w:t>
      </w:r>
    </w:p>
    <w:p>
      <w:pPr>
        <w:spacing w:after="0" w:line="176" w:lineRule="exact"/>
        <w:rPr>
          <w:sz w:val="20"/>
          <w:szCs w:val="20"/>
          <w:color w:val="auto"/>
        </w:rPr>
      </w:pPr>
    </w:p>
    <w:p>
      <w:pPr>
        <w:jc w:val="both"/>
        <w:ind w:right="200"/>
        <w:spacing w:after="0" w:line="241" w:lineRule="auto"/>
        <w:rPr>
          <w:sz w:val="20"/>
          <w:szCs w:val="20"/>
          <w:color w:val="auto"/>
        </w:rPr>
      </w:pPr>
      <w:r>
        <w:rPr>
          <w:rFonts w:ascii="Arial" w:cs="Arial" w:eastAsia="Arial" w:hAnsi="Arial"/>
          <w:sz w:val="16"/>
          <w:szCs w:val="16"/>
          <w:color w:val="auto"/>
        </w:rPr>
        <w:t>Under this process, our Secretary reviews all such correspondence and will forward to the Board a summary of all such correspondence and copies of all correspondence that, in the opinion of the Secretary, deals with the functions of the Board or committees thereof or that he otherwise determines requires their attention. Directors may at any time review a log of all correspondence received by AGNC that is addressed to members of the Board and request</w:t>
      </w:r>
    </w:p>
    <w:p>
      <w:pPr>
        <w:spacing w:after="0" w:line="2" w:lineRule="exact"/>
        <w:rPr>
          <w:sz w:val="20"/>
          <w:szCs w:val="20"/>
          <w:color w:val="auto"/>
        </w:rPr>
      </w:pPr>
    </w:p>
    <w:p>
      <w:pPr>
        <w:jc w:val="both"/>
        <w:ind w:right="200"/>
        <w:spacing w:after="0" w:line="239" w:lineRule="auto"/>
        <w:rPr>
          <w:sz w:val="20"/>
          <w:szCs w:val="20"/>
          <w:color w:val="auto"/>
        </w:rPr>
      </w:pPr>
      <w:r>
        <w:rPr>
          <w:rFonts w:ascii="Arial" w:cs="Arial" w:eastAsia="Arial" w:hAnsi="Arial"/>
          <w:sz w:val="17"/>
          <w:szCs w:val="17"/>
          <w:color w:val="auto"/>
        </w:rPr>
        <w:t>copies of any such correspondence. Concerns relating to accounting, internal controls, or auditing matters are immediately brought to the attention of the Chair of the Audit Committee and handled in accordance with procedures approved by the Board with respect to such matters.</w:t>
      </w:r>
    </w:p>
    <w:p>
      <w:pPr>
        <w:spacing w:after="0" w:line="162" w:lineRule="exact"/>
        <w:rPr>
          <w:sz w:val="20"/>
          <w:szCs w:val="20"/>
          <w:color w:val="auto"/>
        </w:rPr>
      </w:pPr>
    </w:p>
    <w:p>
      <w:pPr>
        <w:jc w:val="both"/>
        <w:ind w:right="440"/>
        <w:spacing w:after="0" w:line="307" w:lineRule="auto"/>
        <w:rPr>
          <w:sz w:val="20"/>
          <w:szCs w:val="20"/>
          <w:color w:val="auto"/>
        </w:rPr>
      </w:pPr>
      <w:r>
        <w:rPr>
          <w:rFonts w:ascii="Arial" w:cs="Arial" w:eastAsia="Arial" w:hAnsi="Arial"/>
          <w:sz w:val="16"/>
          <w:szCs w:val="16"/>
          <w:color w:val="auto"/>
        </w:rPr>
        <w:t>A copy of such procedures for the submission and handling of complaints or concerns regarding accounting, internal accounting controls, or auditing matters is included in our Code of Ethics, which is published in the Investors section of our web site at ir.agnc.com/corporate-governance-documents</w:t>
      </w:r>
      <w:r>
        <w:rPr>
          <w:rFonts w:ascii="Arial" w:cs="Arial" w:eastAsia="Arial" w:hAnsi="Arial"/>
          <w:sz w:val="16"/>
          <w:szCs w:val="16"/>
          <w:i w:val="1"/>
          <w:iCs w:val="1"/>
          <w:color w:val="auto"/>
        </w:rPr>
        <w:t>.</w:t>
      </w:r>
    </w:p>
    <w:p>
      <w:pPr>
        <w:spacing w:after="0" w:line="106" w:lineRule="exact"/>
        <w:rPr>
          <w:sz w:val="20"/>
          <w:szCs w:val="20"/>
          <w:color w:val="auto"/>
        </w:rPr>
      </w:pPr>
    </w:p>
    <w:p>
      <w:pPr>
        <w:ind w:left="120"/>
        <w:spacing w:after="0"/>
        <w:tabs>
          <w:tab w:leader="none" w:pos="420" w:val="left"/>
        </w:tabs>
        <w:rPr>
          <w:sz w:val="20"/>
          <w:szCs w:val="20"/>
          <w:color w:val="auto"/>
        </w:rPr>
      </w:pPr>
      <w:r>
        <w:rPr>
          <w:rFonts w:ascii="Arial" w:cs="Arial" w:eastAsia="Arial" w:hAnsi="Arial"/>
          <w:sz w:val="18"/>
          <w:szCs w:val="18"/>
          <w:b w:val="1"/>
          <w:bCs w:val="1"/>
          <w:color w:val="auto"/>
        </w:rPr>
        <w:t>3.</w:t>
        <w:tab/>
        <w:t>HOW CAN A STOCKHOLDER NOMINATE A DIRECTOR OR SUBMIT A PROPOSAL FOR THE 2024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44" w:lineRule="exact"/>
        <w:rPr>
          <w:sz w:val="20"/>
          <w:szCs w:val="20"/>
          <w:color w:val="auto"/>
        </w:rPr>
      </w:pPr>
    </w:p>
    <w:p>
      <w:pPr>
        <w:ind w:right="140"/>
        <w:spacing w:after="0" w:line="235" w:lineRule="auto"/>
        <w:rPr>
          <w:sz w:val="20"/>
          <w:szCs w:val="20"/>
          <w:color w:val="auto"/>
        </w:rPr>
      </w:pPr>
      <w:r>
        <w:rPr>
          <w:rFonts w:ascii="Arial" w:cs="Arial" w:eastAsia="Arial" w:hAnsi="Arial"/>
          <w:sz w:val="18"/>
          <w:szCs w:val="18"/>
          <w:color w:val="auto"/>
        </w:rPr>
        <w:t>Stockholder proposals or nominees for election to the Board must be made in accordance with the procedures set forth in our Bylaws and described in the following question, and not the procedures set forth in the preceding question.</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HOW CAN A STOCKHOLDER SUBMIT A PROPOSAL FOR THE 2024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44" w:lineRule="exact"/>
        <w:rPr>
          <w:sz w:val="20"/>
          <w:szCs w:val="20"/>
          <w:color w:val="auto"/>
        </w:rPr>
      </w:pPr>
    </w:p>
    <w:p>
      <w:pPr>
        <w:spacing w:after="0"/>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w:t>
      </w:r>
    </w:p>
    <w:p>
      <w:pPr>
        <w:spacing w:after="0" w:line="10"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Compensation Committee and our Board. If a common stockholder intends to present a proposal at the 2024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w:t>
      </w:r>
    </w:p>
    <w:p>
      <w:pPr>
        <w:spacing w:after="0" w:line="2" w:lineRule="exact"/>
        <w:rPr>
          <w:sz w:val="20"/>
          <w:szCs w:val="20"/>
          <w:color w:val="auto"/>
        </w:rPr>
      </w:pPr>
    </w:p>
    <w:p>
      <w:pPr>
        <w:ind w:right="140"/>
        <w:spacing w:after="0" w:line="226" w:lineRule="auto"/>
        <w:rPr>
          <w:sz w:val="20"/>
          <w:szCs w:val="20"/>
          <w:color w:val="auto"/>
        </w:rPr>
      </w:pPr>
      <w:r>
        <w:rPr>
          <w:rFonts w:ascii="Arial" w:cs="Arial" w:eastAsia="Arial" w:hAnsi="Arial"/>
          <w:sz w:val="18"/>
          <w:szCs w:val="18"/>
          <w:color w:val="auto"/>
        </w:rPr>
        <w:t>or before November 11, 2023, unless the date of the 2024 annual meeting of stockholders has been changed by more than 30 days from April 20, 2024, in which event the deadline is a reasonable time before we begin to print and send our proxy materials.</w:t>
      </w:r>
    </w:p>
    <w:p>
      <w:pPr>
        <w:spacing w:after="0" w:line="134" w:lineRule="exact"/>
        <w:rPr>
          <w:sz w:val="20"/>
          <w:szCs w:val="20"/>
          <w:color w:val="auto"/>
        </w:rPr>
      </w:pPr>
    </w:p>
    <w:p>
      <w:pPr>
        <w:ind w:right="140"/>
        <w:spacing w:after="0" w:line="224" w:lineRule="auto"/>
        <w:rPr>
          <w:sz w:val="20"/>
          <w:szCs w:val="20"/>
          <w:color w:val="auto"/>
        </w:rPr>
      </w:pPr>
      <w:r>
        <w:rPr>
          <w:rFonts w:ascii="Arial" w:cs="Arial" w:eastAsia="Arial" w:hAnsi="Arial"/>
          <w:sz w:val="18"/>
          <w:szCs w:val="18"/>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176" w:lineRule="exact"/>
        <w:rPr>
          <w:sz w:val="20"/>
          <w:szCs w:val="20"/>
          <w:color w:val="auto"/>
        </w:rPr>
      </w:pPr>
    </w:p>
    <w:p>
      <w:pPr>
        <w:ind w:right="180"/>
        <w:spacing w:after="0" w:line="259" w:lineRule="auto"/>
        <w:rPr>
          <w:sz w:val="20"/>
          <w:szCs w:val="20"/>
          <w:color w:val="auto"/>
        </w:rPr>
      </w:pPr>
      <w:r>
        <w:rPr>
          <w:rFonts w:ascii="Arial" w:cs="Arial" w:eastAsia="Arial" w:hAnsi="Arial"/>
          <w:sz w:val="16"/>
          <w:szCs w:val="16"/>
          <w:color w:val="auto"/>
        </w:rPr>
        <w:t>In order for a proposal by a common stockholder submitted outside of Rule 14a-8, including any nominations for election to the Board made by common stockholders, to be considered at the 2024 annual meeting of stockholders, such proposal must be made by written notice (setting forth the information required by our current Bylaws) and received by our Secretary not less than 90 and not more than 120 days in advance of the 2024 annual meeting.</w:t>
      </w:r>
    </w:p>
    <w:p>
      <w:pPr>
        <w:spacing w:after="0" w:line="160" w:lineRule="exact"/>
        <w:rPr>
          <w:sz w:val="20"/>
          <w:szCs w:val="20"/>
          <w:color w:val="auto"/>
        </w:rPr>
      </w:pPr>
    </w:p>
    <w:p>
      <w:pPr>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181" w:lineRule="exact"/>
        <w:rPr>
          <w:sz w:val="20"/>
          <w:szCs w:val="20"/>
          <w:color w:val="auto"/>
        </w:rPr>
      </w:pPr>
    </w:p>
    <w:p>
      <w:pPr>
        <w:ind w:left="120"/>
        <w:spacing w:after="0"/>
        <w:tabs>
          <w:tab w:leader="none" w:pos="400" w:val="left"/>
        </w:tabs>
        <w:rPr>
          <w:sz w:val="20"/>
          <w:szCs w:val="20"/>
          <w:color w:val="auto"/>
        </w:rPr>
      </w:pPr>
      <w:r>
        <w:rPr>
          <w:rFonts w:ascii="Arial" w:cs="Arial" w:eastAsia="Arial" w:hAnsi="Arial"/>
          <w:sz w:val="18"/>
          <w:szCs w:val="18"/>
          <w:b w:val="1"/>
          <w:bCs w:val="1"/>
          <w:color w:val="auto"/>
        </w:rPr>
        <w:t>5.</w:t>
      </w:r>
      <w:r>
        <w:rPr>
          <w:sz w:val="20"/>
          <w:szCs w:val="20"/>
          <w:color w:val="auto"/>
        </w:rPr>
        <w:tab/>
      </w:r>
      <w:r>
        <w:rPr>
          <w:rFonts w:ascii="Arial" w:cs="Arial" w:eastAsia="Arial" w:hAnsi="Arial"/>
          <w:sz w:val="17"/>
          <w:szCs w:val="17"/>
          <w:b w:val="1"/>
          <w:bCs w:val="1"/>
          <w:color w:val="auto"/>
        </w:rPr>
        <w:t>HOW CAN I OBTAIN A COPY OF THE COMPANY’S 2022 ANNUAL REPORT ON FORM 10-K AND OTHER SEC FILINGS?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44" w:lineRule="exact"/>
        <w:rPr>
          <w:sz w:val="20"/>
          <w:szCs w:val="20"/>
          <w:color w:val="auto"/>
        </w:rPr>
      </w:pPr>
    </w:p>
    <w:p>
      <w:pPr>
        <w:ind w:right="600"/>
        <w:spacing w:after="0" w:line="248" w:lineRule="auto"/>
        <w:rPr>
          <w:sz w:val="20"/>
          <w:szCs w:val="20"/>
          <w:color w:val="auto"/>
        </w:rPr>
      </w:pPr>
      <w:r>
        <w:rPr>
          <w:rFonts w:ascii="Arial" w:cs="Arial" w:eastAsia="Arial" w:hAnsi="Arial"/>
          <w:sz w:val="16"/>
          <w:szCs w:val="16"/>
          <w:color w:val="auto"/>
        </w:rPr>
        <w:t>A copy of our 2022 annual report on Form 10-K containing audited financial statements was delivered or made available with this proxy statement. Additional copies of our 2022 annual report on Form 10-K (without exhibits, unless otherwise requested) are available in print, free of charge, to</w:t>
      </w:r>
    </w:p>
    <w:p>
      <w:pPr>
        <w:spacing w:after="0" w:line="218" w:lineRule="auto"/>
        <w:rPr>
          <w:sz w:val="20"/>
          <w:szCs w:val="20"/>
          <w:color w:val="auto"/>
        </w:rPr>
      </w:pPr>
      <w:r>
        <w:rPr>
          <w:rFonts w:ascii="Arial" w:cs="Arial" w:eastAsia="Arial" w:hAnsi="Arial"/>
          <w:sz w:val="18"/>
          <w:szCs w:val="18"/>
          <w:color w:val="auto"/>
        </w:rPr>
        <w:t>stockholders requesting a copy by writing to: AGNC Investment Corp., Investor Relations, 2 Bethesda Metro Center, 12th Floor, Bethesda, Maryland 20814, or by calling (301) 968-9300. You may review our filings with the SEC by visiting the SEC’s home page on the internet at http://www.sec.gov or by visiting the Investors section of our web site at ir.agnc.com/financial-information/sec-filings</w:t>
      </w:r>
      <w:r>
        <w:rPr>
          <w:rFonts w:ascii="Arial" w:cs="Arial" w:eastAsia="Arial" w:hAnsi="Arial"/>
          <w:sz w:val="18"/>
          <w:szCs w:val="18"/>
          <w:i w:val="1"/>
          <w:iCs w:val="1"/>
          <w:color w:val="auto"/>
        </w:rPr>
        <w:t>.</w:t>
      </w:r>
    </w:p>
    <w:p>
      <w:pPr>
        <w:spacing w:after="0" w:line="200" w:lineRule="exact"/>
        <w:rPr>
          <w:sz w:val="20"/>
          <w:szCs w:val="20"/>
          <w:color w:val="auto"/>
        </w:rPr>
      </w:pPr>
    </w:p>
    <w:p>
      <w:pPr>
        <w:spacing w:after="0" w:line="309"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68" w:name="page69"/>
    <w:bookmarkEnd w:id="68"/>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2023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QUESTIONS AND ANSWERS ABOUT THE 2023 ANNUAL MEETING AND VOTING</w:t>
      </w:r>
    </w:p>
    <w:p>
      <w:pPr>
        <w:spacing w:after="0" w:line="200" w:lineRule="exact"/>
        <w:rPr>
          <w:sz w:val="20"/>
          <w:szCs w:val="20"/>
          <w:color w:val="auto"/>
        </w:rPr>
      </w:pPr>
    </w:p>
    <w:p>
      <w:pPr>
        <w:spacing w:after="0" w:line="204"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jc w:val="both"/>
        <w:ind w:right="100"/>
        <w:spacing w:after="0" w:line="224" w:lineRule="auto"/>
        <w:rPr>
          <w:sz w:val="20"/>
          <w:szCs w:val="20"/>
          <w:color w:val="auto"/>
        </w:rPr>
      </w:pPr>
      <w:r>
        <w:rPr>
          <w:rFonts w:ascii="Arial" w:cs="Arial" w:eastAsia="Arial" w:hAnsi="Arial"/>
          <w:sz w:val="18"/>
          <w:szCs w:val="18"/>
          <w:color w:val="auto"/>
        </w:rPr>
        <w:t>Our Board is furnishing this proxy statement to you to solicit proxies on its behalf to be voted at the 2023 Annual Meeting on Thursday, April 20, 2023, at 9:00 a.m., Eastern Time. This year’s Annual Meeting will be held in a virtual format only through a live audio webcast. The proxies also may be voted at any postponement or adjournment of the meeting.</w:t>
      </w:r>
    </w:p>
    <w:p>
      <w:pPr>
        <w:spacing w:after="0" w:line="68" w:lineRule="exact"/>
        <w:rPr>
          <w:sz w:val="20"/>
          <w:szCs w:val="20"/>
          <w:color w:val="auto"/>
        </w:rPr>
      </w:pPr>
    </w:p>
    <w:p>
      <w:pPr>
        <w:spacing w:after="0" w:line="224" w:lineRule="auto"/>
        <w:rPr>
          <w:sz w:val="20"/>
          <w:szCs w:val="20"/>
          <w:color w:val="auto"/>
        </w:rPr>
      </w:pPr>
      <w:r>
        <w:rPr>
          <w:rFonts w:ascii="Arial" w:cs="Arial" w:eastAsia="Arial" w:hAnsi="Arial"/>
          <w:sz w:val="18"/>
          <w:szCs w:val="18"/>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72"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2.</w:t>
        <w:tab/>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59" w:lineRule="exact"/>
        <w:rPr>
          <w:sz w:val="20"/>
          <w:szCs w:val="20"/>
          <w:color w:val="auto"/>
        </w:rPr>
      </w:pPr>
    </w:p>
    <w:tbl>
      <w:tblPr>
        <w:tblLayout w:type="fixed"/>
        <w:tblInd w:w="580" w:type="dxa"/>
        <w:tblCellMar>
          <w:top w:w="0" w:type="dxa"/>
          <w:left w:w="0" w:type="dxa"/>
          <w:bottom w:w="0" w:type="dxa"/>
          <w:right w:w="0" w:type="dxa"/>
        </w:tblCellMar>
      </w:tblPr>
      <w:tr>
        <w:trPr>
          <w:trHeight w:val="207"/>
        </w:trPr>
        <w:tc>
          <w:tcPr>
            <w:tcW w:w="200" w:type="dxa"/>
            <w:vAlign w:val="bottom"/>
          </w:tcPr>
          <w:p>
            <w:pPr>
              <w:spacing w:after="0"/>
              <w:rPr>
                <w:sz w:val="17"/>
                <w:szCs w:val="17"/>
                <w:color w:val="auto"/>
              </w:rPr>
            </w:pPr>
          </w:p>
        </w:tc>
        <w:tc>
          <w:tcPr>
            <w:tcW w:w="5320" w:type="dxa"/>
            <w:vAlign w:val="bottom"/>
          </w:tcPr>
          <w:p>
            <w:pPr>
              <w:spacing w:after="0"/>
              <w:rPr>
                <w:sz w:val="17"/>
                <w:szCs w:val="17"/>
                <w:color w:val="auto"/>
              </w:rPr>
            </w:pPr>
          </w:p>
        </w:tc>
        <w:tc>
          <w:tcPr>
            <w:tcW w:w="3880" w:type="dxa"/>
            <w:vAlign w:val="bottom"/>
          </w:tcPr>
          <w:p>
            <w:pPr>
              <w:ind w:left="80"/>
              <w:spacing w:after="0"/>
              <w:rPr>
                <w:sz w:val="20"/>
                <w:szCs w:val="20"/>
                <w:color w:val="auto"/>
              </w:rPr>
            </w:pPr>
            <w:r>
              <w:rPr>
                <w:rFonts w:ascii="Arial" w:cs="Arial" w:eastAsia="Arial" w:hAnsi="Arial"/>
                <w:sz w:val="18"/>
                <w:szCs w:val="18"/>
                <w:b w:val="1"/>
                <w:bCs w:val="1"/>
                <w:color w:val="auto"/>
              </w:rPr>
              <w:t>Board</w:t>
            </w:r>
          </w:p>
        </w:tc>
      </w:tr>
      <w:tr>
        <w:trPr>
          <w:trHeight w:val="243"/>
        </w:trPr>
        <w:tc>
          <w:tcPr>
            <w:tcW w:w="5520" w:type="dxa"/>
            <w:vAlign w:val="bottom"/>
            <w:tcBorders>
              <w:bottom w:val="single" w:sz="8" w:color="407CCA"/>
            </w:tcBorders>
            <w:gridSpan w:val="2"/>
          </w:tcPr>
          <w:p>
            <w:pPr>
              <w:ind w:left="120"/>
              <w:spacing w:after="0"/>
              <w:rPr>
                <w:sz w:val="20"/>
                <w:szCs w:val="20"/>
                <w:color w:val="auto"/>
              </w:rPr>
            </w:pPr>
            <w:r>
              <w:rPr>
                <w:rFonts w:ascii="Arial" w:cs="Arial" w:eastAsia="Arial" w:hAnsi="Arial"/>
                <w:sz w:val="18"/>
                <w:szCs w:val="18"/>
                <w:b w:val="1"/>
                <w:bCs w:val="1"/>
                <w:color w:val="auto"/>
              </w:rPr>
              <w:t>Proposal</w:t>
            </w:r>
          </w:p>
        </w:tc>
        <w:tc>
          <w:tcPr>
            <w:tcW w:w="3880" w:type="dxa"/>
            <w:vAlign w:val="bottom"/>
            <w:tcBorders>
              <w:bottom w:val="single" w:sz="8" w:color="407CCA"/>
            </w:tcBorders>
          </w:tcPr>
          <w:p>
            <w:pPr>
              <w:ind w:left="80"/>
              <w:spacing w:after="0"/>
              <w:rPr>
                <w:sz w:val="20"/>
                <w:szCs w:val="20"/>
                <w:color w:val="auto"/>
              </w:rPr>
            </w:pPr>
            <w:r>
              <w:rPr>
                <w:rFonts w:ascii="Arial" w:cs="Arial" w:eastAsia="Arial" w:hAnsi="Arial"/>
                <w:sz w:val="18"/>
                <w:szCs w:val="18"/>
                <w:b w:val="1"/>
                <w:bCs w:val="1"/>
                <w:color w:val="auto"/>
              </w:rPr>
              <w:t>Recommendations</w:t>
            </w:r>
          </w:p>
        </w:tc>
      </w:tr>
      <w:tr>
        <w:trPr>
          <w:trHeight w:val="169"/>
        </w:trPr>
        <w:tc>
          <w:tcPr>
            <w:tcW w:w="200" w:type="dxa"/>
            <w:vAlign w:val="bottom"/>
          </w:tcPr>
          <w:p>
            <w:pPr>
              <w:jc w:val="right"/>
              <w:spacing w:after="0" w:line="169" w:lineRule="exact"/>
              <w:rPr>
                <w:sz w:val="20"/>
                <w:szCs w:val="20"/>
                <w:color w:val="auto"/>
              </w:rPr>
            </w:pPr>
            <w:r>
              <w:rPr>
                <w:rFonts w:ascii="Arial" w:cs="Arial" w:eastAsia="Arial" w:hAnsi="Arial"/>
                <w:sz w:val="18"/>
                <w:szCs w:val="18"/>
                <w:color w:val="auto"/>
                <w:w w:val="99"/>
              </w:rPr>
              <w:t>1)</w:t>
            </w:r>
          </w:p>
        </w:tc>
        <w:tc>
          <w:tcPr>
            <w:tcW w:w="5320" w:type="dxa"/>
            <w:vAlign w:val="bottom"/>
          </w:tcPr>
          <w:p>
            <w:pPr>
              <w:ind w:left="20"/>
              <w:spacing w:after="0" w:line="169" w:lineRule="exact"/>
              <w:rPr>
                <w:sz w:val="20"/>
                <w:szCs w:val="20"/>
                <w:color w:val="auto"/>
              </w:rPr>
            </w:pPr>
            <w:r>
              <w:rPr>
                <w:rFonts w:ascii="Arial" w:cs="Arial" w:eastAsia="Arial" w:hAnsi="Arial"/>
                <w:sz w:val="18"/>
                <w:szCs w:val="18"/>
                <w:color w:val="auto"/>
                <w:w w:val="92"/>
              </w:rPr>
              <w:t>Election of nine directors, each to serve a one-year term and until his or</w:t>
            </w:r>
          </w:p>
        </w:tc>
        <w:tc>
          <w:tcPr>
            <w:tcW w:w="3880" w:type="dxa"/>
            <w:vAlign w:val="bottom"/>
          </w:tcPr>
          <w:p>
            <w:pPr>
              <w:ind w:left="140"/>
              <w:spacing w:after="0" w:line="169"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each of the nominees of the Board of</w:t>
            </w:r>
          </w:p>
        </w:tc>
      </w:tr>
      <w:tr>
        <w:trPr>
          <w:trHeight w:val="230"/>
        </w:trPr>
        <w:tc>
          <w:tcPr>
            <w:tcW w:w="20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Arial" w:cs="Arial" w:eastAsia="Arial" w:hAnsi="Arial"/>
                <w:sz w:val="18"/>
                <w:szCs w:val="18"/>
                <w:color w:val="auto"/>
              </w:rPr>
              <w:t>her successor is elected and qualified</w:t>
            </w:r>
          </w:p>
        </w:tc>
        <w:tc>
          <w:tcPr>
            <w:tcW w:w="3880" w:type="dxa"/>
            <w:vAlign w:val="bottom"/>
          </w:tcPr>
          <w:p>
            <w:pPr>
              <w:ind w:left="140"/>
              <w:spacing w:after="0"/>
              <w:rPr>
                <w:sz w:val="20"/>
                <w:szCs w:val="20"/>
                <w:color w:val="auto"/>
              </w:rPr>
            </w:pPr>
            <w:r>
              <w:rPr>
                <w:rFonts w:ascii="Arial" w:cs="Arial" w:eastAsia="Arial" w:hAnsi="Arial"/>
                <w:sz w:val="18"/>
                <w:szCs w:val="18"/>
                <w:color w:val="auto"/>
              </w:rPr>
              <w:t>Directors</w:t>
            </w:r>
          </w:p>
        </w:tc>
      </w:tr>
      <w:tr>
        <w:trPr>
          <w:trHeight w:val="234"/>
        </w:trPr>
        <w:tc>
          <w:tcPr>
            <w:tcW w:w="200" w:type="dxa"/>
            <w:vAlign w:val="bottom"/>
          </w:tcPr>
          <w:p>
            <w:pPr>
              <w:jc w:val="right"/>
              <w:spacing w:after="0"/>
              <w:rPr>
                <w:sz w:val="20"/>
                <w:szCs w:val="20"/>
                <w:color w:val="auto"/>
              </w:rPr>
            </w:pPr>
            <w:r>
              <w:rPr>
                <w:rFonts w:ascii="Arial" w:cs="Arial" w:eastAsia="Arial" w:hAnsi="Arial"/>
                <w:sz w:val="18"/>
                <w:szCs w:val="18"/>
                <w:color w:val="auto"/>
                <w:w w:val="99"/>
              </w:rPr>
              <w:t>2)</w:t>
            </w:r>
          </w:p>
        </w:tc>
        <w:tc>
          <w:tcPr>
            <w:tcW w:w="5320" w:type="dxa"/>
            <w:vAlign w:val="bottom"/>
          </w:tcPr>
          <w:p>
            <w:pPr>
              <w:ind w:left="20"/>
              <w:spacing w:after="0"/>
              <w:rPr>
                <w:sz w:val="20"/>
                <w:szCs w:val="20"/>
                <w:color w:val="auto"/>
              </w:rPr>
            </w:pPr>
            <w:r>
              <w:rPr>
                <w:rFonts w:ascii="Arial" w:cs="Arial" w:eastAsia="Arial" w:hAnsi="Arial"/>
                <w:sz w:val="18"/>
                <w:szCs w:val="18"/>
                <w:color w:val="auto"/>
              </w:rPr>
              <w:t>Approval of an advisory resolution on executive compensation</w:t>
            </w:r>
          </w:p>
        </w:tc>
        <w:tc>
          <w:tcPr>
            <w:tcW w:w="3880" w:type="dxa"/>
            <w:vAlign w:val="bottom"/>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 resolution</w:t>
            </w:r>
          </w:p>
        </w:tc>
      </w:tr>
      <w:tr>
        <w:trPr>
          <w:trHeight w:val="199"/>
        </w:trPr>
        <w:tc>
          <w:tcPr>
            <w:tcW w:w="200" w:type="dxa"/>
            <w:vAlign w:val="bottom"/>
          </w:tcPr>
          <w:p>
            <w:pPr>
              <w:jc w:val="right"/>
              <w:spacing w:after="0" w:line="199" w:lineRule="exact"/>
              <w:rPr>
                <w:sz w:val="20"/>
                <w:szCs w:val="20"/>
                <w:color w:val="auto"/>
              </w:rPr>
            </w:pPr>
            <w:r>
              <w:rPr>
                <w:rFonts w:ascii="Arial" w:cs="Arial" w:eastAsia="Arial" w:hAnsi="Arial"/>
                <w:sz w:val="18"/>
                <w:szCs w:val="18"/>
                <w:color w:val="auto"/>
                <w:w w:val="99"/>
              </w:rPr>
              <w:t>3)</w:t>
            </w:r>
          </w:p>
        </w:tc>
        <w:tc>
          <w:tcPr>
            <w:tcW w:w="5320" w:type="dxa"/>
            <w:vAlign w:val="bottom"/>
          </w:tcPr>
          <w:p>
            <w:pPr>
              <w:ind w:left="20"/>
              <w:spacing w:after="0" w:line="199" w:lineRule="exact"/>
              <w:rPr>
                <w:sz w:val="20"/>
                <w:szCs w:val="20"/>
                <w:color w:val="auto"/>
              </w:rPr>
            </w:pPr>
            <w:r>
              <w:rPr>
                <w:rFonts w:ascii="Arial" w:cs="Arial" w:eastAsia="Arial" w:hAnsi="Arial"/>
                <w:sz w:val="18"/>
                <w:szCs w:val="18"/>
                <w:color w:val="auto"/>
                <w:w w:val="95"/>
              </w:rPr>
              <w:t>Approval of an advisory resolution on the frequency of future advisory</w:t>
            </w:r>
          </w:p>
        </w:tc>
        <w:tc>
          <w:tcPr>
            <w:tcW w:w="3880" w:type="dxa"/>
            <w:vAlign w:val="bottom"/>
          </w:tcPr>
          <w:p>
            <w:pPr>
              <w:ind w:left="140"/>
              <w:spacing w:after="0" w:line="199"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21"/>
                <w:szCs w:val="21"/>
                <w:color w:val="auto"/>
              </w:rPr>
              <w:t>“</w:t>
            </w:r>
            <w:r>
              <w:rPr>
                <w:rFonts w:ascii="Arial" w:cs="Arial" w:eastAsia="Arial" w:hAnsi="Arial"/>
                <w:sz w:val="18"/>
                <w:szCs w:val="18"/>
                <w:b w:val="1"/>
                <w:bCs w:val="1"/>
                <w:color w:val="auto"/>
              </w:rPr>
              <w:t>Every Year</w:t>
            </w:r>
            <w:r>
              <w:rPr>
                <w:rFonts w:ascii="Arial" w:cs="Arial" w:eastAsia="Arial" w:hAnsi="Arial"/>
                <w:sz w:val="21"/>
                <w:szCs w:val="21"/>
                <w:color w:val="auto"/>
              </w:rPr>
              <w:t>”</w:t>
            </w:r>
          </w:p>
        </w:tc>
      </w:tr>
      <w:tr>
        <w:trPr>
          <w:trHeight w:val="223"/>
        </w:trPr>
        <w:tc>
          <w:tcPr>
            <w:tcW w:w="20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Arial" w:cs="Arial" w:eastAsia="Arial" w:hAnsi="Arial"/>
                <w:sz w:val="18"/>
                <w:szCs w:val="18"/>
                <w:color w:val="auto"/>
              </w:rPr>
              <w:t>votes on executive compensation</w:t>
            </w:r>
          </w:p>
        </w:tc>
        <w:tc>
          <w:tcPr>
            <w:tcW w:w="3880" w:type="dxa"/>
            <w:vAlign w:val="bottom"/>
          </w:tcPr>
          <w:p>
            <w:pPr>
              <w:spacing w:after="0"/>
              <w:rPr>
                <w:sz w:val="19"/>
                <w:szCs w:val="19"/>
                <w:color w:val="auto"/>
              </w:rPr>
            </w:pPr>
          </w:p>
        </w:tc>
      </w:tr>
      <w:tr>
        <w:trPr>
          <w:trHeight w:val="180"/>
        </w:trPr>
        <w:tc>
          <w:tcPr>
            <w:tcW w:w="200" w:type="dxa"/>
            <w:vAlign w:val="bottom"/>
          </w:tcPr>
          <w:p>
            <w:pPr>
              <w:jc w:val="right"/>
              <w:spacing w:after="0" w:line="181" w:lineRule="exact"/>
              <w:rPr>
                <w:sz w:val="20"/>
                <w:szCs w:val="20"/>
                <w:color w:val="auto"/>
              </w:rPr>
            </w:pPr>
            <w:r>
              <w:rPr>
                <w:rFonts w:ascii="Arial" w:cs="Arial" w:eastAsia="Arial" w:hAnsi="Arial"/>
                <w:sz w:val="18"/>
                <w:szCs w:val="18"/>
                <w:color w:val="auto"/>
                <w:w w:val="99"/>
              </w:rPr>
              <w:t>4)</w:t>
            </w:r>
          </w:p>
        </w:tc>
        <w:tc>
          <w:tcPr>
            <w:tcW w:w="5320" w:type="dxa"/>
            <w:vAlign w:val="bottom"/>
          </w:tcPr>
          <w:p>
            <w:pPr>
              <w:ind w:left="20"/>
              <w:spacing w:after="0" w:line="181" w:lineRule="exact"/>
              <w:rPr>
                <w:sz w:val="20"/>
                <w:szCs w:val="20"/>
                <w:color w:val="auto"/>
              </w:rPr>
            </w:pPr>
            <w:r>
              <w:rPr>
                <w:rFonts w:ascii="Arial" w:cs="Arial" w:eastAsia="Arial" w:hAnsi="Arial"/>
                <w:sz w:val="18"/>
                <w:szCs w:val="18"/>
                <w:color w:val="auto"/>
                <w:w w:val="96"/>
              </w:rPr>
              <w:t>Ratification of the appointment of Ernst &amp; Young LLP to serve as our</w:t>
            </w:r>
          </w:p>
        </w:tc>
        <w:tc>
          <w:tcPr>
            <w:tcW w:w="3880" w:type="dxa"/>
            <w:vAlign w:val="bottom"/>
          </w:tcPr>
          <w:p>
            <w:pPr>
              <w:ind w:left="140"/>
              <w:spacing w:after="0" w:line="181"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 appointment</w:t>
            </w:r>
          </w:p>
        </w:tc>
      </w:tr>
      <w:tr>
        <w:trPr>
          <w:trHeight w:val="230"/>
        </w:trPr>
        <w:tc>
          <w:tcPr>
            <w:tcW w:w="20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Arial" w:cs="Arial" w:eastAsia="Arial" w:hAnsi="Arial"/>
                <w:sz w:val="18"/>
                <w:szCs w:val="18"/>
                <w:color w:val="auto"/>
                <w:w w:val="91"/>
              </w:rPr>
              <w:t>independent public accountant for the year ending December 31, 2023</w:t>
            </w:r>
          </w:p>
        </w:tc>
        <w:tc>
          <w:tcPr>
            <w:tcW w:w="3880" w:type="dxa"/>
            <w:vAlign w:val="bottom"/>
          </w:tcPr>
          <w:p>
            <w:pPr>
              <w:spacing w:after="0"/>
              <w:rPr>
                <w:sz w:val="20"/>
                <w:szCs w:val="20"/>
                <w:color w:val="auto"/>
              </w:rPr>
            </w:pPr>
          </w:p>
        </w:tc>
      </w:tr>
      <w:tr>
        <w:trPr>
          <w:trHeight w:val="188"/>
        </w:trPr>
        <w:tc>
          <w:tcPr>
            <w:tcW w:w="200" w:type="dxa"/>
            <w:vAlign w:val="bottom"/>
          </w:tcPr>
          <w:p>
            <w:pPr>
              <w:jc w:val="right"/>
              <w:spacing w:after="0" w:line="189" w:lineRule="exact"/>
              <w:rPr>
                <w:sz w:val="20"/>
                <w:szCs w:val="20"/>
                <w:color w:val="auto"/>
              </w:rPr>
            </w:pPr>
            <w:r>
              <w:rPr>
                <w:rFonts w:ascii="Arial" w:cs="Arial" w:eastAsia="Arial" w:hAnsi="Arial"/>
                <w:sz w:val="18"/>
                <w:szCs w:val="18"/>
                <w:color w:val="auto"/>
                <w:w w:val="99"/>
              </w:rPr>
              <w:t>5)</w:t>
            </w:r>
          </w:p>
        </w:tc>
        <w:tc>
          <w:tcPr>
            <w:tcW w:w="5320" w:type="dxa"/>
            <w:vAlign w:val="bottom"/>
          </w:tcPr>
          <w:p>
            <w:pPr>
              <w:ind w:left="20"/>
              <w:spacing w:after="0" w:line="189" w:lineRule="exact"/>
              <w:rPr>
                <w:sz w:val="20"/>
                <w:szCs w:val="20"/>
                <w:color w:val="auto"/>
              </w:rPr>
            </w:pPr>
            <w:r>
              <w:rPr>
                <w:rFonts w:ascii="Arial" w:cs="Arial" w:eastAsia="Arial" w:hAnsi="Arial"/>
                <w:sz w:val="18"/>
                <w:szCs w:val="18"/>
                <w:color w:val="auto"/>
                <w:w w:val="95"/>
              </w:rPr>
              <w:t>Approval of amendments to our Amended and Restated Certificate of</w:t>
            </w:r>
          </w:p>
        </w:tc>
        <w:tc>
          <w:tcPr>
            <w:tcW w:w="3880" w:type="dxa"/>
            <w:vAlign w:val="bottom"/>
          </w:tcPr>
          <w:p>
            <w:pPr>
              <w:spacing w:after="0"/>
              <w:rPr>
                <w:sz w:val="16"/>
                <w:szCs w:val="16"/>
                <w:color w:val="auto"/>
              </w:rPr>
            </w:pPr>
          </w:p>
        </w:tc>
      </w:tr>
      <w:tr>
        <w:trPr>
          <w:trHeight w:val="176"/>
        </w:trPr>
        <w:tc>
          <w:tcPr>
            <w:tcW w:w="200" w:type="dxa"/>
            <w:vAlign w:val="bottom"/>
          </w:tcPr>
          <w:p>
            <w:pPr>
              <w:spacing w:after="0"/>
              <w:rPr>
                <w:sz w:val="15"/>
                <w:szCs w:val="15"/>
                <w:color w:val="auto"/>
              </w:rPr>
            </w:pPr>
          </w:p>
        </w:tc>
        <w:tc>
          <w:tcPr>
            <w:tcW w:w="5320" w:type="dxa"/>
            <w:vAlign w:val="bottom"/>
          </w:tcPr>
          <w:p>
            <w:pPr>
              <w:ind w:left="160"/>
              <w:spacing w:after="0" w:line="176" w:lineRule="exact"/>
              <w:rPr>
                <w:sz w:val="20"/>
                <w:szCs w:val="20"/>
                <w:color w:val="auto"/>
              </w:rPr>
            </w:pPr>
            <w:r>
              <w:rPr>
                <w:rFonts w:ascii="Arial" w:cs="Arial" w:eastAsia="Arial" w:hAnsi="Arial"/>
                <w:sz w:val="18"/>
                <w:szCs w:val="18"/>
                <w:color w:val="auto"/>
              </w:rPr>
              <w:t>Incorporation eliminating supermajority voting requirements for</w:t>
            </w:r>
          </w:p>
        </w:tc>
        <w:tc>
          <w:tcPr>
            <w:tcW w:w="3880" w:type="dxa"/>
            <w:vAlign w:val="bottom"/>
          </w:tcPr>
          <w:p>
            <w:pPr>
              <w:spacing w:after="0"/>
              <w:rPr>
                <w:sz w:val="15"/>
                <w:szCs w:val="15"/>
                <w:color w:val="auto"/>
              </w:rPr>
            </w:pPr>
          </w:p>
        </w:tc>
      </w:tr>
      <w:tr>
        <w:trPr>
          <w:trHeight w:val="230"/>
        </w:trPr>
        <w:tc>
          <w:tcPr>
            <w:tcW w:w="20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Arial" w:cs="Arial" w:eastAsia="Arial" w:hAnsi="Arial"/>
                <w:sz w:val="18"/>
                <w:szCs w:val="18"/>
                <w:color w:val="auto"/>
              </w:rPr>
              <w:t>stockholders to:</w:t>
            </w:r>
          </w:p>
        </w:tc>
        <w:tc>
          <w:tcPr>
            <w:tcW w:w="3880" w:type="dxa"/>
            <w:vAlign w:val="bottom"/>
          </w:tcPr>
          <w:p>
            <w:pPr>
              <w:spacing w:after="0"/>
              <w:rPr>
                <w:sz w:val="20"/>
                <w:szCs w:val="20"/>
                <w:color w:val="auto"/>
              </w:rPr>
            </w:pPr>
          </w:p>
        </w:tc>
      </w:tr>
      <w:tr>
        <w:trPr>
          <w:trHeight w:val="188"/>
        </w:trPr>
        <w:tc>
          <w:tcPr>
            <w:tcW w:w="200" w:type="dxa"/>
            <w:vAlign w:val="bottom"/>
          </w:tcPr>
          <w:p>
            <w:pPr>
              <w:spacing w:after="0"/>
              <w:rPr>
                <w:sz w:val="16"/>
                <w:szCs w:val="16"/>
                <w:color w:val="auto"/>
              </w:rPr>
            </w:pPr>
          </w:p>
        </w:tc>
        <w:tc>
          <w:tcPr>
            <w:tcW w:w="5320" w:type="dxa"/>
            <w:vAlign w:val="bottom"/>
          </w:tcPr>
          <w:p>
            <w:pPr>
              <w:ind w:left="480"/>
              <w:spacing w:after="0" w:line="189" w:lineRule="exact"/>
              <w:rPr>
                <w:sz w:val="20"/>
                <w:szCs w:val="20"/>
                <w:color w:val="auto"/>
              </w:rPr>
            </w:pPr>
            <w:r>
              <w:rPr>
                <w:rFonts w:ascii="Arial" w:cs="Arial" w:eastAsia="Arial" w:hAnsi="Arial"/>
                <w:sz w:val="18"/>
                <w:szCs w:val="18"/>
                <w:color w:val="auto"/>
                <w:w w:val="97"/>
              </w:rPr>
              <w:t>A.  amend certain provisions of our Certificate of Incorporation</w:t>
            </w:r>
          </w:p>
        </w:tc>
        <w:tc>
          <w:tcPr>
            <w:tcW w:w="3880" w:type="dxa"/>
            <w:vAlign w:val="bottom"/>
          </w:tcPr>
          <w:p>
            <w:pPr>
              <w:ind w:left="140"/>
              <w:spacing w:after="0" w:line="189" w:lineRule="exact"/>
              <w:rPr>
                <w:sz w:val="20"/>
                <w:szCs w:val="20"/>
                <w:color w:val="auto"/>
              </w:rPr>
            </w:pPr>
            <w:r>
              <w:rPr>
                <w:rFonts w:ascii="Arial" w:cs="Arial" w:eastAsia="Arial" w:hAnsi="Arial"/>
                <w:sz w:val="18"/>
                <w:szCs w:val="18"/>
                <w:b w:val="1"/>
                <w:bCs w:val="1"/>
                <w:color w:val="auto"/>
                <w:w w:val="92"/>
              </w:rPr>
              <w:t xml:space="preserve">FOR </w:t>
            </w:r>
            <w:r>
              <w:rPr>
                <w:rFonts w:ascii="Arial" w:cs="Arial" w:eastAsia="Arial" w:hAnsi="Arial"/>
                <w:sz w:val="18"/>
                <w:szCs w:val="18"/>
                <w:color w:val="auto"/>
                <w:w w:val="92"/>
              </w:rPr>
              <w:t>the proposed amendment to the Certificate of</w:t>
            </w:r>
          </w:p>
        </w:tc>
      </w:tr>
      <w:tr>
        <w:trPr>
          <w:trHeight w:val="230"/>
        </w:trPr>
        <w:tc>
          <w:tcPr>
            <w:tcW w:w="200" w:type="dxa"/>
            <w:vAlign w:val="bottom"/>
          </w:tcPr>
          <w:p>
            <w:pPr>
              <w:spacing w:after="0"/>
              <w:rPr>
                <w:sz w:val="20"/>
                <w:szCs w:val="20"/>
                <w:color w:val="auto"/>
              </w:rPr>
            </w:pPr>
          </w:p>
        </w:tc>
        <w:tc>
          <w:tcPr>
            <w:tcW w:w="5320" w:type="dxa"/>
            <w:vAlign w:val="bottom"/>
          </w:tcPr>
          <w:p>
            <w:pPr>
              <w:spacing w:after="0"/>
              <w:rPr>
                <w:sz w:val="20"/>
                <w:szCs w:val="20"/>
                <w:color w:val="auto"/>
              </w:rPr>
            </w:pPr>
          </w:p>
        </w:tc>
        <w:tc>
          <w:tcPr>
            <w:tcW w:w="3880" w:type="dxa"/>
            <w:vAlign w:val="bottom"/>
          </w:tcPr>
          <w:p>
            <w:pPr>
              <w:ind w:left="140"/>
              <w:spacing w:after="0"/>
              <w:rPr>
                <w:sz w:val="20"/>
                <w:szCs w:val="20"/>
                <w:color w:val="auto"/>
              </w:rPr>
            </w:pPr>
            <w:r>
              <w:rPr>
                <w:rFonts w:ascii="Arial" w:cs="Arial" w:eastAsia="Arial" w:hAnsi="Arial"/>
                <w:sz w:val="18"/>
                <w:szCs w:val="18"/>
                <w:color w:val="auto"/>
              </w:rPr>
              <w:t>Incorporation</w:t>
            </w:r>
          </w:p>
        </w:tc>
      </w:tr>
      <w:tr>
        <w:trPr>
          <w:trHeight w:val="188"/>
        </w:trPr>
        <w:tc>
          <w:tcPr>
            <w:tcW w:w="200" w:type="dxa"/>
            <w:vAlign w:val="bottom"/>
          </w:tcPr>
          <w:p>
            <w:pPr>
              <w:spacing w:after="0"/>
              <w:rPr>
                <w:sz w:val="16"/>
                <w:szCs w:val="16"/>
                <w:color w:val="auto"/>
              </w:rPr>
            </w:pPr>
          </w:p>
        </w:tc>
        <w:tc>
          <w:tcPr>
            <w:tcW w:w="5320" w:type="dxa"/>
            <w:vAlign w:val="bottom"/>
          </w:tcPr>
          <w:p>
            <w:pPr>
              <w:ind w:left="480"/>
              <w:spacing w:after="0" w:line="189" w:lineRule="exact"/>
              <w:rPr>
                <w:sz w:val="20"/>
                <w:szCs w:val="20"/>
                <w:color w:val="auto"/>
              </w:rPr>
            </w:pPr>
            <w:r>
              <w:rPr>
                <w:rFonts w:ascii="Arial" w:cs="Arial" w:eastAsia="Arial" w:hAnsi="Arial"/>
                <w:sz w:val="18"/>
                <w:szCs w:val="18"/>
                <w:color w:val="auto"/>
              </w:rPr>
              <w:t>B. amend our Bylaws</w:t>
            </w:r>
          </w:p>
        </w:tc>
        <w:tc>
          <w:tcPr>
            <w:tcW w:w="3880" w:type="dxa"/>
            <w:vAlign w:val="bottom"/>
          </w:tcPr>
          <w:p>
            <w:pPr>
              <w:ind w:left="140"/>
              <w:spacing w:after="0" w:line="189" w:lineRule="exact"/>
              <w:rPr>
                <w:sz w:val="20"/>
                <w:szCs w:val="20"/>
                <w:color w:val="auto"/>
              </w:rPr>
            </w:pPr>
            <w:r>
              <w:rPr>
                <w:rFonts w:ascii="Arial" w:cs="Arial" w:eastAsia="Arial" w:hAnsi="Arial"/>
                <w:sz w:val="18"/>
                <w:szCs w:val="18"/>
                <w:b w:val="1"/>
                <w:bCs w:val="1"/>
                <w:color w:val="auto"/>
                <w:w w:val="92"/>
              </w:rPr>
              <w:t xml:space="preserve">FOR </w:t>
            </w:r>
            <w:r>
              <w:rPr>
                <w:rFonts w:ascii="Arial" w:cs="Arial" w:eastAsia="Arial" w:hAnsi="Arial"/>
                <w:sz w:val="18"/>
                <w:szCs w:val="18"/>
                <w:color w:val="auto"/>
                <w:w w:val="92"/>
              </w:rPr>
              <w:t>the proposed amendment to the Certificate of</w:t>
            </w:r>
          </w:p>
        </w:tc>
      </w:tr>
      <w:tr>
        <w:trPr>
          <w:trHeight w:val="230"/>
        </w:trPr>
        <w:tc>
          <w:tcPr>
            <w:tcW w:w="200" w:type="dxa"/>
            <w:vAlign w:val="bottom"/>
          </w:tcPr>
          <w:p>
            <w:pPr>
              <w:spacing w:after="0"/>
              <w:rPr>
                <w:sz w:val="20"/>
                <w:szCs w:val="20"/>
                <w:color w:val="auto"/>
              </w:rPr>
            </w:pPr>
          </w:p>
        </w:tc>
        <w:tc>
          <w:tcPr>
            <w:tcW w:w="5320" w:type="dxa"/>
            <w:vAlign w:val="bottom"/>
          </w:tcPr>
          <w:p>
            <w:pPr>
              <w:spacing w:after="0"/>
              <w:rPr>
                <w:sz w:val="20"/>
                <w:szCs w:val="20"/>
                <w:color w:val="auto"/>
              </w:rPr>
            </w:pPr>
          </w:p>
        </w:tc>
        <w:tc>
          <w:tcPr>
            <w:tcW w:w="3880" w:type="dxa"/>
            <w:vAlign w:val="bottom"/>
          </w:tcPr>
          <w:p>
            <w:pPr>
              <w:ind w:left="140"/>
              <w:spacing w:after="0"/>
              <w:rPr>
                <w:sz w:val="20"/>
                <w:szCs w:val="20"/>
                <w:color w:val="auto"/>
              </w:rPr>
            </w:pPr>
            <w:r>
              <w:rPr>
                <w:rFonts w:ascii="Arial" w:cs="Arial" w:eastAsia="Arial" w:hAnsi="Arial"/>
                <w:sz w:val="18"/>
                <w:szCs w:val="18"/>
                <w:color w:val="auto"/>
              </w:rPr>
              <w:t>Incorporation</w:t>
            </w:r>
          </w:p>
        </w:tc>
      </w:tr>
      <w:tr>
        <w:trPr>
          <w:trHeight w:val="188"/>
        </w:trPr>
        <w:tc>
          <w:tcPr>
            <w:tcW w:w="200" w:type="dxa"/>
            <w:vAlign w:val="bottom"/>
          </w:tcPr>
          <w:p>
            <w:pPr>
              <w:spacing w:after="0"/>
              <w:rPr>
                <w:sz w:val="16"/>
                <w:szCs w:val="16"/>
                <w:color w:val="auto"/>
              </w:rPr>
            </w:pPr>
          </w:p>
        </w:tc>
        <w:tc>
          <w:tcPr>
            <w:tcW w:w="5320" w:type="dxa"/>
            <w:vAlign w:val="bottom"/>
          </w:tcPr>
          <w:p>
            <w:pPr>
              <w:ind w:left="480"/>
              <w:spacing w:after="0" w:line="189" w:lineRule="exact"/>
              <w:rPr>
                <w:sz w:val="20"/>
                <w:szCs w:val="20"/>
                <w:color w:val="auto"/>
              </w:rPr>
            </w:pPr>
            <w:r>
              <w:rPr>
                <w:rFonts w:ascii="Arial" w:cs="Arial" w:eastAsia="Arial" w:hAnsi="Arial"/>
                <w:sz w:val="18"/>
                <w:szCs w:val="18"/>
                <w:color w:val="auto"/>
              </w:rPr>
              <w:t>C. remove directors</w:t>
            </w:r>
          </w:p>
        </w:tc>
        <w:tc>
          <w:tcPr>
            <w:tcW w:w="3880" w:type="dxa"/>
            <w:vAlign w:val="bottom"/>
          </w:tcPr>
          <w:p>
            <w:pPr>
              <w:ind w:left="140"/>
              <w:spacing w:after="0" w:line="189" w:lineRule="exact"/>
              <w:rPr>
                <w:sz w:val="20"/>
                <w:szCs w:val="20"/>
                <w:color w:val="auto"/>
              </w:rPr>
            </w:pPr>
            <w:r>
              <w:rPr>
                <w:rFonts w:ascii="Arial" w:cs="Arial" w:eastAsia="Arial" w:hAnsi="Arial"/>
                <w:sz w:val="18"/>
                <w:szCs w:val="18"/>
                <w:b w:val="1"/>
                <w:bCs w:val="1"/>
                <w:color w:val="auto"/>
                <w:w w:val="92"/>
              </w:rPr>
              <w:t xml:space="preserve">FOR </w:t>
            </w:r>
            <w:r>
              <w:rPr>
                <w:rFonts w:ascii="Arial" w:cs="Arial" w:eastAsia="Arial" w:hAnsi="Arial"/>
                <w:sz w:val="18"/>
                <w:szCs w:val="18"/>
                <w:color w:val="auto"/>
                <w:w w:val="92"/>
              </w:rPr>
              <w:t>the proposed amendment to the Certificate of</w:t>
            </w:r>
          </w:p>
        </w:tc>
      </w:tr>
      <w:tr>
        <w:trPr>
          <w:trHeight w:val="230"/>
        </w:trPr>
        <w:tc>
          <w:tcPr>
            <w:tcW w:w="200" w:type="dxa"/>
            <w:vAlign w:val="bottom"/>
          </w:tcPr>
          <w:p>
            <w:pPr>
              <w:spacing w:after="0"/>
              <w:rPr>
                <w:sz w:val="20"/>
                <w:szCs w:val="20"/>
                <w:color w:val="auto"/>
              </w:rPr>
            </w:pPr>
          </w:p>
        </w:tc>
        <w:tc>
          <w:tcPr>
            <w:tcW w:w="5320" w:type="dxa"/>
            <w:vAlign w:val="bottom"/>
          </w:tcPr>
          <w:p>
            <w:pPr>
              <w:spacing w:after="0"/>
              <w:rPr>
                <w:sz w:val="20"/>
                <w:szCs w:val="20"/>
                <w:color w:val="auto"/>
              </w:rPr>
            </w:pPr>
          </w:p>
        </w:tc>
        <w:tc>
          <w:tcPr>
            <w:tcW w:w="3880" w:type="dxa"/>
            <w:vAlign w:val="bottom"/>
          </w:tcPr>
          <w:p>
            <w:pPr>
              <w:ind w:left="140"/>
              <w:spacing w:after="0"/>
              <w:rPr>
                <w:sz w:val="20"/>
                <w:szCs w:val="20"/>
                <w:color w:val="auto"/>
              </w:rPr>
            </w:pPr>
            <w:r>
              <w:rPr>
                <w:rFonts w:ascii="Arial" w:cs="Arial" w:eastAsia="Arial" w:hAnsi="Arial"/>
                <w:sz w:val="18"/>
                <w:szCs w:val="18"/>
                <w:color w:val="auto"/>
              </w:rPr>
              <w:t>Incorporation</w:t>
            </w:r>
          </w:p>
        </w:tc>
      </w:tr>
    </w:tbl>
    <w:p>
      <w:pPr>
        <w:spacing w:after="0" w:line="282" w:lineRule="exact"/>
        <w:rPr>
          <w:sz w:val="20"/>
          <w:szCs w:val="20"/>
          <w:color w:val="auto"/>
        </w:rPr>
      </w:pPr>
    </w:p>
    <w:p>
      <w:pPr>
        <w:spacing w:after="0"/>
        <w:rPr>
          <w:sz w:val="20"/>
          <w:szCs w:val="20"/>
          <w:color w:val="auto"/>
        </w:rPr>
      </w:pPr>
      <w:r>
        <w:rPr>
          <w:rFonts w:ascii="Arial" w:cs="Arial" w:eastAsia="Arial" w:hAnsi="Arial"/>
          <w:sz w:val="16"/>
          <w:szCs w:val="16"/>
          <w:color w:val="auto"/>
        </w:rPr>
        <w:t>The Board does not intend to bring other matters before the Annual Meeting except items incidental to the conduct of the meeting. However, on all other</w:t>
      </w:r>
    </w:p>
    <w:p>
      <w:pPr>
        <w:spacing w:after="0" w:line="21" w:lineRule="exact"/>
        <w:rPr>
          <w:sz w:val="20"/>
          <w:szCs w:val="20"/>
          <w:color w:val="auto"/>
        </w:rPr>
      </w:pPr>
    </w:p>
    <w:p>
      <w:pPr>
        <w:ind w:right="380"/>
        <w:spacing w:after="0" w:line="226" w:lineRule="auto"/>
        <w:rPr>
          <w:sz w:val="20"/>
          <w:szCs w:val="20"/>
          <w:color w:val="auto"/>
        </w:rPr>
      </w:pPr>
      <w:r>
        <w:rPr>
          <w:rFonts w:ascii="Arial" w:cs="Arial" w:eastAsia="Arial" w:hAnsi="Arial"/>
          <w:sz w:val="18"/>
          <w:szCs w:val="18"/>
          <w:color w:val="auto"/>
        </w:rPr>
        <w:t>matters properly brought before the meeting, or any postponement or adjournment thereof, by the Board or others, the persons named as proxies in the accompanying proxy card, or their substitutes, will vote in accordance with their discretion.</w:t>
      </w:r>
    </w:p>
    <w:p>
      <w:pPr>
        <w:spacing w:after="0" w:line="157"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6"/>
          <w:szCs w:val="16"/>
          <w:color w:val="auto"/>
        </w:rPr>
        <w:t>It is your legal designation of another person to vote the stock you own. That other person is called a proxy. If you designate someone as your proxy in a</w:t>
      </w:r>
    </w:p>
    <w:p>
      <w:pPr>
        <w:spacing w:after="0" w:line="21" w:lineRule="exact"/>
        <w:rPr>
          <w:sz w:val="20"/>
          <w:szCs w:val="20"/>
          <w:color w:val="auto"/>
        </w:rPr>
      </w:pPr>
    </w:p>
    <w:p>
      <w:pPr>
        <w:ind w:right="240"/>
        <w:spacing w:after="0" w:line="226" w:lineRule="auto"/>
        <w:rPr>
          <w:sz w:val="20"/>
          <w:szCs w:val="20"/>
          <w:color w:val="auto"/>
        </w:rPr>
      </w:pPr>
      <w:r>
        <w:rPr>
          <w:rFonts w:ascii="Arial" w:cs="Arial" w:eastAsia="Arial" w:hAnsi="Arial"/>
          <w:sz w:val="18"/>
          <w:szCs w:val="18"/>
          <w:color w:val="auto"/>
        </w:rPr>
        <w:t>written document, that document is also called a proxy or a proxy card. Peter J. Federico and Kenneth L. Pollack have been designated as proxies by the Board for the Annual Meeting.</w:t>
      </w:r>
    </w:p>
    <w:p>
      <w:pPr>
        <w:spacing w:after="0" w:line="157"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4.</w:t>
        <w:tab/>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ind w:right="860"/>
        <w:spacing w:after="0" w:line="235" w:lineRule="auto"/>
        <w:rPr>
          <w:sz w:val="20"/>
          <w:szCs w:val="20"/>
          <w:color w:val="auto"/>
        </w:rPr>
      </w:pPr>
      <w:r>
        <w:rPr>
          <w:rFonts w:ascii="Arial" w:cs="Arial" w:eastAsia="Arial" w:hAnsi="Arial"/>
          <w:sz w:val="18"/>
          <w:szCs w:val="18"/>
          <w:color w:val="auto"/>
        </w:rPr>
        <w:t>The record date for the Annual Meeting is February 24, 2023 (the “record date”). The record date is established by the Board and only common stockholders of record at the close of business on the record date are entitled to:</w:t>
      </w:r>
    </w:p>
    <w:p>
      <w:pPr>
        <w:spacing w:after="0" w:line="67" w:lineRule="exact"/>
        <w:rPr>
          <w:sz w:val="20"/>
          <w:szCs w:val="20"/>
          <w:color w:val="auto"/>
        </w:rPr>
      </w:pPr>
    </w:p>
    <w:p>
      <w:pPr>
        <w:ind w:left="680" w:hanging="312"/>
        <w:spacing w:after="0"/>
        <w:tabs>
          <w:tab w:leader="none" w:pos="6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76" w:lineRule="exact"/>
        <w:rPr>
          <w:rFonts w:ascii="Arial" w:cs="Arial" w:eastAsia="Arial" w:hAnsi="Arial"/>
          <w:sz w:val="18"/>
          <w:szCs w:val="18"/>
          <w:color w:val="auto"/>
        </w:rPr>
      </w:pPr>
    </w:p>
    <w:p>
      <w:pPr>
        <w:ind w:left="680" w:hanging="312"/>
        <w:spacing w:after="0"/>
        <w:tabs>
          <w:tab w:leader="none" w:pos="6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77" w:lineRule="exact"/>
        <w:rPr>
          <w:sz w:val="20"/>
          <w:szCs w:val="20"/>
          <w:color w:val="auto"/>
        </w:rPr>
      </w:pPr>
    </w:p>
    <w:p>
      <w:pPr>
        <w:spacing w:after="0" w:line="246" w:lineRule="auto"/>
        <w:rPr>
          <w:sz w:val="20"/>
          <w:szCs w:val="20"/>
          <w:color w:val="auto"/>
        </w:rPr>
      </w:pPr>
      <w:r>
        <w:rPr>
          <w:rFonts w:ascii="Arial" w:cs="Arial" w:eastAsia="Arial" w:hAnsi="Arial"/>
          <w:sz w:val="18"/>
          <w:szCs w:val="18"/>
          <w:color w:val="auto"/>
        </w:rPr>
        <w:t>Each common stockholder of record on the record date is entitled to one vote for each share of common stock held. On the record date, there were shares of common stock outstanding.</w:t>
      </w:r>
    </w:p>
    <w:p>
      <w:pPr>
        <w:spacing w:after="0" w:line="152" w:lineRule="exact"/>
        <w:rPr>
          <w:sz w:val="20"/>
          <w:szCs w:val="20"/>
          <w:color w:val="auto"/>
        </w:rPr>
      </w:pPr>
    </w:p>
    <w:p>
      <w:pPr>
        <w:ind w:left="380" w:right="560" w:hanging="300"/>
        <w:spacing w:after="0" w:line="237" w:lineRule="auto"/>
        <w:tabs>
          <w:tab w:leader="none" w:pos="389"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9525</wp:posOffset>
            </wp:positionV>
            <wp:extent cx="713232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10" w:lineRule="exact"/>
        <w:rPr>
          <w:sz w:val="20"/>
          <w:szCs w:val="20"/>
          <w:color w:val="auto"/>
        </w:rPr>
      </w:pPr>
    </w:p>
    <w:p>
      <w:pPr>
        <w:spacing w:after="0"/>
        <w:rPr>
          <w:sz w:val="20"/>
          <w:szCs w:val="20"/>
          <w:color w:val="auto"/>
        </w:rPr>
      </w:pPr>
      <w:r>
        <w:rPr>
          <w:rFonts w:ascii="Arial" w:cs="Arial" w:eastAsia="Arial" w:hAnsi="Arial"/>
          <w:sz w:val="17"/>
          <w:szCs w:val="17"/>
          <w:color w:val="auto"/>
        </w:rPr>
        <w:t>If your shares of common stock are registered in your name on the books and records of our transfer agent, you are a common stockholder of record.</w:t>
      </w:r>
    </w:p>
    <w:p>
      <w:pPr>
        <w:spacing w:after="0" w:line="102" w:lineRule="exact"/>
        <w:rPr>
          <w:sz w:val="20"/>
          <w:szCs w:val="20"/>
          <w:color w:val="auto"/>
        </w:rPr>
      </w:pPr>
    </w:p>
    <w:p>
      <w:pPr>
        <w:ind w:right="120"/>
        <w:spacing w:after="0" w:line="235" w:lineRule="auto"/>
        <w:rPr>
          <w:sz w:val="20"/>
          <w:szCs w:val="20"/>
          <w:color w:val="auto"/>
        </w:rPr>
      </w:pPr>
      <w:r>
        <w:rPr>
          <w:rFonts w:ascii="Arial" w:cs="Arial" w:eastAsia="Arial" w:hAnsi="Arial"/>
          <w:sz w:val="18"/>
          <w:szCs w:val="18"/>
          <w:color w:val="auto"/>
        </w:rPr>
        <w:t>If your shares of common stock are held for you through an intermediary in the name of your broker, bank or other nominee, your shares are held in street name. The answer to Question 10 below describes brokers’ discretionary voting authority and when your</w:t>
      </w:r>
    </w:p>
    <w:p>
      <w:pPr>
        <w:sectPr>
          <w:pgSz w:w="11900" w:h="16838" w:orient="portrait"/>
          <w:cols w:equalWidth="0" w:num="1">
            <w:col w:w="11220"/>
          </w:cols>
          <w:pgMar w:left="320" w:top="108" w:right="359" w:bottom="1440" w:gutter="0" w:footer="0" w:header="0"/>
        </w:sectPr>
      </w:pPr>
    </w:p>
    <w:p>
      <w:pPr>
        <w:spacing w:after="0" w:line="333"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137160</wp:posOffset>
            </wp:positionV>
            <wp:extent cx="7157720" cy="425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type w:val="continuous"/>
        </w:sectPr>
      </w:pPr>
    </w:p>
    <w:bookmarkStart w:id="69" w:name="page70"/>
    <w:bookmarkEnd w:id="69"/>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ind w:left="20"/>
        <w:spacing w:after="0"/>
        <w:rPr>
          <w:sz w:val="20"/>
          <w:szCs w:val="20"/>
          <w:color w:val="auto"/>
        </w:rPr>
      </w:pPr>
      <w:r>
        <w:rPr>
          <w:rFonts w:ascii="Arial" w:cs="Arial" w:eastAsia="Arial" w:hAnsi="Arial"/>
          <w:sz w:val="14"/>
          <w:szCs w:val="14"/>
          <w:color w:val="407CCA"/>
        </w:rPr>
        <w:t>QUESTIONS AND ANSWERS ABOUT THE 2022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63" w:lineRule="exact"/>
        <w:rPr>
          <w:sz w:val="20"/>
          <w:szCs w:val="20"/>
          <w:color w:val="auto"/>
        </w:rPr>
      </w:pPr>
    </w:p>
    <w:p>
      <w:pPr>
        <w:ind w:right="100"/>
        <w:spacing w:after="0" w:line="241" w:lineRule="auto"/>
        <w:rPr>
          <w:sz w:val="20"/>
          <w:szCs w:val="20"/>
          <w:color w:val="auto"/>
        </w:rPr>
      </w:pPr>
      <w:r>
        <w:rPr>
          <w:rFonts w:ascii="Arial" w:cs="Arial" w:eastAsia="Arial" w:hAnsi="Arial"/>
          <w:sz w:val="16"/>
          <w:szCs w:val="16"/>
          <w:color w:val="auto"/>
        </w:rPr>
        <w:t>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virtual Annual Meeting, you may withdraw your proxy and vote online during the meeting using your 16-digit control number included on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your notice, proxy card, or the voting instruction form.</w:t>
      </w:r>
    </w:p>
    <w:p>
      <w:pPr>
        <w:spacing w:after="0" w:line="61" w:lineRule="exact"/>
        <w:rPr>
          <w:sz w:val="20"/>
          <w:szCs w:val="20"/>
          <w:color w:val="auto"/>
        </w:rPr>
      </w:pPr>
    </w:p>
    <w:p>
      <w:pPr>
        <w:ind w:right="560"/>
        <w:spacing w:after="0" w:line="258" w:lineRule="auto"/>
        <w:rPr>
          <w:sz w:val="20"/>
          <w:szCs w:val="20"/>
          <w:color w:val="auto"/>
        </w:rPr>
      </w:pPr>
      <w:r>
        <w:rPr>
          <w:rFonts w:ascii="Arial" w:cs="Arial" w:eastAsia="Arial" w:hAnsi="Arial"/>
          <w:sz w:val="17"/>
          <w:szCs w:val="17"/>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56"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6.</w:t>
        <w:tab/>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73" w:lineRule="exact"/>
        <w:rPr>
          <w:sz w:val="20"/>
          <w:szCs w:val="20"/>
          <w:color w:val="auto"/>
        </w:rPr>
      </w:pPr>
    </w:p>
    <w:p>
      <w:pPr>
        <w:ind w:right="160"/>
        <w:spacing w:after="0" w:line="250" w:lineRule="auto"/>
        <w:rPr>
          <w:sz w:val="20"/>
          <w:szCs w:val="20"/>
          <w:color w:val="auto"/>
        </w:rPr>
      </w:pPr>
      <w:r>
        <w:rPr>
          <w:rFonts w:ascii="Arial" w:cs="Arial" w:eastAsia="Arial" w:hAnsi="Arial"/>
          <w:sz w:val="16"/>
          <w:szCs w:val="16"/>
          <w:b w:val="1"/>
          <w:bCs w:val="1"/>
          <w:color w:val="auto"/>
        </w:rPr>
        <w:t>By Telephone or the Internet—</w:t>
      </w:r>
      <w:r>
        <w:rPr>
          <w:rFonts w:ascii="Arial" w:cs="Arial" w:eastAsia="Arial" w:hAnsi="Arial"/>
          <w:sz w:val="16"/>
          <w:szCs w:val="16"/>
          <w:color w:val="auto"/>
        </w:rPr>
        <w:t>Common stockholders can vote their shares via telephone or the internet as instructed in the proxy card or the voting</w:t>
      </w:r>
      <w:r>
        <w:rPr>
          <w:rFonts w:ascii="Arial" w:cs="Arial" w:eastAsia="Arial" w:hAnsi="Arial"/>
          <w:sz w:val="16"/>
          <w:szCs w:val="16"/>
          <w:b w:val="1"/>
          <w:bCs w:val="1"/>
          <w:color w:val="auto"/>
        </w:rPr>
        <w:t xml:space="preserve"> </w:t>
      </w:r>
      <w:r>
        <w:rPr>
          <w:rFonts w:ascii="Arial" w:cs="Arial" w:eastAsia="Arial" w:hAnsi="Arial"/>
          <w:sz w:val="16"/>
          <w:szCs w:val="16"/>
          <w:color w:val="auto"/>
        </w:rPr>
        <w:t>instruction form. The telephone and internet procedures are designed to authenticate a stockholder’s identity, to allow common stockholders to vote their</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shares, and to confirm that their instructions have been properly recorded.</w:t>
      </w:r>
    </w:p>
    <w:p>
      <w:pPr>
        <w:spacing w:after="0" w:line="15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By Mail—</w:t>
      </w:r>
      <w:r>
        <w:rPr>
          <w:rFonts w:ascii="Arial" w:cs="Arial" w:eastAsia="Arial" w:hAnsi="Arial"/>
          <w:sz w:val="16"/>
          <w:szCs w:val="16"/>
          <w:color w:val="auto"/>
        </w:rPr>
        <w:t>A common stockholder who receives a paper proxy card or voting instruction form or requests a paper proxy card or voting instruction form by</w:t>
      </w:r>
    </w:p>
    <w:p>
      <w:pPr>
        <w:spacing w:after="0" w:line="25"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w:t>
      </w:r>
    </w:p>
    <w:p>
      <w:pPr>
        <w:spacing w:after="0" w:line="2" w:lineRule="exact"/>
        <w:rPr>
          <w:sz w:val="20"/>
          <w:szCs w:val="20"/>
          <w:color w:val="auto"/>
        </w:rPr>
      </w:pPr>
    </w:p>
    <w:p>
      <w:pPr>
        <w:ind w:right="420"/>
        <w:spacing w:after="0" w:line="226" w:lineRule="auto"/>
        <w:rPr>
          <w:sz w:val="20"/>
          <w:szCs w:val="20"/>
          <w:color w:val="auto"/>
        </w:rPr>
      </w:pPr>
      <w:r>
        <w:rPr>
          <w:rFonts w:ascii="Arial" w:cs="Arial" w:eastAsia="Arial" w:hAnsi="Arial"/>
          <w:sz w:val="18"/>
          <w:szCs w:val="18"/>
          <w:color w:val="auto"/>
        </w:rPr>
        <w:t>broker, bank, or other nominee, the voting instruction form submitted by mail must be mailed by the deadline imposed by your broker, bank, or other nominee for your shares to be voted.</w:t>
      </w:r>
    </w:p>
    <w:p>
      <w:pPr>
        <w:spacing w:after="0" w:line="49" w:lineRule="exact"/>
        <w:rPr>
          <w:sz w:val="20"/>
          <w:szCs w:val="20"/>
          <w:color w:val="auto"/>
        </w:rPr>
      </w:pPr>
    </w:p>
    <w:p>
      <w:pPr>
        <w:ind w:right="300"/>
        <w:spacing w:after="0" w:line="250" w:lineRule="auto"/>
        <w:rPr>
          <w:sz w:val="20"/>
          <w:szCs w:val="20"/>
          <w:color w:val="auto"/>
        </w:rPr>
      </w:pPr>
      <w:r>
        <w:rPr>
          <w:rFonts w:ascii="Arial" w:cs="Arial" w:eastAsia="Arial" w:hAnsi="Arial"/>
          <w:sz w:val="18"/>
          <w:szCs w:val="18"/>
          <w:b w:val="1"/>
          <w:bCs w:val="1"/>
          <w:color w:val="auto"/>
        </w:rPr>
        <w:t>Online during the Meeting—</w:t>
      </w:r>
      <w:r>
        <w:rPr>
          <w:rFonts w:ascii="Arial" w:cs="Arial" w:eastAsia="Arial" w:hAnsi="Arial"/>
          <w:sz w:val="18"/>
          <w:szCs w:val="18"/>
          <w:color w:val="auto"/>
        </w:rPr>
        <w:t>Shares of common stock may be voted online during the Annual Meeting using the 16-digit control number included on</w:t>
      </w:r>
      <w:r>
        <w:rPr>
          <w:rFonts w:ascii="Arial" w:cs="Arial" w:eastAsia="Arial" w:hAnsi="Arial"/>
          <w:sz w:val="18"/>
          <w:szCs w:val="18"/>
          <w:b w:val="1"/>
          <w:bCs w:val="1"/>
          <w:color w:val="auto"/>
        </w:rPr>
        <w:t xml:space="preserve"> </w:t>
      </w:r>
      <w:r>
        <w:rPr>
          <w:rFonts w:ascii="Arial" w:cs="Arial" w:eastAsia="Arial" w:hAnsi="Arial"/>
          <w:sz w:val="18"/>
          <w:szCs w:val="18"/>
          <w:color w:val="auto"/>
        </w:rPr>
        <w:t>your notice, proxy card, or the voting instruction form.</w:t>
      </w:r>
    </w:p>
    <w:p>
      <w:pPr>
        <w:spacing w:after="0" w:line="149"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A representative of Broadridge Investor Communication Solutions, Inc. will serve as the inspector of election and will receive and tabulate the proxies and certify the results.</w:t>
      </w:r>
    </w:p>
    <w:p>
      <w:pPr>
        <w:spacing w:after="0" w:line="158"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8.</w:t>
        <w:tab/>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6"/>
          <w:szCs w:val="16"/>
          <w:color w:val="auto"/>
        </w:rPr>
        <w:t>Stockholders should specify their voting choice for each matter on the accompanying proxy. If no specification is made, such shares will be voted “FOR”</w:t>
      </w:r>
    </w:p>
    <w:p>
      <w:pPr>
        <w:spacing w:after="0" w:line="21" w:lineRule="exact"/>
        <w:rPr>
          <w:sz w:val="20"/>
          <w:szCs w:val="20"/>
          <w:color w:val="auto"/>
        </w:rPr>
      </w:pPr>
    </w:p>
    <w:p>
      <w:pPr>
        <w:ind w:right="60"/>
        <w:spacing w:after="0" w:line="221" w:lineRule="auto"/>
        <w:rPr>
          <w:sz w:val="20"/>
          <w:szCs w:val="20"/>
          <w:color w:val="auto"/>
        </w:rPr>
      </w:pPr>
      <w:r>
        <w:rPr>
          <w:rFonts w:ascii="Arial" w:cs="Arial" w:eastAsia="Arial" w:hAnsi="Arial"/>
          <w:sz w:val="17"/>
          <w:szCs w:val="17"/>
          <w:color w:val="auto"/>
        </w:rPr>
        <w:t>the election of the nine director nominees, “FOR” the advisory resolution on executive compensation, for “EVERY YEAR” for the advisory resolution on the frequency of future advisory resolutions on executive compensation,“FOR” the ratification of the appointment of Ernst &amp; Young LLP as our independent public accountant for the year ending December 31, 2023, and “FOR” the approval of amendments to our Certificate of Incorporation</w:t>
      </w:r>
    </w:p>
    <w:p>
      <w:pPr>
        <w:spacing w:after="0"/>
        <w:rPr>
          <w:sz w:val="20"/>
          <w:szCs w:val="20"/>
          <w:color w:val="auto"/>
        </w:rPr>
      </w:pPr>
      <w:r>
        <w:rPr>
          <w:rFonts w:ascii="Arial" w:cs="Arial" w:eastAsia="Arial" w:hAnsi="Arial"/>
          <w:sz w:val="18"/>
          <w:szCs w:val="18"/>
          <w:color w:val="auto"/>
        </w:rPr>
        <w:t>eliminating supermajority voting requirements.</w:t>
      </w:r>
    </w:p>
    <w:p>
      <w:pPr>
        <w:spacing w:after="0" w:line="165" w:lineRule="exact"/>
        <w:rPr>
          <w:sz w:val="20"/>
          <w:szCs w:val="20"/>
          <w:color w:val="auto"/>
        </w:rPr>
      </w:pPr>
    </w:p>
    <w:p>
      <w:pPr>
        <w:ind w:left="80"/>
        <w:spacing w:after="0"/>
        <w:tabs>
          <w:tab w:leader="none" w:pos="380" w:val="left"/>
        </w:tabs>
        <w:rPr>
          <w:sz w:val="20"/>
          <w:szCs w:val="20"/>
          <w:color w:val="auto"/>
        </w:rPr>
      </w:pPr>
      <w:r>
        <w:rPr>
          <w:rFonts w:ascii="Arial" w:cs="Arial" w:eastAsia="Arial" w:hAnsi="Arial"/>
          <w:sz w:val="18"/>
          <w:szCs w:val="18"/>
          <w:b w:val="1"/>
          <w:bCs w:val="1"/>
          <w:color w:val="auto"/>
        </w:rPr>
        <w:t>9.</w:t>
        <w:tab/>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77" w:lineRule="exact"/>
        <w:rPr>
          <w:sz w:val="20"/>
          <w:szCs w:val="20"/>
          <w:color w:val="auto"/>
        </w:rPr>
      </w:pPr>
    </w:p>
    <w:p>
      <w:pPr>
        <w:spacing w:after="0"/>
        <w:rPr>
          <w:sz w:val="20"/>
          <w:szCs w:val="20"/>
          <w:color w:val="auto"/>
        </w:rPr>
      </w:pPr>
      <w:r>
        <w:rPr>
          <w:rFonts w:ascii="Arial" w:cs="Arial" w:eastAsia="Arial" w:hAnsi="Arial"/>
          <w:sz w:val="16"/>
          <w:szCs w:val="16"/>
          <w:color w:val="auto"/>
        </w:rPr>
        <w:t>We recommend that you contact your broker and/or our transfer agent to consolidate as many accounts as possible under the same name and address. Our</w:t>
      </w:r>
    </w:p>
    <w:p>
      <w:pPr>
        <w:spacing w:after="0" w:line="2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transfer agent is Computershare Investor Services. Computershare’s address is 150 Royall Street, Suite 101; Canton, MA 02021; you can reach Computershare at 1-800-733-5001 (from within the United States or Canada) or 781-575-3400 (from outside the United States or Canada) or via their Investor Centre™ portal at www.computershare.com/investor.</w:t>
      </w:r>
    </w:p>
    <w:p>
      <w:pPr>
        <w:spacing w:after="0" w:line="172" w:lineRule="exact"/>
        <w:rPr>
          <w:sz w:val="20"/>
          <w:szCs w:val="20"/>
          <w:color w:val="auto"/>
        </w:rPr>
      </w:pPr>
    </w:p>
    <w:p>
      <w:pPr>
        <w:ind w:left="480" w:hanging="400"/>
        <w:spacing w:after="0"/>
        <w:tabs>
          <w:tab w:leader="none" w:pos="480"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2"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b w:val="1"/>
          <w:bCs w:val="1"/>
          <w:color w:val="auto"/>
        </w:rPr>
        <w:t>Stockholders of Record—</w:t>
      </w:r>
      <w:r>
        <w:rPr>
          <w:rFonts w:ascii="Arial" w:cs="Arial" w:eastAsia="Arial" w:hAnsi="Arial"/>
          <w:sz w:val="18"/>
          <w:szCs w:val="18"/>
          <w:color w:val="auto"/>
        </w:rPr>
        <w:t>If you are a stockholder of record (see Question 5 above), your shares of common stock will not be voted if you do not provide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your proxy unless you vote online during the Annual Meeting. </w:t>
      </w:r>
      <w:r>
        <w:rPr>
          <w:rFonts w:ascii="Arial" w:cs="Arial" w:eastAsia="Arial" w:hAnsi="Arial"/>
          <w:sz w:val="18"/>
          <w:szCs w:val="18"/>
          <w:i w:val="1"/>
          <w:iCs w:val="1"/>
          <w:color w:val="auto"/>
        </w:rPr>
        <w:t>It is important that you vote your shares.</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Street Name Holders—</w:t>
      </w:r>
      <w:r>
        <w:rPr>
          <w:rFonts w:ascii="Arial" w:cs="Arial" w:eastAsia="Arial" w:hAnsi="Arial"/>
          <w:sz w:val="16"/>
          <w:szCs w:val="16"/>
          <w:color w:val="auto"/>
        </w:rPr>
        <w:t>If your shares of common stock are held in street name (</w:t>
      </w:r>
      <w:r>
        <w:rPr>
          <w:rFonts w:ascii="Arial" w:cs="Arial" w:eastAsia="Arial" w:hAnsi="Arial"/>
          <w:sz w:val="16"/>
          <w:szCs w:val="16"/>
          <w:i w:val="1"/>
          <w:iCs w:val="1"/>
          <w:color w:val="auto"/>
        </w:rPr>
        <w:t>see</w:t>
      </w:r>
      <w:r>
        <w:rPr>
          <w:rFonts w:ascii="Arial" w:cs="Arial" w:eastAsia="Arial" w:hAnsi="Arial"/>
          <w:sz w:val="16"/>
          <w:szCs w:val="16"/>
          <w:b w:val="1"/>
          <w:bCs w:val="1"/>
          <w:color w:val="auto"/>
        </w:rPr>
        <w:t xml:space="preserve"> </w:t>
      </w:r>
      <w:r>
        <w:rPr>
          <w:rFonts w:ascii="Arial" w:cs="Arial" w:eastAsia="Arial" w:hAnsi="Arial"/>
          <w:sz w:val="16"/>
          <w:szCs w:val="16"/>
          <w:color w:val="auto"/>
        </w:rPr>
        <w:t>Question 5 above) and you do not provide your signed and dated</w:t>
      </w:r>
    </w:p>
    <w:p>
      <w:pPr>
        <w:spacing w:after="0" w:line="25" w:lineRule="exact"/>
        <w:rPr>
          <w:sz w:val="20"/>
          <w:szCs w:val="20"/>
          <w:color w:val="auto"/>
        </w:rPr>
      </w:pPr>
    </w:p>
    <w:p>
      <w:pPr>
        <w:ind w:right="100"/>
        <w:spacing w:after="0" w:line="218" w:lineRule="auto"/>
        <w:rPr>
          <w:sz w:val="20"/>
          <w:szCs w:val="20"/>
          <w:color w:val="auto"/>
        </w:rPr>
      </w:pPr>
      <w:r>
        <w:rPr>
          <w:rFonts w:ascii="Arial" w:cs="Arial" w:eastAsia="Arial" w:hAnsi="Arial"/>
          <w:sz w:val="18"/>
          <w:szCs w:val="18"/>
          <w:color w:val="auto"/>
        </w:rPr>
        <w:t xml:space="preserve">voting instruction form to your broker, bank, or other nominee, your shares may be voted by your broker, bank, or other nominee but </w:t>
      </w:r>
      <w:r>
        <w:rPr>
          <w:rFonts w:ascii="Arial" w:cs="Arial" w:eastAsia="Arial" w:hAnsi="Arial"/>
          <w:sz w:val="18"/>
          <w:szCs w:val="18"/>
          <w:i w:val="1"/>
          <w:iCs w:val="1"/>
          <w:color w:val="auto"/>
        </w:rPr>
        <w:t>only</w:t>
      </w:r>
      <w:r>
        <w:rPr>
          <w:rFonts w:ascii="Arial" w:cs="Arial" w:eastAsia="Arial" w:hAnsi="Arial"/>
          <w:sz w:val="18"/>
          <w:szCs w:val="18"/>
          <w:color w:val="auto"/>
        </w:rPr>
        <w:t xml:space="preserve"> under certain circumstances. Specifically, under applicable rules, 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right="160"/>
        <w:spacing w:after="0" w:line="241" w:lineRule="auto"/>
        <w:rPr>
          <w:sz w:val="20"/>
          <w:szCs w:val="20"/>
          <w:color w:val="auto"/>
        </w:rPr>
      </w:pPr>
      <w:r>
        <w:rPr>
          <w:rFonts w:ascii="Arial" w:cs="Arial" w:eastAsia="Arial" w:hAnsi="Arial"/>
          <w:sz w:val="16"/>
          <w:szCs w:val="16"/>
          <w:color w:val="auto"/>
        </w:rPr>
        <w:t>The only proposals to be voted on at the Annual Meeting that are considered a “routine” matter for which brokers, banks or other nominees may vote uninstructed shares is the ratification of the appointment of Ernst &amp; Young LLP as the Company’s independent public accountant. The other proposals (specifically, the election of director nominees, the approval of the advisory resolution on executive compensation, the advisory vote on the frequency of</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 xml:space="preserve">future advisory votes on executive compensation, and the amendments to our Certificate of Incorporation to remove supermajority voting provisions) are </w:t>
      </w:r>
      <w:r>
        <w:rPr>
          <w:rFonts w:ascii="Arial" w:cs="Arial" w:eastAsia="Arial" w:hAnsi="Arial"/>
          <w:sz w:val="16"/>
          <w:szCs w:val="16"/>
          <w:u w:val="single" w:color="auto"/>
          <w:color w:val="auto"/>
        </w:rPr>
        <w:t>not</w:t>
      </w:r>
      <w:r>
        <w:rPr>
          <w:rFonts w:ascii="Arial" w:cs="Arial" w:eastAsia="Arial" w:hAnsi="Arial"/>
          <w:sz w:val="16"/>
          <w:szCs w:val="16"/>
          <w:color w:val="auto"/>
        </w:rPr>
        <w:t xml:space="preserve"> considered “routine” under applicable rules, so the broker, bank, or other nominee cannot vote your shares on these proposals unless you provide to the broker, bank, or other nominee voting instructions for these matters. If you do not provide voting instructions on a non-routine matter, your shares of</w:t>
      </w:r>
    </w:p>
    <w:p>
      <w:pPr>
        <w:spacing w:after="0" w:line="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common stock will not be voted on the matter, which is referred to as a “broker non-vote.” </w:t>
      </w:r>
      <w:r>
        <w:rPr>
          <w:rFonts w:ascii="Arial" w:cs="Arial" w:eastAsia="Arial" w:hAnsi="Arial"/>
          <w:sz w:val="17"/>
          <w:szCs w:val="17"/>
          <w:i w:val="1"/>
          <w:iCs w:val="1"/>
          <w:color w:val="auto"/>
        </w:rPr>
        <w:t>It is, therefore, important that you vote your shares.</w:t>
      </w:r>
    </w:p>
    <w:p>
      <w:pPr>
        <w:sectPr>
          <w:pgSz w:w="11900" w:h="16838" w:orient="portrait"/>
          <w:cols w:equalWidth="0" w:num="1">
            <w:col w:w="11160"/>
          </w:cols>
          <w:pgMar w:left="320" w:top="108" w:right="419" w:bottom="1440" w:gutter="0" w:footer="0" w:header="0"/>
        </w:sectPr>
      </w:pPr>
    </w:p>
    <w:p>
      <w:pPr>
        <w:spacing w:after="0" w:line="338" w:lineRule="exact"/>
        <w:rPr>
          <w:sz w:val="20"/>
          <w:szCs w:val="20"/>
          <w:color w:val="auto"/>
        </w:rPr>
      </w:pPr>
    </w:p>
    <w:p>
      <w:pPr>
        <w:ind w:left="20"/>
        <w:spacing w:after="0"/>
        <w:tabs>
          <w:tab w:leader="none" w:pos="420" w:val="left"/>
        </w:tabs>
        <w:rPr>
          <w:sz w:val="20"/>
          <w:szCs w:val="20"/>
          <w:color w:val="auto"/>
        </w:rPr>
      </w:pPr>
      <w:r>
        <w:rPr>
          <w:rFonts w:ascii="Arial" w:cs="Arial" w:eastAsia="Arial" w:hAnsi="Arial"/>
          <w:sz w:val="13"/>
          <w:szCs w:val="13"/>
          <w:color w:val="407CCA"/>
        </w:rPr>
        <w:t>60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153035</wp:posOffset>
            </wp:positionV>
            <wp:extent cx="7157720" cy="425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160"/>
          </w:cols>
          <w:pgMar w:left="320" w:top="108" w:right="419" w:bottom="1440" w:gutter="0" w:footer="0" w:header="0"/>
          <w:type w:val="continuous"/>
        </w:sectPr>
      </w:pPr>
    </w:p>
    <w:bookmarkStart w:id="70" w:name="page71"/>
    <w:bookmarkEnd w:id="70"/>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6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2023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29845</wp:posOffset>
            </wp:positionV>
            <wp:extent cx="7132320"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67" w:lineRule="exact"/>
        <w:rPr>
          <w:sz w:val="20"/>
          <w:szCs w:val="20"/>
          <w:color w:val="auto"/>
        </w:rPr>
      </w:pPr>
    </w:p>
    <w:p>
      <w:pPr>
        <w:ind w:left="80"/>
        <w:spacing w:after="0"/>
        <w:tabs>
          <w:tab w:leader="none" w:pos="46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7"/>
          <w:szCs w:val="17"/>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ind w:right="280"/>
        <w:spacing w:after="0" w:line="241" w:lineRule="auto"/>
        <w:rPr>
          <w:sz w:val="20"/>
          <w:szCs w:val="20"/>
          <w:color w:val="auto"/>
        </w:rPr>
      </w:pPr>
      <w:r>
        <w:rPr>
          <w:rFonts w:ascii="Arial" w:cs="Arial" w:eastAsia="Arial" w:hAnsi="Arial"/>
          <w:sz w:val="16"/>
          <w:szCs w:val="16"/>
          <w:color w:val="auto"/>
        </w:rPr>
        <w:t>Abstentions and broker non-votes will not be counted as votes cast and will not affect the outcome of the votes on Proposals 1, 2, 3, and 4 at the Annual Meeting. Approval of Proposal 5, the amendment of our Certificate of Incorporation, requires the affirmative vote of at least 66% of the shares of our common stock outstanding and entitled to vote. Instructions to “Abstain” with respect to any of these amendments will be counted for purposes of</w:t>
      </w:r>
    </w:p>
    <w:p>
      <w:pPr>
        <w:spacing w:after="0" w:line="231" w:lineRule="auto"/>
        <w:rPr>
          <w:sz w:val="20"/>
          <w:szCs w:val="20"/>
          <w:color w:val="auto"/>
        </w:rPr>
      </w:pPr>
      <w:r>
        <w:rPr>
          <w:rFonts w:ascii="Arial" w:cs="Arial" w:eastAsia="Arial" w:hAnsi="Arial"/>
          <w:sz w:val="16"/>
          <w:szCs w:val="16"/>
          <w:color w:val="auto"/>
        </w:rPr>
        <w:t>determining the number of share represented and entitled to vote. Accordingly, an abstention will have the effect of a vote “Against” these amendments.</w:t>
      </w:r>
    </w:p>
    <w:p>
      <w:pPr>
        <w:spacing w:after="0"/>
        <w:rPr>
          <w:sz w:val="20"/>
          <w:szCs w:val="20"/>
          <w:color w:val="auto"/>
        </w:rPr>
      </w:pPr>
      <w:r>
        <w:rPr>
          <w:rFonts w:ascii="Arial" w:cs="Arial" w:eastAsia="Arial" w:hAnsi="Arial"/>
          <w:sz w:val="17"/>
          <w:szCs w:val="17"/>
          <w:color w:val="auto"/>
        </w:rPr>
        <w:t>Broker non-votes will also count as a vote “Against” these amendments. See Question 10 above for more information about broker non-votes.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6"/>
          <w:szCs w:val="16"/>
          <w:color w:val="auto"/>
        </w:rPr>
        <w:t>The enclosed proxy is solicited on behalf of the Board and is revocable at any time prior to the voting of the proxy, by the filing of an instrument revoking</w:t>
      </w:r>
    </w:p>
    <w:p>
      <w:pPr>
        <w:spacing w:after="0" w:line="21" w:lineRule="exact"/>
        <w:rPr>
          <w:sz w:val="20"/>
          <w:szCs w:val="20"/>
          <w:color w:val="auto"/>
        </w:rPr>
      </w:pPr>
    </w:p>
    <w:p>
      <w:pPr>
        <w:jc w:val="both"/>
        <w:ind w:right="220"/>
        <w:spacing w:after="0" w:line="218" w:lineRule="auto"/>
        <w:rPr>
          <w:sz w:val="20"/>
          <w:szCs w:val="20"/>
          <w:color w:val="auto"/>
        </w:rPr>
      </w:pPr>
      <w:r>
        <w:rPr>
          <w:rFonts w:ascii="Arial" w:cs="Arial" w:eastAsia="Arial" w:hAnsi="Arial"/>
          <w:sz w:val="18"/>
          <w:szCs w:val="18"/>
          <w:color w:val="auto"/>
        </w:rPr>
        <w:t>it, or a duly executed proxy bearing a later date, with our Secretary, addressed to our principal executive offices at 2 Bethesda Metro Center, 12th Floor, Bethesda, Maryland 20814. In the event that you attend the Annual Meeting, you may revoke your proxy and cast your vote personally online during the meeting.</w:t>
      </w:r>
    </w:p>
    <w:p>
      <w:pPr>
        <w:spacing w:after="0" w:line="172" w:lineRule="exact"/>
        <w:rPr>
          <w:sz w:val="20"/>
          <w:szCs w:val="20"/>
          <w:color w:val="auto"/>
        </w:rPr>
      </w:pPr>
    </w:p>
    <w:p>
      <w:pPr>
        <w:ind w:left="480" w:hanging="400"/>
        <w:spacing w:after="0"/>
        <w:tabs>
          <w:tab w:leader="none" w:pos="480"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6" w:lineRule="exact"/>
        <w:rPr>
          <w:sz w:val="20"/>
          <w:szCs w:val="20"/>
          <w:color w:val="auto"/>
        </w:rPr>
      </w:pPr>
    </w:p>
    <w:p>
      <w:pPr>
        <w:spacing w:after="0" w:line="241" w:lineRule="auto"/>
        <w:rPr>
          <w:sz w:val="20"/>
          <w:szCs w:val="20"/>
          <w:color w:val="auto"/>
        </w:rPr>
      </w:pPr>
      <w:r>
        <w:rPr>
          <w:rFonts w:ascii="Arial" w:cs="Arial" w:eastAsia="Arial" w:hAnsi="Arial"/>
          <w:sz w:val="16"/>
          <w:szCs w:val="16"/>
          <w:color w:val="auto"/>
        </w:rPr>
        <w:t>We will bear the cost of soliciting proxies on the accompanying form. In addition to the use of mail, our officers and employees may solicit proxies by telephone or email. Upon request, we will reimburse brokers, dealers, banks and trustees, or their nominees, for reasonable expenses incurred by them in forwarding our proxy materials to beneficial owners of our common stock. The Company has also retained D.F. King &amp; Co., Inc. to assist in the solicitation</w:t>
      </w:r>
    </w:p>
    <w:p>
      <w:pPr>
        <w:spacing w:after="0" w:line="2" w:lineRule="exact"/>
        <w:rPr>
          <w:sz w:val="20"/>
          <w:szCs w:val="20"/>
          <w:color w:val="auto"/>
        </w:rPr>
      </w:pPr>
    </w:p>
    <w:p>
      <w:pPr>
        <w:ind w:right="80"/>
        <w:spacing w:after="0" w:line="218" w:lineRule="auto"/>
        <w:rPr>
          <w:sz w:val="20"/>
          <w:szCs w:val="20"/>
          <w:color w:val="auto"/>
        </w:rPr>
      </w:pPr>
      <w:r>
        <w:rPr>
          <w:rFonts w:ascii="Arial" w:cs="Arial" w:eastAsia="Arial" w:hAnsi="Arial"/>
          <w:sz w:val="18"/>
          <w:szCs w:val="18"/>
          <w:color w:val="auto"/>
        </w:rPr>
        <w:t>of proxies in connection with the Annual Meeting and will pay D.F. King a fee of $10,000 for its services. In addition, the Company may pay D.F. King additional fees depending on the extent of additional services requested by the Company and will reimburse D.F. King for expenses incurred in connection with its engagement by the Company.</w:t>
      </w:r>
    </w:p>
    <w:p>
      <w:pPr>
        <w:spacing w:after="0" w:line="158" w:lineRule="exact"/>
        <w:rPr>
          <w:sz w:val="20"/>
          <w:szCs w:val="20"/>
          <w:color w:val="auto"/>
        </w:rPr>
      </w:pPr>
    </w:p>
    <w:p>
      <w:pPr>
        <w:ind w:left="480" w:hanging="400"/>
        <w:spacing w:after="0"/>
        <w:tabs>
          <w:tab w:leader="none" w:pos="480" w:val="left"/>
        </w:tabs>
        <w:numPr>
          <w:ilvl w:val="0"/>
          <w:numId w:val="57"/>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26035</wp:posOffset>
            </wp:positionV>
            <wp:extent cx="713232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Arial" w:cs="Arial" w:eastAsia="Arial" w:hAnsi="Arial"/>
          <w:sz w:val="16"/>
          <w:szCs w:val="16"/>
          <w:color w:val="auto"/>
        </w:rPr>
        <w:t>Attendance at the virtual Annual Meeting will be limited to common stockholders of record as of the close of business on the record date, February 24,</w:t>
      </w:r>
    </w:p>
    <w:p>
      <w:pPr>
        <w:spacing w:after="0" w:line="21" w:lineRule="exact"/>
        <w:rPr>
          <w:sz w:val="20"/>
          <w:szCs w:val="20"/>
          <w:color w:val="auto"/>
        </w:rPr>
      </w:pPr>
    </w:p>
    <w:p>
      <w:pPr>
        <w:ind w:right="160"/>
        <w:spacing w:after="0" w:line="234" w:lineRule="auto"/>
        <w:rPr>
          <w:sz w:val="20"/>
          <w:szCs w:val="20"/>
          <w:color w:val="auto"/>
        </w:rPr>
      </w:pPr>
      <w:r>
        <w:rPr>
          <w:rFonts w:ascii="Arial" w:cs="Arial" w:eastAsia="Arial" w:hAnsi="Arial"/>
          <w:sz w:val="16"/>
          <w:szCs w:val="16"/>
          <w:color w:val="auto"/>
        </w:rPr>
        <w:t>2023. To be admitted to the Annual Meeting at www.virtualshareholdermeeting.com/AGNC2023, you must enter the 16-digit control number which is located on your notice, proxy card, voting instruction form, or in the email sending you the Proxy Statement. If you are a beneficial stockholder, you may contact the bank, broker, or other institution where you hold your account if you have questions about obtaining your control number. Participants will be</w:t>
      </w:r>
    </w:p>
    <w:p>
      <w:pPr>
        <w:spacing w:after="0" w:line="2" w:lineRule="exact"/>
        <w:rPr>
          <w:sz w:val="20"/>
          <w:szCs w:val="20"/>
          <w:color w:val="auto"/>
        </w:rPr>
      </w:pPr>
    </w:p>
    <w:p>
      <w:pPr>
        <w:ind w:right="320"/>
        <w:spacing w:after="0" w:line="248" w:lineRule="auto"/>
        <w:rPr>
          <w:sz w:val="20"/>
          <w:szCs w:val="20"/>
          <w:color w:val="auto"/>
        </w:rPr>
      </w:pPr>
      <w:r>
        <w:rPr>
          <w:rFonts w:ascii="Arial" w:cs="Arial" w:eastAsia="Arial" w:hAnsi="Arial"/>
          <w:sz w:val="16"/>
          <w:szCs w:val="16"/>
          <w:color w:val="auto"/>
        </w:rPr>
        <w:t>able to access the virtual meeting site 15 minutes before the meeting begins on April 20, 2023. Stockholders experiencing technical difficulties when logging into the virtual meeting platform may access technical assistance provided by Broadridge Financial Solutions, Inc., the hosting platform for the Annual Meeting, toll-free in the United States at 1-844-986-0822 or internationally at 303-562-9302 beginning 15 minutes in advance of the meeting.</w:t>
      </w:r>
    </w:p>
    <w:p>
      <w:pPr>
        <w:spacing w:after="0" w:line="166" w:lineRule="exact"/>
        <w:rPr>
          <w:sz w:val="20"/>
          <w:szCs w:val="20"/>
          <w:color w:val="auto"/>
        </w:rPr>
      </w:pPr>
    </w:p>
    <w:p>
      <w:pPr>
        <w:ind w:left="480" w:hanging="400"/>
        <w:spacing w:after="0"/>
        <w:tabs>
          <w:tab w:leader="none" w:pos="480"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WILL STOCKHOLDERS BE ABLE TO ASK QUESTIONS AT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6" w:lineRule="exact"/>
        <w:rPr>
          <w:sz w:val="20"/>
          <w:szCs w:val="20"/>
          <w:color w:val="auto"/>
        </w:rPr>
      </w:pPr>
    </w:p>
    <w:p>
      <w:pPr>
        <w:ind w:right="420"/>
        <w:spacing w:after="0" w:line="241" w:lineRule="auto"/>
        <w:rPr>
          <w:sz w:val="20"/>
          <w:szCs w:val="20"/>
          <w:color w:val="auto"/>
        </w:rPr>
      </w:pPr>
      <w:r>
        <w:rPr>
          <w:rFonts w:ascii="Arial" w:cs="Arial" w:eastAsia="Arial" w:hAnsi="Arial"/>
          <w:sz w:val="16"/>
          <w:szCs w:val="16"/>
          <w:color w:val="auto"/>
        </w:rPr>
        <w:t>The Annual Meeting will include a question and answer session and will address questions submitted in writing in advance of and during the virtual meeting. Common stockholders of record on the record date may submit questions at www.proxyvote.com beginning up to 24 hours in advance of the meeting. We will endeavor to answer as many questions submitted by stockholders as time permits. We reserve the right to edit profanity or other</w:t>
      </w:r>
    </w:p>
    <w:p>
      <w:pPr>
        <w:spacing w:after="0" w:line="2" w:lineRule="exact"/>
        <w:rPr>
          <w:sz w:val="20"/>
          <w:szCs w:val="20"/>
          <w:color w:val="auto"/>
        </w:rPr>
      </w:pPr>
    </w:p>
    <w:p>
      <w:pPr>
        <w:spacing w:after="0" w:line="234" w:lineRule="auto"/>
        <w:rPr>
          <w:sz w:val="20"/>
          <w:szCs w:val="20"/>
          <w:color w:val="auto"/>
        </w:rPr>
      </w:pPr>
      <w:r>
        <w:rPr>
          <w:rFonts w:ascii="Arial" w:cs="Arial" w:eastAsia="Arial" w:hAnsi="Arial"/>
          <w:sz w:val="16"/>
          <w:szCs w:val="16"/>
          <w:color w:val="auto"/>
        </w:rPr>
        <w:t>inappropriate language and to exclude questions regarding topics that are not pertinent to meeting matters or Company business in accordance with our rules of conduct for the meeting. If we receive substantially similar questions, we may group such questions together and provide a single response to avoid repetition. Additional information regarding the rules and procedures for participating in the virtual Annual Meeting will be provided in our meeting rules</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of conduct, which stockholders can view during the meeting at the virtual meeting website.</w:t>
      </w:r>
    </w:p>
    <w:p>
      <w:pPr>
        <w:spacing w:after="0" w:line="165" w:lineRule="exact"/>
        <w:rPr>
          <w:sz w:val="20"/>
          <w:szCs w:val="20"/>
          <w:color w:val="auto"/>
        </w:rPr>
      </w:pPr>
    </w:p>
    <w:p>
      <w:pPr>
        <w:ind w:left="480" w:hanging="400"/>
        <w:spacing w:after="0"/>
        <w:tabs>
          <w:tab w:leader="none" w:pos="480" w:val="left"/>
        </w:tabs>
        <w:numPr>
          <w:ilvl w:val="0"/>
          <w:numId w:val="59"/>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36"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online or by proxy at the meeting. This is referred to as a quorum.</w:t>
      </w:r>
    </w:p>
    <w:p>
      <w:pPr>
        <w:spacing w:after="0" w:line="67" w:lineRule="exact"/>
        <w:rPr>
          <w:sz w:val="20"/>
          <w:szCs w:val="20"/>
          <w:color w:val="auto"/>
        </w:rPr>
      </w:pPr>
    </w:p>
    <w:p>
      <w:pPr>
        <w:ind w:right="240"/>
        <w:spacing w:after="0" w:line="235" w:lineRule="auto"/>
        <w:rPr>
          <w:sz w:val="20"/>
          <w:szCs w:val="20"/>
          <w:color w:val="auto"/>
        </w:rPr>
      </w:pPr>
      <w:r>
        <w:rPr>
          <w:rFonts w:ascii="Arial" w:cs="Arial" w:eastAsia="Arial" w:hAnsi="Arial"/>
          <w:sz w:val="18"/>
          <w:szCs w:val="18"/>
          <w:color w:val="auto"/>
        </w:rPr>
        <w:t>Your shares are counted as present at the Annual Meeting if you attend the virtual meeting online and vote in person or if you properly return a proxy by internet, telephone, or mail.</w:t>
      </w:r>
    </w:p>
    <w:p>
      <w:pPr>
        <w:spacing w:after="0" w:line="54" w:lineRule="exact"/>
        <w:rPr>
          <w:sz w:val="20"/>
          <w:szCs w:val="20"/>
          <w:color w:val="auto"/>
        </w:rPr>
      </w:pPr>
    </w:p>
    <w:p>
      <w:pPr>
        <w:spacing w:after="0"/>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407CCA"/>
        </w:rPr>
        <w:t>OTHER MATTERS</w:t>
      </w:r>
    </w:p>
    <w:p>
      <w:pPr>
        <w:spacing w:after="0" w:line="192" w:lineRule="exact"/>
        <w:rPr>
          <w:sz w:val="20"/>
          <w:szCs w:val="20"/>
          <w:color w:val="auto"/>
        </w:rPr>
      </w:pPr>
    </w:p>
    <w:p>
      <w:pPr>
        <w:ind w:right="220"/>
        <w:spacing w:after="0" w:line="224" w:lineRule="auto"/>
        <w:rPr>
          <w:sz w:val="20"/>
          <w:szCs w:val="20"/>
          <w:color w:val="auto"/>
        </w:rPr>
      </w:pPr>
      <w:r>
        <w:rPr>
          <w:rFonts w:ascii="Arial" w:cs="Arial" w:eastAsia="Arial" w:hAnsi="Arial"/>
          <w:sz w:val="18"/>
          <w:szCs w:val="18"/>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334" w:lineRule="exact"/>
        <w:rPr>
          <w:sz w:val="20"/>
          <w:szCs w:val="20"/>
          <w:color w:val="auto"/>
        </w:rPr>
      </w:pPr>
    </w:p>
    <w:p>
      <w:pPr>
        <w:ind w:left="79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145415</wp:posOffset>
            </wp:positionV>
            <wp:extent cx="7157720" cy="425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71" w:name="page72"/>
    <w:bookmarkEnd w:id="71"/>
    <w:p>
      <w:pPr>
        <w:spacing w:after="0"/>
        <w:rPr>
          <w:sz w:val="20"/>
          <w:szCs w:val="20"/>
          <w:color w:val="auto"/>
        </w:rPr>
      </w:pPr>
      <w:r>
        <w:rPr>
          <w:rFonts w:ascii="Arial" w:cs="Arial" w:eastAsia="Arial" w:hAnsi="Arial"/>
          <w:sz w:val="18"/>
          <w:szCs w:val="18"/>
          <w:b w:val="1"/>
          <w:bCs w:val="1"/>
          <w:u w:val="single" w:color="auto"/>
          <w:color w:val="0000FF"/>
        </w:rPr>
        <w:t>Table of Contents</w:t>
      </w:r>
    </w:p>
    <w:p>
      <w:pPr>
        <w:spacing w:after="0" w:line="200" w:lineRule="exact"/>
        <w:rPr>
          <w:sz w:val="20"/>
          <w:szCs w:val="20"/>
          <w:color w:val="auto"/>
        </w:rPr>
      </w:pPr>
    </w:p>
    <w:p>
      <w:pPr>
        <w:spacing w:after="0" w:line="322" w:lineRule="exact"/>
        <w:rPr>
          <w:sz w:val="20"/>
          <w:szCs w:val="20"/>
          <w:color w:val="auto"/>
        </w:rPr>
      </w:pPr>
    </w:p>
    <w:p>
      <w:pPr>
        <w:jc w:val="center"/>
        <w:ind w:left="360" w:right="480"/>
        <w:spacing w:after="0" w:line="237" w:lineRule="auto"/>
        <w:rPr>
          <w:sz w:val="20"/>
          <w:szCs w:val="20"/>
          <w:color w:val="auto"/>
        </w:rPr>
      </w:pPr>
      <w:r>
        <w:rPr>
          <w:rFonts w:ascii="Arial" w:cs="Arial" w:eastAsia="Arial" w:hAnsi="Arial"/>
          <w:sz w:val="18"/>
          <w:szCs w:val="18"/>
          <w:b w:val="1"/>
          <w:bCs w:val="1"/>
          <w:color w:val="auto"/>
        </w:rPr>
        <w:t>PROPOSED AMENDED PROVISIONS OF THE AGNC INVESTMENT CORP. AMENDED AND RESTATED CERTIFICATE OF INCORPORATION</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APPENDIX A</w:t>
      </w:r>
    </w:p>
    <w:p>
      <w:pPr>
        <w:spacing w:after="0" w:line="243" w:lineRule="exact"/>
        <w:rPr>
          <w:sz w:val="20"/>
          <w:szCs w:val="20"/>
          <w:color w:val="auto"/>
        </w:rPr>
      </w:pPr>
    </w:p>
    <w:p>
      <w:pPr>
        <w:ind w:right="640"/>
        <w:spacing w:after="0" w:line="261" w:lineRule="auto"/>
        <w:rPr>
          <w:sz w:val="20"/>
          <w:szCs w:val="20"/>
          <w:color w:val="auto"/>
        </w:rPr>
      </w:pPr>
      <w:r>
        <w:rPr>
          <w:rFonts w:ascii="Arial" w:cs="Arial" w:eastAsia="Arial" w:hAnsi="Arial"/>
          <w:sz w:val="18"/>
          <w:szCs w:val="18"/>
          <w:i w:val="1"/>
          <w:iCs w:val="1"/>
          <w:color w:val="auto"/>
        </w:rPr>
        <w:t>The proposed amendment to our Certificate of Incorporation to eliminate the supermajority voting requirement applicable to an amendment of our Certificate of Incorporation (Proposal 4A) is set forth below.</w:t>
      </w:r>
    </w:p>
    <w:p>
      <w:pPr>
        <w:spacing w:after="0" w:line="19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XII</w:t>
      </w:r>
    </w:p>
    <w:p>
      <w:pPr>
        <w:jc w:val="center"/>
        <w:ind w:right="-39"/>
        <w:spacing w:after="0"/>
        <w:rPr>
          <w:sz w:val="20"/>
          <w:szCs w:val="20"/>
          <w:color w:val="auto"/>
        </w:rPr>
      </w:pPr>
      <w:r>
        <w:rPr>
          <w:rFonts w:ascii="Arial" w:cs="Arial" w:eastAsia="Arial" w:hAnsi="Arial"/>
          <w:sz w:val="18"/>
          <w:szCs w:val="18"/>
          <w:u w:val="single" w:color="auto"/>
          <w:color w:val="auto"/>
        </w:rPr>
        <w:t>AMENDMENT OF CERTIFICATE OF INCORPORATION</w:t>
      </w:r>
    </w:p>
    <w:p>
      <w:pPr>
        <w:spacing w:after="0" w:line="223" w:lineRule="exact"/>
        <w:rPr>
          <w:sz w:val="20"/>
          <w:szCs w:val="20"/>
          <w:color w:val="auto"/>
        </w:rPr>
      </w:pPr>
    </w:p>
    <w:p>
      <w:pPr>
        <w:ind w:right="60" w:firstLine="648"/>
        <w:spacing w:after="0" w:line="281" w:lineRule="auto"/>
        <w:rPr>
          <w:sz w:val="20"/>
          <w:szCs w:val="20"/>
          <w:color w:val="auto"/>
        </w:rPr>
      </w:pPr>
      <w:r>
        <w:rPr>
          <w:rFonts w:ascii="Arial" w:cs="Arial" w:eastAsia="Arial" w:hAnsi="Arial"/>
          <w:sz w:val="16"/>
          <w:szCs w:val="16"/>
          <w:color w:val="auto"/>
        </w:rPr>
        <w:t>The Corporation hereby reserves the right to amend, alter, change or repeal any provision contained in this Certificate of Incorporation. Except as may be provided in a resolution or resolutions providing for any class of Preferred Stock pursuant to Article IV hereof and which relate to such class of Preferred Stock and except as provided in Article IV hereof, any such amendment, alteration, change or repeal shall require the affirmative vote of both (a)</w:t>
      </w:r>
    </w:p>
    <w:p>
      <w:pPr>
        <w:spacing w:after="0" w:line="2"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 xml:space="preserve">a majority of the members of the Board of Directors then in office and (b) a majority of the </w:t>
      </w:r>
      <w:r>
        <w:rPr>
          <w:rFonts w:ascii="Arial" w:cs="Arial" w:eastAsia="Arial" w:hAnsi="Arial"/>
          <w:sz w:val="18"/>
          <w:szCs w:val="18"/>
          <w:color w:val="FF0000"/>
          <w:strike w:val="1"/>
        </w:rPr>
        <w:t>combined</w:t>
      </w:r>
      <w:r>
        <w:rPr>
          <w:rFonts w:ascii="Arial" w:cs="Arial" w:eastAsia="Arial" w:hAnsi="Arial"/>
          <w:sz w:val="18"/>
          <w:szCs w:val="18"/>
          <w:color w:val="auto"/>
        </w:rPr>
        <w:t xml:space="preserve"> voting power of all of the shares </w:t>
      </w:r>
      <w:r>
        <w:rPr>
          <w:rFonts w:ascii="Arial" w:cs="Arial" w:eastAsia="Arial" w:hAnsi="Arial"/>
          <w:sz w:val="18"/>
          <w:szCs w:val="18"/>
          <w:color w:val="FF0000"/>
        </w:rPr>
        <w:t>of all classes</w:t>
      </w:r>
      <w:r>
        <w:rPr>
          <w:rFonts w:ascii="Arial" w:cs="Arial" w:eastAsia="Arial" w:hAnsi="Arial"/>
          <w:sz w:val="18"/>
          <w:szCs w:val="18"/>
          <w:color w:val="auto"/>
        </w:rPr>
        <w:t xml:space="preserve"> of capital stock of the Corporation then entitled to vote generally in the election of directors</w:t>
      </w:r>
      <w:r>
        <w:rPr>
          <w:rFonts w:ascii="Arial" w:cs="Arial" w:eastAsia="Arial" w:hAnsi="Arial"/>
          <w:sz w:val="18"/>
          <w:szCs w:val="18"/>
          <w:u w:val="single" w:color="auto"/>
          <w:color w:val="0000FF"/>
        </w:rPr>
        <w:t>, voting together as a single class</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6157595</wp:posOffset>
            </wp:positionH>
            <wp:positionV relativeFrom="paragraph">
              <wp:posOffset>-215900</wp:posOffset>
            </wp:positionV>
            <wp:extent cx="612140"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12140" cy="8255"/>
                    </a:xfrm>
                    <a:prstGeom prst="rect">
                      <a:avLst/>
                    </a:prstGeom>
                    <a:noFill/>
                  </pic:spPr>
                </pic:pic>
              </a:graphicData>
            </a:graphic>
          </wp:anchor>
        </w:drawing>
      </w:r>
    </w:p>
    <w:p>
      <w:pPr>
        <w:spacing w:after="0" w:line="43" w:lineRule="exact"/>
        <w:rPr>
          <w:sz w:val="20"/>
          <w:szCs w:val="20"/>
          <w:color w:val="auto"/>
        </w:rPr>
      </w:pPr>
    </w:p>
    <w:p>
      <w:pPr>
        <w:ind w:right="20" w:firstLine="648"/>
        <w:spacing w:after="0" w:line="248" w:lineRule="auto"/>
        <w:rPr>
          <w:sz w:val="20"/>
          <w:szCs w:val="20"/>
          <w:color w:val="auto"/>
        </w:rPr>
      </w:pPr>
      <w:r>
        <w:rPr>
          <w:rFonts w:ascii="Arial" w:cs="Arial" w:eastAsia="Arial" w:hAnsi="Arial"/>
          <w:sz w:val="18"/>
          <w:szCs w:val="18"/>
          <w:color w:val="auto"/>
        </w:rPr>
        <w:t>By a vote of the majority of the Board of Directors then in office, the Board of Directors may adopt a resolution providing that at any time prior to the filing of the amendment with the Secretary of State, notwithstanding authorization of the proposed amendment by the stockholders, the Board of Directors may abandon such proposed amendment without further action by the stockholders.</w:t>
      </w:r>
    </w:p>
    <w:p>
      <w:pPr>
        <w:spacing w:after="0" w:line="74" w:lineRule="exact"/>
        <w:rPr>
          <w:sz w:val="20"/>
          <w:szCs w:val="20"/>
          <w:color w:val="auto"/>
        </w:rPr>
      </w:pPr>
    </w:p>
    <w:p>
      <w:pPr>
        <w:ind w:right="200" w:firstLine="648"/>
        <w:spacing w:after="0" w:line="248" w:lineRule="auto"/>
        <w:rPr>
          <w:sz w:val="20"/>
          <w:szCs w:val="20"/>
          <w:color w:val="auto"/>
        </w:rPr>
      </w:pPr>
      <w:r>
        <w:rPr>
          <w:rFonts w:ascii="Arial" w:cs="Arial" w:eastAsia="Arial" w:hAnsi="Arial"/>
          <w:sz w:val="18"/>
          <w:szCs w:val="18"/>
          <w:color w:val="FF0000"/>
          <w:strike w:val="1"/>
        </w:rPr>
        <w:t>Notwithstanding anything contained in this Certificate of Incorporation to the contrary, the affirmative vote of the holders of at least sixty-six percent (66%) of the combined voting power of all of the shares of all classes of capital stock of the Corporation then entitled to vote shall be required to amend, repeal or adopt any provision inconsistent with Article V herein.</w:t>
      </w: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APPENDIX B</w:t>
      </w:r>
    </w:p>
    <w:p>
      <w:pPr>
        <w:spacing w:after="0" w:line="229" w:lineRule="exact"/>
        <w:rPr>
          <w:sz w:val="20"/>
          <w:szCs w:val="20"/>
          <w:color w:val="auto"/>
        </w:rPr>
      </w:pPr>
    </w:p>
    <w:p>
      <w:pPr>
        <w:spacing w:after="0" w:line="261" w:lineRule="auto"/>
        <w:rPr>
          <w:sz w:val="20"/>
          <w:szCs w:val="20"/>
          <w:color w:val="auto"/>
        </w:rPr>
      </w:pPr>
      <w:r>
        <w:rPr>
          <w:rFonts w:ascii="Arial" w:cs="Arial" w:eastAsia="Arial" w:hAnsi="Arial"/>
          <w:sz w:val="18"/>
          <w:szCs w:val="18"/>
          <w:i w:val="1"/>
          <w:iCs w:val="1"/>
          <w:color w:val="auto"/>
        </w:rPr>
        <w:t>The proposed amendment to our Certificate of Incorporation to eliminate the supermajority voting requirement applicable to an amendment of our By-laws (Proposal 4B) is set forth below.</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XI</w:t>
      </w:r>
    </w:p>
    <w:p>
      <w:pPr>
        <w:spacing w:after="0" w:line="12"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AMENDMENT OF BY-LAWS</w:t>
      </w:r>
    </w:p>
    <w:p>
      <w:pPr>
        <w:spacing w:after="0" w:line="223" w:lineRule="exact"/>
        <w:rPr>
          <w:sz w:val="20"/>
          <w:szCs w:val="20"/>
          <w:color w:val="auto"/>
        </w:rPr>
      </w:pPr>
    </w:p>
    <w:p>
      <w:pPr>
        <w:ind w:right="20" w:firstLine="648"/>
        <w:spacing w:after="0" w:line="259" w:lineRule="auto"/>
        <w:rPr>
          <w:sz w:val="20"/>
          <w:szCs w:val="20"/>
          <w:color w:val="auto"/>
        </w:rPr>
      </w:pPr>
      <w:r>
        <w:rPr>
          <w:rFonts w:ascii="Arial" w:cs="Arial" w:eastAsia="Arial" w:hAnsi="Arial"/>
          <w:sz w:val="17"/>
          <w:szCs w:val="17"/>
          <w:color w:val="auto"/>
        </w:rPr>
        <w:t xml:space="preserve">The Board of Directors shall have power to adopt, amend, alter, change and repeal any By-laws by a vote of the majority of the Board of Directors then in office. In addition to any requirements of the General Corporation Law (and notwithstanding the fact that a lesser percentage may be specified by the General Corporation Law), any adoption, amendment, alteration, change or repeal of any By-laws by the stockholders of the Corporation shall require the affirmative vote of the holders of at least </w:t>
      </w:r>
      <w:r>
        <w:rPr>
          <w:rFonts w:ascii="Arial" w:cs="Arial" w:eastAsia="Arial" w:hAnsi="Arial"/>
          <w:sz w:val="17"/>
          <w:szCs w:val="17"/>
          <w:color w:val="FF0000"/>
          <w:strike w:val="1"/>
        </w:rPr>
        <w:t>sixty-six percent (66%)</w:t>
      </w:r>
      <w:r>
        <w:rPr>
          <w:rFonts w:ascii="Arial" w:cs="Arial" w:eastAsia="Arial" w:hAnsi="Arial"/>
          <w:sz w:val="17"/>
          <w:szCs w:val="17"/>
          <w:u w:val="single" w:color="auto"/>
          <w:color w:val="0000FF"/>
        </w:rPr>
        <w:t>a majority</w:t>
      </w:r>
      <w:r>
        <w:rPr>
          <w:rFonts w:ascii="Arial" w:cs="Arial" w:eastAsia="Arial" w:hAnsi="Arial"/>
          <w:sz w:val="17"/>
          <w:szCs w:val="17"/>
          <w:color w:val="auto"/>
        </w:rPr>
        <w:t xml:space="preserve"> of the </w:t>
      </w:r>
      <w:r>
        <w:rPr>
          <w:rFonts w:ascii="Arial" w:cs="Arial" w:eastAsia="Arial" w:hAnsi="Arial"/>
          <w:sz w:val="17"/>
          <w:szCs w:val="17"/>
          <w:color w:val="FF0000"/>
          <w:strike w:val="1"/>
        </w:rPr>
        <w:t>combined</w:t>
      </w:r>
      <w:r>
        <w:rPr>
          <w:rFonts w:ascii="Arial" w:cs="Arial" w:eastAsia="Arial" w:hAnsi="Arial"/>
          <w:sz w:val="17"/>
          <w:szCs w:val="17"/>
          <w:color w:val="auto"/>
        </w:rPr>
        <w:t xml:space="preserve"> voting power of all of the shares of </w:t>
      </w:r>
      <w:r>
        <w:rPr>
          <w:rFonts w:ascii="Arial" w:cs="Arial" w:eastAsia="Arial" w:hAnsi="Arial"/>
          <w:sz w:val="17"/>
          <w:szCs w:val="17"/>
          <w:color w:val="FF0000"/>
          <w:strike w:val="1"/>
        </w:rPr>
        <w:t>all classes of</w:t>
      </w:r>
      <w:r>
        <w:rPr>
          <w:rFonts w:ascii="Arial" w:cs="Arial" w:eastAsia="Arial" w:hAnsi="Arial"/>
          <w:sz w:val="17"/>
          <w:szCs w:val="17"/>
          <w:color w:val="auto"/>
        </w:rPr>
        <w:t xml:space="preserve"> capital stock of the Corporation then entitled to vote generally in the election of directors</w:t>
      </w:r>
      <w:r>
        <w:rPr>
          <w:rFonts w:ascii="Arial" w:cs="Arial" w:eastAsia="Arial" w:hAnsi="Arial"/>
          <w:sz w:val="17"/>
          <w:szCs w:val="17"/>
          <w:u w:val="single" w:color="auto"/>
          <w:color w:val="0000FF"/>
        </w:rPr>
        <w:t>, voting together as a single class</w:t>
      </w:r>
      <w:r>
        <w:rPr>
          <w:rFonts w:ascii="Arial" w:cs="Arial" w:eastAsia="Arial" w:hAnsi="Arial"/>
          <w:sz w:val="17"/>
          <w:szCs w:val="17"/>
          <w:color w:val="auto"/>
        </w:rPr>
        <w:t>.</w:t>
      </w: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APPENDIX C</w:t>
      </w:r>
    </w:p>
    <w:p>
      <w:pPr>
        <w:spacing w:after="0" w:line="243" w:lineRule="exact"/>
        <w:rPr>
          <w:sz w:val="20"/>
          <w:szCs w:val="20"/>
          <w:color w:val="auto"/>
        </w:rPr>
      </w:pPr>
    </w:p>
    <w:p>
      <w:pPr>
        <w:ind w:right="280"/>
        <w:spacing w:after="0" w:line="261" w:lineRule="auto"/>
        <w:rPr>
          <w:sz w:val="20"/>
          <w:szCs w:val="20"/>
          <w:color w:val="auto"/>
        </w:rPr>
      </w:pPr>
      <w:r>
        <w:rPr>
          <w:rFonts w:ascii="Arial" w:cs="Arial" w:eastAsia="Arial" w:hAnsi="Arial"/>
          <w:sz w:val="18"/>
          <w:szCs w:val="18"/>
          <w:i w:val="1"/>
          <w:iCs w:val="1"/>
          <w:color w:val="auto"/>
        </w:rPr>
        <w:t>The proposed amendment to our Certificate of Incorporation to eliminate the supermajority voting requirement to remove directors (Proposal 4C) is set forth below.</w:t>
      </w:r>
    </w:p>
    <w:p>
      <w:pPr>
        <w:spacing w:after="0" w:line="198" w:lineRule="exact"/>
        <w:rPr>
          <w:sz w:val="20"/>
          <w:szCs w:val="20"/>
          <w:color w:val="auto"/>
        </w:rPr>
      </w:pPr>
    </w:p>
    <w:p>
      <w:pPr>
        <w:ind w:right="80" w:firstLine="648"/>
        <w:spacing w:after="0" w:line="278" w:lineRule="auto"/>
        <w:rPr>
          <w:sz w:val="20"/>
          <w:szCs w:val="20"/>
          <w:color w:val="auto"/>
        </w:rPr>
      </w:pPr>
      <w:r>
        <w:rPr>
          <w:rFonts w:ascii="Arial" w:cs="Arial" w:eastAsia="Arial" w:hAnsi="Arial"/>
          <w:sz w:val="16"/>
          <w:szCs w:val="16"/>
          <w:color w:val="auto"/>
        </w:rPr>
        <w:t xml:space="preserve">Section 5.5 </w:t>
      </w:r>
      <w:r>
        <w:rPr>
          <w:rFonts w:ascii="Arial" w:cs="Arial" w:eastAsia="Arial" w:hAnsi="Arial"/>
          <w:sz w:val="16"/>
          <w:szCs w:val="16"/>
          <w:u w:val="single" w:color="auto"/>
          <w:color w:val="auto"/>
        </w:rPr>
        <w:t>Removal of Directors.</w:t>
      </w:r>
      <w:r>
        <w:rPr>
          <w:rFonts w:ascii="Arial" w:cs="Arial" w:eastAsia="Arial" w:hAnsi="Arial"/>
          <w:sz w:val="16"/>
          <w:szCs w:val="16"/>
          <w:color w:val="auto"/>
        </w:rPr>
        <w:t xml:space="preserve"> Except as may be provided in a resolution or resolutions providing for any class of Preferred Stock pursuant to Article IV hereof, with respect to any directors elected by the holders of such class, any director, or the entire Board of Directors, may be removed from office at any time with or without cause by the affirmative vote of the holders of at least </w:t>
      </w:r>
      <w:r>
        <w:rPr>
          <w:rFonts w:ascii="Arial" w:cs="Arial" w:eastAsia="Arial" w:hAnsi="Arial"/>
          <w:sz w:val="16"/>
          <w:szCs w:val="16"/>
          <w:color w:val="FF0000"/>
          <w:strike w:val="1"/>
        </w:rPr>
        <w:t>sixty-six percent (66%)</w:t>
      </w:r>
      <w:r>
        <w:rPr>
          <w:rFonts w:ascii="Arial" w:cs="Arial" w:eastAsia="Arial" w:hAnsi="Arial"/>
          <w:sz w:val="16"/>
          <w:szCs w:val="16"/>
          <w:u w:val="single" w:color="auto"/>
          <w:color w:val="0000FF"/>
        </w:rPr>
        <w:t>a majority</w:t>
      </w:r>
      <w:r>
        <w:rPr>
          <w:rFonts w:ascii="Arial" w:cs="Arial" w:eastAsia="Arial" w:hAnsi="Arial"/>
          <w:sz w:val="16"/>
          <w:szCs w:val="16"/>
          <w:color w:val="auto"/>
        </w:rPr>
        <w:t xml:space="preserve"> of the voting power of all of the shares of capital stock of the Corporation then entitled to vote generally in the election of directors, voting together as a single class.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4"/>
          <w:szCs w:val="14"/>
          <w:color w:val="auto"/>
        </w:rPr>
        <w:t>AI-1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59690</wp:posOffset>
            </wp:positionV>
            <wp:extent cx="7157720" cy="425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57720" cy="42545"/>
                    </a:xfrm>
                    <a:prstGeom prst="rect">
                      <a:avLst/>
                    </a:prstGeom>
                    <a:noFill/>
                  </pic:spPr>
                </pic:pic>
              </a:graphicData>
            </a:graphic>
          </wp:anchor>
        </w:drawing>
      </w:r>
    </w:p>
    <w:p>
      <w:pPr>
        <w:sectPr>
          <w:pgSz w:w="11900" w:h="16838" w:orient="portrait"/>
          <w:cols w:equalWidth="0" w:num="1">
            <w:col w:w="11220"/>
          </w:cols>
          <w:pgMar w:left="320" w:top="108" w:right="359" w:bottom="1440" w:gutter="0" w:footer="0" w:header="0"/>
        </w:sectPr>
      </w:pPr>
    </w:p>
    <w:bookmarkStart w:id="72" w:name="page73"/>
    <w:bookmarkEnd w:id="72"/>
    <w:p>
      <w:pPr>
        <w:spacing w:after="0"/>
        <w:rPr>
          <w:sz w:val="20"/>
          <w:szCs w:val="20"/>
          <w:color w:val="auto"/>
        </w:rPr>
      </w:pPr>
      <w:r>
        <w:rPr>
          <w:rFonts w:ascii="Arial" w:cs="Arial" w:eastAsia="Arial" w:hAnsi="Arial"/>
          <w:sz w:val="16"/>
          <w:szCs w:val="16"/>
          <w:b w:val="1"/>
          <w:bCs w:val="1"/>
          <w:u w:val="single" w:color="auto"/>
          <w:color w:val="0000FF"/>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314960</wp:posOffset>
            </wp:positionV>
            <wp:extent cx="7157720" cy="852551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57720" cy="8525510"/>
                    </a:xfrm>
                    <a:prstGeom prst="rect">
                      <a:avLst/>
                    </a:prstGeom>
                    <a:noFill/>
                  </pic:spPr>
                </pic:pic>
              </a:graphicData>
            </a:graphic>
          </wp:anchor>
        </w:drawing>
      </w:r>
    </w:p>
    <w:p>
      <w:pPr>
        <w:sectPr>
          <w:pgSz w:w="11900" w:h="16838" w:orient="portrait"/>
          <w:cols w:equalWidth="0" w:num="1">
            <w:col w:w="10139"/>
          </w:cols>
          <w:pgMar w:left="320" w:top="108" w:right="1440" w:bottom="1440" w:gutter="0" w:footer="0" w:header="0"/>
        </w:sectPr>
      </w:pPr>
    </w:p>
    <w:bookmarkStart w:id="73" w:name="page74"/>
    <w:bookmarkEnd w:id="73"/>
    <w:p>
      <w:pPr>
        <w:spacing w:after="0"/>
        <w:rPr>
          <w:sz w:val="20"/>
          <w:szCs w:val="20"/>
          <w:color w:val="auto"/>
        </w:rPr>
      </w:pPr>
      <w:r>
        <w:rPr>
          <w:rFonts w:ascii="Arial" w:cs="Arial" w:eastAsia="Arial" w:hAnsi="Arial"/>
          <w:sz w:val="16"/>
          <w:szCs w:val="16"/>
          <w:b w:val="1"/>
          <w:bCs w:val="1"/>
          <w:u w:val="single" w:color="auto"/>
          <w:color w:val="0000FF"/>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314960</wp:posOffset>
            </wp:positionV>
            <wp:extent cx="6172200" cy="798068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172200" cy="7980680"/>
                    </a:xfrm>
                    <a:prstGeom prst="rect">
                      <a:avLst/>
                    </a:prstGeom>
                    <a:noFill/>
                  </pic:spPr>
                </pic:pic>
              </a:graphicData>
            </a:graphic>
          </wp:anchor>
        </w:drawing>
      </w:r>
    </w:p>
    <w:sectPr>
      <w:pgSz w:w="11900" w:h="16838" w:orient="portrait"/>
      <w:cols w:equalWidth="0" w:num="1">
        <w:col w:w="10139"/>
      </w:cols>
      <w:pgMar w:left="320" w:top="108"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8138641"/>
    <w:multiLevelType w:val="hybridMultilevel"/>
    <w:lvl w:ilvl="0">
      <w:lvlJc w:val="left"/>
      <w:lvlText w:val="☒"/>
      <w:numFmt w:val="bullet"/>
      <w:start w:val="1"/>
    </w:lvl>
  </w:abstractNum>
  <w:abstractNum w:abstractNumId="1">
    <w:nsid w:val="1E7FF521"/>
    <w:multiLevelType w:val="hybridMultilevel"/>
    <w:lvl w:ilvl="0">
      <w:lvlJc w:val="left"/>
      <w:lvlText w:val="☐"/>
      <w:numFmt w:val="bullet"/>
      <w:start w:val="1"/>
    </w:lvl>
  </w:abstractNum>
  <w:abstractNum w:abstractNumId="2">
    <w:nsid w:val="7C3DBD3D"/>
    <w:multiLevelType w:val="hybridMultilevel"/>
    <w:lvl w:ilvl="0">
      <w:lvlJc w:val="left"/>
      <w:lvlText w:val="☒"/>
      <w:numFmt w:val="bullet"/>
      <w:start w:val="1"/>
    </w:lvl>
    <w:lvl w:ilvl="1">
      <w:lvlJc w:val="left"/>
      <w:lvlText w:val="☐"/>
      <w:numFmt w:val="bullet"/>
      <w:start w:val="1"/>
    </w:lvl>
  </w:abstractNum>
  <w:abstractNum w:abstractNumId="3">
    <w:nsid w:val="737B8DDC"/>
    <w:multiLevelType w:val="hybridMultilevel"/>
    <w:lvl w:ilvl="0">
      <w:lvlJc w:val="left"/>
      <w:lvlText w:val="%1."/>
      <w:numFmt w:val="decimal"/>
      <w:start w:val="1"/>
    </w:lvl>
  </w:abstractNum>
  <w:abstractNum w:abstractNumId="4">
    <w:nsid w:val="6CEAF087"/>
    <w:multiLevelType w:val="hybridMultilevel"/>
    <w:lvl w:ilvl="0">
      <w:lvlJc w:val="left"/>
      <w:lvlText w:val="%1."/>
      <w:numFmt w:val="decimal"/>
      <w:start w:val="1"/>
    </w:lvl>
  </w:abstractNum>
  <w:abstractNum w:abstractNumId="5">
    <w:nsid w:val="22221A70"/>
    <w:multiLevelType w:val="hybridMultilevel"/>
    <w:lvl w:ilvl="0">
      <w:lvlJc w:val="left"/>
      <w:lvlText w:val="•"/>
      <w:numFmt w:val="bullet"/>
      <w:start w:val="1"/>
    </w:lvl>
  </w:abstractNum>
  <w:abstractNum w:abstractNumId="6">
    <w:nsid w:val="4516DDE9"/>
    <w:multiLevelType w:val="hybridMultilevel"/>
    <w:lvl w:ilvl="0">
      <w:lvlJc w:val="left"/>
      <w:lvlText w:val="•"/>
      <w:numFmt w:val="bullet"/>
      <w:start w:val="1"/>
    </w:lvl>
  </w:abstractNum>
  <w:abstractNum w:abstractNumId="7">
    <w:nsid w:val="3006C83E"/>
    <w:multiLevelType w:val="hybridMultilevel"/>
    <w:lvl w:ilvl="0">
      <w:lvlJc w:val="left"/>
      <w:lvlText w:val="•"/>
      <w:numFmt w:val="bullet"/>
      <w:start w:val="1"/>
    </w:lvl>
  </w:abstractNum>
  <w:abstractNum w:abstractNumId="8">
    <w:nsid w:val="614FD4A1"/>
    <w:multiLevelType w:val="hybridMultilevel"/>
    <w:lvl w:ilvl="0">
      <w:lvlJc w:val="left"/>
      <w:lvlText w:val="•"/>
      <w:numFmt w:val="bullet"/>
      <w:start w:val="1"/>
    </w:lvl>
  </w:abstractNum>
  <w:abstractNum w:abstractNumId="9">
    <w:nsid w:val="419AC241"/>
    <w:multiLevelType w:val="hybridMultilevel"/>
    <w:lvl w:ilvl="0">
      <w:lvlJc w:val="left"/>
      <w:lvlText w:val="•"/>
      <w:numFmt w:val="bullet"/>
      <w:start w:val="1"/>
    </w:lvl>
  </w:abstractNum>
  <w:abstractNum w:abstractNumId="10">
    <w:nsid w:val="5577F8E1"/>
    <w:multiLevelType w:val="hybridMultilevel"/>
    <w:lvl w:ilvl="0">
      <w:lvlJc w:val="left"/>
      <w:lvlText w:val="2"/>
      <w:numFmt w:val="bullet"/>
      <w:start w:val="1"/>
    </w:lvl>
  </w:abstractNum>
  <w:abstractNum w:abstractNumId="11">
    <w:nsid w:val="440BADFC"/>
    <w:multiLevelType w:val="hybridMultilevel"/>
    <w:lvl w:ilvl="0">
      <w:lvlJc w:val="left"/>
      <w:lvlText w:val="•"/>
      <w:numFmt w:val="bullet"/>
      <w:start w:val="1"/>
    </w:lvl>
  </w:abstractNum>
  <w:abstractNum w:abstractNumId="12">
    <w:nsid w:val="5072367"/>
    <w:multiLevelType w:val="hybridMultilevel"/>
    <w:lvl w:ilvl="0">
      <w:lvlJc w:val="left"/>
      <w:lvlText w:val="•"/>
      <w:numFmt w:val="bullet"/>
      <w:start w:val="1"/>
    </w:lvl>
  </w:abstractNum>
  <w:abstractNum w:abstractNumId="13">
    <w:nsid w:val="3804823E"/>
    <w:multiLevelType w:val="hybridMultilevel"/>
    <w:lvl w:ilvl="0">
      <w:lvlJc w:val="left"/>
      <w:lvlText w:val="•"/>
      <w:numFmt w:val="bullet"/>
      <w:start w:val="1"/>
    </w:lvl>
  </w:abstractNum>
  <w:abstractNum w:abstractNumId="14">
    <w:nsid w:val="77465F01"/>
    <w:multiLevelType w:val="hybridMultilevel"/>
    <w:lvl w:ilvl="0">
      <w:lvlJc w:val="left"/>
      <w:lvlText w:val="•"/>
      <w:numFmt w:val="bullet"/>
      <w:start w:val="1"/>
    </w:lvl>
  </w:abstractNum>
  <w:abstractNum w:abstractNumId="15">
    <w:nsid w:val="7724C67E"/>
    <w:multiLevelType w:val="hybridMultilevel"/>
    <w:lvl w:ilvl="0">
      <w:lvlJc w:val="left"/>
      <w:lvlText w:val="•"/>
      <w:numFmt w:val="bullet"/>
      <w:start w:val="1"/>
    </w:lvl>
  </w:abstractNum>
  <w:abstractNum w:abstractNumId="16">
    <w:nsid w:val="5C482A97"/>
    <w:multiLevelType w:val="hybridMultilevel"/>
    <w:lvl w:ilvl="0">
      <w:lvlJc w:val="left"/>
      <w:lvlText w:val="4"/>
      <w:numFmt w:val="bullet"/>
      <w:start w:val="1"/>
    </w:lvl>
  </w:abstractNum>
  <w:abstractNum w:abstractNumId="17">
    <w:nsid w:val="2463B9EA"/>
    <w:multiLevelType w:val="hybridMultilevel"/>
    <w:lvl w:ilvl="0">
      <w:lvlJc w:val="left"/>
      <w:lvlText w:val="•"/>
      <w:numFmt w:val="bullet"/>
      <w:start w:val="1"/>
    </w:lvl>
  </w:abstractNum>
  <w:abstractNum w:abstractNumId="18">
    <w:nsid w:val="5E884ADC"/>
    <w:multiLevelType w:val="hybridMultilevel"/>
    <w:lvl w:ilvl="0">
      <w:lvlJc w:val="left"/>
      <w:lvlText w:val="6"/>
      <w:numFmt w:val="bullet"/>
      <w:start w:val="1"/>
    </w:lvl>
  </w:abstractNum>
  <w:abstractNum w:abstractNumId="19">
    <w:nsid w:val="51EAD36B"/>
    <w:multiLevelType w:val="hybridMultilevel"/>
    <w:lvl w:ilvl="0">
      <w:lvlJc w:val="left"/>
      <w:lvlText w:val="•"/>
      <w:numFmt w:val="bullet"/>
      <w:start w:val="1"/>
    </w:lvl>
  </w:abstractNum>
  <w:abstractNum w:abstractNumId="20">
    <w:nsid w:val="2D517796"/>
    <w:multiLevelType w:val="hybridMultilevel"/>
    <w:lvl w:ilvl="0">
      <w:lvlJc w:val="left"/>
      <w:lvlText w:val="%1."/>
      <w:numFmt w:val="decimal"/>
      <w:start w:val="1"/>
    </w:lvl>
  </w:abstractNum>
  <w:abstractNum w:abstractNumId="21">
    <w:nsid w:val="580BD78F"/>
    <w:multiLevelType w:val="hybridMultilevel"/>
    <w:lvl w:ilvl="0">
      <w:lvlJc w:val="left"/>
      <w:lvlText w:val="8"/>
      <w:numFmt w:val="bullet"/>
      <w:start w:val="1"/>
    </w:lvl>
  </w:abstractNum>
  <w:abstractNum w:abstractNumId="22">
    <w:nsid w:val="153EA438"/>
    <w:multiLevelType w:val="hybridMultilevel"/>
    <w:lvl w:ilvl="0">
      <w:lvlJc w:val="left"/>
      <w:lvlText w:val="%1."/>
      <w:numFmt w:val="decimal"/>
      <w:start w:val="1"/>
    </w:lvl>
  </w:abstractNum>
  <w:abstractNum w:abstractNumId="23">
    <w:nsid w:val="3855585C"/>
    <w:multiLevelType w:val="hybridMultilevel"/>
    <w:lvl w:ilvl="0">
      <w:lvlJc w:val="left"/>
      <w:lvlText w:val="•"/>
      <w:numFmt w:val="bullet"/>
      <w:start w:val="1"/>
    </w:lvl>
  </w:abstractNum>
  <w:abstractNum w:abstractNumId="24">
    <w:nsid w:val="70A64E2A"/>
    <w:multiLevelType w:val="hybridMultilevel"/>
    <w:lvl w:ilvl="0">
      <w:lvlJc w:val="left"/>
      <w:lvlText w:val="%1."/>
      <w:numFmt w:val="decimal"/>
      <w:start w:val="54"/>
    </w:lvl>
  </w:abstractNum>
  <w:abstractNum w:abstractNumId="25">
    <w:nsid w:val="6A2342EC"/>
    <w:multiLevelType w:val="hybridMultilevel"/>
    <w:lvl w:ilvl="0">
      <w:lvlJc w:val="left"/>
      <w:lvlText w:val="•"/>
      <w:numFmt w:val="bullet"/>
      <w:start w:val="1"/>
    </w:lvl>
  </w:abstractNum>
  <w:abstractNum w:abstractNumId="26">
    <w:nsid w:val="2A487CB0"/>
    <w:multiLevelType w:val="hybridMultilevel"/>
    <w:lvl w:ilvl="0">
      <w:lvlJc w:val="left"/>
      <w:lvlText w:val="•"/>
      <w:numFmt w:val="bullet"/>
      <w:start w:val="1"/>
    </w:lvl>
  </w:abstractNum>
  <w:abstractNum w:abstractNumId="27">
    <w:nsid w:val="1D4ED43B"/>
    <w:multiLevelType w:val="hybridMultilevel"/>
    <w:lvl w:ilvl="0">
      <w:lvlJc w:val="left"/>
      <w:lvlText w:val="(%1)"/>
      <w:numFmt w:val="decimal"/>
      <w:start w:val="1"/>
    </w:lvl>
  </w:abstractNum>
  <w:abstractNum w:abstractNumId="28">
    <w:nsid w:val="725A06FB"/>
    <w:multiLevelType w:val="hybridMultilevel"/>
    <w:lvl w:ilvl="0">
      <w:lvlJc w:val="left"/>
      <w:lvlText w:val="%1."/>
      <w:numFmt w:val="decimal"/>
      <w:start w:val="1"/>
    </w:lvl>
  </w:abstractNum>
  <w:abstractNum w:abstractNumId="29">
    <w:nsid w:val="2CD89A32"/>
    <w:multiLevelType w:val="hybridMultilevel"/>
    <w:lvl w:ilvl="0">
      <w:lvlJc w:val="left"/>
      <w:lvlText w:val="%1."/>
      <w:numFmt w:val="decimal"/>
      <w:start w:val="1"/>
    </w:lvl>
  </w:abstractNum>
  <w:abstractNum w:abstractNumId="30">
    <w:nsid w:val="57E4CCAF"/>
    <w:multiLevelType w:val="hybridMultilevel"/>
    <w:lvl w:ilvl="0">
      <w:lvlJc w:val="left"/>
      <w:lvlText w:val="%1."/>
      <w:numFmt w:val="decimal"/>
      <w:start w:val="1"/>
    </w:lvl>
  </w:abstractNum>
  <w:abstractNum w:abstractNumId="31">
    <w:nsid w:val="7A6D8D3C"/>
    <w:multiLevelType w:val="hybridMultilevel"/>
    <w:lvl w:ilvl="0">
      <w:lvlJc w:val="left"/>
      <w:lvlText w:val="✓"/>
      <w:numFmt w:val="bullet"/>
      <w:start w:val="1"/>
    </w:lvl>
  </w:abstractNum>
  <w:abstractNum w:abstractNumId="32">
    <w:nsid w:val="4B588F54"/>
    <w:multiLevelType w:val="hybridMultilevel"/>
    <w:lvl w:ilvl="0">
      <w:lvlJc w:val="left"/>
      <w:lvlText w:val="û"/>
      <w:numFmt w:val="bullet"/>
      <w:start w:val="1"/>
    </w:lvl>
  </w:abstractNum>
  <w:abstractNum w:abstractNumId="33">
    <w:nsid w:val="542289EC"/>
    <w:multiLevelType w:val="hybridMultilevel"/>
    <w:lvl w:ilvl="0">
      <w:lvlJc w:val="left"/>
      <w:lvlText w:val="•"/>
      <w:numFmt w:val="bullet"/>
      <w:start w:val="1"/>
    </w:lvl>
  </w:abstractNum>
  <w:abstractNum w:abstractNumId="34">
    <w:nsid w:val="6DE91B18"/>
    <w:multiLevelType w:val="hybridMultilevel"/>
    <w:lvl w:ilvl="0">
      <w:lvlJc w:val="left"/>
      <w:lvlText w:val="%1."/>
      <w:numFmt w:val="decimal"/>
      <w:start w:val="1"/>
    </w:lvl>
  </w:abstractNum>
  <w:abstractNum w:abstractNumId="35">
    <w:nsid w:val="38437FDB"/>
    <w:multiLevelType w:val="hybridMultilevel"/>
    <w:lvl w:ilvl="0">
      <w:lvlJc w:val="left"/>
      <w:lvlText w:val="%1."/>
      <w:numFmt w:val="decimal"/>
      <w:start w:val="1"/>
    </w:lvl>
  </w:abstractNum>
  <w:abstractNum w:abstractNumId="36">
    <w:nsid w:val="7644A45C"/>
    <w:multiLevelType w:val="hybridMultilevel"/>
    <w:lvl w:ilvl="0">
      <w:lvlJc w:val="left"/>
      <w:lvlText w:val="•"/>
      <w:numFmt w:val="bullet"/>
      <w:start w:val="1"/>
    </w:lvl>
  </w:abstractNum>
  <w:abstractNum w:abstractNumId="37">
    <w:nsid w:val="32FFF902"/>
    <w:multiLevelType w:val="hybridMultilevel"/>
    <w:lvl w:ilvl="0">
      <w:lvlJc w:val="left"/>
      <w:lvlText w:val="✔"/>
      <w:numFmt w:val="bullet"/>
      <w:start w:val="1"/>
    </w:lvl>
  </w:abstractNum>
  <w:abstractNum w:abstractNumId="38">
    <w:nsid w:val="684A481A"/>
    <w:multiLevelType w:val="hybridMultilevel"/>
    <w:lvl w:ilvl="0">
      <w:lvlJc w:val="left"/>
      <w:lvlText w:val="✔"/>
      <w:numFmt w:val="bullet"/>
      <w:start w:val="1"/>
    </w:lvl>
  </w:abstractNum>
  <w:abstractNum w:abstractNumId="39">
    <w:nsid w:val="579478FE"/>
    <w:multiLevelType w:val="hybridMultilevel"/>
    <w:lvl w:ilvl="0">
      <w:lvlJc w:val="left"/>
      <w:lvlText w:val="%1."/>
      <w:numFmt w:val="decimal"/>
      <w:start w:val="1"/>
    </w:lvl>
  </w:abstractNum>
  <w:abstractNum w:abstractNumId="40">
    <w:nsid w:val="749ABB43"/>
    <w:multiLevelType w:val="hybridMultilevel"/>
    <w:lvl w:ilvl="0">
      <w:lvlJc w:val="left"/>
      <w:lvlText w:val="•"/>
      <w:numFmt w:val="bullet"/>
      <w:start w:val="1"/>
    </w:lvl>
  </w:abstractNum>
  <w:abstractNum w:abstractNumId="41">
    <w:nsid w:val="3DC240FB"/>
    <w:multiLevelType w:val="hybridMultilevel"/>
    <w:lvl w:ilvl="0">
      <w:lvlJc w:val="left"/>
      <w:lvlText w:val="%1."/>
      <w:numFmt w:val="decimal"/>
      <w:start w:val="1"/>
    </w:lvl>
  </w:abstractNum>
  <w:abstractNum w:abstractNumId="42">
    <w:nsid w:val="1BA026FA"/>
    <w:multiLevelType w:val="hybridMultilevel"/>
    <w:lvl w:ilvl="0">
      <w:lvlJc w:val="left"/>
      <w:lvlText w:val="•"/>
      <w:numFmt w:val="bullet"/>
      <w:start w:val="1"/>
    </w:lvl>
  </w:abstractNum>
  <w:abstractNum w:abstractNumId="43">
    <w:nsid w:val="79A1DEAA"/>
    <w:multiLevelType w:val="hybridMultilevel"/>
    <w:lvl w:ilvl="0">
      <w:lvlJc w:val="left"/>
      <w:lvlText w:val="%1."/>
      <w:numFmt w:val="decimal"/>
      <w:start w:val="1"/>
    </w:lvl>
  </w:abstractNum>
  <w:abstractNum w:abstractNumId="44">
    <w:nsid w:val="75C6C33A"/>
    <w:multiLevelType w:val="hybridMultilevel"/>
    <w:lvl w:ilvl="0">
      <w:lvlJc w:val="left"/>
      <w:lvlText w:val="%1."/>
      <w:numFmt w:val="decimal"/>
      <w:start w:val="1"/>
    </w:lvl>
  </w:abstractNum>
  <w:abstractNum w:abstractNumId="45">
    <w:nsid w:val="12E685FB"/>
    <w:multiLevelType w:val="hybridMultilevel"/>
    <w:lvl w:ilvl="0">
      <w:lvlJc w:val="left"/>
      <w:lvlText w:val="%1."/>
      <w:numFmt w:val="decimal"/>
      <w:start w:val="1"/>
    </w:lvl>
  </w:abstractNum>
  <w:abstractNum w:abstractNumId="46">
    <w:nsid w:val="70C6A529"/>
    <w:multiLevelType w:val="hybridMultilevel"/>
    <w:lvl w:ilvl="0">
      <w:lvlJc w:val="left"/>
      <w:lvlText w:val="%1."/>
      <w:numFmt w:val="decimal"/>
      <w:start w:val="1"/>
    </w:lvl>
  </w:abstractNum>
  <w:abstractNum w:abstractNumId="47">
    <w:nsid w:val="520EEDD1"/>
    <w:multiLevelType w:val="hybridMultilevel"/>
    <w:lvl w:ilvl="0">
      <w:lvlJc w:val="left"/>
      <w:lvlText w:val="(%1)"/>
      <w:numFmt w:val="lowerLetter"/>
      <w:start w:val="3"/>
    </w:lvl>
  </w:abstractNum>
  <w:abstractNum w:abstractNumId="48">
    <w:nsid w:val="374A3FE6"/>
    <w:multiLevelType w:val="hybridMultilevel"/>
    <w:lvl w:ilvl="0">
      <w:lvlJc w:val="left"/>
      <w:lvlText w:val="%1."/>
      <w:numFmt w:val="decimal"/>
      <w:start w:val="1"/>
    </w:lvl>
  </w:abstractNum>
  <w:abstractNum w:abstractNumId="49">
    <w:nsid w:val="4F4EF005"/>
    <w:multiLevelType w:val="hybridMultilevel"/>
    <w:lvl w:ilvl="0">
      <w:lvlJc w:val="left"/>
      <w:lvlText w:val="%1."/>
      <w:numFmt w:val="decimal"/>
      <w:start w:val="1"/>
    </w:lvl>
  </w:abstractNum>
  <w:abstractNum w:abstractNumId="50">
    <w:nsid w:val="23F9C13C"/>
    <w:multiLevelType w:val="hybridMultilevel"/>
    <w:lvl w:ilvl="0">
      <w:lvlJc w:val="left"/>
      <w:lvlText w:val="•"/>
      <w:numFmt w:val="bullet"/>
      <w:start w:val="1"/>
    </w:lvl>
  </w:abstractNum>
  <w:abstractNum w:abstractNumId="51">
    <w:nsid w:val="649BB77C"/>
    <w:multiLevelType w:val="hybridMultilevel"/>
    <w:lvl w:ilvl="0">
      <w:lvlJc w:val="left"/>
      <w:lvlText w:val="%1."/>
      <w:numFmt w:val="decimal"/>
      <w:start w:val="1"/>
    </w:lvl>
  </w:abstractNum>
  <w:abstractNum w:abstractNumId="52">
    <w:nsid w:val="275AC794"/>
    <w:multiLevelType w:val="hybridMultilevel"/>
    <w:lvl w:ilvl="0">
      <w:lvlJc w:val="left"/>
      <w:lvlText w:val="%1."/>
      <w:numFmt w:val="lowerLetter"/>
      <w:start w:val="1"/>
    </w:lvl>
  </w:abstractNum>
  <w:abstractNum w:abstractNumId="53">
    <w:nsid w:val="39386575"/>
    <w:multiLevelType w:val="hybridMultilevel"/>
    <w:lvl w:ilvl="0">
      <w:lvlJc w:val="left"/>
      <w:lvlText w:val="%1."/>
      <w:numFmt w:val="decimal"/>
      <w:start w:val="5"/>
    </w:lvl>
  </w:abstractNum>
  <w:abstractNum w:abstractNumId="54">
    <w:nsid w:val="1CF10FD8"/>
    <w:multiLevelType w:val="hybridMultilevel"/>
    <w:lvl w:ilvl="0">
      <w:lvlJc w:val="left"/>
      <w:lvlText w:val="%1."/>
      <w:numFmt w:val="decimal"/>
      <w:start w:val="10"/>
    </w:lvl>
  </w:abstractNum>
  <w:abstractNum w:abstractNumId="55">
    <w:nsid w:val="180115BE"/>
    <w:multiLevelType w:val="hybridMultilevel"/>
    <w:lvl w:ilvl="0">
      <w:lvlJc w:val="left"/>
      <w:lvlText w:val="%1."/>
      <w:numFmt w:val="decimal"/>
      <w:start w:val="13"/>
    </w:lvl>
  </w:abstractNum>
  <w:abstractNum w:abstractNumId="56">
    <w:nsid w:val="235BA861"/>
    <w:multiLevelType w:val="hybridMultilevel"/>
    <w:lvl w:ilvl="0">
      <w:lvlJc w:val="left"/>
      <w:lvlText w:val="%1."/>
      <w:numFmt w:val="decimal"/>
      <w:start w:val="14"/>
    </w:lvl>
  </w:abstractNum>
  <w:abstractNum w:abstractNumId="57">
    <w:nsid w:val="47398C89"/>
    <w:multiLevelType w:val="hybridMultilevel"/>
    <w:lvl w:ilvl="0">
      <w:lvlJc w:val="left"/>
      <w:lvlText w:val="%1."/>
      <w:numFmt w:val="decimal"/>
      <w:start w:val="15"/>
    </w:lvl>
  </w:abstractNum>
  <w:abstractNum w:abstractNumId="58">
    <w:nsid w:val="354FE9F9"/>
    <w:multiLevelType w:val="hybridMultilevel"/>
    <w:lvl w:ilvl="0">
      <w:lvlJc w:val="left"/>
      <w:lvlText w:val="%1."/>
      <w:numFmt w:val="decimal"/>
      <w:start w:val="16"/>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jpe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jpe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jpe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jpe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jpe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jpe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jpe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jpe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2023-02-23T17:37:51Z</dcterms:created>
  <dcterms:modified xsi:type="dcterms:W3CDTF">2023-02-23T17:37:51Z</dcterms:modified>
</cp:coreProperties>
</file>