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503" w:right="239" w:bottom="1440" w:gutter="0" w:footer="0" w:header="0"/>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000" w:space="720"/>
            <w:col w:w="4220" w:space="720"/>
            <w:col w:w="2520" w:space="720"/>
            <w:col w:w="520"/>
          </w:cols>
          <w:pgMar w:left="240" w:top="50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5">
            <w:col w:w="2000" w:space="720"/>
            <w:col w:w="160" w:space="180"/>
            <w:col w:w="3880" w:space="720"/>
            <w:col w:w="2520" w:space="720"/>
            <w:col w:w="520"/>
          </w:cols>
          <w:pgMar w:left="240" w:top="503" w:right="239" w:bottom="1440" w:gutter="0" w:footer="0" w:header="0"/>
          <w:type w:val="continuous"/>
        </w:sectPr>
      </w:pPr>
    </w:p>
    <w:p>
      <w:pPr>
        <w:ind w:left="440"/>
        <w:spacing w:after="0" w:line="196" w:lineRule="exact"/>
        <w:tabs>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3">
            <w:col w:w="9300" w:space="180"/>
            <w:col w:w="220" w:space="100"/>
            <w:col w:w="1620"/>
          </w:cols>
          <w:pgMar w:left="240" w:top="503"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The number of shares of the issuer's common stock, $0.01 par value, outstanding as of July 31, 2014 was 352,788,707.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201295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114935</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20"/>
                <w:szCs w:val="20"/>
                <w:color w:val="auto"/>
              </w:rPr>
            </w:pPr>
            <w:r>
              <w:rPr>
                <w:rFonts w:ascii="Arial" w:cs="Arial" w:eastAsia="Arial" w:hAnsi="Arial"/>
                <w:sz w:val="16"/>
                <w:szCs w:val="16"/>
                <w:b w:val="1"/>
                <w:bCs w:val="1"/>
                <w:color w:val="0000FF"/>
              </w:rPr>
              <w:t>PART I.</w:t>
            </w:r>
          </w:p>
        </w:tc>
        <w:tc>
          <w:tcPr>
            <w:tcW w:w="9700" w:type="dxa"/>
            <w:vAlign w:val="bottom"/>
          </w:tcPr>
          <w:p>
            <w:pPr>
              <w:ind w:left="180"/>
              <w:spacing w:after="0"/>
              <w:rPr>
                <w:sz w:val="20"/>
                <w:szCs w:val="20"/>
                <w:color w:val="auto"/>
              </w:rPr>
            </w:pPr>
            <w:r>
              <w:rPr>
                <w:rFonts w:ascii="Arial" w:cs="Arial" w:eastAsia="Arial" w:hAnsi="Arial"/>
                <w:sz w:val="16"/>
                <w:szCs w:val="16"/>
                <w:b w:val="1"/>
                <w:bCs w:val="1"/>
                <w:color w:val="0000FF"/>
              </w:rPr>
              <w:t>FINANCIAL INFORMATION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19"/>
        </w:trPr>
        <w:tc>
          <w:tcPr>
            <w:tcW w:w="860" w:type="dxa"/>
            <w:vAlign w:val="bottom"/>
          </w:tcPr>
          <w:p>
            <w:pPr>
              <w:spacing w:after="0"/>
              <w:rPr>
                <w:sz w:val="20"/>
                <w:szCs w:val="20"/>
                <w:color w:val="auto"/>
              </w:rPr>
            </w:pPr>
            <w:r>
              <w:rPr>
                <w:rFonts w:ascii="Arial" w:cs="Arial" w:eastAsia="Arial" w:hAnsi="Arial"/>
                <w:sz w:val="16"/>
                <w:szCs w:val="16"/>
                <w:color w:val="0000FF"/>
              </w:rPr>
              <w:t>Item 1.</w:t>
            </w:r>
          </w:p>
        </w:tc>
        <w:tc>
          <w:tcPr>
            <w:tcW w:w="9700" w:type="dxa"/>
            <w:vAlign w:val="bottom"/>
          </w:tcPr>
          <w:p>
            <w:pPr>
              <w:ind w:left="180"/>
              <w:spacing w:after="0"/>
              <w:rPr>
                <w:sz w:val="20"/>
                <w:szCs w:val="20"/>
                <w:color w:val="auto"/>
              </w:rPr>
            </w:pPr>
            <w:r>
              <w:rPr>
                <w:rFonts w:ascii="Arial" w:cs="Arial" w:eastAsia="Arial" w:hAnsi="Arial"/>
                <w:sz w:val="16"/>
                <w:szCs w:val="16"/>
                <w:color w:val="0000FF"/>
              </w:rPr>
              <w:t>Financial Statements</w:t>
            </w:r>
          </w:p>
        </w:tc>
        <w:tc>
          <w:tcPr>
            <w:tcW w:w="4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4"/>
                <w:szCs w:val="24"/>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2.</w:t>
            </w:r>
          </w:p>
        </w:tc>
        <w:tc>
          <w:tcPr>
            <w:tcW w:w="9700" w:type="dxa"/>
            <w:vAlign w:val="bottom"/>
          </w:tcPr>
          <w:p>
            <w:pPr>
              <w:ind w:left="18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27">
              <w:r>
                <w:rPr>
                  <w:rFonts w:ascii="Arial" w:cs="Arial" w:eastAsia="Arial" w:hAnsi="Arial"/>
                  <w:sz w:val="16"/>
                  <w:szCs w:val="16"/>
                  <w:color w:val="0000EE"/>
                  <w:w w:val="89"/>
                </w:rPr>
                <w:t>27</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3.</w:t>
            </w:r>
          </w:p>
        </w:tc>
        <w:tc>
          <w:tcPr>
            <w:tcW w:w="9700" w:type="dxa"/>
            <w:vAlign w:val="bottom"/>
          </w:tcPr>
          <w:p>
            <w:pPr>
              <w:ind w:left="180"/>
              <w:spacing w:after="0"/>
              <w:rPr>
                <w:sz w:val="20"/>
                <w:szCs w:val="20"/>
                <w:color w:val="auto"/>
              </w:rPr>
            </w:pPr>
            <w:r>
              <w:rPr>
                <w:rFonts w:ascii="Arial" w:cs="Arial" w:eastAsia="Arial" w:hAnsi="Arial"/>
                <w:sz w:val="16"/>
                <w:szCs w:val="16"/>
                <w:color w:val="0000FF"/>
              </w:rPr>
              <w:t>Quantitative and Qualitative Disclosures About Market Risk</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4.</w:t>
            </w:r>
          </w:p>
        </w:tc>
        <w:tc>
          <w:tcPr>
            <w:tcW w:w="9700" w:type="dxa"/>
            <w:vAlign w:val="bottom"/>
          </w:tcPr>
          <w:p>
            <w:pPr>
              <w:ind w:left="180"/>
              <w:spacing w:after="0"/>
              <w:rPr>
                <w:sz w:val="20"/>
                <w:szCs w:val="20"/>
                <w:color w:val="auto"/>
              </w:rPr>
            </w:pPr>
            <w:r>
              <w:rPr>
                <w:rFonts w:ascii="Arial" w:cs="Arial" w:eastAsia="Arial" w:hAnsi="Arial"/>
                <w:sz w:val="16"/>
                <w:szCs w:val="16"/>
                <w:color w:val="0000FF"/>
              </w:rPr>
              <w:t>Controls and Procedures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53</w:t>
              </w:r>
            </w:hyperlink>
          </w:p>
        </w:tc>
      </w:tr>
      <w:tr>
        <w:trPr>
          <w:trHeight w:val="582"/>
        </w:trPr>
        <w:tc>
          <w:tcPr>
            <w:tcW w:w="860" w:type="dxa"/>
            <w:vAlign w:val="bottom"/>
          </w:tcPr>
          <w:p>
            <w:pPr>
              <w:spacing w:after="0"/>
              <w:rPr>
                <w:sz w:val="20"/>
                <w:szCs w:val="20"/>
                <w:color w:val="auto"/>
              </w:rPr>
            </w:pPr>
            <w:r>
              <w:rPr>
                <w:rFonts w:ascii="Arial" w:cs="Arial" w:eastAsia="Arial" w:hAnsi="Arial"/>
                <w:sz w:val="16"/>
                <w:szCs w:val="16"/>
                <w:b w:val="1"/>
                <w:bCs w:val="1"/>
                <w:color w:val="0000FF"/>
              </w:rPr>
              <w:t>PART II.</w:t>
            </w:r>
          </w:p>
        </w:tc>
        <w:tc>
          <w:tcPr>
            <w:tcW w:w="9700" w:type="dxa"/>
            <w:vAlign w:val="bottom"/>
          </w:tcPr>
          <w:p>
            <w:pPr>
              <w:ind w:left="180"/>
              <w:spacing w:after="0"/>
              <w:rPr>
                <w:sz w:val="20"/>
                <w:szCs w:val="20"/>
                <w:color w:val="auto"/>
              </w:rPr>
            </w:pPr>
            <w:r>
              <w:rPr>
                <w:rFonts w:ascii="Arial" w:cs="Arial" w:eastAsia="Arial" w:hAnsi="Arial"/>
                <w:sz w:val="16"/>
                <w:szCs w:val="16"/>
                <w:b w:val="1"/>
                <w:bCs w:val="1"/>
                <w:color w:val="0000FF"/>
              </w:rPr>
              <w:t>OTHER INFORMATION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860" w:type="dxa"/>
            <w:vAlign w:val="bottom"/>
          </w:tcPr>
          <w:p>
            <w:pPr>
              <w:spacing w:after="0"/>
              <w:rPr>
                <w:sz w:val="20"/>
                <w:szCs w:val="20"/>
                <w:color w:val="auto"/>
              </w:rPr>
            </w:pPr>
            <w:r>
              <w:rPr>
                <w:rFonts w:ascii="Arial" w:cs="Arial" w:eastAsia="Arial" w:hAnsi="Arial"/>
                <w:sz w:val="16"/>
                <w:szCs w:val="16"/>
                <w:color w:val="0000FF"/>
              </w:rPr>
              <w:t>Item 1.</w:t>
            </w:r>
          </w:p>
        </w:tc>
        <w:tc>
          <w:tcPr>
            <w:tcW w:w="9700" w:type="dxa"/>
            <w:vAlign w:val="bottom"/>
          </w:tcPr>
          <w:p>
            <w:pPr>
              <w:ind w:left="180"/>
              <w:spacing w:after="0"/>
              <w:rPr>
                <w:sz w:val="20"/>
                <w:szCs w:val="20"/>
                <w:color w:val="auto"/>
              </w:rPr>
            </w:pPr>
            <w:r>
              <w:rPr>
                <w:rFonts w:ascii="Arial" w:cs="Arial" w:eastAsia="Arial" w:hAnsi="Arial"/>
                <w:sz w:val="16"/>
                <w:szCs w:val="16"/>
                <w:color w:val="0000FF"/>
              </w:rPr>
              <w:t>Legal Proceedings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1A.</w:t>
            </w:r>
          </w:p>
        </w:tc>
        <w:tc>
          <w:tcPr>
            <w:tcW w:w="9700" w:type="dxa"/>
            <w:vAlign w:val="bottom"/>
          </w:tcPr>
          <w:p>
            <w:pPr>
              <w:ind w:left="180"/>
              <w:spacing w:after="0"/>
              <w:rPr>
                <w:sz w:val="20"/>
                <w:szCs w:val="20"/>
                <w:color w:val="auto"/>
              </w:rPr>
            </w:pPr>
            <w:r>
              <w:rPr>
                <w:rFonts w:ascii="Arial" w:cs="Arial" w:eastAsia="Arial" w:hAnsi="Arial"/>
                <w:sz w:val="16"/>
                <w:szCs w:val="16"/>
                <w:color w:val="0000FF"/>
              </w:rPr>
              <w:t>Risk Factors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2.</w:t>
            </w:r>
          </w:p>
        </w:tc>
        <w:tc>
          <w:tcPr>
            <w:tcW w:w="9700" w:type="dxa"/>
            <w:vAlign w:val="bottom"/>
          </w:tcPr>
          <w:p>
            <w:pPr>
              <w:ind w:left="180"/>
              <w:spacing w:after="0"/>
              <w:rPr>
                <w:sz w:val="20"/>
                <w:szCs w:val="20"/>
                <w:color w:val="auto"/>
              </w:rPr>
            </w:pPr>
            <w:r>
              <w:rPr>
                <w:rFonts w:ascii="Arial" w:cs="Arial" w:eastAsia="Arial" w:hAnsi="Arial"/>
                <w:sz w:val="16"/>
                <w:szCs w:val="16"/>
                <w:color w:val="0000FF"/>
              </w:rPr>
              <w:t>Unregistered Sales of Equity Securities and Use of Proceeds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3.</w:t>
            </w:r>
          </w:p>
        </w:tc>
        <w:tc>
          <w:tcPr>
            <w:tcW w:w="9700" w:type="dxa"/>
            <w:vAlign w:val="bottom"/>
          </w:tcPr>
          <w:p>
            <w:pPr>
              <w:ind w:left="180"/>
              <w:spacing w:after="0"/>
              <w:rPr>
                <w:sz w:val="20"/>
                <w:szCs w:val="20"/>
                <w:color w:val="auto"/>
              </w:rPr>
            </w:pPr>
            <w:r>
              <w:rPr>
                <w:rFonts w:ascii="Arial" w:cs="Arial" w:eastAsia="Arial" w:hAnsi="Arial"/>
                <w:sz w:val="16"/>
                <w:szCs w:val="16"/>
                <w:color w:val="0000FF"/>
              </w:rPr>
              <w:t>Defaults upon Senior Securities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4.</w:t>
            </w:r>
          </w:p>
        </w:tc>
        <w:tc>
          <w:tcPr>
            <w:tcW w:w="9700" w:type="dxa"/>
            <w:vAlign w:val="bottom"/>
          </w:tcPr>
          <w:p>
            <w:pPr>
              <w:ind w:left="180"/>
              <w:spacing w:after="0"/>
              <w:rPr>
                <w:sz w:val="20"/>
                <w:szCs w:val="20"/>
                <w:color w:val="auto"/>
              </w:rPr>
            </w:pPr>
            <w:r>
              <w:rPr>
                <w:rFonts w:ascii="Arial" w:cs="Arial" w:eastAsia="Arial" w:hAnsi="Arial"/>
                <w:sz w:val="16"/>
                <w:szCs w:val="16"/>
                <w:color w:val="0000FF"/>
              </w:rPr>
              <w:t>Mine Safety Disclosures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5.</w:t>
            </w:r>
          </w:p>
        </w:tc>
        <w:tc>
          <w:tcPr>
            <w:tcW w:w="9700" w:type="dxa"/>
            <w:vAlign w:val="bottom"/>
          </w:tcPr>
          <w:p>
            <w:pPr>
              <w:ind w:left="180"/>
              <w:spacing w:after="0"/>
              <w:rPr>
                <w:sz w:val="20"/>
                <w:szCs w:val="20"/>
                <w:color w:val="auto"/>
              </w:rPr>
            </w:pPr>
            <w:r>
              <w:rPr>
                <w:rFonts w:ascii="Arial" w:cs="Arial" w:eastAsia="Arial" w:hAnsi="Arial"/>
                <w:sz w:val="16"/>
                <w:szCs w:val="16"/>
                <w:color w:val="0000FF"/>
              </w:rPr>
              <w:t>Other Information</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860" w:type="dxa"/>
            <w:vAlign w:val="bottom"/>
          </w:tcPr>
          <w:p>
            <w:pPr>
              <w:spacing w:after="0"/>
              <w:rPr>
                <w:sz w:val="20"/>
                <w:szCs w:val="20"/>
                <w:color w:val="auto"/>
              </w:rPr>
            </w:pPr>
            <w:r>
              <w:rPr>
                <w:rFonts w:ascii="Arial" w:cs="Arial" w:eastAsia="Arial" w:hAnsi="Arial"/>
                <w:sz w:val="16"/>
                <w:szCs w:val="16"/>
                <w:color w:val="0000FF"/>
              </w:rPr>
              <w:t>Item 6.</w:t>
            </w:r>
          </w:p>
        </w:tc>
        <w:tc>
          <w:tcPr>
            <w:tcW w:w="9700" w:type="dxa"/>
            <w:vAlign w:val="bottom"/>
          </w:tcPr>
          <w:p>
            <w:pPr>
              <w:ind w:left="180"/>
              <w:spacing w:after="0"/>
              <w:rPr>
                <w:sz w:val="20"/>
                <w:szCs w:val="20"/>
                <w:color w:val="auto"/>
              </w:rPr>
            </w:pPr>
            <w:r>
              <w:rPr>
                <w:rFonts w:ascii="Arial" w:cs="Arial" w:eastAsia="Arial" w:hAnsi="Arial"/>
                <w:sz w:val="16"/>
                <w:szCs w:val="16"/>
                <w:color w:val="0000FF"/>
              </w:rPr>
              <w:t>Exhibits</w:t>
            </w: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534"/>
        </w:trPr>
        <w:tc>
          <w:tcPr>
            <w:tcW w:w="860" w:type="dxa"/>
            <w:vAlign w:val="bottom"/>
          </w:tcPr>
          <w:p>
            <w:pPr>
              <w:spacing w:after="0"/>
              <w:rPr>
                <w:sz w:val="20"/>
                <w:szCs w:val="20"/>
                <w:color w:val="auto"/>
              </w:rPr>
            </w:pPr>
            <w:r>
              <w:rPr>
                <w:rFonts w:ascii="Arial" w:cs="Arial" w:eastAsia="Arial" w:hAnsi="Arial"/>
                <w:sz w:val="16"/>
                <w:szCs w:val="16"/>
                <w:color w:val="0000FF"/>
              </w:rPr>
              <w:t>Signatures</w:t>
            </w:r>
          </w:p>
        </w:tc>
        <w:tc>
          <w:tcPr>
            <w:tcW w:w="9700" w:type="dxa"/>
            <w:vAlign w:val="bottom"/>
          </w:tcPr>
          <w:p>
            <w:pPr>
              <w:spacing w:after="0"/>
              <w:rPr>
                <w:sz w:val="24"/>
                <w:szCs w:val="24"/>
                <w:color w:val="auto"/>
              </w:rPr>
            </w:pPr>
          </w:p>
        </w:tc>
        <w:tc>
          <w:tcPr>
            <w:tcW w:w="160" w:type="dxa"/>
            <w:vAlign w:val="bottom"/>
            <w:tcBorders>
              <w:bottom w:val="single" w:sz="8" w:color="0000EE"/>
            </w:tcBorders>
            <w:gridSpan w:val="3"/>
          </w:tcPr>
          <w:p>
            <w:pPr>
              <w:jc w:val="center"/>
              <w:spacing w:after="0"/>
              <w:rPr>
                <w:rFonts w:ascii="Arial" w:cs="Arial" w:eastAsia="Arial" w:hAnsi="Arial"/>
                <w:sz w:val="16"/>
                <w:szCs w:val="16"/>
                <w:color w:val="0000EE"/>
                <w:w w:val="89"/>
              </w:rPr>
            </w:pPr>
            <w:hyperlink w:anchor="page58">
              <w:r>
                <w:rPr>
                  <w:rFonts w:ascii="Arial" w:cs="Arial" w:eastAsia="Arial" w:hAnsi="Arial"/>
                  <w:sz w:val="16"/>
                  <w:szCs w:val="16"/>
                  <w:color w:val="0000EE"/>
                  <w:w w:val="89"/>
                </w:rPr>
                <w:t>57</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271780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$50,057 and $62,205, respectively)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U.S. Treasury securities, at fair value (including pledged securities of $1,247 and $3,778,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REIT equity securities,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assets,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for securities sold (including pledged securities of $441 and $622, respectively)</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76,255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63,533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57,243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 and $173,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352.8 and 356.2 shares issued and outstanding,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66,854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76,255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w w:val="96"/>
              </w:rPr>
              <w:t>Three months ended June 30,</w:t>
            </w:r>
          </w:p>
        </w:tc>
        <w:tc>
          <w:tcPr>
            <w:tcW w:w="140" w:type="dxa"/>
            <w:vAlign w:val="bottom"/>
          </w:tcPr>
          <w:p>
            <w:pPr>
              <w:spacing w:after="0"/>
              <w:rPr>
                <w:sz w:val="18"/>
                <w:szCs w:val="18"/>
                <w:color w:val="auto"/>
              </w:rPr>
            </w:pPr>
          </w:p>
        </w:tc>
        <w:tc>
          <w:tcPr>
            <w:tcW w:w="202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2013</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821</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loss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Gain (loss) on sale of agency securities, net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derivative instruments and other securities,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(loss) income, net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Provision for income tax, net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shareholders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311"/>
        </w:trPr>
        <w:tc>
          <w:tcPr>
            <w:tcW w:w="6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353.8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376.4</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40" w:type="dxa"/>
            <w:vAlign w:val="bottom"/>
            <w:gridSpan w:val="4"/>
            <w:vMerge w:val="restart"/>
          </w:tcPr>
          <w:p>
            <w:pPr>
              <w:jc w:val="right"/>
              <w:ind w:right="9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(Deficit)Earnings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Unrealized gain on derivative instruments,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June 30, 2013</w:t>
            </w: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11,255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10,280</w:t>
            </w:r>
          </w:p>
        </w:tc>
        <w:tc>
          <w:tcPr>
            <w:tcW w:w="0" w:type="dxa"/>
            <w:vAlign w:val="bottom"/>
          </w:tcPr>
          <w:p>
            <w:pPr>
              <w:spacing w:after="0"/>
              <w:rPr>
                <w:sz w:val="1"/>
                <w:szCs w:val="1"/>
                <w:color w:val="auto"/>
              </w:rPr>
            </w:pPr>
          </w:p>
        </w:tc>
      </w:tr>
      <w:tr>
        <w:trPr>
          <w:trHeight w:val="311"/>
        </w:trPr>
        <w:tc>
          <w:tcPr>
            <w:tcW w:w="35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loss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Other comprehensive income:</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9"/>
        </w:trPr>
        <w:tc>
          <w:tcPr>
            <w:tcW w:w="3580" w:type="dxa"/>
            <w:vAlign w:val="bottom"/>
          </w:tcPr>
          <w:p>
            <w:pPr>
              <w:ind w:left="380"/>
              <w:spacing w:after="0"/>
              <w:rPr>
                <w:sz w:val="20"/>
                <w:szCs w:val="20"/>
                <w:color w:val="auto"/>
              </w:rPr>
            </w:pPr>
            <w:r>
              <w:rPr>
                <w:rFonts w:ascii="Arial" w:cs="Arial" w:eastAsia="Arial" w:hAnsi="Arial"/>
                <w:sz w:val="18"/>
                <w:szCs w:val="18"/>
                <w:color w:val="auto"/>
                <w:w w:val="94"/>
              </w:rPr>
              <w:t>Unrealized gain on derivative instruments,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Issuance of preferred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2014</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2,060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agency securities premiums and discounts,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Amortization of accumulated other comprehensive loss on interest rate swaps de-designated as qualifying hedges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(Gain) loss on sale of agency securities,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derivative instruments and other securities,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Decrease (increase) in 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agency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(33,962)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Principal collections on agency securities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5,304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U.S. Treasury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(28,555)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23,324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23,396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(payments on) proceeds from reverse repurchase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(payments on) other derivative instruments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REIT 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209,673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on repurchase agreements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(158,590)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(211,700)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debt of consolidated variable interest entities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common stock repurchases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(15,268)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2,430</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unaudited interim consolidated financial statements include the accounts of our wholly-owned subsidiary, American Capital Agency TRS, LLC,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("FHLB") and in other assets reasonably related to agency securities.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preserve our net asset value (also referred to as "net book value", "NAV" and "stockholders' equity") while generating attractive risk-adjusted returns for distribution to our stockholders through regular quarterly dividends from the combination of our net interest income and net realized gains and losses on our investments and hedging activities. We fund our investments primarily through short-term borrowings structured as repurchase agreements.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agency securities as part of our overall management of our investment portfolio. Accordingly, we typically designate our agency securities as available-for-sale. All securities classified as available-for-sale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reported at fair value, with unrealized gains and losses reported in accumulated other comprehensive income (loss) ("OCI"), a 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agency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on a market approach using "Level 1" inputs based on quoted market prices.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agency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either of the first two conditions exists as of the financial reporting date, the entire amount of the impairment loss, if any, is recognized in earnings as a realized loss and the cost basis of the security is adjusted to its fair value. 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we designate our agency securities as available-for-sale securities with unrealized gains and losses recognized in OCI, any impairment loss for non-credit components is already recognized in OCI.</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liquidity of the agency securities market allows us to obtain competitive bids and execute on a sale transaction typically within a day of making the decision to sell a security and, therefore, we generally do not make decisions to sell specific agency securities until shortly prior to initiating a sell order. In some instances, we may sell specific agency securities by delivering such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of the 48-hour deadline.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interest method in accordance with ASC Subtopic 310-20, </w:t>
      </w:r>
      <w:r>
        <w:rPr>
          <w:rFonts w:ascii="Arial" w:cs="Arial" w:eastAsia="Arial" w:hAnsi="Arial"/>
          <w:sz w:val="18"/>
          <w:szCs w:val="18"/>
          <w:i w:val="1"/>
          <w:iCs w:val="1"/>
          <w:color w:val="auto"/>
        </w:rPr>
        <w:t>Receivables—Nonrefundable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estimate long-term prepayment speeds of our agency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risk, prepayment risk and extension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 terms and certain types of collateral, but the particular agency securities to be delivered are not identified until shortly before the TBA settlement date. We also may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September 30, 2011, we entered into interest rate swap agreements typically with the intention of qualifying for hedge accounting under ASC</w:t>
      </w:r>
    </w:p>
    <w:p>
      <w:pPr>
        <w:spacing w:after="0" w:line="46" w:lineRule="exact"/>
        <w:rPr>
          <w:sz w:val="20"/>
          <w:szCs w:val="20"/>
          <w:color w:val="auto"/>
        </w:rPr>
      </w:pPr>
    </w:p>
    <w:p>
      <w:pPr>
        <w:jc w:val="both"/>
        <w:ind w:firstLine="8"/>
        <w:spacing w:after="0" w:line="255"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However, as of September 30,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ind w:right="20"/>
        <w:spacing w:after="0" w:line="342" w:lineRule="auto"/>
        <w:rPr>
          <w:sz w:val="20"/>
          <w:szCs w:val="20"/>
          <w:color w:val="auto"/>
        </w:rPr>
      </w:pPr>
      <w:r>
        <w:rPr>
          <w:rFonts w:ascii="Arial" w:cs="Arial" w:eastAsia="Arial" w:hAnsi="Arial"/>
          <w:sz w:val="16"/>
          <w:szCs w:val="16"/>
          <w:color w:val="auto"/>
        </w:rPr>
        <w:t>effect of offsetting the repricing characteristics of our repurchase agreements and cash flows on such liabilities. Our swap agreements are privately negotiated in the over−the−counter ("OTC") market and may be centrally cleared through a registered commodities exchange ("centrally cleared swaps").</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to help mitigate the potential impact of larger changes in interest rates on the performance of our investment portfolio (referred to as "convexity risk").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we may from time to time utilize TBA dollar roll transactions to finance agency MBS purchases.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contracts are recognized in gain (loss) on derivative instruments and other securities, net in our consolidated statements of comprehensive income.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2014, we had agency MBS of $53.6 billion at fair value, with a total cost basis of $53.3 billion. The net unamortized premium balance on our agency MBS as of June 30, 2014 was $2.4 billion, including interest and principal-only strips. The following tables summarize our investments in agency MBS as of June 30, 2014 (dollars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June 30, 2014</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Fannie Mae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Ginnie Mae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39,944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10,494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50,629</w:t>
            </w:r>
          </w:p>
        </w:tc>
      </w:tr>
      <w:tr>
        <w:trPr>
          <w:trHeight w:val="276"/>
        </w:trPr>
        <w:tc>
          <w:tcPr>
            <w:tcW w:w="56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562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1,777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2,297</w:t>
            </w:r>
          </w:p>
        </w:tc>
      </w:tr>
      <w:tr>
        <w:trPr>
          <w:trHeight w:val="256"/>
        </w:trPr>
        <w:tc>
          <w:tcPr>
            <w:tcW w:w="56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52,904</w:t>
            </w:r>
          </w:p>
        </w:tc>
      </w:tr>
      <w:tr>
        <w:trPr>
          <w:trHeight w:val="264"/>
        </w:trPr>
        <w:tc>
          <w:tcPr>
            <w:tcW w:w="562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8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624</w:t>
            </w:r>
          </w:p>
        </w:tc>
      </w:tr>
      <w:tr>
        <w:trPr>
          <w:trHeight w:val="270"/>
        </w:trPr>
        <w:tc>
          <w:tcPr>
            <w:tcW w:w="56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r>
      <w:tr>
        <w:trPr>
          <w:trHeight w:val="250"/>
        </w:trPr>
        <w:tc>
          <w:tcPr>
            <w:tcW w:w="562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41,925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11,001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53,127</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397</w:t>
            </w:r>
          </w:p>
        </w:tc>
      </w:tr>
      <w:tr>
        <w:trPr>
          <w:trHeight w:val="276"/>
        </w:trPr>
        <w:tc>
          <w:tcPr>
            <w:tcW w:w="56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r>
      <w:tr>
        <w:trPr>
          <w:trHeight w:val="264"/>
        </w:trPr>
        <w:tc>
          <w:tcPr>
            <w:tcW w:w="562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56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424</w:t>
            </w:r>
          </w:p>
        </w:tc>
      </w:tr>
      <w:tr>
        <w:trPr>
          <w:trHeight w:val="283"/>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42,318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53,551</w:t>
            </w:r>
          </w:p>
        </w:tc>
      </w:tr>
      <w:tr>
        <w:trPr>
          <w:trHeight w:val="22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June 30, 2014 </w:t>
            </w:r>
            <w:r>
              <w:rPr>
                <w:rFonts w:ascii="Arial" w:cs="Arial" w:eastAsia="Arial" w:hAnsi="Arial"/>
                <w:sz w:val="8"/>
                <w:szCs w:val="8"/>
                <w:color w:val="auto"/>
              </w:rPr>
              <w:t>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June 30, 2014 </w:t>
            </w:r>
            <w:r>
              <w:rPr>
                <w:rFonts w:ascii="Arial" w:cs="Arial" w:eastAsia="Arial" w:hAnsi="Arial"/>
                <w:sz w:val="8"/>
                <w:szCs w:val="8"/>
                <w:color w:val="auto"/>
              </w:rPr>
              <w:t>3</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quarter ended June 30, 2014 </w:t>
            </w:r>
            <w:r>
              <w:rPr>
                <w:rFonts w:ascii="Arial" w:cs="Arial" w:eastAsia="Arial" w:hAnsi="Arial"/>
                <w:sz w:val="8"/>
                <w:szCs w:val="8"/>
                <w:color w:val="auto"/>
              </w:rPr>
              <w:t>3</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209"/>
        </w:trPr>
        <w:tc>
          <w:tcPr>
            <w:tcW w:w="552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ind w:left="660" w:right="2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agency MBS strips was $1.3 billion and the weighted average contractual interest we are entitled to receive was 5.48% of this amount as of June 30, 2014. The par value of our principal-only agency MBS strips was $259 million as of June 30, 2014.</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June 30, 2014.</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June 30, 2014.</w:t>
      </w:r>
    </w:p>
    <w:p>
      <w:pPr>
        <w:spacing w:after="0" w:line="200" w:lineRule="exact"/>
        <w:rPr>
          <w:sz w:val="20"/>
          <w:szCs w:val="20"/>
          <w:color w:val="auto"/>
        </w:rPr>
      </w:pPr>
    </w:p>
    <w:p>
      <w:pPr>
        <w:spacing w:after="0" w:line="339"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w w:val="94"/>
              </w:rPr>
              <w:t>June 30, 2014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w:t>
            </w:r>
          </w:p>
        </w:tc>
        <w:tc>
          <w:tcPr>
            <w:tcW w:w="110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Gain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50,691</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(401)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50,871</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Adjustable rate</w:t>
            </w:r>
          </w:p>
        </w:tc>
        <w:tc>
          <w:tcPr>
            <w:tcW w:w="24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CMO</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1,246</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Interest-only and principal-only strips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agency MBS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53,301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53,551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jc w:val="both"/>
        <w:ind w:firstLine="432"/>
        <w:spacing w:after="0" w:line="264" w:lineRule="auto"/>
        <w:rPr>
          <w:sz w:val="20"/>
          <w:szCs w:val="20"/>
          <w:color w:val="auto"/>
        </w:rPr>
      </w:pPr>
      <w:r>
        <w:rPr>
          <w:rFonts w:ascii="Arial" w:cs="Arial" w:eastAsia="Arial" w:hAnsi="Arial"/>
          <w:sz w:val="18"/>
          <w:szCs w:val="18"/>
          <w:color w:val="auto"/>
        </w:rPr>
        <w:t>As of December 31, 2013, we had agency MBS of $65.9 billion at fair value, with a total cost basis of $67.0 billion. The net unamortized premium balance on our agency MBS as of December 31, 2013 was $3.0 billion, including interest and principal-only strips. The following tables summarize our investments in agency MBS as of December 31, 2013 (dollars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2013</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Fannie Mae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Ginnie Mae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7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59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50,914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12,640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63,777</w:t>
            </w:r>
          </w:p>
        </w:tc>
      </w:tr>
      <w:tr>
        <w:trPr>
          <w:trHeight w:val="276"/>
        </w:trPr>
        <w:tc>
          <w:tcPr>
            <w:tcW w:w="59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59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2,848</w:t>
            </w:r>
          </w:p>
        </w:tc>
      </w:tr>
      <w:tr>
        <w:trPr>
          <w:trHeight w:val="256"/>
        </w:trPr>
        <w:tc>
          <w:tcPr>
            <w:tcW w:w="59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53,099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66,593</w:t>
            </w:r>
          </w:p>
        </w:tc>
      </w:tr>
      <w:tr>
        <w:trPr>
          <w:trHeight w:val="264"/>
        </w:trPr>
        <w:tc>
          <w:tcPr>
            <w:tcW w:w="59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2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260</w:t>
            </w:r>
          </w:p>
        </w:tc>
      </w:tr>
      <w:tr>
        <w:trPr>
          <w:trHeight w:val="270"/>
        </w:trPr>
        <w:tc>
          <w:tcPr>
            <w:tcW w:w="59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w:t>
            </w:r>
          </w:p>
        </w:tc>
      </w:tr>
      <w:tr>
        <w:trPr>
          <w:trHeight w:val="250"/>
        </w:trPr>
        <w:tc>
          <w:tcPr>
            <w:tcW w:w="59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52,289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12,980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65,504</w:t>
            </w:r>
          </w:p>
        </w:tc>
      </w:tr>
      <w:tr>
        <w:trPr>
          <w:trHeight w:val="27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59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2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432</w:t>
            </w:r>
          </w:p>
        </w:tc>
      </w:tr>
      <w:tr>
        <w:trPr>
          <w:trHeight w:val="276"/>
        </w:trPr>
        <w:tc>
          <w:tcPr>
            <w:tcW w:w="59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264"/>
        </w:trPr>
        <w:tc>
          <w:tcPr>
            <w:tcW w:w="59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59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r>
      <w:tr>
        <w:trPr>
          <w:trHeight w:val="283"/>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52,693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13,013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65,941</w:t>
            </w:r>
          </w:p>
        </w:tc>
      </w:tr>
      <w:tr>
        <w:trPr>
          <w:trHeight w:val="224"/>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2013 </w:t>
            </w:r>
            <w:r>
              <w:rPr>
                <w:rFonts w:ascii="Arial" w:cs="Arial" w:eastAsia="Arial" w:hAnsi="Arial"/>
                <w:sz w:val="8"/>
                <w:szCs w:val="8"/>
                <w:color w:val="auto"/>
              </w:rPr>
              <w:t>2</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2013 </w:t>
            </w:r>
            <w:r>
              <w:rPr>
                <w:rFonts w:ascii="Arial" w:cs="Arial" w:eastAsia="Arial" w:hAnsi="Arial"/>
                <w:sz w:val="8"/>
                <w:szCs w:val="8"/>
                <w:color w:val="auto"/>
              </w:rPr>
              <w:t>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year ended December 31, 2013 </w:t>
            </w:r>
            <w:r>
              <w:rPr>
                <w:rFonts w:ascii="Arial" w:cs="Arial" w:eastAsia="Arial" w:hAnsi="Arial"/>
                <w:sz w:val="8"/>
                <w:szCs w:val="8"/>
                <w:color w:val="auto"/>
              </w:rPr>
              <w:t>3</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209"/>
        </w:trPr>
        <w:tc>
          <w:tcPr>
            <w:tcW w:w="586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agency MBS strips was $1.4 billion and the weighted average contractual interest we are entitled to receive was 5.50% of this amount as of December 31, 2013. The par value of our principal-only agency MBS strips was $271 million as of December 31, 2013.</w:t>
      </w:r>
    </w:p>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2013.</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 based on forward rates as of December 31, 2013.</w:t>
      </w:r>
    </w:p>
    <w:p>
      <w:pPr>
        <w:spacing w:after="0" w:line="200" w:lineRule="exact"/>
        <w:rPr>
          <w:sz w:val="20"/>
          <w:szCs w:val="20"/>
          <w:color w:val="auto"/>
        </w:rPr>
      </w:pPr>
    </w:p>
    <w:p>
      <w:pPr>
        <w:spacing w:after="0" w:line="339"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64,057</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62,961</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Adjustable rate</w:t>
            </w:r>
          </w:p>
        </w:tc>
        <w:tc>
          <w:tcPr>
            <w:tcW w:w="2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CMO</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Interest-only and principal-only strips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agency MBS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65,941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actual maturities of our agency MBS are generally shorter than the stated contractual maturities. Actual maturities are affected by the contractual lives of the underlying mortgages, periodic contractual principal payments and principal prepayments. As of June 30, 2014 and December 31, 2013, our weighted average expected constant prepayment rate ("CPR") over the remaining life of our aggregate agency MBS portfolio was 8% and 7%, respectively. Our estimates differ materially for different types of securities and thus individual holdings have a wide range of projected CPRs. We estimate long-term prepayment assumptions for different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reasonableness. As market conditions may change rapidly, we may make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adjustments for different securities based on our Manager's judgment. Various market participants could use materially different assumptions.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as of June 30, 2014 and December 31, 2013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June 30, 2014</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 Agency</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MBS Classified as Available-for-Sale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4.61%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29,833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29,955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3.54%</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2.82%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3.82%</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2.99%</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3000" w:type="dxa"/>
            <w:vAlign w:val="bottom"/>
            <w:gridSpan w:val="2"/>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53,127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52,904</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3.51%</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6.5 and 6.3 years as of June 30, 2014 and December 31, 2013, respectively. The weighted average life of our principal-only strips was 8.8 and 8.6 years as of June 30, 2014 and December 31, 2013,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agency securities classified as available-for-sale are reported at fair value, with unrealized gains and losses excluded from earnings and reported in accumulated OCI. The following table summarizes changes in accumulated OCI, a separate component of stockholders' equity, for our available-for-sale securities for the three and six months ended June 30, 2014 and 2013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Beginning</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Unrealized</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Reversal of</w:t>
            </w:r>
          </w:p>
        </w:tc>
        <w:tc>
          <w:tcPr>
            <w:tcW w:w="160" w:type="dxa"/>
            <w:vAlign w:val="bottom"/>
          </w:tcPr>
          <w:p>
            <w:pPr>
              <w:spacing w:after="0"/>
              <w:rPr>
                <w:sz w:val="14"/>
                <w:szCs w:val="14"/>
                <w:color w:val="auto"/>
              </w:rPr>
            </w:pPr>
          </w:p>
        </w:tc>
        <w:tc>
          <w:tcPr>
            <w:tcW w:w="14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Agency Securities Classified as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Gains and (Losses),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(Gains) and Losses,</w:t>
            </w: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Accumulated OCI</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Net on Realization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Three months ended June 30, 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Three months ended June 30, 2013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(2,796)</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Six months ended June 30, 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58"/>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Six months ended June 30, 2013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(3,659)</w:t>
            </w:r>
          </w:p>
        </w:tc>
        <w:tc>
          <w:tcPr>
            <w:tcW w:w="120" w:type="dxa"/>
            <w:vAlign w:val="bottom"/>
          </w:tcPr>
          <w:p>
            <w:pPr>
              <w:spacing w:after="0"/>
              <w:rPr>
                <w:sz w:val="22"/>
                <w:szCs w:val="22"/>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June 30, 2014 and December 31, 2013 (in millions):</w:t>
      </w:r>
    </w:p>
    <w:p>
      <w:pPr>
        <w:spacing w:after="0" w:line="365"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Total</w:t>
            </w:r>
          </w:p>
        </w:tc>
        <w:tc>
          <w:tcPr>
            <w:tcW w:w="1020" w:type="dxa"/>
            <w:vAlign w:val="bottom"/>
            <w:tcBorders>
              <w:bottom w:val="single" w:sz="8" w:color="auto"/>
            </w:tcBorders>
          </w:tcPr>
          <w:p>
            <w:pPr>
              <w:spacing w:after="0"/>
              <w:rPr>
                <w:sz w:val="22"/>
                <w:szCs w:val="22"/>
                <w:color w:val="auto"/>
              </w:rPr>
            </w:pPr>
          </w:p>
        </w:tc>
      </w:tr>
      <w:tr>
        <w:trPr>
          <w:trHeight w:val="153"/>
        </w:trPr>
        <w:tc>
          <w:tcPr>
            <w:tcW w:w="27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w:t>
            </w:r>
          </w:p>
        </w:tc>
      </w:tr>
      <w:tr>
        <w:trPr>
          <w:trHeight w:val="25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258"/>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44,439</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(1,349)</w:t>
            </w: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of the end of each respective reporting period,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Accordingly, we did not recognize any OTTI charges on our investment securities for the three and six months ended June 30, 2014 and 2013. However, as we continue to actively manage our portfolio, we may recognize additional realized losses on our agency securities upon selecting specific securities to sell.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agency securities classified as available-for-sale for the three and six months ended June 30, 2014 and 2013 (in millions):</w:t>
      </w:r>
    </w:p>
    <w:p>
      <w:pPr>
        <w:spacing w:after="0" w:line="176"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9"/>
        </w:trPr>
        <w:tc>
          <w:tcPr>
            <w:tcW w:w="45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Agency Securities Classified as</w:t>
            </w:r>
          </w:p>
        </w:tc>
        <w:tc>
          <w:tcPr>
            <w:tcW w:w="12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June 30, 2013</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0"/>
              </w:rPr>
              <w:t>June 30, 2014</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June 30, 2013</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sold, at cost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(35,397)</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16,880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35,388</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gain on sale of agency 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Gross loss on sale of agency MBS</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3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three and six months ended June 30, 2014, we recognized a net unrealized gain of $15 million and $27 million, respectively, and for the three and six months ended June 30, 2013 we recognized an unrealized loss of $20 million and $21 million, respectively, for the change in value of investments in interest and principal-only strips in gain (loss) on derivative instruments and other securities, net in our consolidated statements of comprehensive income. Over the same periods, we did not recognize any realized gains or losses on our interest or principal-only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June 30, 2014 and December 31, 2013,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of $1.4 billion and $1.5 billion as of June 30, 2014 and December 31, 2013, respectively, and debt, at fair value, of $844 million and $910 million, respectively, in our accompanying consolidated balance sheets. As of June 30, 2014 and December 31, 2013, such agency securities had an aggregate unpaid principal balance of $1.3 billion and $1.4 billion, respectively, and such debt had an aggregate unpaid principal balance of $823 million and $900 million, respectively. We re-measure our consolidated debt at fair value through earnings in gain (loss) on derivative instruments and other securities, net in our consolidated statements of comprehensive income. For the three and six months ended June 30, 2014, we recognized a net loss of $9 million and $12 million, respectively, and for the three and six months ended June 30, 2013 we recognized a net gain of $20 million and $34 million, respectively,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2014 and December 31, 2013, the fair value of our CMO securities and interest and principal-only securities was $1.7 billion, excluding the consolidated CMO trusts discussed above, or $2.2 billion and $2.3 billion, respectively, including the net asset value of our consolidated CMO trusts. Our maximum exposure to loss related to our CMO securities and interest and principal-only securities, including our consolidated CMO trusts, was $281 million and $246 million as of June 30, 2014 and December 31, 2013,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pledge certain of our securities as collateral under repurchase arrangements with financial institutions, the terms and conditions of which are negotiated on a transaction-by-transaction basis. For additional information regarding our pledged assets please refer to Note 7. Interest rates on these borrowings are generally based on LIBOR plus or minus a margin and amounts available to be borrowed are dependent upon the fair value of the securities pledged as collateral, which fluctuates with changes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2014, we have met all margin call requirements.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June 30, 2014 and December 31, 2013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June 30, 2014</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Repurchase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Repurchase</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Agency MBS: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60" w:type="dxa"/>
            <w:vAlign w:val="bottom"/>
            <w:gridSpan w:val="2"/>
          </w:tcPr>
          <w:p>
            <w:pPr>
              <w:ind w:left="120"/>
              <w:spacing w:after="0"/>
              <w:rPr>
                <w:sz w:val="20"/>
                <w:szCs w:val="20"/>
                <w:color w:val="auto"/>
              </w:rPr>
            </w:pPr>
            <w:r>
              <w:rPr>
                <w:rFonts w:ascii="Arial" w:cs="Arial" w:eastAsia="Arial" w:hAnsi="Arial"/>
                <w:sz w:val="18"/>
                <w:szCs w:val="18"/>
                <w:color w:val="auto"/>
              </w:rPr>
              <w:t>≤ 1 month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11,119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0.34 %</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23,577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1 to ≤ 3 months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20"/>
              <w:spacing w:after="0"/>
              <w:rPr>
                <w:sz w:val="20"/>
                <w:szCs w:val="20"/>
                <w:color w:val="auto"/>
              </w:rPr>
            </w:pPr>
            <w:r>
              <w:rPr>
                <w:rFonts w:ascii="Arial" w:cs="Arial" w:eastAsia="Arial" w:hAnsi="Arial"/>
                <w:sz w:val="18"/>
                <w:szCs w:val="18"/>
                <w:color w:val="auto"/>
              </w:rPr>
              <w:t>&gt; 3 to ≤ 6 months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0.42 %</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6 to ≤ 9 months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20"/>
              <w:spacing w:after="0"/>
              <w:rPr>
                <w:sz w:val="20"/>
                <w:szCs w:val="20"/>
                <w:color w:val="auto"/>
              </w:rPr>
            </w:pPr>
            <w:r>
              <w:rPr>
                <w:rFonts w:ascii="Arial" w:cs="Arial" w:eastAsia="Arial" w:hAnsi="Arial"/>
                <w:sz w:val="18"/>
                <w:szCs w:val="18"/>
                <w:color w:val="auto"/>
              </w:rPr>
              <w:t>&gt; 9 to ≤ 12 months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0.49 %</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12 to ≤ 24 months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20"/>
              <w:spacing w:after="0"/>
              <w:rPr>
                <w:sz w:val="20"/>
                <w:szCs w:val="20"/>
                <w:color w:val="auto"/>
              </w:rPr>
            </w:pPr>
            <w:r>
              <w:rPr>
                <w:rFonts w:ascii="Arial" w:cs="Arial" w:eastAsia="Arial" w:hAnsi="Arial"/>
                <w:sz w:val="18"/>
                <w:szCs w:val="18"/>
                <w:color w:val="auto"/>
              </w:rPr>
              <w:t>&gt; 24 to ≤ 36 months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0.59 %</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36 to ≤ 48 months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20"/>
              <w:spacing w:after="0"/>
              <w:rPr>
                <w:sz w:val="20"/>
                <w:szCs w:val="20"/>
                <w:color w:val="auto"/>
              </w:rPr>
            </w:pPr>
            <w:r>
              <w:rPr>
                <w:rFonts w:ascii="Arial" w:cs="Arial" w:eastAsia="Arial" w:hAnsi="Arial"/>
                <w:sz w:val="18"/>
                <w:szCs w:val="18"/>
                <w:color w:val="auto"/>
              </w:rPr>
              <w:t>&gt; 48 to &lt; 60 months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agency MBS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47,518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61,215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1 day</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Total / Weighted Average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48,714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0.39 %</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63,533</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June 30, 2014 and December 31, 2013, debt of consolidated VIEs, at fair value ("other debt") was $844 million and $910 million, respectively. As of June 30, 2014 and December 31, 2013, our other debt had a weighted average interest rate of LIBOR plus 43 and 42 basis points and a principal balance of $823 million and $900 million, respectively. The actual maturities of our other debt are generally shorter than the stated contractual maturities. The actual maturities are affected by the contractual lives of the underlying agency MBS securitizing our other debt and periodic principal prepayments of such underlying securities. The estimated weighted average life of our other debt as of June 30, 2014 was 6.2 years.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June 30, 2014 and December 31, 2013, we also had outstanding forward commitments to purchase and sell agency securities through the TBA market (see Notes 3 and 6). These transactions, also referred to as TBA dollar roll transactions, represent a form of off-balance sheet financing and serve to either increase, in the case of forward purchases, or decrease, in the case of forward sales, our "at risk" leverage. However, pursuant to ASC 815, we account for such transactions as one or more series of derivative transactions and, consequently, they are not included in our on-balance sheet debt or measurement of commensurate leverage ratios.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We may also purchase or short TBA and U.S. Treasury securities, purchase or write put or call options on TBA securities or we may invest in other types of mortgage derivative securities, such as interest and principal-only securities. Our risk management strategy attempts to manage the overall risk of the portfolio, reduce fluctuations in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and six months ended June 30, 2014, we reclassified $40 million and $83 million, respectively, and for the three and six months ended June 30, 2013, we reclassified $48 million and $97 million, respectively, of net deferred losses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color w:val="auto"/>
        </w:rPr>
        <w:t>from accumulated OCI into interest expense related to our de-designated interest rate swaps and recognized an equal, but offsetting, amount in other comprehensive income. Our total net periodic interest costs on our swap portfolio was $127 million and $253 million for the three and six months ended June 30, 2014, respectively, and $153 million and $286 million for the three and six months ended June 30, 2013, respectively. The difference between our total net periodic interest costs on our swap portfolio and the amount recorded in interest expense related to our de-designated hedges is reported in our accompanying consolidated statements of comprehensive income in gain (loss) on derivative instruments and other securities, net (or $87 million and $170 million for the three and six months ended June 30, 2014, respectively, and $105 million and $189 million for the three and six months ended June 30, 2013, respectively). As of June 30, 2014, the remaining net deferred loss in accumulated OCI related to de-designated interest rate swaps was $213 million and will be reclassified from OCI into interest expense over a remaining weighted average period of 1.7 years. As of June 30, 2014, the net deferred loss expected to be reclassified from OCI into interest expense over the next twelve months was $128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Assets (Liabilities), at Fair Value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assets and liabilities as of June 30, 2014 and December 31, 2013 (in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Instruments</w:t>
            </w:r>
          </w:p>
        </w:tc>
        <w:tc>
          <w:tcPr>
            <w:tcW w:w="120" w:type="dxa"/>
            <w:vAlign w:val="bottom"/>
            <w:vMerge w:val="restart"/>
          </w:tcPr>
          <w:p>
            <w:pPr>
              <w:spacing w:after="0"/>
              <w:rPr>
                <w:sz w:val="14"/>
                <w:szCs w:val="14"/>
                <w:color w:val="auto"/>
              </w:rPr>
            </w:pPr>
          </w:p>
        </w:tc>
        <w:tc>
          <w:tcPr>
            <w:tcW w:w="31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0"/>
              </w:rPr>
              <w:t>June 30, 2014</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3"/>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328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328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73"/>
        </w:trPr>
        <w:tc>
          <w:tcPr>
            <w:tcW w:w="55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1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37"/>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328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508"/>
        <w:spacing w:after="0" w:line="257" w:lineRule="auto"/>
        <w:rPr>
          <w:sz w:val="20"/>
          <w:szCs w:val="20"/>
          <w:color w:val="auto"/>
        </w:rPr>
      </w:pPr>
      <w:r>
        <w:rPr>
          <w:rFonts w:ascii="Arial" w:cs="Arial" w:eastAsia="Arial" w:hAnsi="Arial"/>
          <w:sz w:val="18"/>
          <w:szCs w:val="18"/>
          <w:color w:val="auto"/>
        </w:rPr>
        <w:t>Additionally, as of June 30, 2014 and December 31, 2013, we had obligations to return U.S. Treasury securities borrowed under reverse repurchase agreements accounted for as securities borrowing transactions at a fair value of $6.1 billion and $1.8 billion, respectively. The borrowed securities were used to cover short sales of U.S. Treasury securities from which we received total proceeds of $6.0 billion and $1.9 billion, respectively. The change in fair value of the borrowed securities is recorded in gain (loss) on derivative instruments and other securities, net in our consolidated statements of comprehensive income.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our interest rate swap agreements outstanding as of June 30, 2014 and December 31, 2013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Notional</w:t>
            </w: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Fixed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16,150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9,775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10,275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5,450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1"/>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47,900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12700</wp:posOffset>
            </wp:positionV>
            <wp:extent cx="3704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-130175</wp:posOffset>
            </wp:positionV>
            <wp:extent cx="3704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$11.7 billion with an average forward start date of 1.7 years and an average maturity of 8.6 years from June 30,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1.61% as of June 30,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maturity measured from June 30, 2014 through stated maturity 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90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2013</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Payer Interest Rate Swaps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Receive</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 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16,750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1.57%</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20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10,225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1.07%</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1.97%</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20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8,825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2.28%</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2.79%</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31"/>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43,250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1.70%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0.22%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12700</wp:posOffset>
            </wp:positionV>
            <wp:extent cx="3713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-130175</wp:posOffset>
            </wp:positionV>
            <wp:extent cx="3713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$4.0 billion with an average forward start date of 1.9 years from December 31, 2013.</w:t>
      </w:r>
    </w:p>
    <w:p>
      <w:pPr>
        <w:spacing w:after="0" w:line="1" w:lineRule="exact"/>
        <w:rPr>
          <w:rFonts w:ascii="Arial" w:cs="Arial" w:eastAsia="Arial" w:hAnsi="Arial"/>
          <w:sz w:val="14"/>
          <w:szCs w:val="14"/>
          <w:color w:val="auto"/>
        </w:rPr>
      </w:pP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1.57% as of December 31, 2013.</w:t>
      </w:r>
    </w:p>
    <w:p>
      <w:pPr>
        <w:spacing w:after="0" w:line="1" w:lineRule="exact"/>
        <w:rPr>
          <w:rFonts w:ascii="Arial" w:cs="Arial" w:eastAsia="Arial" w:hAnsi="Arial"/>
          <w:sz w:val="14"/>
          <w:szCs w:val="14"/>
          <w:color w:val="auto"/>
        </w:rPr>
      </w:pP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maturity measured from December 31, 2013 through stated maturity date.</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tables summarize our interest rate swaption agreements outstanding as of June 30, 2014 and December 31, 2013 (dollars in millions):</w:t>
      </w:r>
    </w:p>
    <w:p>
      <w:pPr>
        <w:spacing w:after="0" w:line="200" w:lineRule="exact"/>
        <w:rPr>
          <w:sz w:val="20"/>
          <w:szCs w:val="20"/>
          <w:color w:val="auto"/>
        </w:rPr>
      </w:pP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4"/>
                <w:szCs w:val="14"/>
                <w:b w:val="1"/>
                <w:bCs w:val="1"/>
                <w:color w:val="auto"/>
                <w:w w:val="95"/>
              </w:rPr>
              <w:t>Underlying Payer Swap</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Average Fixed</w:t>
            </w:r>
          </w:p>
        </w:tc>
        <w:tc>
          <w:tcPr>
            <w:tcW w:w="9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 to</w:t>
            </w: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Pay</w:t>
            </w:r>
          </w:p>
        </w:tc>
        <w:tc>
          <w:tcPr>
            <w:tcW w:w="10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Rate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323"/>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43"/>
              <w:spacing w:after="0"/>
              <w:rPr>
                <w:sz w:val="20"/>
                <w:szCs w:val="20"/>
                <w:color w:val="auto"/>
              </w:rPr>
            </w:pPr>
            <w:r>
              <w:rPr>
                <w:rFonts w:ascii="Arial" w:cs="Arial" w:eastAsia="Arial" w:hAnsi="Arial"/>
                <w:sz w:val="14"/>
                <w:szCs w:val="14"/>
                <w:b w:val="1"/>
                <w:bCs w:val="1"/>
                <w:color w:val="auto"/>
              </w:rPr>
              <w:t>(LIBOR)</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00" w:type="dxa"/>
            <w:vAlign w:val="bottom"/>
            <w:gridSpan w:val="3"/>
          </w:tcPr>
          <w:p>
            <w:pPr>
              <w:ind w:left="20"/>
              <w:spacing w:after="0"/>
              <w:rPr>
                <w:sz w:val="20"/>
                <w:szCs w:val="20"/>
                <w:color w:val="auto"/>
              </w:rPr>
            </w:pPr>
            <w:r>
              <w:rPr>
                <w:rFonts w:ascii="Arial" w:cs="Arial" w:eastAsia="Arial" w:hAnsi="Arial"/>
                <w:sz w:val="16"/>
                <w:szCs w:val="16"/>
                <w:color w:val="auto"/>
              </w:rPr>
              <w:t>≤ 1 year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95</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4,300</w:t>
            </w:r>
          </w:p>
        </w:tc>
        <w:tc>
          <w:tcPr>
            <w:tcW w:w="20" w:type="dxa"/>
            <w:vAlign w:val="bottom"/>
          </w:tcPr>
          <w:p>
            <w:pPr>
              <w:spacing w:after="0"/>
              <w:rPr>
                <w:sz w:val="20"/>
                <w:szCs w:val="20"/>
                <w:color w:val="auto"/>
              </w:rPr>
            </w:pPr>
          </w:p>
        </w:tc>
        <w:tc>
          <w:tcPr>
            <w:tcW w:w="1240" w:type="dxa"/>
            <w:vAlign w:val="bottom"/>
            <w:gridSpan w:val="5"/>
          </w:tcPr>
          <w:p>
            <w:pPr>
              <w:jc w:val="center"/>
              <w:ind w:left="21"/>
              <w:spacing w:after="0"/>
              <w:rPr>
                <w:sz w:val="20"/>
                <w:szCs w:val="20"/>
                <w:color w:val="auto"/>
              </w:rPr>
            </w:pPr>
            <w:r>
              <w:rPr>
                <w:rFonts w:ascii="Arial" w:cs="Arial" w:eastAsia="Arial" w:hAnsi="Arial"/>
                <w:sz w:val="16"/>
                <w:szCs w:val="16"/>
                <w:color w:val="auto"/>
                <w:w w:val="92"/>
              </w:rPr>
              <w:t>2.73%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&gt; 1 to ≤ 2 years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2,650</w:t>
            </w:r>
          </w:p>
        </w:tc>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5"/>
            <w:shd w:val="clear" w:color="auto" w:fill="CCEEFF"/>
          </w:tcPr>
          <w:p>
            <w:pPr>
              <w:jc w:val="center"/>
              <w:ind w:left="21"/>
              <w:spacing w:after="0"/>
              <w:rPr>
                <w:sz w:val="20"/>
                <w:szCs w:val="20"/>
                <w:color w:val="auto"/>
              </w:rPr>
            </w:pPr>
            <w:r>
              <w:rPr>
                <w:rFonts w:ascii="Arial" w:cs="Arial" w:eastAsia="Arial" w:hAnsi="Arial"/>
                <w:sz w:val="16"/>
                <w:szCs w:val="16"/>
                <w:color w:val="auto"/>
                <w:w w:val="92"/>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r>
        <w:trPr>
          <w:trHeight w:val="237"/>
        </w:trPr>
        <w:tc>
          <w:tcPr>
            <w:tcW w:w="2400" w:type="dxa"/>
            <w:vAlign w:val="bottom"/>
            <w:gridSpan w:val="3"/>
          </w:tcPr>
          <w:p>
            <w:pPr>
              <w:ind w:left="20"/>
              <w:spacing w:after="0"/>
              <w:rPr>
                <w:sz w:val="20"/>
                <w:szCs w:val="20"/>
                <w:color w:val="auto"/>
              </w:rPr>
            </w:pPr>
            <w:r>
              <w:rPr>
                <w:rFonts w:ascii="Arial" w:cs="Arial" w:eastAsia="Arial" w:hAnsi="Arial"/>
                <w:sz w:val="16"/>
                <w:szCs w:val="16"/>
                <w:color w:val="auto"/>
              </w:rPr>
              <w:t>&gt; 2 to ≤ 3 years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color w:val="auto"/>
                <w:w w:val="89"/>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700</w:t>
            </w:r>
          </w:p>
        </w:tc>
        <w:tc>
          <w:tcPr>
            <w:tcW w:w="20" w:type="dxa"/>
            <w:vAlign w:val="bottom"/>
          </w:tcPr>
          <w:p>
            <w:pPr>
              <w:spacing w:after="0"/>
              <w:rPr>
                <w:sz w:val="20"/>
                <w:szCs w:val="20"/>
                <w:color w:val="auto"/>
              </w:rPr>
            </w:pPr>
          </w:p>
        </w:tc>
        <w:tc>
          <w:tcPr>
            <w:tcW w:w="1240" w:type="dxa"/>
            <w:vAlign w:val="bottom"/>
            <w:gridSpan w:val="5"/>
          </w:tcPr>
          <w:p>
            <w:pPr>
              <w:jc w:val="center"/>
              <w:ind w:left="21"/>
              <w:spacing w:after="0"/>
              <w:rPr>
                <w:sz w:val="20"/>
                <w:szCs w:val="20"/>
                <w:color w:val="auto"/>
              </w:rPr>
            </w:pPr>
            <w:r>
              <w:rPr>
                <w:rFonts w:ascii="Arial" w:cs="Arial" w:eastAsia="Arial" w:hAnsi="Arial"/>
                <w:sz w:val="16"/>
                <w:szCs w:val="16"/>
                <w:color w:val="auto"/>
                <w:w w:val="92"/>
              </w:rPr>
              <w:t>3.95%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Payer Swaptions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62</w:t>
            </w: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7,650</w:t>
            </w:r>
          </w:p>
        </w:tc>
        <w:tc>
          <w:tcPr>
            <w:tcW w:w="20" w:type="dxa"/>
            <w:vAlign w:val="bottom"/>
            <w:shd w:val="clear" w:color="auto" w:fill="CCEEFF"/>
          </w:tcPr>
          <w:p>
            <w:pPr>
              <w:spacing w:after="0"/>
              <w:rPr>
                <w:sz w:val="21"/>
                <w:szCs w:val="21"/>
                <w:color w:val="auto"/>
              </w:rPr>
            </w:pPr>
          </w:p>
        </w:tc>
        <w:tc>
          <w:tcPr>
            <w:tcW w:w="1240" w:type="dxa"/>
            <w:vAlign w:val="bottom"/>
            <w:gridSpan w:val="5"/>
            <w:shd w:val="clear" w:color="auto" w:fill="CCEEFF"/>
          </w:tcPr>
          <w:p>
            <w:pPr>
              <w:jc w:val="center"/>
              <w:ind w:left="21"/>
              <w:spacing w:after="0"/>
              <w:rPr>
                <w:sz w:val="20"/>
                <w:szCs w:val="20"/>
                <w:color w:val="auto"/>
              </w:rPr>
            </w:pPr>
            <w:r>
              <w:rPr>
                <w:rFonts w:ascii="Arial" w:cs="Arial" w:eastAsia="Arial" w:hAnsi="Arial"/>
                <w:sz w:val="16"/>
                <w:szCs w:val="16"/>
                <w:color w:val="auto"/>
                <w:w w:val="92"/>
              </w:rPr>
              <w:t>3.14%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3"/>
              </w:rPr>
              <w:t>Underlying Receiver Swap</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Average Fixed</w:t>
            </w:r>
          </w:p>
        </w:tc>
        <w:tc>
          <w:tcPr>
            <w:tcW w:w="9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Pay</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 to</w:t>
            </w: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Receive</w:t>
            </w:r>
          </w:p>
        </w:tc>
        <w:tc>
          <w:tcPr>
            <w:tcW w:w="10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Rate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323"/>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43"/>
              <w:spacing w:after="0"/>
              <w:rPr>
                <w:sz w:val="20"/>
                <w:szCs w:val="20"/>
                <w:color w:val="auto"/>
              </w:rPr>
            </w:pPr>
            <w:r>
              <w:rPr>
                <w:rFonts w:ascii="Arial" w:cs="Arial" w:eastAsia="Arial" w:hAnsi="Arial"/>
                <w:sz w:val="14"/>
                <w:szCs w:val="14"/>
                <w:b w:val="1"/>
                <w:bCs w:val="1"/>
                <w:color w:val="auto"/>
              </w:rPr>
              <w:t>(LIBOR)</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Receiver Swaptions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6"/>
                <w:szCs w:val="16"/>
                <w:color w:val="auto"/>
                <w:w w:val="92"/>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right="223"/>
              <w:spacing w:after="0"/>
              <w:rPr>
                <w:sz w:val="20"/>
                <w:szCs w:val="20"/>
                <w:color w:val="auto"/>
              </w:rPr>
            </w:pPr>
            <w:r>
              <w:rPr>
                <w:rFonts w:ascii="Arial" w:cs="Arial" w:eastAsia="Arial" w:hAnsi="Arial"/>
                <w:sz w:val="16"/>
                <w:szCs w:val="16"/>
                <w:color w:val="auto"/>
                <w:w w:val="98"/>
              </w:rPr>
              <w:t>3M</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6"/>
              </w:rPr>
              <w:t>Underlying Payer Swap</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Receive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to Expiration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Pay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400" w:type="dxa"/>
            <w:vAlign w:val="bottom"/>
          </w:tcPr>
          <w:p>
            <w:pPr>
              <w:jc w:val="center"/>
              <w:ind w:right="27"/>
              <w:spacing w:after="0"/>
              <w:rPr>
                <w:sz w:val="20"/>
                <w:szCs w:val="20"/>
                <w:color w:val="auto"/>
              </w:rPr>
            </w:pPr>
            <w:r>
              <w:rPr>
                <w:rFonts w:ascii="Arial" w:cs="Arial" w:eastAsia="Arial" w:hAnsi="Arial"/>
                <w:sz w:val="14"/>
                <w:szCs w:val="14"/>
                <w:b w:val="1"/>
                <w:bCs w:val="1"/>
                <w:color w:val="auto"/>
                <w:w w:val="98"/>
              </w:rPr>
              <w:t>Rate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144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300" w:type="dxa"/>
            <w:vAlign w:val="bottom"/>
          </w:tcPr>
          <w:p>
            <w:pPr>
              <w:spacing w:after="0"/>
              <w:rPr>
                <w:sz w:val="20"/>
                <w:szCs w:val="20"/>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w w:val="89"/>
              </w:rPr>
              <w:t>193</w:t>
            </w:r>
          </w:p>
        </w:tc>
        <w:tc>
          <w:tcPr>
            <w:tcW w:w="120" w:type="dxa"/>
            <w:vAlign w:val="bottom"/>
          </w:tcPr>
          <w:p>
            <w:pPr>
              <w:spacing w:after="0"/>
              <w:rPr>
                <w:sz w:val="20"/>
                <w:szCs w:val="20"/>
                <w:color w:val="auto"/>
              </w:rPr>
            </w:pPr>
          </w:p>
        </w:tc>
        <w:tc>
          <w:tcPr>
            <w:tcW w:w="480" w:type="dxa"/>
            <w:vAlign w:val="bottom"/>
          </w:tcPr>
          <w:p>
            <w:pPr>
              <w:jc w:val="right"/>
              <w:ind w:right="306"/>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117</w:t>
            </w:r>
          </w:p>
        </w:tc>
        <w:tc>
          <w:tcPr>
            <w:tcW w:w="102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2"/>
              </w:rPr>
              <w:t>2.87%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gridSpan w:val="2"/>
          </w:tcPr>
          <w:p>
            <w:pPr>
              <w:jc w:val="center"/>
              <w:ind w:left="184"/>
              <w:spacing w:after="0"/>
              <w:rPr>
                <w:sz w:val="20"/>
                <w:szCs w:val="20"/>
                <w:color w:val="auto"/>
              </w:rPr>
            </w:pPr>
            <w:r>
              <w:rPr>
                <w:rFonts w:ascii="Arial" w:cs="Arial" w:eastAsia="Arial" w:hAnsi="Arial"/>
                <w:sz w:val="16"/>
                <w:szCs w:val="16"/>
                <w:color w:val="auto"/>
                <w:w w:val="89"/>
              </w:rPr>
              <w:t>7.8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to ≤ 2 years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20" w:type="dxa"/>
            <w:vAlign w:val="bottom"/>
            <w:tcBorders>
              <w:bottom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3.40%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tcBorders>
              <w:bottom w:val="single" w:sz="8" w:color="CCEEFF"/>
            </w:tcBorders>
            <w:gridSpan w:val="2"/>
            <w:shd w:val="clear" w:color="auto" w:fill="CCEEFF"/>
          </w:tcPr>
          <w:p>
            <w:pPr>
              <w:jc w:val="center"/>
              <w:ind w:left="184"/>
              <w:spacing w:after="0"/>
              <w:rPr>
                <w:sz w:val="20"/>
                <w:szCs w:val="20"/>
                <w:color w:val="auto"/>
              </w:rPr>
            </w:pPr>
            <w:r>
              <w:rPr>
                <w:rFonts w:ascii="Arial" w:cs="Arial" w:eastAsia="Arial" w:hAnsi="Arial"/>
                <w:sz w:val="16"/>
                <w:szCs w:val="16"/>
                <w:color w:val="auto"/>
                <w:w w:val="89"/>
              </w:rPr>
              <w:t>5.6</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&gt; 2 to ≤ 3 years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c>
          <w:tcPr>
            <w:tcW w:w="1020" w:type="dxa"/>
            <w:vAlign w:val="bottom"/>
            <w:gridSpan w:val="3"/>
          </w:tcPr>
          <w:p>
            <w:pPr>
              <w:jc w:val="center"/>
              <w:ind w:left="7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2"/>
              </w:rPr>
              <w:t>3.81%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gridSpan w:val="2"/>
          </w:tcPr>
          <w:p>
            <w:pPr>
              <w:jc w:val="center"/>
              <w:ind w:left="184"/>
              <w:spacing w:after="0"/>
              <w:rPr>
                <w:sz w:val="20"/>
                <w:szCs w:val="20"/>
                <w:color w:val="auto"/>
              </w:rPr>
            </w:pPr>
            <w:r>
              <w:rPr>
                <w:rFonts w:ascii="Arial" w:cs="Arial" w:eastAsia="Arial" w:hAnsi="Arial"/>
                <w:sz w:val="16"/>
                <w:szCs w:val="16"/>
                <w:color w:val="auto"/>
                <w:w w:val="89"/>
              </w:rPr>
              <w:t>5.8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3 to ≤ 5 years</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20" w:type="dxa"/>
            <w:vAlign w:val="bottom"/>
            <w:tcBorders>
              <w:bottom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4.80%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tcBorders>
              <w:bottom w:val="single" w:sz="8" w:color="CCEEFF"/>
            </w:tcBorders>
            <w:gridSpan w:val="2"/>
            <w:shd w:val="clear" w:color="auto" w:fill="CCEEFF"/>
          </w:tcPr>
          <w:p>
            <w:pPr>
              <w:jc w:val="center"/>
              <w:ind w:left="184"/>
              <w:spacing w:after="0"/>
              <w:rPr>
                <w:sz w:val="20"/>
                <w:szCs w:val="20"/>
                <w:color w:val="auto"/>
              </w:rPr>
            </w:pPr>
            <w:r>
              <w:rPr>
                <w:rFonts w:ascii="Arial" w:cs="Arial" w:eastAsia="Arial" w:hAnsi="Arial"/>
                <w:sz w:val="16"/>
                <w:szCs w:val="16"/>
                <w:color w:val="auto"/>
                <w:w w:val="89"/>
              </w:rPr>
              <w:t>7.0</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color w:val="auto"/>
              </w:rPr>
              <w:t>Total Payer Swaptions</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335</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258</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3.09%</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8"/>
              </w:rPr>
              <w:t>3M</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center"/>
              <w:ind w:left="83"/>
              <w:spacing w:after="0"/>
              <w:rPr>
                <w:sz w:val="20"/>
                <w:szCs w:val="20"/>
                <w:color w:val="auto"/>
              </w:rPr>
            </w:pPr>
            <w:r>
              <w:rPr>
                <w:rFonts w:ascii="Arial" w:cs="Arial" w:eastAsia="Arial" w:hAnsi="Arial"/>
                <w:sz w:val="16"/>
                <w:szCs w:val="16"/>
                <w:color w:val="auto"/>
                <w:w w:val="89"/>
              </w:rPr>
              <w:t>7.0</w:t>
            </w: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380" w:top="968" w:right="5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We did not have any receiver swaptions outstanding as of December 31, 2013.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contracts to purchase and sell TBA contracts as of June 30, 2014 and December 31, 2013 (in millions):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0"/>
              </w:rPr>
              <w:t>June 30, 2014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3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Purchase and Sale Contracts for TBAs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Notional</w:t>
            </w:r>
          </w:p>
        </w:tc>
        <w:tc>
          <w:tcPr>
            <w:tcW w:w="160" w:type="dxa"/>
            <w:vAlign w:val="bottom"/>
          </w:tcPr>
          <w:p>
            <w:pPr>
              <w:spacing w:after="0"/>
              <w:rPr>
                <w:sz w:val="13"/>
                <w:szCs w:val="13"/>
                <w:color w:val="auto"/>
              </w:rPr>
            </w:pPr>
          </w:p>
        </w:tc>
        <w:tc>
          <w:tcPr>
            <w:tcW w:w="900" w:type="dxa"/>
            <w:vAlign w:val="bottom"/>
            <w:vMerge w:val="restart"/>
          </w:tcPr>
          <w:p>
            <w:pPr>
              <w:jc w:val="right"/>
              <w:ind w:right="144"/>
              <w:spacing w:after="0"/>
              <w:rPr>
                <w:sz w:val="20"/>
                <w:szCs w:val="20"/>
                <w:color w:val="auto"/>
              </w:rPr>
            </w:pPr>
            <w:r>
              <w:rPr>
                <w:rFonts w:ascii="Arial" w:cs="Arial" w:eastAsia="Arial" w:hAnsi="Arial"/>
                <w:sz w:val="13"/>
                <w:szCs w:val="13"/>
                <w:b w:val="1"/>
                <w:bCs w:val="1"/>
                <w:color w:val="auto"/>
                <w:w w:val="87"/>
              </w:rPr>
              <w:t xml:space="preserve">Cost Basis </w:t>
            </w:r>
            <w:r>
              <w:rPr>
                <w:rFonts w:ascii="Arial" w:cs="Arial" w:eastAsia="Arial" w:hAnsi="Arial"/>
                <w:sz w:val="8"/>
                <w:szCs w:val="8"/>
                <w:b w:val="1"/>
                <w:bCs w:val="1"/>
                <w:color w:val="auto"/>
                <w:w w:val="87"/>
              </w:rPr>
              <w:t>2</w:t>
            </w:r>
          </w:p>
        </w:tc>
        <w:tc>
          <w:tcPr>
            <w:tcW w:w="120" w:type="dxa"/>
            <w:vAlign w:val="bottom"/>
            <w:vMerge w:val="restart"/>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rPr>
              <w:t>Market Value</w:t>
            </w:r>
          </w:p>
        </w:tc>
        <w:tc>
          <w:tcPr>
            <w:tcW w:w="1000" w:type="dxa"/>
            <w:vAlign w:val="bottom"/>
            <w:gridSpan w:val="3"/>
          </w:tcPr>
          <w:p>
            <w:pPr>
              <w:ind w:left="100"/>
              <w:spacing w:after="0"/>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Notional</w:t>
            </w:r>
          </w:p>
        </w:tc>
        <w:tc>
          <w:tcPr>
            <w:tcW w:w="140" w:type="dxa"/>
            <w:vAlign w:val="bottom"/>
          </w:tcPr>
          <w:p>
            <w:pPr>
              <w:spacing w:after="0"/>
              <w:rPr>
                <w:sz w:val="13"/>
                <w:szCs w:val="13"/>
                <w:color w:val="auto"/>
              </w:rPr>
            </w:pPr>
          </w:p>
        </w:tc>
        <w:tc>
          <w:tcPr>
            <w:tcW w:w="860" w:type="dxa"/>
            <w:vAlign w:val="bottom"/>
            <w:vMerge w:val="restart"/>
          </w:tcPr>
          <w:p>
            <w:pPr>
              <w:jc w:val="right"/>
              <w:ind w:right="104"/>
              <w:spacing w:after="0"/>
              <w:rPr>
                <w:sz w:val="20"/>
                <w:szCs w:val="20"/>
                <w:color w:val="auto"/>
              </w:rPr>
            </w:pPr>
            <w:r>
              <w:rPr>
                <w:rFonts w:ascii="Arial" w:cs="Arial" w:eastAsia="Arial" w:hAnsi="Arial"/>
                <w:sz w:val="13"/>
                <w:szCs w:val="13"/>
                <w:b w:val="1"/>
                <w:bCs w:val="1"/>
                <w:color w:val="auto"/>
                <w:w w:val="87"/>
              </w:rPr>
              <w:t xml:space="preserve">Cost Basis </w:t>
            </w:r>
            <w:r>
              <w:rPr>
                <w:rFonts w:ascii="Arial" w:cs="Arial" w:eastAsia="Arial" w:hAnsi="Arial"/>
                <w:sz w:val="8"/>
                <w:szCs w:val="8"/>
                <w:b w:val="1"/>
                <w:bCs w:val="1"/>
                <w:color w:val="auto"/>
                <w:w w:val="87"/>
              </w:rPr>
              <w:t>2</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Market</w:t>
            </w:r>
          </w:p>
        </w:tc>
        <w:tc>
          <w:tcPr>
            <w:tcW w:w="900" w:type="dxa"/>
            <w:vAlign w:val="bottom"/>
            <w:gridSpan w:val="2"/>
          </w:tcPr>
          <w:p>
            <w:pPr>
              <w:jc w:val="right"/>
              <w:ind w:right="3"/>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65"/>
        </w:trPr>
        <w:tc>
          <w:tcPr>
            <w:tcW w:w="3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7"/>
              </w:rPr>
              <w:t xml:space="preserve">Amount </w:t>
            </w:r>
            <w:r>
              <w:rPr>
                <w:rFonts w:ascii="Arial" w:cs="Arial" w:eastAsia="Arial" w:hAnsi="Arial"/>
                <w:sz w:val="8"/>
                <w:szCs w:val="8"/>
                <w:b w:val="1"/>
                <w:bCs w:val="1"/>
                <w:color w:val="auto"/>
                <w:w w:val="97"/>
              </w:rPr>
              <w:t>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9"/>
                <w:szCs w:val="9"/>
                <w:b w:val="1"/>
                <w:bCs w:val="1"/>
                <w:color w:val="auto"/>
              </w:rPr>
              <w:t>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0"/>
              </w:rPr>
              <w:t xml:space="preserve">Amount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8"/>
                <w:szCs w:val="8"/>
                <w:b w:val="1"/>
                <w:bCs w:val="1"/>
                <w:color w:val="auto"/>
                <w:w w:val="98"/>
              </w:rPr>
              <w:t>4</w:t>
            </w:r>
          </w:p>
        </w:tc>
        <w:tc>
          <w:tcPr>
            <w:tcW w:w="0" w:type="dxa"/>
            <w:vAlign w:val="bottom"/>
          </w:tcPr>
          <w:p>
            <w:pPr>
              <w:spacing w:after="0"/>
              <w:rPr>
                <w:sz w:val="1"/>
                <w:szCs w:val="1"/>
                <w:color w:val="auto"/>
              </w:rPr>
            </w:pPr>
          </w:p>
        </w:tc>
      </w:tr>
      <w:tr>
        <w:trPr>
          <w:trHeight w:val="245"/>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380"/>
              <w:spacing w:after="0"/>
              <w:rPr>
                <w:sz w:val="20"/>
                <w:szCs w:val="20"/>
                <w:color w:val="auto"/>
              </w:rPr>
            </w:pPr>
            <w:r>
              <w:rPr>
                <w:rFonts w:ascii="Arial" w:cs="Arial" w:eastAsia="Arial" w:hAnsi="Arial"/>
                <w:sz w:val="16"/>
                <w:szCs w:val="16"/>
                <w:color w:val="auto"/>
              </w:rPr>
              <w:t>Purchase contracts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6"/>
              <w:spacing w:after="0"/>
              <w:rPr>
                <w:sz w:val="20"/>
                <w:szCs w:val="20"/>
                <w:color w:val="auto"/>
              </w:rPr>
            </w:pPr>
            <w:r>
              <w:rPr>
                <w:rFonts w:ascii="Arial" w:cs="Arial" w:eastAsia="Arial" w:hAnsi="Arial"/>
                <w:sz w:val="16"/>
                <w:szCs w:val="16"/>
                <w:color w:val="auto"/>
              </w:rPr>
              <w:t>21,380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21,923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8"/>
              <w:spacing w:after="0"/>
              <w:rPr>
                <w:sz w:val="20"/>
                <w:szCs w:val="20"/>
                <w:color w:val="auto"/>
              </w:rPr>
            </w:pPr>
            <w:r>
              <w:rPr>
                <w:rFonts w:ascii="Arial" w:cs="Arial" w:eastAsia="Arial" w:hAnsi="Arial"/>
                <w:sz w:val="16"/>
                <w:szCs w:val="16"/>
                <w:color w:val="auto"/>
                <w:w w:val="89"/>
              </w:rPr>
              <w:t>22,136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6"/>
              <w:spacing w:after="0"/>
              <w:rPr>
                <w:sz w:val="20"/>
                <w:szCs w:val="20"/>
                <w:color w:val="auto"/>
              </w:rPr>
            </w:pPr>
            <w:r>
              <w:rPr>
                <w:rFonts w:ascii="Arial" w:cs="Arial" w:eastAsia="Arial" w:hAnsi="Arial"/>
                <w:sz w:val="16"/>
                <w:szCs w:val="16"/>
                <w:color w:val="auto"/>
              </w:rPr>
              <w:t>6,660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6,882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6"/>
              <w:spacing w:after="0"/>
              <w:rPr>
                <w:sz w:val="20"/>
                <w:szCs w:val="20"/>
                <w:color w:val="auto"/>
              </w:rPr>
            </w:pPr>
            <w:r>
              <w:rPr>
                <w:rFonts w:ascii="Arial" w:cs="Arial" w:eastAsia="Arial" w:hAnsi="Arial"/>
                <w:sz w:val="16"/>
                <w:szCs w:val="16"/>
                <w:color w:val="auto"/>
              </w:rPr>
              <w:t>6,864</w:t>
            </w:r>
          </w:p>
        </w:tc>
        <w:tc>
          <w:tcPr>
            <w:tcW w:w="100" w:type="dxa"/>
            <w:vAlign w:val="bottom"/>
          </w:tcPr>
          <w:p>
            <w:pPr>
              <w:spacing w:after="0"/>
              <w:rPr>
                <w:sz w:val="20"/>
                <w:szCs w:val="20"/>
                <w:color w:val="auto"/>
              </w:rPr>
            </w:pPr>
          </w:p>
        </w:tc>
        <w:tc>
          <w:tcPr>
            <w:tcW w:w="2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Sale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 xml:space="preserve">TBA securities, net </w:t>
            </w:r>
            <w:r>
              <w:rPr>
                <w:rFonts w:ascii="Arial" w:cs="Arial" w:eastAsia="Arial" w:hAnsi="Arial"/>
                <w:sz w:val="21"/>
                <w:szCs w:val="21"/>
                <w:color w:val="auto"/>
                <w:vertAlign w:val="superscript"/>
              </w:rPr>
              <w:t>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17,811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18,184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6"/>
                <w:szCs w:val="16"/>
                <w:color w:val="auto"/>
                <w:w w:val="89"/>
              </w:rPr>
              <w:t>18,384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15-year and 30-year TBA securities of varying coupons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the three and six months ended June 30, 2014 and 2013 (in millions):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Three Months Ended June 30, 2014</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Notional Amount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Notional Amount</w:t>
            </w:r>
          </w:p>
        </w:tc>
        <w:tc>
          <w:tcPr>
            <w:tcW w:w="140" w:type="dxa"/>
            <w:vAlign w:val="bottom"/>
          </w:tcPr>
          <w:p>
            <w:pPr>
              <w:spacing w:after="0"/>
              <w:rPr>
                <w:sz w:val="12"/>
                <w:szCs w:val="12"/>
                <w:color w:val="auto"/>
              </w:rPr>
            </w:pP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Long/(Short)</w:t>
            </w:r>
          </w:p>
        </w:tc>
        <w:tc>
          <w:tcPr>
            <w:tcW w:w="10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3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Long/(Short) June</w:t>
            </w: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Income on</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30, 2014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13,909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65,946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(62,044)</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(46,400)</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1,300</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1,600</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(8,615)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9,413</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3,035</w:t>
            </w:r>
          </w:p>
        </w:tc>
        <w:tc>
          <w:tcPr>
            <w:tcW w:w="1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(1,985)</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730</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TBA put option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48" w:lineRule="auto"/>
        <w:tabs>
          <w:tab w:leader="none" w:pos="6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a net gain of $24 million from investments in REIT equity securities, a net loss of $9 million from debt of consolidated VIEs, a net gain of $15 million on interest and principal-only securities and other miscellaneous net losses of $5 million recognized in gain (loss) on derivative instruments and other securities, net in our consolidated statements of comprehensive income.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Three Months Ended June 30, 2013</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Settlement,</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Expiration or</w:t>
            </w: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March 31, 2013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1"/>
              </w:rPr>
              <w:t>30, 2013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and forward settling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26,268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65,425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(51,250)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(10,100)</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5,700</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(22,900)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(12,560)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(10,207)</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12,290</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(10,477)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(2,830)</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6" w:right="239" w:bottom="1440" w:gutter="0" w:footer="0" w:header="0"/>
          <w:type w:val="continuous"/>
        </w:sectPr>
      </w:pPr>
    </w:p>
    <w:bookmarkStart w:id="18" w:name="page19"/>
    <w:bookmarkEnd w:id="18"/>
    <w:p>
      <w:pPr>
        <w:ind w:left="100"/>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a net loss of $20 million on interest and principal-only securities and a net gain of $20 million from debt of consolidated VIEs recognized in gain (loss) on derivative instruments and other securities, net in our consolidated statements of comprehensive income.</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rPr>
              <w:t>Six Months Ended June 30, 2014</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Settlement,</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Notional Amount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Notional Amount</w:t>
            </w:r>
          </w:p>
        </w:tc>
        <w:tc>
          <w:tcPr>
            <w:tcW w:w="140" w:type="dxa"/>
            <w:vAlign w:val="bottom"/>
          </w:tcPr>
          <w:p>
            <w:pPr>
              <w:spacing w:after="0"/>
              <w:rPr>
                <w:sz w:val="12"/>
                <w:szCs w:val="12"/>
                <w:color w:val="auto"/>
              </w:rPr>
            </w:pP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Long/(Short)</w:t>
            </w:r>
          </w:p>
        </w:tc>
        <w:tc>
          <w:tcPr>
            <w:tcW w:w="10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3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Long/(Short) June</w:t>
            </w: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Income on</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30, 2014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securities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90,322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(74,630)</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(8,700)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4,050</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8,850</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(15,856)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11,875</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(7,612)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2,460</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TBA put option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50</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48" w:lineRule="auto"/>
        <w:tabs>
          <w:tab w:leader="none" w:pos="65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 net gain of $73 million from investments in REIT equity securities, a net loss of $12 million from debt of consolidated VIEs, a net gain of $27 million on interest and principal-only securities and other miscellaneous net losses of $7 million recognized in gain (loss) on derivative instruments and other securities, net in our consolidated statements of comprehensive income.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 2013</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Settlement,</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Expiration or</w:t>
            </w: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Long/(Short) June</w:t>
            </w: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1"/>
              </w:rPr>
              <w:t>30, 2013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and forward settling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12,477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108,692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(46,850)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(15,850)</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7,050</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(14,450)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(11,835)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(20,142)</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21,500</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(3,630)</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 net loss of $21 million on interest and principal-only securities and a net gain of $34 million from debt of consolidated VIEs recognized in gain (loss) on derivative instruments and other securities, net in our consolidated statements of comprehensive income.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repurchase agreements and derivative contracts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In addition, obligations under our derivative agreements will typically vary over time based on similar factors as well as the remaining term of the derivative contract. We are also typically required to post initial collateral upon execution of derivative transactions, such as interest rate swap agreements and TBA contracts. If we breach any of these provisions, we will be required to fully settle our obligations under the agreements, which could include a forced liquidation of our pledged collateral.</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repurchase agreement and derivative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Consequently, the use of repurchase agreements and derivative instruments exposes us to credit risk relating to potential losses that could be recognized in the event that our counterparties fail to perform their obligations under such agreements.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93" w:lineRule="auto"/>
        <w:rPr>
          <w:sz w:val="20"/>
          <w:szCs w:val="20"/>
          <w:color w:val="auto"/>
        </w:rPr>
      </w:pPr>
      <w:r>
        <w:rPr>
          <w:rFonts w:ascii="Arial" w:cs="Arial" w:eastAsia="Arial" w:hAnsi="Arial"/>
          <w:sz w:val="16"/>
          <w:szCs w:val="16"/>
          <w:color w:val="auto"/>
        </w:rPr>
        <w:t>minimize this risk by limiting our repurchase agreement and derivative counterparties to major financial institutions with acceptable credit ratings or to a registered clearinghouse,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1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Further, each of our International Swaps and Derivatives Association ("ISDA") Master Agreements also contains a cross default provision under which a default under certain of our other indebtedness in excess of a certain threshold causes an event of default under the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June 30, 2014, the fair value of additional collateral that could be required to be posted as a result of the credit-risk-related contingent features being triggered was not material to our financial statements.</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2014, our amount at risk with any counterparty related to our repurchase agreements was less than 4% of our stockholders' equity and our amount at risk with any counterparty related to our interest rate swap and swaption agreements, excluding centrally cleared swaps, was less than 1% of our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tables summarize our assets pledged as collateral under our repurchase agreements, debt of consolidated VIEs, derivative agreements and prime broker agreements by type, including securities pledged related to securities sold but not yet settled, as of June 30, 2014 and December 31, 2013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w w:val="93"/>
              </w:rPr>
              <w:t>Debt of Consolidated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080" w:type="dxa"/>
            <w:vAlign w:val="bottom"/>
            <w:gridSpan w:val="3"/>
          </w:tcPr>
          <w:p>
            <w:pPr>
              <w:jc w:val="right"/>
              <w:ind w:right="68"/>
              <w:spacing w:after="0" w:line="153" w:lineRule="exact"/>
              <w:rPr>
                <w:sz w:val="20"/>
                <w:szCs w:val="20"/>
                <w:color w:val="auto"/>
              </w:rPr>
            </w:pPr>
            <w:r>
              <w:rPr>
                <w:rFonts w:ascii="Arial" w:cs="Arial" w:eastAsia="Arial" w:hAnsi="Arial"/>
                <w:sz w:val="14"/>
                <w:szCs w:val="14"/>
                <w:b w:val="1"/>
                <w:bCs w:val="1"/>
                <w:color w:val="auto"/>
              </w:rPr>
              <w:t>Prime Broker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Agreements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VIEs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50,055</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1,377</w:t>
            </w:r>
          </w:p>
        </w:tc>
        <w:tc>
          <w:tcPr>
            <w:tcW w:w="920" w:type="dxa"/>
            <w:vAlign w:val="bottom"/>
            <w:gridSpan w:val="3"/>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51,875</w:t>
            </w:r>
          </w:p>
        </w:tc>
        <w:tc>
          <w:tcPr>
            <w:tcW w:w="0" w:type="dxa"/>
            <w:vAlign w:val="bottom"/>
          </w:tcPr>
          <w:p>
            <w:pPr>
              <w:spacing w:after="0"/>
              <w:rPr>
                <w:sz w:val="1"/>
                <w:szCs w:val="1"/>
                <w:color w:val="auto"/>
              </w:rPr>
            </w:pPr>
          </w:p>
        </w:tc>
      </w:tr>
      <w:tr>
        <w:trPr>
          <w:trHeight w:val="264"/>
        </w:trPr>
        <w:tc>
          <w:tcPr>
            <w:tcW w:w="4120" w:type="dxa"/>
            <w:vAlign w:val="bottom"/>
            <w:gridSpan w:val="3"/>
          </w:tcPr>
          <w:p>
            <w:pPr>
              <w:ind w:left="40"/>
              <w:spacing w:after="0"/>
              <w:rPr>
                <w:sz w:val="20"/>
                <w:szCs w:val="20"/>
                <w:color w:val="auto"/>
              </w:rPr>
            </w:pPr>
            <w:r>
              <w:rPr>
                <w:rFonts w:ascii="Arial" w:cs="Arial" w:eastAsia="Arial" w:hAnsi="Arial"/>
                <w:sz w:val="14"/>
                <w:szCs w:val="14"/>
                <w:color w:val="auto"/>
              </w:rPr>
              <w:t>U.S. Treasury securities - fair value</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243"/>
        </w:trPr>
        <w:tc>
          <w:tcPr>
            <w:tcW w:w="41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51,375</w:t>
            </w:r>
          </w:p>
        </w:tc>
        <w:tc>
          <w:tcPr>
            <w:tcW w:w="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1,381</w:t>
            </w:r>
          </w:p>
        </w:tc>
        <w:tc>
          <w:tcPr>
            <w:tcW w:w="920" w:type="dxa"/>
            <w:vAlign w:val="bottom"/>
            <w:gridSpan w:val="3"/>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54,052</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Repurchase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5"/>
              </w:rPr>
              <w:t>Debt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12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Prime Broker</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Assets Pledged to Counterparties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0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3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Agreements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VIEs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vMerge w:val="continue"/>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 fair value</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62,708</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3"/>
              </w:rPr>
              <w:t>64,286</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color w:val="auto"/>
              </w:rPr>
              <w:t>3,778</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4"/>
                <w:szCs w:val="24"/>
                <w:color w:val="auto"/>
              </w:rPr>
            </w:pP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color w:val="auto"/>
                <w:w w:val="89"/>
              </w:rPr>
              <w:t>41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66,608</w:t>
            </w:r>
          </w:p>
        </w:tc>
        <w:tc>
          <w:tcPr>
            <w:tcW w:w="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3"/>
              </w:rPr>
              <w:t>68,360</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jc w:val="both"/>
        <w:ind w:right="20"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agency securities, at fair value, respectively, on our consolidated balance sheets.</w:t>
      </w:r>
    </w:p>
    <w:p>
      <w:pPr>
        <w:spacing w:after="0" w:line="11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following table summarizes our securities pledged as collateral under repurchase agreements and debt of consolidated VIEs by remaining maturity, including securities pledged related to sold but not yet settled securities, as of June 30, 2014 and December 31, 2013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Agency Securities Pledged by Remaining Maturity of</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3"/>
                <w:szCs w:val="13"/>
                <w:color w:val="auto"/>
              </w:rPr>
            </w:pPr>
          </w:p>
        </w:tc>
        <w:tc>
          <w:tcPr>
            <w:tcW w:w="96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3460" w:type="dxa"/>
            <w:vAlign w:val="bottom"/>
            <w:gridSpan w:val="2"/>
            <w:vMerge w:val="continue"/>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of Pledged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9"/>
              </w:rPr>
              <w:t>Fair Value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Interest on</w:t>
            </w:r>
          </w:p>
        </w:tc>
        <w:tc>
          <w:tcPr>
            <w:tcW w:w="0" w:type="dxa"/>
            <w:vAlign w:val="bottom"/>
          </w:tcPr>
          <w:p>
            <w:pPr>
              <w:spacing w:after="0"/>
              <w:rPr>
                <w:sz w:val="1"/>
                <w:szCs w:val="1"/>
                <w:color w:val="auto"/>
              </w:rPr>
            </w:pPr>
          </w:p>
        </w:tc>
      </w:tr>
      <w:tr>
        <w:trPr>
          <w:trHeight w:val="149"/>
        </w:trPr>
        <w:tc>
          <w:tcPr>
            <w:tcW w:w="3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Repurchase Agreements and Debt of Consolidated</w:t>
            </w:r>
          </w:p>
        </w:tc>
        <w:tc>
          <w:tcPr>
            <w:tcW w:w="15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Cost of Pledged</w:t>
            </w: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Pledged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Pledged 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14,505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14,403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27,694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46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3,699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10,117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10,290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19,476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460" w:type="dxa"/>
            <w:vAlign w:val="bottom"/>
            <w:gridSpan w:val="2"/>
          </w:tcPr>
          <w:p>
            <w:pPr>
              <w:ind w:left="720"/>
              <w:spacing w:after="0"/>
              <w:rPr>
                <w:sz w:val="20"/>
                <w:szCs w:val="20"/>
                <w:color w:val="auto"/>
              </w:rPr>
            </w:pPr>
            <w:r>
              <w:rPr>
                <w:rFonts w:ascii="Arial" w:cs="Arial" w:eastAsia="Arial" w:hAnsi="Arial"/>
                <w:sz w:val="16"/>
                <w:szCs w:val="16"/>
                <w:color w:val="auto"/>
              </w:rPr>
              <w:t>Total agency MBS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51,432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51,216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64,167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65,248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52,608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52,384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67,875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69,008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2014 and December 31, 2013, none of our repurchase agreement borrowings backed by agency MBS were due on demand or mature overnight.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2014 and December 31, 2013, we also had assets pledged to us as collateral under our reverse repurchase and derivative agreements summarized in the tables below (in millions).</w:t>
      </w:r>
    </w:p>
    <w:p>
      <w:pPr>
        <w:spacing w:after="0" w:line="338" w:lineRule="exact"/>
        <w:rPr>
          <w:sz w:val="20"/>
          <w:szCs w:val="20"/>
          <w:color w:val="auto"/>
        </w:rPr>
      </w:pPr>
    </w:p>
    <w:tbl>
      <w:tblPr>
        <w:tblLayout w:type="fixed"/>
        <w:tblInd w:w="232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1"/>
              </w:rPr>
              <w:t>Reverse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Repurchase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Treasury securities -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6,117</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1"/>
              </w:rPr>
              <w:t>Reverse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Repurchase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1,848</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are accounted for as securities borrowing transactions and are used to cover short sales of the same securities.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June 30, 2014 and December 31, 2013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9"/>
          </w:tcPr>
          <w:p>
            <w:pPr>
              <w:jc w:val="center"/>
              <w:ind w:left="688"/>
              <w:spacing w:after="0"/>
              <w:rPr>
                <w:sz w:val="20"/>
                <w:szCs w:val="20"/>
                <w:color w:val="auto"/>
              </w:rPr>
            </w:pPr>
            <w:r>
              <w:rPr>
                <w:rFonts w:ascii="Arial" w:cs="Arial" w:eastAsia="Arial" w:hAnsi="Arial"/>
                <w:sz w:val="14"/>
                <w:szCs w:val="14"/>
                <w:b w:val="1"/>
                <w:bCs w:val="1"/>
                <w:color w:val="auto"/>
                <w:w w:val="91"/>
              </w:rPr>
              <w:t>Offsetting of Financial Assets and Derivative Assets</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3"/>
            <w:vMerge w:val="restart"/>
          </w:tcPr>
          <w:p>
            <w:pPr>
              <w:jc w:val="right"/>
              <w:ind w:right="28"/>
              <w:spacing w:after="0" w:line="149" w:lineRule="exact"/>
              <w:rPr>
                <w:sz w:val="20"/>
                <w:szCs w:val="20"/>
                <w:color w:val="auto"/>
              </w:rPr>
            </w:pPr>
            <w:r>
              <w:rPr>
                <w:rFonts w:ascii="Arial" w:cs="Arial" w:eastAsia="Arial" w:hAnsi="Arial"/>
                <w:sz w:val="14"/>
                <w:szCs w:val="14"/>
                <w:b w:val="1"/>
                <w:bCs w:val="1"/>
                <w:color w:val="auto"/>
              </w:rPr>
              <w:t>in the</w:t>
            </w: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of Recognized</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24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6,621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3,019</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4"/>
              </w:rPr>
              <w:t>Offsetting of Financial Liabilities and Derivative Liabilities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3"/>
            <w:vMerge w:val="restart"/>
          </w:tcPr>
          <w:p>
            <w:pPr>
              <w:jc w:val="right"/>
              <w:ind w:right="28"/>
              <w:spacing w:after="0" w:line="149" w:lineRule="exact"/>
              <w:rPr>
                <w:sz w:val="20"/>
                <w:szCs w:val="20"/>
                <w:color w:val="auto"/>
              </w:rPr>
            </w:pPr>
            <w:r>
              <w:rPr>
                <w:rFonts w:ascii="Arial" w:cs="Arial" w:eastAsia="Arial" w:hAnsi="Arial"/>
                <w:sz w:val="14"/>
                <w:szCs w:val="14"/>
                <w:b w:val="1"/>
                <w:bCs w:val="1"/>
                <w:color w:val="auto"/>
              </w:rPr>
              <w:t>in the</w:t>
            </w: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7"/>
                <w:szCs w:val="7"/>
                <w:color w:val="auto"/>
              </w:rPr>
            </w:pPr>
          </w:p>
        </w:tc>
        <w:tc>
          <w:tcPr>
            <w:tcW w:w="11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Liabilities</w:t>
            </w:r>
          </w:p>
        </w:tc>
        <w:tc>
          <w:tcPr>
            <w:tcW w:w="14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6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of Recognized</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24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Liabilities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0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49,274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49,274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(6,042)</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(43,232)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63,533</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402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63,933</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(61,721)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right="32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cash and securities received / pledged as collateral, at fair value. Amounts presented are limited to collateral pledged sufficient to reduce the net amount to zero for individual counterparties, as applicable.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determine the fair value of our agency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than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and six months ended June 30, 2014.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June 30,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333"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Fair Value Hierarchy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June 30, 2014</w:t>
            </w:r>
          </w:p>
        </w:tc>
        <w:tc>
          <w:tcPr>
            <w:tcW w:w="24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gridSpan w:val="5"/>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Agency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Agency securities transferred to consolidated VIEs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Swaptions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REIT equity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U.S. Treasury futures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Debt of consolidated VIEs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740" w:type="dxa"/>
            <w:vAlign w:val="bottom"/>
            <w:gridSpan w:val="5"/>
          </w:tcPr>
          <w:p>
            <w:pPr>
              <w:ind w:left="180"/>
              <w:spacing w:after="0"/>
              <w:rPr>
                <w:sz w:val="20"/>
                <w:szCs w:val="20"/>
                <w:color w:val="auto"/>
              </w:rPr>
            </w:pPr>
            <w:r>
              <w:rPr>
                <w:rFonts w:ascii="Arial" w:cs="Arial" w:eastAsia="Arial" w:hAnsi="Arial"/>
                <w:sz w:val="16"/>
                <w:szCs w:val="16"/>
                <w:color w:val="auto"/>
                <w:w w:val="97"/>
              </w:rPr>
              <w:t>Obligation to return U.S. Treasury securities borrowed under reverse repurchase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agreements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December 31, 2013</w:t>
            </w:r>
          </w:p>
        </w:tc>
        <w:tc>
          <w:tcPr>
            <w:tcW w:w="2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gridSpan w:val="5"/>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Agency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Agency securities transferred to consolidated VIEs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Swaptions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REIT equity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U.S. Treasury futures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Debt of consolidated VIEs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740" w:type="dxa"/>
            <w:vAlign w:val="bottom"/>
            <w:gridSpan w:val="5"/>
          </w:tcPr>
          <w:p>
            <w:pPr>
              <w:ind w:left="180"/>
              <w:spacing w:after="0"/>
              <w:rPr>
                <w:sz w:val="20"/>
                <w:szCs w:val="20"/>
                <w:color w:val="auto"/>
              </w:rPr>
            </w:pPr>
            <w:r>
              <w:rPr>
                <w:rFonts w:ascii="Arial" w:cs="Arial" w:eastAsia="Arial" w:hAnsi="Arial"/>
                <w:sz w:val="16"/>
                <w:szCs w:val="16"/>
                <w:color w:val="auto"/>
                <w:w w:val="97"/>
              </w:rPr>
              <w:t>Obligation to return U.S. Treasury securities borrowed under reverse repurchase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agreements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a market approach using Level 2 inputs from third-party pricing services and dealer quotes.</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6"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June 30, 2014 we have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April 2012, we completed a public offering in which 6.9 million shares of our Series A Preferred Stock were sold to the underwriters at a price of $24.2125 per share. Upon completion of the offering we received proceeds, net of offering expenses, of approximately $167 million. Our Series A Preferred Stock has no stated maturity and is not subject to any sinking fund or mandatory redemption. Under certain circumstances upon a change of control, our Series A Preferred Stock is convertible to shares of our common stock. Holders of Series A Preferred Stock have no voting rights, except under limited conditions, and holders are entitled to receive cumulative cash dividends at a rate of 8.000% per annum of the $25.00 per share liquidation preference before holders of our common stock are entitled to receive any dividends. Shares of our Series A Preferred Stock are redeemable at $25.00 per share plus accumulated and unpaid dividends (whether or not declared) exclusively at our option commencing on April 5, 2017, or earlier under certain circumstances intended to preserve our qualification as a REIT for Federal income tax purposes. Dividends are payable quarterly in arrears on the 15th day of each January, April, July and October. As of June 30, 2014, we had declared all required quarterly dividends on the Series A Preferred Stock.</w:t>
      </w:r>
    </w:p>
    <w:p>
      <w:pPr>
        <w:spacing w:after="0" w:line="11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May 2014, we completed a public offering in which 7.0 million depositary shares were sold to the underwriters at a price of $24.2125 per depositary share, for proceeds, net of offering expenses, of approximately $169 million. Each depositary share represents a 1/1,000th interest in a share of our Series B Preferred Stock. Our Series B Preferred Stock has no stated maturity, is not subject to any sinking fund or mandatory redemption and ranks on parity with our Series A Preferred Stock. Under certain circumstances upon a change of control, our Series B Preferred Stock is convertible to shares of our common stock. Holders of depositary shares have no voting rights, except under limited conditions, and are entitled to receive cumulative cash dividends at a rate of 7.750% per annum of the $25.00 per depositary share liquidation preference before holders of our common stock are entitled to receive any dividends. Dividends are payable quarterly in arrears on the 15th day of each January, April, July and October. Depositary shares are redeemable at $25.00 per depositary share plus accumulated and unpaid dividends (whether or not declared) exclusively at our option commencing on May 8, 2019, or earlier under certain circumstances intended to preserve our qualification as a REIT for federal income tax purposes. As of June 30, 2014, we had declared all required quarterly dividends on the Series B Preferred Stock underlying our depositary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October 2012, our Board of Directors adopted a program that provides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repurchase shares only when the purchase price is less than our estimate of our current net asset value per share of our common stock.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9"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did not repurchase any shares of our common stock during the three months ended June 30, 2014. During the six months ended June 30, 2014, we repurchased approximately 3.4 million shares of our common stock at an average repurchase price of $22.10 per share, including expenses, totaling $74 million. As of June 30, 2014, the total remaining amount authorized for repurchases of our common stock was $992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changes to accumulated OCI for the three and six months ended June 30, 2014 and 2013 (in millions):</w:t>
      </w:r>
    </w:p>
    <w:p>
      <w:pPr>
        <w:sectPr>
          <w:pgSz w:w="11900" w:h="16838" w:orient="portrait"/>
          <w:cols w:equalWidth="0" w:num="1">
            <w:col w:w="10760"/>
          </w:cols>
          <w:pgMar w:left="240" w:top="746"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Accumulated Other Comprehensive Income (Loss)</w:t>
      </w:r>
    </w:p>
    <w:p>
      <w:pPr>
        <w:spacing w:after="0" w:line="9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Balance as of March 31, 2014</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OCI before reclassifications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Amounts reclassified from accumulated OCI</w:t>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Balance as of June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38100</wp:posOffset>
            </wp:positionV>
            <wp:extent cx="3498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Balance as of March 31, 2013</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OCI before reclassifications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Amounts reclassified from accumulated OCI</w:t>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Balance as of June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31115</wp:posOffset>
            </wp:positionV>
            <wp:extent cx="3524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Balance as of December 31, 2013</w:t>
      </w:r>
    </w:p>
    <w:p>
      <w:pPr>
        <w:spacing w:after="0" w:line="8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OCI before reclassifications</w:t>
      </w:r>
    </w:p>
    <w:p>
      <w:pPr>
        <w:spacing w:after="0" w:line="8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Amounts reclassified from accumulated OCI</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Balance as of June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31115</wp:posOffset>
            </wp:positionV>
            <wp:extent cx="3524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Balance as of December 31, 2012</w:t>
      </w:r>
    </w:p>
    <w:p>
      <w:pPr>
        <w:spacing w:after="0" w:line="8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OCI before reclassifications</w:t>
      </w:r>
    </w:p>
    <w:p>
      <w:pPr>
        <w:spacing w:after="0" w:line="8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Amounts reclassified from accumulated OCI</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Balance as of June 30,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Three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813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Net Unrealized Gain</w:t>
            </w:r>
          </w:p>
        </w:tc>
        <w:tc>
          <w:tcPr>
            <w:tcW w:w="20" w:type="dxa"/>
            <w:vAlign w:val="bottom"/>
          </w:tcPr>
          <w:p>
            <w:pPr>
              <w:spacing w:after="0"/>
              <w:rPr>
                <w:sz w:val="14"/>
                <w:szCs w:val="14"/>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20" w:type="dxa"/>
            <w:vAlign w:val="bottom"/>
          </w:tcPr>
          <w:p>
            <w:pPr>
              <w:spacing w:after="0"/>
              <w:rPr>
                <w:sz w:val="14"/>
                <w:szCs w:val="14"/>
                <w:color w:val="auto"/>
              </w:rPr>
            </w:pPr>
          </w:p>
        </w:tc>
        <w:tc>
          <w:tcPr>
            <w:tcW w:w="13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w w:val="98"/>
              </w:rPr>
              <w:t>Total Accumulated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rPr>
              <w:t>OCI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for-Sale MBS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(Loss) on Swaps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center"/>
              <w:ind w:right="282"/>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jc w:val="center"/>
              <w:ind w:left="762"/>
              <w:spacing w:after="0"/>
              <w:rPr>
                <w:sz w:val="20"/>
                <w:szCs w:val="20"/>
                <w:color w:val="auto"/>
              </w:rPr>
            </w:pPr>
            <w:r>
              <w:rPr>
                <w:rFonts w:ascii="Arial" w:cs="Arial" w:eastAsia="Arial" w:hAnsi="Arial"/>
                <w:sz w:val="14"/>
                <w:szCs w:val="14"/>
                <w:b w:val="1"/>
                <w:bCs w:val="1"/>
                <w:color w:val="auto"/>
                <w:w w:val="93"/>
              </w:rPr>
              <w:t>Three Months Ended June 30, 2013</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Net Unrealized Gain</w:t>
            </w:r>
          </w:p>
        </w:tc>
        <w:tc>
          <w:tcPr>
            <w:tcW w:w="20" w:type="dxa"/>
            <w:vAlign w:val="bottom"/>
          </w:tcPr>
          <w:p>
            <w:pPr>
              <w:spacing w:after="0"/>
              <w:rPr>
                <w:sz w:val="13"/>
                <w:szCs w:val="13"/>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20" w:type="dxa"/>
            <w:vAlign w:val="bottom"/>
          </w:tcPr>
          <w:p>
            <w:pPr>
              <w:spacing w:after="0"/>
              <w:rPr>
                <w:sz w:val="13"/>
                <w:szCs w:val="13"/>
                <w:color w:val="auto"/>
              </w:rPr>
            </w:pPr>
          </w:p>
        </w:tc>
        <w:tc>
          <w:tcPr>
            <w:tcW w:w="1380" w:type="dxa"/>
            <w:vAlign w:val="bottom"/>
            <w:gridSpan w:val="2"/>
          </w:tcPr>
          <w:p>
            <w:pPr>
              <w:jc w:val="right"/>
              <w:ind w:right="42"/>
              <w:spacing w:after="0" w:line="153" w:lineRule="exact"/>
              <w:rPr>
                <w:sz w:val="20"/>
                <w:szCs w:val="20"/>
                <w:color w:val="auto"/>
              </w:rPr>
            </w:pPr>
            <w:r>
              <w:rPr>
                <w:rFonts w:ascii="Arial" w:cs="Arial" w:eastAsia="Arial" w:hAnsi="Arial"/>
                <w:sz w:val="14"/>
                <w:szCs w:val="14"/>
                <w:b w:val="1"/>
                <w:bCs w:val="1"/>
                <w:color w:val="auto"/>
                <w:w w:val="98"/>
              </w:rPr>
              <w:t>Total Accumulated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rPr>
              <w:t>OCI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for-Sale MBS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(Loss) on Swaps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center"/>
              <w:ind w:right="282"/>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jc w:val="right"/>
              <w:ind w:right="68"/>
              <w:spacing w:after="0"/>
              <w:rPr>
                <w:sz w:val="20"/>
                <w:szCs w:val="20"/>
                <w:color w:val="auto"/>
              </w:rPr>
            </w:pPr>
            <w:r>
              <w:rPr>
                <w:rFonts w:ascii="Arial" w:cs="Arial" w:eastAsia="Arial" w:hAnsi="Arial"/>
                <w:sz w:val="14"/>
                <w:szCs w:val="14"/>
                <w:b w:val="1"/>
                <w:bCs w:val="1"/>
                <w:color w:val="auto"/>
              </w:rPr>
              <w:t>Six Months Ended June 30, 2014</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gridSpan w:val="4"/>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Net Unrealized Gain</w:t>
            </w:r>
          </w:p>
        </w:tc>
        <w:tc>
          <w:tcPr>
            <w:tcW w:w="20" w:type="dxa"/>
            <w:vAlign w:val="bottom"/>
          </w:tcPr>
          <w:p>
            <w:pPr>
              <w:spacing w:after="0"/>
              <w:rPr>
                <w:sz w:val="13"/>
                <w:szCs w:val="13"/>
                <w:color w:val="auto"/>
              </w:rPr>
            </w:pPr>
          </w:p>
        </w:tc>
        <w:tc>
          <w:tcPr>
            <w:tcW w:w="15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Unrealized Gain</w:t>
            </w:r>
          </w:p>
        </w:tc>
        <w:tc>
          <w:tcPr>
            <w:tcW w:w="20" w:type="dxa"/>
            <w:vAlign w:val="bottom"/>
          </w:tcPr>
          <w:p>
            <w:pPr>
              <w:spacing w:after="0"/>
              <w:rPr>
                <w:sz w:val="13"/>
                <w:szCs w:val="13"/>
                <w:color w:val="auto"/>
              </w:rPr>
            </w:pP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Total Accumulated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rPr>
              <w:t>OCI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for-Sale MBS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(Loss) on Swaps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9"/>
                <w:szCs w:val="19"/>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1,315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1,315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jc w:val="right"/>
              <w:ind w:right="68"/>
              <w:spacing w:after="0"/>
              <w:rPr>
                <w:sz w:val="20"/>
                <w:szCs w:val="20"/>
                <w:color w:val="auto"/>
              </w:rPr>
            </w:pPr>
            <w:r>
              <w:rPr>
                <w:rFonts w:ascii="Arial" w:cs="Arial" w:eastAsia="Arial" w:hAnsi="Arial"/>
                <w:sz w:val="14"/>
                <w:szCs w:val="14"/>
                <w:b w:val="1"/>
                <w:bCs w:val="1"/>
                <w:color w:val="auto"/>
              </w:rPr>
              <w:t>Six Months Ended June 30, 2013</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gridSpan w:val="4"/>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Net Unrealized Gain</w:t>
            </w:r>
          </w:p>
        </w:tc>
        <w:tc>
          <w:tcPr>
            <w:tcW w:w="20" w:type="dxa"/>
            <w:vAlign w:val="bottom"/>
          </w:tcPr>
          <w:p>
            <w:pPr>
              <w:spacing w:after="0"/>
              <w:rPr>
                <w:sz w:val="13"/>
                <w:szCs w:val="13"/>
                <w:color w:val="auto"/>
              </w:rPr>
            </w:pPr>
          </w:p>
        </w:tc>
        <w:tc>
          <w:tcPr>
            <w:tcW w:w="15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Unrealized Gain</w:t>
            </w:r>
          </w:p>
        </w:tc>
        <w:tc>
          <w:tcPr>
            <w:tcW w:w="20" w:type="dxa"/>
            <w:vAlign w:val="bottom"/>
          </w:tcPr>
          <w:p>
            <w:pPr>
              <w:spacing w:after="0"/>
              <w:rPr>
                <w:sz w:val="13"/>
                <w:szCs w:val="13"/>
                <w:color w:val="auto"/>
              </w:rPr>
            </w:pP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Total Accumulated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rPr>
              <w:t>OCI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for-Sale MBS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(Loss) on Swaps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(3,659)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-4836160</wp:posOffset>
            </wp:positionV>
            <wp:extent cx="63804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04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-4493260</wp:posOffset>
            </wp:positionV>
            <wp:extent cx="638048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0480" cy="18034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-3404235</wp:posOffset>
            </wp:positionV>
            <wp:extent cx="63804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04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-3060700</wp:posOffset>
            </wp:positionV>
            <wp:extent cx="638048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0480" cy="18034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-1971675</wp:posOffset>
            </wp:positionV>
            <wp:extent cx="64058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05880" cy="17145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-1628775</wp:posOffset>
            </wp:positionV>
            <wp:extent cx="64058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05880" cy="18034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-539750</wp:posOffset>
            </wp:positionV>
            <wp:extent cx="64058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05880" cy="17145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-196850</wp:posOffset>
            </wp:positionV>
            <wp:extent cx="640588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0588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440"/>
          </w:cols>
          <w:pgMar w:left="240" w:top="746" w:right="899" w:bottom="1440" w:gutter="0" w:footer="0" w:header="0"/>
          <w:type w:val="continuous"/>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760"/>
          </w:cols>
          <w:pgMar w:left="240" w:top="746" w:right="899" w:bottom="1440" w:gutter="0" w:footer="0" w:header="0"/>
          <w:type w:val="continuous"/>
        </w:sectPr>
      </w:pPr>
    </w:p>
    <w:bookmarkStart w:id="26" w:name="page27"/>
    <w:bookmarkEnd w:id="26"/>
    <w:p>
      <w:pPr>
        <w:ind w:left="440"/>
        <w:spacing w:after="0"/>
        <w:rPr>
          <w:sz w:val="20"/>
          <w:szCs w:val="20"/>
          <w:color w:val="auto"/>
        </w:rPr>
      </w:pPr>
      <w:r>
        <w:rPr>
          <w:rFonts w:ascii="Arial" w:cs="Arial" w:eastAsia="Arial" w:hAnsi="Arial"/>
          <w:sz w:val="17"/>
          <w:szCs w:val="17"/>
          <w:color w:val="auto"/>
        </w:rPr>
        <w:t>The following table summarizes reclassifications out of accumulated OCI for the three and six months ended June 30, 2014 and 2013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96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amounts reclassified from accumulated OCI for available-for-sale</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w:t>
            </w: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Periodic interest costs of interest rate swaps previously designated as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96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96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line="20" w:lineRule="exact"/>
              <w:rPr>
                <w:sz w:val="1"/>
                <w:szCs w:val="1"/>
                <w:color w:val="auto"/>
              </w:rPr>
            </w:pPr>
          </w:p>
        </w:tc>
      </w:tr>
      <w:tr>
        <w:trPr>
          <w:trHeight w:val="500"/>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96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(Gain) loss amounts reclassified from accumulated OCI for available-for-</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sale MBS</w:t>
            </w: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Periodic interest costs of interest rate swaps previously designated as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96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96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five sections:</w:t>
      </w:r>
    </w:p>
    <w:p>
      <w:pPr>
        <w:spacing w:after="0" w:line="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and in other assets reasonably related to agency securities.</w:t>
      </w:r>
    </w:p>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preserve our net book value (also referred to as "net asset value", "NAV" and "stockholders' equity") while generating attractive risk-adjusted returns for distribution to our stockholders through regular quarterly dividends from the combination of our net interest income and net realized gains and losses on our investments and hedging activities. We fund our investments primarily through borrowings structured as repurchase agreements ("repo").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strategy is designed to:</w:t>
      </w:r>
    </w:p>
    <w:p>
      <w:pPr>
        <w:spacing w:after="0" w:line="185" w:lineRule="exact"/>
        <w:rPr>
          <w:sz w:val="20"/>
          <w:szCs w:val="20"/>
          <w:color w:val="auto"/>
        </w:rPr>
      </w:pPr>
    </w:p>
    <w:p>
      <w:pPr>
        <w:ind w:left="760" w:hanging="347"/>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and assets reasonably related to agency securities that seeks to generate attractive risk-adjusted returns;</w:t>
      </w:r>
    </w:p>
    <w:p>
      <w:pPr>
        <w:spacing w:after="0" w:line="75"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regular quarterly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evolving regulations or legal settlements that impact servicing practices or other mortgage related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As a result, we may not hedge certain interest rate, prepayment or extension risks if our Manager believes that bearing such risks enhances our return relative to our risk/return profile, or the hedging transaction would negatively impact our REIT status.</w:t>
      </w:r>
    </w:p>
    <w:p>
      <w:pPr>
        <w:spacing w:after="0" w:line="349" w:lineRule="exact"/>
        <w:rPr>
          <w:sz w:val="20"/>
          <w:szCs w:val="20"/>
          <w:color w:val="auto"/>
        </w:rPr>
      </w:pPr>
    </w:p>
    <w:p>
      <w:pPr>
        <w:jc w:val="both"/>
        <w:ind w:left="660" w:hanging="328"/>
        <w:spacing w:after="0" w:line="272"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potential interest rate mismatches between the interest we earn on our longer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77"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92"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8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65" w:lineRule="exact"/>
        <w:rPr>
          <w:rFonts w:ascii="Arial" w:cs="Arial" w:eastAsia="Arial" w:hAnsi="Arial"/>
          <w:sz w:val="17"/>
          <w:szCs w:val="17"/>
          <w:b w:val="1"/>
          <w:bCs w:val="1"/>
          <w:i w:val="1"/>
          <w:iCs w:val="1"/>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3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hedging instruments are generally not designed to protect our net book value from "spread risk" (also referred to as "basis risk"), which is the risk of an increase of the market spread between the yield on our agency securities and the benchmark yield on U.S. Treasury securities or interest rate swap rates. The inherent spread risk associated with our agency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 Consequently, while we use interest rate swaps and other supplemental hedges to attempt to protect our net book value against moves in interest rates, such instruments typically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will not protect our net book value against spread risk and, therefore, the value of our agency securities and our net book value could decline.</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0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Income from hedging transactions that we enter into to manage risk may not constitute qualifying gross income under one or both of the gross income tests applicable to REITs.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fixed income markets saw improvement and a return to relative stability during the first half of 2014, after being one of the hardest hit sectors during 2013. Fixed rate agency MBS prices were generally higher during both the first and second quarters of 2014, driven by a combination of lower long term rates, tighter mortgage spreads and lower levels of implied interest rate volatility (lower option prices). During the first half of 2014, the Fed began to reduce purchases under its asset purchase program ("QE3"), in line with its "tapering" guidance issued during December 2013. Mixed economic data and the “measured” tapering actions taken by the Fed during the first half of 2014 led to a meaningful flattening of the yield curve, as the market began to realize that the pace of tightening in Fed monetary policy would likely be more gradual and have a more moderate impact than many had initially expected. Agency mortgage spreads also tightened significantly during the first half of 2014, leading to considerably more price appreciation on agency MBS than on comparable duration U.S. Treasury securities. The relative outperformance of agency MBS is widely attributed to a combination of historically low mortgage origination volume, conservative positioning by fixed income investors, with many agency MBS investors meaningfully underweight their benchmark, and a favorable "stock-effect" due to the Fed's significant ownership of approximately one third, or nearly $1.8 trillion, of the agency MBS market as of June 30, 2014.</w:t>
      </w:r>
    </w:p>
    <w:p>
      <w:pPr>
        <w:spacing w:after="0" w:line="13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to the general outperformance of the agency MBS market, our performance during the first half of 2014 was also bolstered by very favorable financing rates in the TBA dollar roll market, our moderate leverage profile and our decision to maintain a larger “duration gap” (the estimated difference between the interest rate sensitivity of our assets and our liabilities and hedges). The combination of these factors drove our aggregate economic return of 15.2% for the first half of 2014, comprised of $1.30 dividends per common share and a $2.33 increase in our net book value per common share.</w:t>
      </w:r>
    </w:p>
    <w:p>
      <w:pPr>
        <w:spacing w:after="0" w:line="10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By the start of 2014, we had increased our 15 year fixed rate mortgage position to just over 50% of our portfolio, which benefited our first quarter performance as 15 year mortgages, on a hedge adjusted basis, generally outperformed 30 year mortgages during the first quarter. Early in the second quarter, the price of higher coupon 15 year agency MBS increased significantly relative to other agency MBS instruments, particularly 30 year agency MBS. In response to this changing dynamic, we reduced our 15 year position to approximately 38% of our portfolio and increased our 30 year position to 57%. This shift further benefited our performance in the second quarter as 30 year mortgages generally outperformed 15 year mortgages.</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to operating with a larger duration gap during the first half of 2014, we also shifted the composition of our hedge portfolio toward a greater share of hedges in the three to seven year part of the yield curve and avoided the negative impact of lower option prices by reducing the size of our swaption portfolio beginning in the fourth quarter of 2013.</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Our decision to operate with a slightly larger duration gap was consistent with our moderate leverage profile and the minimal extension risk in our portfolio and in agency MBS more broadly. Our exposure to an increase in interest rates is the combination of our current duration plus the duration extension that occurs as interest rates increase. As such, when extension risk is viewed as more significant, we will tend to operate with a smaller duration gap and when extension risk is deemed less significant, we will tend to operate with a larger duration gap. For further discussion of our interest rate sensitivity, refer to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in this Form 10-Q.</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Given the very favorable implied financing terms available during the first half of 2014 in the TBA dollar roll market and lower relative benefits of holding specific mortgage pools, we increased our investment allocation in TBA securities, rather than settling specific mortgage pools and funding them with repurchase agreements. Our TBA dollar roll position increased from $2.3 billion as of December 31, 2013 to $18.4 billion as of June 30, 2014 (or from 3% to 26% of our portfolio). Gains and losses on TBA positions are treated as capital gains or losses for purposes of determining our taxable earnings. An additional benefit to gaining exposure to agency MBS in TBA form and continuing to roll the purchases forward to later settlement dates,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 xml:space="preserve">is that dollar roll income associated with these positions may be offset against our prior year capital loss carryforward. Therefore, given our relative shift towards dollar roll income, we expect that a portion of our 2014 dividends declared on our common stock will represent a "return of capital" for income tax purposes when the final determination is made after the end of our calendar year. For shareholders that hold our common stock in taxable accounts, this may result in an improvement in their after-tax returns. The final tax characterization of our dividends will be reported to shareholders on Form 1099-DIV after the end of the calendar year. Please also refer to </w:t>
      </w:r>
      <w:r>
        <w:rPr>
          <w:rFonts w:ascii="Arial" w:cs="Arial" w:eastAsia="Arial" w:hAnsi="Arial"/>
          <w:sz w:val="18"/>
          <w:szCs w:val="18"/>
          <w:i w:val="1"/>
          <w:iCs w:val="1"/>
          <w:color w:val="auto"/>
        </w:rPr>
        <w:t>Dividends and Income Taxes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for further information regarding our estimated taxable earnings.</w:t>
      </w:r>
    </w:p>
    <w:p>
      <w:pPr>
        <w:spacing w:after="0" w:line="13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Looking ahead, we believe agency MBS valuations will benefit from favorable supply and demand technical factors throughout the remainder of 2014 and likely into 2015. An important driver of our outlook for agency MBS is our belief that the Fed will remain a significant purchaser of agency MBS, as it continues to reinvest paydowns on its portfolio into new agency MBS holdings, for a considerable time following the conclusion of QE3. In addition, we expect new loan origination volumes to be depressed as refinance activity will be muted in the absence of a significant decline in interest rates and as first time homebuyers continue to face a myriad of challenges. We also believe agency MBS are more attractive to fixed income investors relative to other fixed income investments, as agency MBS yields have increased by more than 100 bps since the start of QE3 through June 30, 2014, while yields on comparable duration investments have generally fallen. Agency MBS also offer several advantages over many other fixed-income products, such as greater liquidity and financing opportunities and a favorable "stock-effect" due to the Fed's significant ownership of agency MBS.</w:t>
      </w:r>
    </w:p>
    <w:p>
      <w:pPr>
        <w:spacing w:after="0" w:line="1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Given these factors, we believe agency MBS will perform well relative to other fixed income products and that TBA dollar roll financing will remain very attractive for some period of time, even if funding rates were to rise above, or become less “special” than, levels experienced during the first half of 2014. However, if conditions change resulting in higher interest rates and/or wider mortgage spreads, and assuming we took no further portfolio rebalancing actions, it would likely have an adverse impact on our net book value. For the estimated impact of changes in interests rates and mortgage spreads on our net book value please refer to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this Form 10-Q. However, since we employ an active management strategy, the size and composition of our assets, liabilities and hedges will evolve based on our Manager’s view of the current market environment and relative risks and rewards. As such, the actual impact of changes in interest rates and mortgage spreads could differ materially from our estimates.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interest rates and prices of generic fixed rate agency mortgage-backed securities as of each date presented below:</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tbl>
      <w:tblPr>
        <w:tblLayout w:type="fixed"/>
        <w:tblInd w:w="292"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June 30, 2014</w:t>
            </w: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June 30, 2014</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1"/>
                <w:szCs w:val="11"/>
                <w:b w:val="1"/>
                <w:bCs w:val="1"/>
                <w:color w:val="auto"/>
              </w:rPr>
              <w:t>1</w:t>
            </w:r>
          </w:p>
        </w:tc>
        <w:tc>
          <w:tcPr>
            <w:tcW w:w="120" w:type="dxa"/>
            <w:vAlign w:val="bottom"/>
            <w:vMerge w:val="restart"/>
          </w:tcPr>
          <w:p>
            <w:pPr>
              <w:spacing w:after="0"/>
              <w:rPr>
                <w:sz w:val="12"/>
                <w:szCs w:val="12"/>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 30,</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 31,</w:t>
            </w: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 31,</w:t>
            </w: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12"/>
                <w:szCs w:val="12"/>
                <w:color w:val="auto"/>
              </w:rPr>
            </w:pPr>
          </w:p>
        </w:tc>
        <w:tc>
          <w:tcPr>
            <w:tcW w:w="7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77"/>
              </w:rPr>
              <w:t>vs.</w:t>
            </w:r>
          </w:p>
        </w:tc>
        <w:tc>
          <w:tcPr>
            <w:tcW w:w="460" w:type="dxa"/>
            <w:vAlign w:val="bottom"/>
          </w:tcPr>
          <w:p>
            <w:pPr>
              <w:spacing w:after="0"/>
              <w:rPr>
                <w:sz w:val="12"/>
                <w:szCs w:val="12"/>
                <w:color w:val="auto"/>
              </w:rPr>
            </w:pPr>
          </w:p>
        </w:tc>
        <w:tc>
          <w:tcPr>
            <w:tcW w:w="620" w:type="dxa"/>
            <w:vAlign w:val="bottom"/>
          </w:tcPr>
          <w:p>
            <w:pPr>
              <w:jc w:val="center"/>
              <w:ind w:right="351"/>
              <w:spacing w:after="0"/>
              <w:rPr>
                <w:sz w:val="20"/>
                <w:szCs w:val="20"/>
                <w:color w:val="auto"/>
              </w:rPr>
            </w:pPr>
            <w:r>
              <w:rPr>
                <w:rFonts w:ascii="Arial" w:cs="Arial" w:eastAsia="Arial" w:hAnsi="Arial"/>
                <w:sz w:val="13"/>
                <w:szCs w:val="13"/>
                <w:b w:val="1"/>
                <w:bCs w:val="1"/>
                <w:color w:val="auto"/>
                <w:w w:val="88"/>
              </w:rPr>
              <w:t>vs.</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Mar. 31, 2014</w:t>
            </w:r>
          </w:p>
        </w:tc>
        <w:tc>
          <w:tcPr>
            <w:tcW w:w="1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Dec. 31, 2013</w:t>
            </w:r>
          </w:p>
        </w:tc>
        <w:tc>
          <w:tcPr>
            <w:tcW w:w="0" w:type="dxa"/>
            <w:vAlign w:val="bottom"/>
          </w:tcPr>
          <w:p>
            <w:pPr>
              <w:spacing w:after="0"/>
              <w:rPr>
                <w:sz w:val="1"/>
                <w:szCs w:val="1"/>
                <w:color w:val="auto"/>
              </w:rPr>
            </w:pPr>
          </w:p>
        </w:tc>
      </w:tr>
      <w:tr>
        <w:trPr>
          <w:trHeight w:val="264"/>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LIBOR:</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1-Month</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180"/>
              <w:spacing w:after="0"/>
              <w:rPr>
                <w:sz w:val="20"/>
                <w:szCs w:val="20"/>
                <w:color w:val="auto"/>
              </w:rPr>
            </w:pPr>
            <w:r>
              <w:rPr>
                <w:rFonts w:ascii="Arial" w:cs="Arial" w:eastAsia="Arial" w:hAnsi="Arial"/>
                <w:sz w:val="14"/>
                <w:szCs w:val="14"/>
                <w:color w:val="auto"/>
              </w:rPr>
              <w:t>3-Month</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0.27%</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--0.02</w:t>
            </w:r>
          </w:p>
        </w:tc>
        <w:tc>
          <w:tcPr>
            <w:tcW w:w="62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6-Month</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180"/>
              <w:spacing w:after="0"/>
              <w:rPr>
                <w:sz w:val="20"/>
                <w:szCs w:val="20"/>
                <w:color w:val="auto"/>
              </w:rPr>
            </w:pPr>
            <w:r>
              <w:rPr>
                <w:rFonts w:ascii="Arial" w:cs="Arial" w:eastAsia="Arial" w:hAnsi="Arial"/>
                <w:sz w:val="14"/>
                <w:szCs w:val="14"/>
                <w:color w:val="auto"/>
              </w:rPr>
              <w:t>3-Year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0.66%</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0.63%</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0.78%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0.90%</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0.87%</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--0.03</w:t>
            </w: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+0.09</w:t>
            </w:r>
          </w:p>
        </w:tc>
        <w:tc>
          <w:tcPr>
            <w:tcW w:w="62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180"/>
              <w:spacing w:after="0"/>
              <w:rPr>
                <w:sz w:val="20"/>
                <w:szCs w:val="20"/>
                <w:color w:val="auto"/>
              </w:rPr>
            </w:pPr>
            <w:r>
              <w:rPr>
                <w:rFonts w:ascii="Arial" w:cs="Arial" w:eastAsia="Arial" w:hAnsi="Arial"/>
                <w:sz w:val="14"/>
                <w:szCs w:val="14"/>
                <w:color w:val="auto"/>
              </w:rPr>
              <w:t>10-Year U.S. Treasury</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2.49%</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2.61%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3.03%</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2.72%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--0.19</w:t>
            </w: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--0.50</w:t>
            </w:r>
          </w:p>
        </w:tc>
        <w:tc>
          <w:tcPr>
            <w:tcW w:w="62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U.S. Treasury</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Swap Rate:</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180"/>
              <w:spacing w:after="0"/>
              <w:rPr>
                <w:sz w:val="20"/>
                <w:szCs w:val="20"/>
                <w:color w:val="auto"/>
              </w:rPr>
            </w:pPr>
            <w:r>
              <w:rPr>
                <w:rFonts w:ascii="Arial" w:cs="Arial" w:eastAsia="Arial" w:hAnsi="Arial"/>
                <w:sz w:val="14"/>
                <w:szCs w:val="14"/>
                <w:color w:val="auto"/>
              </w:rPr>
              <w:t>3-Year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0.82%</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0.76%</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0.88%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1.00%</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+0.01</w:t>
            </w: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+0.12</w:t>
            </w:r>
          </w:p>
        </w:tc>
        <w:tc>
          <w:tcPr>
            <w:tcW w:w="62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180"/>
              <w:spacing w:after="0"/>
              <w:rPr>
                <w:sz w:val="20"/>
                <w:szCs w:val="20"/>
                <w:color w:val="auto"/>
              </w:rPr>
            </w:pPr>
            <w:r>
              <w:rPr>
                <w:rFonts w:ascii="Arial" w:cs="Arial" w:eastAsia="Arial" w:hAnsi="Arial"/>
                <w:sz w:val="14"/>
                <w:szCs w:val="14"/>
                <w:color w:val="auto"/>
              </w:rPr>
              <w:t>10-Year Swap</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2.70%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2.77%</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3.09%</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2.84%</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2.63%</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--0.21</w:t>
            </w: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bps</w:t>
            </w:r>
          </w:p>
        </w:tc>
        <w:tc>
          <w:tcPr>
            <w:tcW w:w="460" w:type="dxa"/>
            <w:vAlign w:val="bottom"/>
          </w:tcPr>
          <w:p>
            <w:pPr>
              <w:jc w:val="right"/>
              <w:spacing w:after="0"/>
              <w:rPr>
                <w:sz w:val="20"/>
                <w:szCs w:val="20"/>
                <w:color w:val="auto"/>
              </w:rPr>
            </w:pPr>
            <w:r>
              <w:rPr>
                <w:rFonts w:ascii="Arial" w:cs="Arial" w:eastAsia="Arial" w:hAnsi="Arial"/>
                <w:sz w:val="14"/>
                <w:szCs w:val="14"/>
                <w:color w:val="auto"/>
              </w:rPr>
              <w:t>--0.46</w:t>
            </w:r>
          </w:p>
        </w:tc>
        <w:tc>
          <w:tcPr>
            <w:tcW w:w="620" w:type="dxa"/>
            <w:vAlign w:val="bottom"/>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30-Year Swap</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30-Year Fixed Rate MBS Price:</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$97.72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$97.70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$95.11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$96.53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$98.77</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+$2.24</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+$3.66</w:t>
            </w:r>
          </w:p>
        </w:tc>
        <w:tc>
          <w:tcPr>
            <w:tcW w:w="0" w:type="dxa"/>
            <w:vAlign w:val="bottom"/>
          </w:tcPr>
          <w:p>
            <w:pPr>
              <w:spacing w:after="0"/>
              <w:rPr>
                <w:sz w:val="1"/>
                <w:szCs w:val="1"/>
                <w:color w:val="auto"/>
              </w:rPr>
            </w:pPr>
          </w:p>
        </w:tc>
      </w:tr>
      <w:tr>
        <w:trPr>
          <w:trHeight w:val="264"/>
        </w:trPr>
        <w:tc>
          <w:tcPr>
            <w:tcW w:w="4120" w:type="dxa"/>
            <w:vAlign w:val="bottom"/>
          </w:tcPr>
          <w:p>
            <w:pPr>
              <w:ind w:left="1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$101.50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$101.83</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$99.48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$100.59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$102.92</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+$2.33</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+$3.44</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$103.11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$103.94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$106.11</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+$2.17</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+$3.00</w:t>
            </w:r>
          </w:p>
        </w:tc>
        <w:tc>
          <w:tcPr>
            <w:tcW w:w="0" w:type="dxa"/>
            <w:vAlign w:val="bottom"/>
          </w:tcPr>
          <w:p>
            <w:pPr>
              <w:spacing w:after="0"/>
              <w:rPr>
                <w:sz w:val="1"/>
                <w:szCs w:val="1"/>
                <w:color w:val="auto"/>
              </w:rPr>
            </w:pPr>
          </w:p>
        </w:tc>
      </w:tr>
      <w:tr>
        <w:trPr>
          <w:trHeight w:val="264"/>
        </w:trPr>
        <w:tc>
          <w:tcPr>
            <w:tcW w:w="4120" w:type="dxa"/>
            <w:vAlign w:val="bottom"/>
          </w:tcPr>
          <w:p>
            <w:pPr>
              <w:ind w:left="1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$105.82</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$106.80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$106.06</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$106.69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$108.30</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+$1.61</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+$2.24</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15-Year Fixed Rate MBS Price:</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18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$100.45</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$100.61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$99.00</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8"/>
              </w:rPr>
              <w:t>$99.92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$101.59</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+$1.67</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+$2.59</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$102.82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$103.53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$102.05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$103.88</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+$1.16</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+$1.83</w:t>
            </w:r>
          </w:p>
        </w:tc>
        <w:tc>
          <w:tcPr>
            <w:tcW w:w="0" w:type="dxa"/>
            <w:vAlign w:val="bottom"/>
          </w:tcPr>
          <w:p>
            <w:pPr>
              <w:spacing w:after="0"/>
              <w:rPr>
                <w:sz w:val="1"/>
                <w:szCs w:val="1"/>
                <w:color w:val="auto"/>
              </w:rPr>
            </w:pPr>
          </w:p>
        </w:tc>
      </w:tr>
      <w:tr>
        <w:trPr>
          <w:trHeight w:val="264"/>
        </w:trPr>
        <w:tc>
          <w:tcPr>
            <w:tcW w:w="4120" w:type="dxa"/>
            <w:vAlign w:val="bottom"/>
          </w:tcPr>
          <w:p>
            <w:pPr>
              <w:ind w:left="1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$104.20</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$105.58</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$104.58</w:t>
            </w:r>
          </w:p>
        </w:tc>
        <w:tc>
          <w:tcPr>
            <w:tcW w:w="1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$104.83</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$105.98</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+$1.15</w:t>
            </w:r>
          </w:p>
        </w:tc>
        <w:tc>
          <w:tcPr>
            <w:tcW w:w="100" w:type="dxa"/>
            <w:vAlign w:val="bottom"/>
          </w:tcPr>
          <w:p>
            <w:pPr>
              <w:spacing w:after="0"/>
              <w:rPr>
                <w:sz w:val="22"/>
                <w:szCs w:val="22"/>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+$1.40</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$105.32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$106.25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$105.94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$105.78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$106.17</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+$0.39</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+$0.23</w:t>
            </w:r>
          </w:p>
        </w:tc>
        <w:tc>
          <w:tcPr>
            <w:tcW w:w="0" w:type="dxa"/>
            <w:vAlign w:val="bottom"/>
          </w:tcPr>
          <w:p>
            <w:pPr>
              <w:spacing w:after="0"/>
              <w:rPr>
                <w:sz w:val="1"/>
                <w:szCs w:val="1"/>
                <w:color w:val="auto"/>
              </w:rPr>
            </w:pPr>
          </w:p>
        </w:tc>
      </w:tr>
    </w:tbl>
    <w:p>
      <w:pPr>
        <w:ind w:left="52"/>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52" w:hanging="652"/>
        <w:spacing w:after="0" w:line="255" w:lineRule="auto"/>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can vary by source. Prices in the table above were obtained from a combination of Bloomberg and dealer indications. Interest rates were obtained from Bloomberg.</w:t>
      </w:r>
    </w:p>
    <w:p>
      <w:pPr>
        <w:spacing w:after="0" w:line="200" w:lineRule="exact"/>
        <w:rPr>
          <w:sz w:val="20"/>
          <w:szCs w:val="20"/>
          <w:color w:val="auto"/>
        </w:rPr>
      </w:pPr>
    </w:p>
    <w:p>
      <w:pPr>
        <w:spacing w:after="0" w:line="315"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The following table summarizes recent prepayment trends for our portfolio:</w:t>
      </w:r>
    </w:p>
    <w:p>
      <w:pPr>
        <w:spacing w:after="0" w:line="392" w:lineRule="exact"/>
        <w:rPr>
          <w:sz w:val="20"/>
          <w:szCs w:val="20"/>
          <w:color w:val="auto"/>
        </w:rPr>
      </w:pPr>
    </w:p>
    <w:tbl>
      <w:tblPr>
        <w:tblLayout w:type="fixed"/>
        <w:tblInd w:w="912" w:type="dxa"/>
        <w:tblCellMar>
          <w:top w:w="0" w:type="dxa"/>
          <w:left w:w="0" w:type="dxa"/>
          <w:bottom w:w="0" w:type="dxa"/>
          <w:right w:w="0" w:type="dxa"/>
        </w:tblCellMar>
      </w:tblPr>
      <w:tr>
        <w:trPr>
          <w:trHeight w:val="192"/>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 2013</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Jan. 2014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Feb. 2014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 2014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 2014</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May 2014</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2014</w:t>
            </w:r>
          </w:p>
        </w:tc>
      </w:tr>
      <w:tr>
        <w:trPr>
          <w:trHeight w:val="25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AGNC portfolio</w:t>
            </w: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w:t>
            </w:r>
          </w:p>
        </w:tc>
      </w:tr>
    </w:tbl>
    <w:p>
      <w:pPr>
        <w:ind w:left="52"/>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332" w:hanging="332"/>
        <w:spacing w:after="0"/>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12"/>
          </w:cols>
          <w:pgMar w:left="248" w:top="9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2014 and December 31, 2013, our investment portfolio consisted of $53.6 billion and $65.9 billion of agency MBS, respectively, and a $18.4 billion and $2.3 billion net long TBA position, at fair value, respectively.</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June 30, 2014 and December 31, 2013, our TBA position had a net carrying value of $200 million and $(5)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certain characteristics of our agency MBS investment portfolio and our net TBA position as of June 30,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June 30, 2014</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Lower Loan</w:t>
            </w:r>
          </w:p>
        </w:tc>
        <w:tc>
          <w:tcPr>
            <w:tcW w:w="640" w:type="dxa"/>
            <w:vAlign w:val="bottom"/>
          </w:tcPr>
          <w:p>
            <w:pPr>
              <w:spacing w:after="0"/>
              <w:rPr>
                <w:sz w:val="18"/>
                <w:szCs w:val="18"/>
                <w:color w:val="auto"/>
              </w:rPr>
            </w:pPr>
          </w:p>
        </w:tc>
        <w:tc>
          <w:tcPr>
            <w:tcW w:w="196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54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Agency MBS Classified as Available-</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114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Balance &amp;</w:t>
            </w: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6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8"/>
                <w:szCs w:val="8"/>
                <w:b w:val="1"/>
                <w:bCs w:val="1"/>
                <w:color w:val="auto"/>
                <w:w w:val="95"/>
              </w:rPr>
              <w:t>4</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Yield </w:t>
            </w:r>
            <w:r>
              <w:rPr>
                <w:rFonts w:ascii="Arial" w:cs="Arial" w:eastAsia="Arial" w:hAnsi="Arial"/>
                <w:sz w:val="8"/>
                <w:szCs w:val="8"/>
                <w:b w:val="1"/>
                <w:bCs w:val="1"/>
                <w:color w:val="auto"/>
                <w:w w:val="95"/>
              </w:rPr>
              <w:t>5</w:t>
            </w:r>
          </w:p>
        </w:tc>
        <w:tc>
          <w:tcPr>
            <w:tcW w:w="120" w:type="dxa"/>
            <w:vAlign w:val="bottom"/>
            <w:vMerge w:val="restart"/>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Age (Mths)</w:t>
            </w:r>
          </w:p>
        </w:tc>
        <w:tc>
          <w:tcPr>
            <w:tcW w:w="12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for-Sale ("AFS")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HARP </w:t>
            </w:r>
            <w:r>
              <w:rPr>
                <w:rFonts w:ascii="Arial" w:cs="Arial" w:eastAsia="Arial" w:hAnsi="Arial"/>
                <w:sz w:val="8"/>
                <w:szCs w:val="8"/>
                <w:b w:val="1"/>
                <w:bCs w:val="1"/>
                <w:color w:val="auto"/>
              </w:rPr>
              <w:t>2,3</w:t>
            </w: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Investments By Coupon: </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2.97%</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2.05%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5,096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5,136</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76%</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3.50%</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2.28%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3.93%</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2.50%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5,400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5,520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88%</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4.40%</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2.74%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4.87%</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3.09%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104.4%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26%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0"/>
              </w:rPr>
              <w:t>6.46%</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4.43%</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5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27,825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28,172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3.70%</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2.40%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32</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54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3.55%</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3.10%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63%</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4.05%</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3.07%</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4.53%</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3.03%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4.89%</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3.08%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106.2%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0"/>
              </w:rPr>
              <w:t>5.90%</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3.35%</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0"/>
        </w:trPr>
        <w:tc>
          <w:tcPr>
            <w:tcW w:w="254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1,306</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55%</w:t>
            </w:r>
          </w:p>
        </w:tc>
        <w:tc>
          <w:tcPr>
            <w:tcW w:w="100" w:type="dxa"/>
            <w:vAlign w:val="bottom"/>
          </w:tcPr>
          <w:p>
            <w:pPr>
              <w:spacing w:after="0"/>
              <w:rPr>
                <w:sz w:val="21"/>
                <w:szCs w:val="21"/>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4.04%</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3.08%</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0"/>
        </w:trPr>
        <w:tc>
          <w:tcPr>
            <w:tcW w:w="25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4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69%</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3.69%</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2.77%</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8,972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4.02%</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2.75%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8,459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9,014</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8,983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96%</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4.47%</w:t>
            </w:r>
          </w:p>
        </w:tc>
        <w:tc>
          <w:tcPr>
            <w:tcW w:w="940" w:type="dxa"/>
            <w:vAlign w:val="bottom"/>
            <w:gridSpan w:val="3"/>
          </w:tcPr>
          <w:p>
            <w:pPr>
              <w:jc w:val="center"/>
              <w:ind w:left="188"/>
              <w:spacing w:after="0"/>
              <w:rPr>
                <w:sz w:val="20"/>
                <w:szCs w:val="20"/>
                <w:color w:val="auto"/>
              </w:rPr>
            </w:pPr>
            <w:r>
              <w:rPr>
                <w:rFonts w:ascii="Arial" w:cs="Arial" w:eastAsia="Arial" w:hAnsi="Arial"/>
                <w:sz w:val="14"/>
                <w:szCs w:val="14"/>
                <w:color w:val="auto"/>
                <w:w w:val="90"/>
              </w:rPr>
              <w:t>3.11%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4.95%</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3.48%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65%</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5.45%</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3.82%</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36%</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0"/>
              </w:rPr>
              <w:t>6.23%</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3.49%</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90</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20,287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21,560</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21,362</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94%</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0"/>
              </w:rPr>
              <w:t>4.37%</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3.02%</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56"/>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50,691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50,871</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75%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3.99%</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2.68%</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3.03%</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2.38%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0"/>
              </w:rPr>
              <w:t>4.29%</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2.88%</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Total / Weighted Average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50,628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52,904</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53,127</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72%</w:t>
            </w:r>
          </w:p>
        </w:tc>
        <w:tc>
          <w:tcPr>
            <w:tcW w:w="100" w:type="dxa"/>
            <w:vAlign w:val="bottom"/>
          </w:tcPr>
          <w:p>
            <w:pPr>
              <w:spacing w:after="0"/>
              <w:rPr>
                <w:sz w:val="21"/>
                <w:szCs w:val="21"/>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3.98%</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2.68%</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Agency MBS Remeasured at Fair Value Through Earnings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Yield </w:t>
            </w:r>
            <w:r>
              <w:rPr>
                <w:rFonts w:ascii="Arial" w:cs="Arial" w:eastAsia="Arial" w:hAnsi="Arial"/>
                <w:sz w:val="8"/>
                <w:szCs w:val="8"/>
                <w:b w:val="1"/>
                <w:bCs w:val="1"/>
                <w:color w:val="auto"/>
                <w:w w:val="95"/>
              </w:rPr>
              <w:t>5</w:t>
            </w:r>
          </w:p>
        </w:tc>
        <w:tc>
          <w:tcPr>
            <w:tcW w:w="10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Age (Mths)</w:t>
            </w:r>
          </w:p>
        </w:tc>
        <w:tc>
          <w:tcPr>
            <w:tcW w:w="12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Projected Life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5.48%</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7.95%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Principal-Only Strips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4.14%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4.55%</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6.04%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was 3.51% and the weighted average coupon on our total agency MBS portfolio, including agency MBS remeasured at fair value through earnings, was 3.63% as of June 30, 2014.</w:t>
      </w:r>
    </w:p>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$99,000 and $95,000 for 15-year and 30-year securities, respectively, as of June 30, 2014.</w:t>
      </w:r>
    </w:p>
    <w:p>
      <w:pPr>
        <w:ind w:left="660" w:hanging="328"/>
        <w:spacing w:after="0" w:line="260" w:lineRule="auto"/>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HARP securities are defined as pools backed by100% refinance loans with LTV ≥ 80%. Our HARP securities had a weighted average LTV of 108% and 107% for 15-year and 30-year securities, respectively, as of June 30, 2014. Includes $973 million and $2.1 billion of 15-year and 30-year securities with &gt;105 LTV pools which are not deliverable into TBA securities.</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June 30, 2014.</w:t>
      </w:r>
    </w:p>
    <w:p>
      <w:pPr>
        <w:spacing w:after="0" w:line="200" w:lineRule="exact"/>
        <w:rPr>
          <w:sz w:val="20"/>
          <w:szCs w:val="20"/>
          <w:color w:val="auto"/>
        </w:rPr>
      </w:pPr>
    </w:p>
    <w:p>
      <w:pPr>
        <w:spacing w:after="0" w:line="39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Notional</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3"/>
                <w:szCs w:val="13"/>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Amount - Long</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 xml:space="preserve">Cost Basis </w:t>
            </w:r>
            <w:r>
              <w:rPr>
                <w:rFonts w:ascii="Arial" w:cs="Arial" w:eastAsia="Arial" w:hAnsi="Arial"/>
                <w:sz w:val="8"/>
                <w:szCs w:val="8"/>
                <w:b w:val="1"/>
                <w:bCs w:val="1"/>
                <w:color w:val="auto"/>
                <w:w w:val="96"/>
              </w:rPr>
              <w:t>2</w:t>
            </w:r>
          </w:p>
        </w:tc>
        <w:tc>
          <w:tcPr>
            <w:tcW w:w="12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 xml:space="preserve">(Short)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8"/>
                <w:szCs w:val="8"/>
                <w:b w:val="1"/>
                <w:bCs w:val="1"/>
                <w:color w:val="auto"/>
                <w:w w:val="96"/>
              </w:rPr>
              <w:t>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60" w:type="dxa"/>
            <w:vAlign w:val="bottom"/>
          </w:tcPr>
          <w:p>
            <w:pPr>
              <w:jc w:val="right"/>
              <w:ind w:right="300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2"/>
                <w:szCs w:val="22"/>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35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3560" w:type="dxa"/>
            <w:vAlign w:val="bottom"/>
          </w:tcPr>
          <w:p>
            <w:pPr>
              <w:jc w:val="right"/>
              <w:ind w:right="300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60" w:type="dxa"/>
            <w:vAlign w:val="bottom"/>
          </w:tcPr>
          <w:p>
            <w:pPr>
              <w:jc w:val="right"/>
              <w:ind w:right="30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35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3560" w:type="dxa"/>
            <w:vAlign w:val="bottom"/>
          </w:tcPr>
          <w:p>
            <w:pPr>
              <w:jc w:val="right"/>
              <w:ind w:right="300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10,530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11,004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11,125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jc w:val="right"/>
              <w:ind w:right="300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19,227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19,428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68"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w w:val="93"/>
              </w:rPr>
              <w:t>December 31, 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gridSpan w:val="8"/>
          </w:tcPr>
          <w:p>
            <w:pPr>
              <w:jc w:val="center"/>
              <w:ind w:right="920"/>
              <w:spacing w:after="0"/>
              <w:rPr>
                <w:sz w:val="20"/>
                <w:szCs w:val="20"/>
                <w:color w:val="auto"/>
              </w:rPr>
            </w:pPr>
            <w:r>
              <w:rPr>
                <w:rFonts w:ascii="Arial" w:cs="Arial" w:eastAsia="Arial" w:hAnsi="Arial"/>
                <w:sz w:val="14"/>
                <w:szCs w:val="14"/>
                <w:b w:val="1"/>
                <w:bCs w:val="1"/>
                <w:color w:val="auto"/>
                <w:w w:val="98"/>
              </w:rPr>
              <w:t>% Lower Loan</w:t>
            </w:r>
          </w:p>
        </w:tc>
        <w:tc>
          <w:tcPr>
            <w:tcW w:w="1900" w:type="dxa"/>
            <w:vAlign w:val="bottom"/>
            <w:gridSpan w:val="9"/>
          </w:tcPr>
          <w:p>
            <w:pPr>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right"/>
              <w:ind w:right="80"/>
              <w:spacing w:after="0" w:line="139" w:lineRule="exact"/>
              <w:rPr>
                <w:sz w:val="20"/>
                <w:szCs w:val="20"/>
                <w:color w:val="auto"/>
              </w:rPr>
            </w:pPr>
            <w:r>
              <w:rPr>
                <w:rFonts w:ascii="Arial" w:cs="Arial" w:eastAsia="Arial" w:hAnsi="Arial"/>
                <w:sz w:val="14"/>
                <w:szCs w:val="14"/>
                <w:b w:val="1"/>
                <w:bCs w:val="1"/>
                <w:color w:val="auto"/>
                <w:w w:val="99"/>
              </w:rPr>
              <w:t>Amortized</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Balance &amp;</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 Classified as AFS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4</w:t>
            </w:r>
          </w:p>
        </w:tc>
        <w:tc>
          <w:tcPr>
            <w:tcW w:w="120" w:type="dxa"/>
            <w:vAlign w:val="bottom"/>
          </w:tcPr>
          <w:p>
            <w:pPr>
              <w:spacing w:after="0"/>
              <w:rPr>
                <w:sz w:val="5"/>
                <w:szCs w:val="5"/>
                <w:color w:val="auto"/>
              </w:rPr>
            </w:pPr>
          </w:p>
        </w:tc>
        <w:tc>
          <w:tcPr>
            <w:tcW w:w="7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Cost Basis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 xml:space="preserve">HARP </w:t>
            </w:r>
            <w:r>
              <w:rPr>
                <w:rFonts w:ascii="Arial" w:cs="Arial" w:eastAsia="Arial" w:hAnsi="Arial"/>
                <w:sz w:val="8"/>
                <w:szCs w:val="8"/>
                <w:b w:val="1"/>
                <w:bCs w:val="1"/>
                <w:color w:val="auto"/>
              </w:rPr>
              <w:t>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280" w:type="dxa"/>
            <w:vAlign w:val="bottom"/>
            <w:gridSpan w:val="2"/>
            <w:shd w:val="clear" w:color="auto" w:fill="CCEEFF"/>
          </w:tcPr>
          <w:p>
            <w:pPr>
              <w:ind w:left="700"/>
              <w:spacing w:after="0" w:line="153" w:lineRule="exact"/>
              <w:rPr>
                <w:sz w:val="20"/>
                <w:szCs w:val="20"/>
                <w:color w:val="auto"/>
              </w:rPr>
            </w:pPr>
            <w:r>
              <w:rPr>
                <w:rFonts w:ascii="Arial" w:cs="Arial" w:eastAsia="Arial" w:hAnsi="Arial"/>
                <w:sz w:val="14"/>
                <w:szCs w:val="14"/>
                <w:b w:val="1"/>
                <w:bCs w:val="1"/>
                <w:color w:val="auto"/>
              </w:rPr>
              <w:t>Investments By</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280" w:type="dxa"/>
            <w:vAlign w:val="bottom"/>
            <w:gridSpan w:val="2"/>
            <w:shd w:val="clear" w:color="auto" w:fill="CCEEFF"/>
          </w:tcPr>
          <w:p>
            <w:pPr>
              <w:ind w:left="700"/>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gridSpan w:val="2"/>
          </w:tcPr>
          <w:p>
            <w:pPr>
              <w:ind w:left="70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11,189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11,400</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101.9%</w:t>
            </w:r>
          </w:p>
        </w:tc>
        <w:tc>
          <w:tcPr>
            <w:tcW w:w="100" w:type="dxa"/>
            <w:vAlign w:val="bottom"/>
          </w:tcPr>
          <w:p>
            <w:pPr>
              <w:spacing w:after="0"/>
              <w:rPr>
                <w:sz w:val="22"/>
                <w:szCs w:val="22"/>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11,109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31%</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6,220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103.0%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69%</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14,632</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104.2%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14,716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51%</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5,981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104.9%</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88%</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105.3%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99%</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92"/>
              </w:rPr>
              <w:t>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2"/>
              </w:rPr>
              <w:t>104.5%</w:t>
            </w: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23%</w:t>
            </w: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89"/>
              </w:rPr>
              <w:t>73</w:t>
            </w: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80" w:type="dxa"/>
            <w:vAlign w:val="bottom"/>
            <w:gridSpan w:val="2"/>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38,861</w:t>
            </w:r>
          </w:p>
        </w:tc>
        <w:tc>
          <w:tcPr>
            <w:tcW w:w="100" w:type="dxa"/>
            <w:vAlign w:val="bottom"/>
          </w:tcPr>
          <w:p>
            <w:pPr>
              <w:spacing w:after="0"/>
              <w:rPr>
                <w:sz w:val="21"/>
                <w:szCs w:val="21"/>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103.4%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38,687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55%</w:t>
            </w:r>
          </w:p>
        </w:tc>
        <w:tc>
          <w:tcPr>
            <w:tcW w:w="200" w:type="dxa"/>
            <w:vAlign w:val="bottom"/>
          </w:tcPr>
          <w:p>
            <w:pPr>
              <w:spacing w:after="0"/>
              <w:rPr>
                <w:sz w:val="21"/>
                <w:szCs w:val="21"/>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28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2"/>
                <w:szCs w:val="22"/>
                <w:color w:val="auto"/>
              </w:rPr>
            </w:pPr>
          </w:p>
        </w:tc>
        <w:tc>
          <w:tcPr>
            <w:tcW w:w="1000" w:type="dxa"/>
            <w:vAlign w:val="bottom"/>
            <w:gridSpan w:val="2"/>
          </w:tcPr>
          <w:p>
            <w:pPr>
              <w:jc w:val="center"/>
              <w:ind w:left="228"/>
              <w:spacing w:after="0"/>
              <w:rPr>
                <w:sz w:val="20"/>
                <w:szCs w:val="20"/>
                <w:color w:val="auto"/>
              </w:rPr>
            </w:pPr>
            <w:r>
              <w:rPr>
                <w:rFonts w:ascii="Arial" w:cs="Arial" w:eastAsia="Arial" w:hAnsi="Arial"/>
                <w:sz w:val="14"/>
                <w:szCs w:val="14"/>
                <w:color w:val="auto"/>
                <w:w w:val="95"/>
              </w:rPr>
              <w:t>99.2%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28%</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102.4%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63%</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10</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105.0%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47%</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107.3%</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97%</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2"/>
              </w:rPr>
              <w:t>106.7%</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89"/>
              </w:rPr>
              <w:t>67</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102.2%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56%</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13</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228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2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101.8%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69%</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11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106.1%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8,477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99%</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19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9,669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106.5%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92%</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22</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4,355</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106.9%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4,332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88%</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33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106.6%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65%</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69</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2"/>
              </w:rPr>
              <w:t>10%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2"/>
              </w:rPr>
              <w:t>108.8%</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2"/>
              </w:rPr>
              <w:t>36%</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89"/>
              </w:rPr>
              <w:t>84</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19%</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23,832</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2"/>
              </w:rPr>
              <w:t>106.4%</w:t>
            </w: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22,915</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93%</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89"/>
              </w:rPr>
              <w:t>24</w:t>
            </w: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Total Fixed Rate</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64,057</w:t>
            </w:r>
          </w:p>
        </w:tc>
        <w:tc>
          <w:tcPr>
            <w:tcW w:w="100" w:type="dxa"/>
            <w:vAlign w:val="bottom"/>
          </w:tcPr>
          <w:p>
            <w:pPr>
              <w:spacing w:after="0"/>
              <w:rPr>
                <w:sz w:val="21"/>
                <w:szCs w:val="21"/>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104.5%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62,961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69%</w:t>
            </w:r>
          </w:p>
        </w:tc>
        <w:tc>
          <w:tcPr>
            <w:tcW w:w="200" w:type="dxa"/>
            <w:vAlign w:val="bottom"/>
          </w:tcPr>
          <w:p>
            <w:pPr>
              <w:spacing w:after="0"/>
              <w:rPr>
                <w:sz w:val="21"/>
                <w:szCs w:val="21"/>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102.2%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26</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2"/>
              </w:rPr>
              <w:t>17%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CMO</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1,313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2"/>
              </w:rPr>
              <w:t>102.6%</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89"/>
              </w:rPr>
              <w:t>21</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66,593</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104.4%</w:t>
            </w: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66%</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w w:val="99"/>
              </w:rPr>
              <w:t>December 31, 2013</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w w:val="90"/>
              </w:rPr>
              <w:t>Weighted Average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7"/>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Agency MBS Remeasured at Fair Value Through Earnings</w:t>
            </w:r>
          </w:p>
        </w:tc>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60" w:type="dxa"/>
            <w:vAlign w:val="bottom"/>
          </w:tcPr>
          <w:p>
            <w:pPr>
              <w:spacing w:after="0"/>
              <w:rPr>
                <w:sz w:val="12"/>
                <w:szCs w:val="12"/>
                <w:color w:val="auto"/>
              </w:rPr>
            </w:pPr>
          </w:p>
        </w:tc>
        <w:tc>
          <w:tcPr>
            <w:tcW w:w="102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12"/>
                <w:szCs w:val="12"/>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Projected Life</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CCEEFF"/>
            </w:tcBorders>
            <w:gridSpan w:val="8"/>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8"/>
                <w:szCs w:val="8"/>
                <w:b w:val="1"/>
                <w:bCs w:val="1"/>
                <w:color w:val="auto"/>
                <w:w w:val="94"/>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22"/>
                <w:szCs w:val="22"/>
                <w:color w:val="auto"/>
              </w:rPr>
            </w:pP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center"/>
              <w:ind w:right="128"/>
              <w:spacing w:after="0"/>
              <w:rPr>
                <w:sz w:val="20"/>
                <w:szCs w:val="20"/>
                <w:color w:val="auto"/>
              </w:rPr>
            </w:pPr>
            <w:r>
              <w:rPr>
                <w:rFonts w:ascii="Arial" w:cs="Arial" w:eastAsia="Arial" w:hAnsi="Arial"/>
                <w:sz w:val="14"/>
                <w:szCs w:val="14"/>
                <w:color w:val="auto"/>
                <w:w w:val="95"/>
              </w:rPr>
              <w:t>5.50%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Principal-Only Strips</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8"/>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21"/>
                <w:szCs w:val="21"/>
                <w:color w:val="auto"/>
              </w:rPr>
            </w:pP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center"/>
              <w:ind w:right="128"/>
              <w:spacing w:after="0"/>
              <w:rPr>
                <w:sz w:val="20"/>
                <w:szCs w:val="20"/>
                <w:color w:val="auto"/>
              </w:rPr>
            </w:pPr>
            <w:r>
              <w:rPr>
                <w:rFonts w:ascii="Arial" w:cs="Arial" w:eastAsia="Arial" w:hAnsi="Arial"/>
                <w:sz w:val="14"/>
                <w:szCs w:val="14"/>
                <w:color w:val="auto"/>
                <w:w w:val="95"/>
              </w:rPr>
              <w:t>4.59%</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8"/>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9"/>
              </w:rPr>
              <w:t>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held as of December 31, 2013 was 3.47% and the weighted average coupon on our total agency MBS portfolio, including agency MBS remeasured at fair value through earnings, held as of December 31, 2013 was 3.58%.</w:t>
      </w: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up to ≤ $150,000. Our lower loan balance securities had a weighted average original loan balance of $100,000 and $95,000 for 15-year and 30-year securities, respectively, as of December 31, 2013.</w:t>
      </w: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LTVs ≥ 80%. Our HARP securities had a weighted average LTV of 106% and 105% for 15-year and 30-year securities, respectively, as of December 31, 2013.</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6" w:right="239" w:bottom="1440" w:gutter="0" w:footer="0" w:header="0"/>
        </w:sectPr>
      </w:pPr>
    </w:p>
    <w:bookmarkStart w:id="35" w:name="page36"/>
    <w:bookmarkEnd w:id="35"/>
    <w:tbl>
      <w:tblPr>
        <w:tblLayout w:type="fixed"/>
        <w:tblInd w:w="128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Notional</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2</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 xml:space="preserve">Long / (Short)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60" w:type="dxa"/>
            <w:vAlign w:val="bottom"/>
          </w:tcPr>
          <w:p>
            <w:pPr>
              <w:jc w:val="right"/>
              <w:ind w:right="290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jc w:val="right"/>
              <w:ind w:right="290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3460" w:type="dxa"/>
            <w:vAlign w:val="bottom"/>
          </w:tcPr>
          <w:p>
            <w:pPr>
              <w:jc w:val="right"/>
              <w:ind w:right="29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jc w:val="right"/>
              <w:ind w:right="29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60" w:type="dxa"/>
            <w:vAlign w:val="bottom"/>
          </w:tcPr>
          <w:p>
            <w:pPr>
              <w:jc w:val="right"/>
              <w:ind w:right="290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jc w:val="right"/>
              <w:ind w:right="29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60" w:type="dxa"/>
            <w:vAlign w:val="bottom"/>
          </w:tcPr>
          <w:p>
            <w:pPr>
              <w:jc w:val="right"/>
              <w:ind w:right="290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jc w:val="right"/>
              <w:ind w:right="290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6,210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2014 and December 31, 2013, the combined weighted average yield of our agency MBS portfolio, inclusive of interest and principal-only strips, was 2.70%.</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stated contractual final maturity of the mortgage loans underlying our agency MBS portfolio ranges up to 40 years. As of June 30, 2014 and December 31, 2013, the weighted average final contractual maturity of our agency MBS portfolio was 20 and 19 years, respectively.</w:t>
      </w:r>
    </w:p>
    <w:p>
      <w:pPr>
        <w:spacing w:after="0" w:line="11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actual maturities of agency MBS are generally shorter than their stated contractual maturities primarily as a result of prepayments of principal of the underlying mortgages. The weighted average expected maturity of our agency MBS portfolio was 6.4 and 6.5 years as of June 30, 2014 and December 31, 2013, respectively. In determining the estimated weighted average years to maturity of our agency MBS and the yield on our agency MBS, we have assumed a weighted average CPR over the remaining life of our agency MBS portfolio of 8% and 7% as of June 30, 2014 and December 31, 2013, respectively. We amortize or accrete premiums and discounts associated with purchases of our agency MBS into interest income over the estimated life of our securities based on actual and projected CPRs, using the effective yield method. Since the weighted average cost basis of our agency MBS portfolio, including principal and interest-only strips, was 104.7% of par value as of June 30, 2014, slower actual and projected prepayments can have a meaningful positive impact on our asset yields, while faster actual or projected prepayments can have a meaningful negative impact on our asset yields.</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at fair value, according to their estimated weighted average life classifications as of June 30, 2014 and December 31, 2013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June 30, 2014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 Agency</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MBS Classified as Available-for-Sale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4.61%</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29,833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29,955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2.82%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3.82%</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2.99%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52,904</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3.51%</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2.68%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68" w:right="239"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3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6.5 and 6.3 years as of June 30, 2014 and December 31, 2013, respectively, and the weighted average life of our principal-only strips was 8.8 and 8.6 years as of June 30, 2014 and December 31, 2013,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pass-through agency MBS collateralized by adjustable rate mortgage loans ("ARMs") have coupons linked to various indices. As of June 30, 2014 and December 31, 2013, our ARM securities had a weighted average next reset date of 52 months and 64 months, respectively.</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June 30, 2014 and December 31, 2013 (in millions):</w:t>
      </w:r>
    </w:p>
    <w:p>
      <w:pPr>
        <w:spacing w:after="0" w:line="365"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Total</w:t>
            </w:r>
          </w:p>
        </w:tc>
        <w:tc>
          <w:tcPr>
            <w:tcW w:w="1020" w:type="dxa"/>
            <w:vAlign w:val="bottom"/>
            <w:tcBorders>
              <w:bottom w:val="single" w:sz="8" w:color="auto"/>
            </w:tcBorders>
          </w:tcPr>
          <w:p>
            <w:pPr>
              <w:spacing w:after="0"/>
              <w:rPr>
                <w:sz w:val="22"/>
                <w:szCs w:val="22"/>
                <w:color w:val="auto"/>
              </w:rPr>
            </w:pPr>
          </w:p>
        </w:tc>
      </w:tr>
      <w:tr>
        <w:trPr>
          <w:trHeight w:val="153"/>
        </w:trPr>
        <w:tc>
          <w:tcPr>
            <w:tcW w:w="27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w:t>
            </w:r>
          </w:p>
        </w:tc>
      </w:tr>
      <w:tr>
        <w:trPr>
          <w:trHeight w:val="25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258"/>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44,439</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(1,349)</w:t>
            </w: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June 30, 2014,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Accordingly, we did not recognize any OTTI charges on our investment securities for the three and six months ended June 30, 2014. However, as we continue to actively manage our portfolio, we may recognize additional realized losses on our agency securities upon selecting specific securities to sell.</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"estimated undistributed taxable income." By providing users of our financial information with such measures in addition to the related GAAP measures, we believe it gives users greater 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 (ii) in the case of net spread and dollar roll income, our current financial performance without the effects of certain transactions that are not necessarily indicative of our current investment portfolio and operations, and (iii) in the case of estimated taxable income and estimated undistributed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selected financial data is derived from our interim consolidated financial statements and the notes thereto. The tables below present our condensed consolidated balance sheets as of June 30, 2014 and December 31, 2013 and our condensed consolidated statements of comprehensive income and key statistics for the three months ended June 30, 2014 and 2013 (in millions, except per share amounts):</w:t>
      </w:r>
    </w:p>
    <w:p>
      <w:pPr>
        <w:spacing w:after="0" w:line="200" w:lineRule="exact"/>
        <w:rPr>
          <w:sz w:val="20"/>
          <w:szCs w:val="20"/>
          <w:color w:val="auto"/>
        </w:rPr>
      </w:pP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portfolio, at fair value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53,551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65,941</w:t>
            </w:r>
          </w:p>
        </w:tc>
        <w:tc>
          <w:tcPr>
            <w:tcW w:w="0" w:type="dxa"/>
            <w:vAlign w:val="bottom"/>
          </w:tcPr>
          <w:p>
            <w:pPr>
              <w:spacing w:after="0"/>
              <w:rPr>
                <w:sz w:val="1"/>
                <w:szCs w:val="1"/>
                <w:color w:val="auto"/>
              </w:rPr>
            </w:pP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66,854</w:t>
            </w:r>
          </w:p>
        </w:tc>
        <w:tc>
          <w:tcPr>
            <w:tcW w:w="120" w:type="dxa"/>
            <w:vAlign w:val="bottom"/>
          </w:tcPr>
          <w:p>
            <w:pPr>
              <w:spacing w:after="0"/>
              <w:rPr>
                <w:sz w:val="20"/>
                <w:szCs w:val="20"/>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76,255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and other debt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49,558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64,443</w:t>
            </w:r>
          </w:p>
        </w:tc>
        <w:tc>
          <w:tcPr>
            <w:tcW w:w="0" w:type="dxa"/>
            <w:vAlign w:val="bottom"/>
          </w:tcPr>
          <w:p>
            <w:pPr>
              <w:spacing w:after="0"/>
              <w:rPr>
                <w:sz w:val="1"/>
                <w:szCs w:val="1"/>
                <w:color w:val="auto"/>
              </w:rPr>
            </w:pP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57,243</w:t>
            </w:r>
          </w:p>
        </w:tc>
        <w:tc>
          <w:tcPr>
            <w:tcW w:w="120" w:type="dxa"/>
            <w:vAlign w:val="bottom"/>
          </w:tcPr>
          <w:p>
            <w:pPr>
              <w:spacing w:after="0"/>
              <w:rPr>
                <w:sz w:val="20"/>
                <w:szCs w:val="20"/>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67,558</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9,611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8,697</w:t>
            </w:r>
          </w:p>
        </w:tc>
        <w:tc>
          <w:tcPr>
            <w:tcW w:w="0" w:type="dxa"/>
            <w:vAlign w:val="bottom"/>
          </w:tcPr>
          <w:p>
            <w:pPr>
              <w:spacing w:after="0"/>
              <w:rPr>
                <w:sz w:val="1"/>
                <w:szCs w:val="1"/>
                <w:color w:val="auto"/>
              </w:rPr>
            </w:pPr>
          </w:p>
        </w:tc>
      </w:tr>
      <w:tr>
        <w:trPr>
          <w:trHeight w:val="311"/>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26.26</w:t>
            </w:r>
          </w:p>
        </w:tc>
        <w:tc>
          <w:tcPr>
            <w:tcW w:w="120" w:type="dxa"/>
            <w:vAlign w:val="bottom"/>
          </w:tcPr>
          <w:p>
            <w:pPr>
              <w:spacing w:after="0"/>
              <w:rPr>
                <w:sz w:val="24"/>
                <w:szCs w:val="24"/>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2013</w:t>
            </w:r>
          </w:p>
        </w:tc>
      </w:tr>
      <w:tr>
        <w:trPr>
          <w:trHeight w:val="236"/>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1,092</w:t>
            </w:r>
          </w:p>
        </w:tc>
      </w:tr>
      <w:tr>
        <w:trPr>
          <w:trHeight w:val="270"/>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271</w:t>
            </w: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821</w:t>
            </w:r>
          </w:p>
        </w:tc>
      </w:tr>
      <w:tr>
        <w:trPr>
          <w:trHeight w:val="250"/>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 xml:space="preserve">Other (loss) income, net </w:t>
            </w:r>
            <w:r>
              <w:rPr>
                <w:rFonts w:ascii="Arial" w:cs="Arial" w:eastAsia="Arial" w:hAnsi="Arial"/>
                <w:sz w:val="21"/>
                <w:szCs w:val="21"/>
                <w:color w:val="auto"/>
                <w:vertAlign w:val="superscript"/>
              </w:rPr>
              <w:t>2</w:t>
            </w: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1,337</w:t>
            </w:r>
          </w:p>
        </w:tc>
      </w:tr>
      <w:tr>
        <w:trPr>
          <w:trHeight w:val="27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r>
      <w:tr>
        <w:trPr>
          <w:trHeight w:val="21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2,070</w:t>
            </w: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 net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1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2,060</w:t>
            </w: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84"/>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(loss) available (attributable)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2,053</w:t>
            </w:r>
          </w:p>
        </w:tc>
      </w:tr>
      <w:tr>
        <w:trPr>
          <w:trHeight w:val="284"/>
        </w:trPr>
        <w:tc>
          <w:tcPr>
            <w:tcW w:w="6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2,060</w:t>
            </w: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Other comprehensive income (loss)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w:t>
            </w:r>
          </w:p>
        </w:tc>
      </w:tr>
      <w:tr>
        <w:trPr>
          <w:trHeight w:val="21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(1,493)</w:t>
            </w: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84"/>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(loss) available (attributable)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r>
        <w:trPr>
          <w:trHeight w:val="284"/>
        </w:trPr>
        <w:tc>
          <w:tcPr>
            <w:tcW w:w="6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90"/>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352.8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396.4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353.8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376.4</w:t>
            </w:r>
          </w:p>
        </w:tc>
      </w:tr>
      <w:tr>
        <w:trPr>
          <w:trHeight w:val="23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r>
      <w:tr>
        <w:trPr>
          <w:trHeight w:val="20"/>
        </w:trPr>
        <w:tc>
          <w:tcPr>
            <w:tcW w:w="65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7"/>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(loss) per common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23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r>
      <w:tr>
        <w:trPr>
          <w:trHeight w:val="20"/>
        </w:trPr>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845"/>
        </w:trPr>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24"/>
                <w:szCs w:val="24"/>
                <w:color w:val="auto"/>
              </w:rPr>
            </w:pPr>
          </w:p>
        </w:tc>
        <w:tc>
          <w:tcPr>
            <w:tcW w:w="18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Data (unaudited)</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2013</w:t>
            </w:r>
          </w:p>
        </w:tc>
      </w:tr>
      <w:tr>
        <w:trPr>
          <w:trHeight w:val="236"/>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agency securities, at par</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93"/>
              </w:rPr>
              <w:t>$54,365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89"/>
              </w:rPr>
              <w:t>$70,851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60"/>
              <w:spacing w:after="0"/>
              <w:rPr>
                <w:sz w:val="20"/>
                <w:szCs w:val="20"/>
                <w:color w:val="auto"/>
              </w:rPr>
            </w:pPr>
            <w:r>
              <w:rPr>
                <w:rFonts w:ascii="Arial" w:cs="Arial" w:eastAsia="Arial" w:hAnsi="Arial"/>
                <w:sz w:val="16"/>
                <w:szCs w:val="16"/>
                <w:color w:val="auto"/>
                <w:w w:val="93"/>
              </w:rPr>
              <w:t>$57,218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89"/>
              </w:rPr>
              <w:t>$72,387</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Average agency securities, at cost</w:t>
            </w:r>
          </w:p>
        </w:tc>
        <w:tc>
          <w:tcPr>
            <w:tcW w:w="160" w:type="dxa"/>
            <w:vAlign w:val="bottom"/>
          </w:tcPr>
          <w:p>
            <w:pPr>
              <w:spacing w:after="0"/>
              <w:rPr>
                <w:sz w:val="20"/>
                <w:szCs w:val="20"/>
                <w:color w:val="auto"/>
              </w:rPr>
            </w:pPr>
          </w:p>
        </w:tc>
        <w:tc>
          <w:tcPr>
            <w:tcW w:w="820" w:type="dxa"/>
            <w:vAlign w:val="bottom"/>
          </w:tcPr>
          <w:p>
            <w:pPr>
              <w:jc w:val="center"/>
              <w:ind w:right="80"/>
              <w:spacing w:after="0"/>
              <w:rPr>
                <w:sz w:val="20"/>
                <w:szCs w:val="20"/>
                <w:color w:val="auto"/>
              </w:rPr>
            </w:pPr>
            <w:r>
              <w:rPr>
                <w:rFonts w:ascii="Arial" w:cs="Arial" w:eastAsia="Arial" w:hAnsi="Arial"/>
                <w:sz w:val="16"/>
                <w:szCs w:val="16"/>
                <w:color w:val="auto"/>
                <w:w w:val="93"/>
              </w:rPr>
              <w:t>$56,923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$74,816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60"/>
              <w:spacing w:after="0"/>
              <w:rPr>
                <w:sz w:val="20"/>
                <w:szCs w:val="20"/>
                <w:color w:val="auto"/>
              </w:rPr>
            </w:pPr>
            <w:r>
              <w:rPr>
                <w:rFonts w:ascii="Arial" w:cs="Arial" w:eastAsia="Arial" w:hAnsi="Arial"/>
                <w:sz w:val="16"/>
                <w:szCs w:val="16"/>
                <w:color w:val="auto"/>
                <w:w w:val="93"/>
              </w:rPr>
              <w:t>$59,905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$76,413</w:t>
            </w: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total assets,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93"/>
              </w:rPr>
              <w:t>$68,132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89"/>
              </w:rPr>
              <w:t>$96,640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60"/>
              <w:spacing w:after="0"/>
              <w:rPr>
                <w:sz w:val="20"/>
                <w:szCs w:val="20"/>
                <w:color w:val="auto"/>
              </w:rPr>
            </w:pPr>
            <w:r>
              <w:rPr>
                <w:rFonts w:ascii="Arial" w:cs="Arial" w:eastAsia="Arial" w:hAnsi="Arial"/>
                <w:sz w:val="16"/>
                <w:szCs w:val="16"/>
                <w:color w:val="auto"/>
                <w:w w:val="93"/>
              </w:rPr>
              <w:t>$70,750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80"/>
              <w:spacing w:after="0"/>
              <w:rPr>
                <w:sz w:val="20"/>
                <w:szCs w:val="20"/>
                <w:color w:val="auto"/>
              </w:rPr>
            </w:pPr>
            <w:r>
              <w:rPr>
                <w:rFonts w:ascii="Arial" w:cs="Arial" w:eastAsia="Arial" w:hAnsi="Arial"/>
                <w:sz w:val="16"/>
                <w:szCs w:val="16"/>
                <w:color w:val="auto"/>
                <w:w w:val="89"/>
              </w:rPr>
              <w:t>$96,037</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Average net TBA dollar roll position, at cost</w:t>
            </w:r>
          </w:p>
        </w:tc>
        <w:tc>
          <w:tcPr>
            <w:tcW w:w="160" w:type="dxa"/>
            <w:vAlign w:val="bottom"/>
          </w:tcPr>
          <w:p>
            <w:pPr>
              <w:spacing w:after="0"/>
              <w:rPr>
                <w:sz w:val="20"/>
                <w:szCs w:val="20"/>
                <w:color w:val="auto"/>
              </w:rPr>
            </w:pPr>
          </w:p>
        </w:tc>
        <w:tc>
          <w:tcPr>
            <w:tcW w:w="820" w:type="dxa"/>
            <w:vAlign w:val="bottom"/>
          </w:tcPr>
          <w:p>
            <w:pPr>
              <w:jc w:val="center"/>
              <w:ind w:right="80"/>
              <w:spacing w:after="0"/>
              <w:rPr>
                <w:sz w:val="20"/>
                <w:szCs w:val="20"/>
                <w:color w:val="auto"/>
              </w:rPr>
            </w:pPr>
            <w:r>
              <w:rPr>
                <w:rFonts w:ascii="Arial" w:cs="Arial" w:eastAsia="Arial" w:hAnsi="Arial"/>
                <w:sz w:val="16"/>
                <w:szCs w:val="16"/>
                <w:color w:val="auto"/>
                <w:w w:val="93"/>
              </w:rPr>
              <w:t>$13,963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$28,904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60"/>
              <w:spacing w:after="0"/>
              <w:rPr>
                <w:sz w:val="20"/>
                <w:szCs w:val="20"/>
                <w:color w:val="auto"/>
              </w:rPr>
            </w:pPr>
            <w:r>
              <w:rPr>
                <w:rFonts w:ascii="Arial" w:cs="Arial" w:eastAsia="Arial" w:hAnsi="Arial"/>
                <w:sz w:val="16"/>
                <w:szCs w:val="16"/>
                <w:color w:val="auto"/>
                <w:w w:val="93"/>
              </w:rPr>
              <w:t>$9,275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80"/>
              <w:spacing w:after="0"/>
              <w:rPr>
                <w:sz w:val="20"/>
                <w:szCs w:val="20"/>
                <w:color w:val="auto"/>
              </w:rPr>
            </w:pPr>
            <w:r>
              <w:rPr>
                <w:rFonts w:ascii="Arial" w:cs="Arial" w:eastAsia="Arial" w:hAnsi="Arial"/>
                <w:sz w:val="16"/>
                <w:szCs w:val="16"/>
                <w:color w:val="auto"/>
                <w:w w:val="89"/>
              </w:rPr>
              <w:t>$23,398</w:t>
            </w:r>
          </w:p>
        </w:tc>
      </w:tr>
    </w:tbl>
    <w:p>
      <w:pPr>
        <w:spacing w:after="0" w:line="200" w:lineRule="exact"/>
        <w:rPr>
          <w:sz w:val="20"/>
          <w:szCs w:val="20"/>
          <w:color w:val="auto"/>
        </w:rPr>
      </w:pPr>
    </w:p>
    <w:p>
      <w:pPr>
        <w:sectPr>
          <w:pgSz w:w="11900" w:h="16838" w:orient="portrait"/>
          <w:cols w:equalWidth="0" w:num="1">
            <w:col w:w="11420"/>
          </w:cols>
          <w:pgMar w:left="240" w:top="744"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44" w:right="239" w:bottom="1440" w:gutter="0" w:footer="0" w:header="0"/>
          <w:type w:val="continuous"/>
        </w:sectPr>
      </w:pPr>
    </w:p>
    <w:bookmarkStart w:id="38" w:name="page39"/>
    <w:bookmarkEnd w:id="38"/>
    <w:tbl>
      <w:tblPr>
        <w:tblLayout w:type="fixed"/>
        <w:tblInd w:w="400" w:type="dxa"/>
        <w:tblCellMar>
          <w:top w:w="0" w:type="dxa"/>
          <w:left w:w="0" w:type="dxa"/>
          <w:bottom w:w="0" w:type="dxa"/>
          <w:right w:w="0" w:type="dxa"/>
        </w:tblCellMar>
      </w:tblP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Average repurchase agreements and other debt </w:t>
            </w:r>
            <w:r>
              <w:rPr>
                <w:rFonts w:ascii="Arial" w:cs="Arial" w:eastAsia="Arial" w:hAnsi="Arial"/>
                <w:sz w:val="21"/>
                <w:szCs w:val="21"/>
                <w:color w:val="auto"/>
                <w:vertAlign w:val="superscript"/>
              </w:rPr>
              <w:t>3</w:t>
            </w:r>
          </w:p>
        </w:tc>
        <w:tc>
          <w:tcPr>
            <w:tcW w:w="1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$50,448</w:t>
            </w: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$66,060</w:t>
            </w:r>
          </w:p>
        </w:tc>
        <w:tc>
          <w:tcPr>
            <w:tcW w:w="11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$53,976</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$68,313</w:t>
            </w:r>
          </w:p>
        </w:tc>
      </w:tr>
      <w:tr>
        <w:trPr>
          <w:trHeight w:val="270"/>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4</w:t>
            </w:r>
          </w:p>
        </w:tc>
        <w:tc>
          <w:tcPr>
            <w:tcW w:w="1220" w:type="dxa"/>
            <w:vAlign w:val="bottom"/>
          </w:tcPr>
          <w:p>
            <w:pPr>
              <w:jc w:val="right"/>
              <w:ind w:right="379"/>
              <w:spacing w:after="0"/>
              <w:rPr>
                <w:sz w:val="20"/>
                <w:szCs w:val="20"/>
                <w:color w:val="auto"/>
              </w:rPr>
            </w:pPr>
            <w:r>
              <w:rPr>
                <w:rFonts w:ascii="Arial" w:cs="Arial" w:eastAsia="Arial" w:hAnsi="Arial"/>
                <w:sz w:val="16"/>
                <w:szCs w:val="16"/>
                <w:color w:val="auto"/>
              </w:rPr>
              <w:t>$9,315</w:t>
            </w: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$11,256</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$9,193</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$11,051</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21"/>
                <w:szCs w:val="21"/>
                <w:color w:val="auto"/>
                <w:vertAlign w:val="superscript"/>
              </w:rPr>
              <w:t>5</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3.63 %</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3.63 %</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3.62 %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3.66 %</w:t>
            </w:r>
          </w:p>
        </w:tc>
      </w:tr>
      <w:tr>
        <w:trPr>
          <w:trHeight w:val="270"/>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21"/>
                <w:szCs w:val="21"/>
                <w:color w:val="auto"/>
                <w:vertAlign w:val="superscript"/>
              </w:rPr>
              <w:t>6</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2.71 %</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2.92 %</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2.62 %</w:t>
            </w:r>
          </w:p>
        </w:tc>
        <w:tc>
          <w:tcPr>
            <w:tcW w:w="980" w:type="dxa"/>
            <w:vAlign w:val="bottom"/>
          </w:tcPr>
          <w:p>
            <w:pPr>
              <w:jc w:val="right"/>
              <w:spacing w:after="0"/>
              <w:rPr>
                <w:sz w:val="20"/>
                <w:szCs w:val="20"/>
                <w:color w:val="auto"/>
              </w:rPr>
            </w:pPr>
            <w:r>
              <w:rPr>
                <w:rFonts w:ascii="Arial" w:cs="Arial" w:eastAsia="Arial" w:hAnsi="Arial"/>
                <w:sz w:val="16"/>
                <w:szCs w:val="16"/>
                <w:color w:val="auto"/>
              </w:rPr>
              <w:t>2.86 %</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7</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(1.43)%</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Average net interest rate spread</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1.26 %</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1.49 %</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1.22 %</w:t>
            </w:r>
          </w:p>
        </w:tc>
        <w:tc>
          <w:tcPr>
            <w:tcW w:w="980" w:type="dxa"/>
            <w:vAlign w:val="bottom"/>
          </w:tcPr>
          <w:p>
            <w:pPr>
              <w:jc w:val="right"/>
              <w:spacing w:after="0"/>
              <w:rPr>
                <w:sz w:val="20"/>
                <w:szCs w:val="20"/>
                <w:color w:val="auto"/>
              </w:rPr>
            </w:pPr>
            <w:r>
              <w:rPr>
                <w:rFonts w:ascii="Arial" w:cs="Arial" w:eastAsia="Arial" w:hAnsi="Arial"/>
                <w:sz w:val="16"/>
                <w:szCs w:val="16"/>
                <w:color w:val="auto"/>
              </w:rPr>
              <w:t>1.50 %</w:t>
            </w:r>
          </w:p>
        </w:tc>
      </w:tr>
      <w:tr>
        <w:trPr>
          <w:trHeight w:val="33"/>
        </w:trPr>
        <w:tc>
          <w:tcPr>
            <w:tcW w:w="6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8</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1.84 %</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1.86 %</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16"/>
                <w:szCs w:val="16"/>
                <w:i w:val="1"/>
                <w:iCs w:val="1"/>
                <w:color w:val="auto"/>
              </w:rPr>
              <w:t>(as of period end)</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3.63 %</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3.56 %</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3.63 %</w:t>
            </w:r>
          </w:p>
        </w:tc>
        <w:tc>
          <w:tcPr>
            <w:tcW w:w="980" w:type="dxa"/>
            <w:vAlign w:val="bottom"/>
          </w:tcPr>
          <w:p>
            <w:pPr>
              <w:jc w:val="right"/>
              <w:spacing w:after="0"/>
              <w:rPr>
                <w:sz w:val="20"/>
                <w:szCs w:val="20"/>
                <w:color w:val="auto"/>
              </w:rPr>
            </w:pPr>
            <w:r>
              <w:rPr>
                <w:rFonts w:ascii="Arial" w:cs="Arial" w:eastAsia="Arial" w:hAnsi="Arial"/>
                <w:sz w:val="16"/>
                <w:szCs w:val="16"/>
                <w:color w:val="auto"/>
              </w:rPr>
              <w:t>3.56 %</w:t>
            </w:r>
          </w:p>
        </w:tc>
      </w:tr>
      <w:tr>
        <w:trPr>
          <w:trHeight w:val="33"/>
        </w:trPr>
        <w:tc>
          <w:tcPr>
            <w:tcW w:w="6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16"/>
                <w:szCs w:val="16"/>
                <w:i w:val="1"/>
                <w:iCs w:val="1"/>
                <w:color w:val="auto"/>
              </w:rPr>
              <w:t>(as of period end)</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2.70 %</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2.71 %</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2.71 %</w:t>
            </w:r>
          </w:p>
        </w:tc>
      </w:tr>
      <w:tr>
        <w:trPr>
          <w:trHeight w:val="270"/>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9</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(1.47)%</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9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1.17 %</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1.24 %</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1.17 %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70"/>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Net comprehensive income (loss) return on average common equity - annualized </w:t>
            </w:r>
            <w:r>
              <w:rPr>
                <w:rFonts w:ascii="Arial" w:cs="Arial" w:eastAsia="Arial" w:hAnsi="Arial"/>
                <w:sz w:val="21"/>
                <w:szCs w:val="21"/>
                <w:color w:val="auto"/>
                <w:vertAlign w:val="superscript"/>
              </w:rPr>
              <w:t>10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38.0 %</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(34.0)%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28.7 %</w:t>
            </w:r>
          </w:p>
        </w:tc>
        <w:tc>
          <w:tcPr>
            <w:tcW w:w="9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Economic return (loss) on common equity - annualized </w:t>
            </w:r>
            <w:r>
              <w:rPr>
                <w:rFonts w:ascii="Arial" w:cs="Arial" w:eastAsia="Arial" w:hAnsi="Arial"/>
                <w:sz w:val="21"/>
                <w:szCs w:val="21"/>
                <w:color w:val="auto"/>
                <w:vertAlign w:val="superscript"/>
              </w:rPr>
              <w:t>11</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39.6 %</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(32.9)%</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30.6 %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70"/>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(average during the period)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12</w:t>
            </w:r>
          </w:p>
        </w:tc>
        <w:tc>
          <w:tcPr>
            <w:tcW w:w="1220" w:type="dxa"/>
            <w:vAlign w:val="bottom"/>
          </w:tcPr>
          <w:p>
            <w:pPr>
              <w:jc w:val="right"/>
              <w:ind w:right="299"/>
              <w:spacing w:after="0"/>
              <w:rPr>
                <w:sz w:val="20"/>
                <w:szCs w:val="20"/>
                <w:color w:val="auto"/>
              </w:rPr>
            </w:pPr>
            <w:r>
              <w:rPr>
                <w:rFonts w:ascii="Arial" w:cs="Arial" w:eastAsia="Arial" w:hAnsi="Arial"/>
                <w:sz w:val="16"/>
                <w:szCs w:val="16"/>
                <w:color w:val="auto"/>
              </w:rPr>
              <w:t>5.6:1</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5.9:1</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6.1:1</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6.2:1</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Leverage, including net TBA dollar roll position </w:t>
            </w:r>
            <w:r>
              <w:rPr>
                <w:rFonts w:ascii="Arial" w:cs="Arial" w:eastAsia="Arial" w:hAnsi="Arial"/>
                <w:sz w:val="16"/>
                <w:szCs w:val="16"/>
                <w:i w:val="1"/>
                <w:iCs w:val="1"/>
                <w:color w:val="auto"/>
              </w:rPr>
              <w:t>(average during the period)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13</w:t>
            </w:r>
          </w:p>
        </w:tc>
        <w:tc>
          <w:tcPr>
            <w:tcW w:w="12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7.1:1</w:t>
            </w:r>
          </w:p>
        </w:tc>
        <w:tc>
          <w:tcPr>
            <w:tcW w:w="11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8.4:1</w:t>
            </w: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7.1:1</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8.3:1</w:t>
            </w:r>
          </w:p>
        </w:tc>
      </w:tr>
      <w:tr>
        <w:trPr>
          <w:trHeight w:val="270"/>
        </w:trPr>
        <w:tc>
          <w:tcPr>
            <w:tcW w:w="6140" w:type="dxa"/>
            <w:vAlign w:val="bottom"/>
          </w:tcPr>
          <w:p>
            <w:pPr>
              <w:ind w:left="2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1220" w:type="dxa"/>
            <w:vAlign w:val="bottom"/>
          </w:tcPr>
          <w:p>
            <w:pPr>
              <w:jc w:val="right"/>
              <w:ind w:right="299"/>
              <w:spacing w:after="0"/>
              <w:rPr>
                <w:sz w:val="20"/>
                <w:szCs w:val="20"/>
                <w:color w:val="auto"/>
              </w:rPr>
            </w:pPr>
            <w:r>
              <w:rPr>
                <w:rFonts w:ascii="Arial" w:cs="Arial" w:eastAsia="Arial" w:hAnsi="Arial"/>
                <w:sz w:val="16"/>
                <w:szCs w:val="16"/>
                <w:color w:val="auto"/>
              </w:rPr>
              <w:t>5.0:1</w:t>
            </w: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7.0:1</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5.0:1</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7.0:1</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Leverage, including net TBA dollar roll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2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6.9:1</w:t>
            </w:r>
          </w:p>
        </w:tc>
        <w:tc>
          <w:tcPr>
            <w:tcW w:w="11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8.5:1</w:t>
            </w: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6.9:1</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8.5:1</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Expenses % of average total assets - annualized</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0.21 %</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0.19 %</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0.20 %</w:t>
            </w:r>
          </w:p>
        </w:tc>
        <w:tc>
          <w:tcPr>
            <w:tcW w:w="980" w:type="dxa"/>
            <w:vAlign w:val="bottom"/>
          </w:tcPr>
          <w:p>
            <w:pPr>
              <w:jc w:val="right"/>
              <w:spacing w:after="0"/>
              <w:rPr>
                <w:sz w:val="20"/>
                <w:szCs w:val="20"/>
                <w:color w:val="auto"/>
              </w:rPr>
            </w:pPr>
            <w:r>
              <w:rPr>
                <w:rFonts w:ascii="Arial" w:cs="Arial" w:eastAsia="Arial" w:hAnsi="Arial"/>
                <w:sz w:val="16"/>
                <w:szCs w:val="16"/>
                <w:color w:val="auto"/>
              </w:rPr>
              <w:t>0.18 %</w:t>
            </w:r>
          </w:p>
        </w:tc>
      </w:tr>
      <w:tr>
        <w:trPr>
          <w:trHeight w:val="33"/>
        </w:trPr>
        <w:tc>
          <w:tcPr>
            <w:tcW w:w="6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Expenses % of average assets, including average net TBA dollar roll position - annualized</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0.18 %</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0.15 %</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0.18 %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r>
      <w:tr>
        <w:trPr>
          <w:trHeight w:val="237"/>
        </w:trPr>
        <w:tc>
          <w:tcPr>
            <w:tcW w:w="6140" w:type="dxa"/>
            <w:vAlign w:val="bottom"/>
          </w:tcPr>
          <w:p>
            <w:pPr>
              <w:ind w:left="20"/>
              <w:spacing w:after="0"/>
              <w:rPr>
                <w:sz w:val="20"/>
                <w:szCs w:val="20"/>
                <w:color w:val="auto"/>
              </w:rPr>
            </w:pPr>
            <w:r>
              <w:rPr>
                <w:rFonts w:ascii="Arial" w:cs="Arial" w:eastAsia="Arial" w:hAnsi="Arial"/>
                <w:sz w:val="16"/>
                <w:szCs w:val="16"/>
                <w:color w:val="auto"/>
              </w:rPr>
              <w:t>Expenses % of average stockholders' equity - annualized</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1.55 %</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1.64 %</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1.56 %</w:t>
            </w:r>
          </w:p>
        </w:tc>
        <w:tc>
          <w:tcPr>
            <w:tcW w:w="980" w:type="dxa"/>
            <w:vAlign w:val="bottom"/>
          </w:tcPr>
          <w:p>
            <w:pPr>
              <w:jc w:val="right"/>
              <w:spacing w:after="0"/>
              <w:rPr>
                <w:sz w:val="20"/>
                <w:szCs w:val="20"/>
                <w:color w:val="auto"/>
              </w:rPr>
            </w:pPr>
            <w:r>
              <w:rPr>
                <w:rFonts w:ascii="Arial" w:cs="Arial" w:eastAsia="Arial" w:hAnsi="Arial"/>
                <w:sz w:val="16"/>
                <w:szCs w:val="16"/>
                <w:color w:val="auto"/>
              </w:rPr>
              <w:t>1.61 %</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420" w:hanging="412"/>
        <w:spacing w:after="0" w:line="250"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voluntarily discontinued hedge accounting for our interest rate swaps as of September 30, 2011. Please refer to our Interest Expense and Cost of Funds discussion further below and Notes 3 and 6 of our Consolidated Financial Statements in this Form 10-Q for additional information regarding our discontinuance of hedge accounting.</w:t>
      </w: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coupon for the period was calculated by dividing our total coupon (or cash) interest income on agency securities by our average agency securities held at par.</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agency securities, adjusted for amortization of premiums and discounts, by our average amortized cost of agency securities held.</w:t>
      </w:r>
    </w:p>
    <w:p>
      <w:pPr>
        <w:jc w:val="both"/>
        <w:ind w:left="420" w:right="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cost of funds includes agency MBS repurchase agreements, debt of consolidated variable interest entities ("VIEs") and interest rate swaps, but excludes interest rate swap termination fees and costs associated with other supplemental hedges such as interest rate swaptions and short U.S. Treasury or TBA positions. Average cost of funds for the period was calculated by dividing our total cost of funds by our average repurchase agreements and debt of consolidated VIEs outstanding for the period.</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jc w:val="both"/>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cost of funds as of period end includes agency MBS repurchase agreements and debt of consolidated VIEs outstanding, plus the impact of interest rate swaps in effect as of each period end and forward starting swaps becoming effective, net of swaps expiring, within three months of each period end, but excludes costs associated with other supplemental hedges such as swaptions, U.S. Treasuries and TBA positions.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shareholders by our average stockholders' equity, net of the Series A and Series B Preferred Stock aggregate liquidation preference.</w:t>
      </w: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420" w:right="20" w:hanging="412"/>
        <w:spacing w:after="0" w:line="260" w:lineRule="auto"/>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Average leverage during the period was calculated by dividing our daily weighted average agency MBS repurchase agreements and debt of consolidated VIEs outstanding for the period by the sum of our average stockholders' equity less our average investment in REIT equity securities for the period. Leverage excludes U.S. Treasury repurchase agreements.</w:t>
      </w: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leverage, including net TBA dollar roll position, during the period includes the components of "leverage (average during the period)" plus our daily weighted average net TBA dollar position (at cost) during the period.</w:t>
      </w:r>
    </w:p>
    <w:p>
      <w:pPr>
        <w:jc w:val="both"/>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the amount outstanding under our agency MBS repurchase agreements, net receivable / payable for unsettled agency securities and debt of consolidated VIEs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Leverage at period end, including net TBA dollar roll position, includes the components of "leverage (as of period end)" plus our net TBA position outstanding as of period end, at cost.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3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three and six months ended June 30, 2014 and 2013 (dollars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168"/>
              <w:spacing w:after="0"/>
              <w:rPr>
                <w:sz w:val="20"/>
                <w:szCs w:val="20"/>
                <w:color w:val="auto"/>
              </w:rPr>
            </w:pPr>
            <w:r>
              <w:rPr>
                <w:rFonts w:ascii="Arial" w:cs="Arial" w:eastAsia="Arial" w:hAnsi="Arial"/>
                <w:sz w:val="14"/>
                <w:szCs w:val="14"/>
                <w:b w:val="1"/>
                <w:bCs w:val="1"/>
                <w:color w:val="auto"/>
                <w:w w:val="92"/>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w w:val="95"/>
              </w:rPr>
              <w:t>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r>
      <w:tr>
        <w:trPr>
          <w:trHeight w:val="27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494</w:t>
            </w: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643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1,035</w:t>
            </w: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1,324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3.66 %</w:t>
            </w:r>
          </w:p>
        </w:tc>
      </w:tr>
      <w:tr>
        <w:trPr>
          <w:trHeight w:val="26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Premium amortization</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(0.80)%</w:t>
            </w:r>
          </w:p>
        </w:tc>
      </w:tr>
      <w:tr>
        <w:trPr>
          <w:trHeight w:val="27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545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2.92 %</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1,092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2.86 %</w:t>
            </w: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5"/>
        </w:trPr>
        <w:tc>
          <w:tcPr>
            <w:tcW w:w="392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11%</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11%</w:t>
            </w:r>
          </w:p>
        </w:tc>
        <w:tc>
          <w:tcPr>
            <w:tcW w:w="660" w:type="dxa"/>
            <w:vAlign w:val="bottom"/>
          </w:tcPr>
          <w:p>
            <w:pPr>
              <w:spacing w:after="0"/>
              <w:rPr>
                <w:sz w:val="21"/>
                <w:szCs w:val="2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w:t>
            </w:r>
          </w:p>
        </w:tc>
        <w:tc>
          <w:tcPr>
            <w:tcW w:w="660" w:type="dxa"/>
            <w:vAlign w:val="bottom"/>
            <w:shd w:val="clear" w:color="auto" w:fill="CCEEFF"/>
          </w:tcPr>
          <w:p>
            <w:pPr>
              <w:spacing w:after="0"/>
              <w:rPr>
                <w:sz w:val="24"/>
                <w:szCs w:val="24"/>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4.46%</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4.46%</w:t>
            </w:r>
          </w:p>
        </w:tc>
        <w:tc>
          <w:tcPr>
            <w:tcW w:w="660" w:type="dxa"/>
            <w:vAlign w:val="bottom"/>
          </w:tcPr>
          <w:p>
            <w:pPr>
              <w:spacing w:after="0"/>
              <w:rPr>
                <w:sz w:val="22"/>
                <w:szCs w:val="22"/>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2.49%</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2.49%</w:t>
            </w:r>
          </w:p>
        </w:tc>
        <w:tc>
          <w:tcPr>
            <w:tcW w:w="660" w:type="dxa"/>
            <w:vAlign w:val="bottom"/>
            <w:shd w:val="clear" w:color="auto" w:fill="CCEEFF"/>
          </w:tcPr>
          <w:p>
            <w:pPr>
              <w:spacing w:after="0"/>
              <w:rPr>
                <w:sz w:val="24"/>
                <w:szCs w:val="24"/>
                <w:color w:val="auto"/>
              </w:rPr>
            </w:pPr>
          </w:p>
        </w:tc>
      </w:tr>
      <w:tr>
        <w:trPr>
          <w:trHeight w:val="209"/>
        </w:trPr>
        <w:tc>
          <w:tcPr>
            <w:tcW w:w="3920" w:type="dxa"/>
            <w:vAlign w:val="bottom"/>
          </w:tcPr>
          <w:p>
            <w:pPr>
              <w:ind w:left="40"/>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principal elements impacting our interest income are our average agency MBS portfolio size and the yield on our investments. The average par value of our agency MBS portfolio decreased from the prior year period by approximately 23% for the three months ended and 21% for the six months ended June 30, 2014, reflective of a smaller capital base (largely due to common stock share repurchases) and a shift from agency MBS repo funded assets to TBA dollar roll funded assets. Since we recognize TBA dollar rolls as derivative instruments under GAAP, our reported interest income does not include our TBA dollar roll income, which we report in gain/loss on derivative instruments and other securities, net in our accompanying consolidated financial statements in this Form 10-Q.</w:t>
      </w:r>
    </w:p>
    <w:p>
      <w:pPr>
        <w:spacing w:after="0" w:line="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decline in our average asset yield was largely due to higher projected life CPR forecasts as of June 30, 2014, compared to June 30, 2013, and the impact of "catch-up" premium amortization adjustments due to changes in our projected life CPR forecasts. For the three months ended June 30, 2014, we did not recognize a "catch-up" adjustment, compared to a beneficial "catch-up" adjustment of $55 million (or +29 bps) recognized for the three months ended June 30, 2013. For the six months ended June 30, 2014, we recognized premium "catch-up" expense of $25 million (or -8 bps), compared to a "catch-up" benefit of $87 million (or +23 bps) recognized for the six months ended June 30, 2013.</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summary of the estimated impact of each of these elements on the decline in interest income between the current and prior year periods ended June 30, 2014 and 2013 (in millions):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Principal Elements Impacting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13335</wp:posOffset>
            </wp:positionV>
            <wp:extent cx="46653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 Ended June 30, 2014 vs.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23495</wp:posOffset>
            </wp:positionV>
            <wp:extent cx="46653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103" w:lineRule="exact"/>
        <w:rPr>
          <w:sz w:val="20"/>
          <w:szCs w:val="20"/>
          <w:color w:val="auto"/>
        </w:rPr>
      </w:pPr>
    </w:p>
    <w:tbl>
      <w:tblPr>
        <w:tblLayout w:type="fixed"/>
        <w:tblInd w:w="20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153"/>
        </w:trPr>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3"/>
                <w:szCs w:val="13"/>
                <w:color w:val="auto"/>
              </w:rPr>
            </w:pPr>
          </w:p>
        </w:tc>
        <w:tc>
          <w:tcPr>
            <w:tcW w:w="1100" w:type="dxa"/>
            <w:vAlign w:val="bottom"/>
          </w:tcPr>
          <w:p>
            <w:pPr>
              <w:jc w:val="right"/>
              <w:ind w:right="48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Decrease</w:t>
            </w:r>
          </w:p>
        </w:tc>
        <w:tc>
          <w:tcPr>
            <w:tcW w:w="280" w:type="dxa"/>
            <w:vAlign w:val="bottom"/>
          </w:tcPr>
          <w:p>
            <w:pPr>
              <w:spacing w:after="0"/>
              <w:rPr>
                <w:sz w:val="16"/>
                <w:szCs w:val="16"/>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Yield</w:t>
            </w:r>
          </w:p>
        </w:tc>
      </w:tr>
      <w:tr>
        <w:trPr>
          <w:trHeight w:val="250"/>
        </w:trPr>
        <w:tc>
          <w:tcPr>
            <w:tcW w:w="2740" w:type="dxa"/>
            <w:vAlign w:val="bottom"/>
          </w:tcPr>
          <w:p>
            <w:pPr>
              <w:ind w:left="20"/>
              <w:spacing w:after="0"/>
              <w:rPr>
                <w:sz w:val="20"/>
                <w:szCs w:val="20"/>
                <w:color w:val="auto"/>
              </w:rPr>
            </w:pPr>
            <w:r>
              <w:rPr>
                <w:rFonts w:ascii="Arial" w:cs="Arial" w:eastAsia="Arial" w:hAnsi="Arial"/>
                <w:sz w:val="14"/>
                <w:szCs w:val="14"/>
                <w:color w:val="auto"/>
              </w:rPr>
              <w:t>Three months ended</w:t>
            </w: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21"/>
                <w:szCs w:val="21"/>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21"/>
                <w:szCs w:val="21"/>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7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months ended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13" w:lineRule="exact"/>
        <w:rPr>
          <w:sz w:val="20"/>
          <w:szCs w:val="20"/>
          <w:color w:val="auto"/>
        </w:rPr>
      </w:pPr>
    </w:p>
    <w:p>
      <w:pPr>
        <w:ind w:left="660" w:hanging="328"/>
        <w:spacing w:after="0" w:line="273"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portfolio size and asset yield, but cannot be separately identified, are allocated to the portfolio size and asset yield variances based on their respective relative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leverage was 5.0 times and 7.3 times our stockholders' equity as of June 30, 2014 and December 31, 2013, respectively, measured as the sum of our agency MBS repo agreements, net receivable / payable for unsettled agency securities and debt of consolidated VIEs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308" w:lineRule="auto"/>
        <w:rPr>
          <w:sz w:val="20"/>
          <w:szCs w:val="20"/>
          <w:color w:val="auto"/>
        </w:rPr>
      </w:pPr>
      <w:r>
        <w:rPr>
          <w:rFonts w:ascii="Arial" w:cs="Arial" w:eastAsia="Arial" w:hAnsi="Arial"/>
          <w:sz w:val="17"/>
          <w:szCs w:val="17"/>
          <w:color w:val="auto"/>
        </w:rPr>
        <w:t>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Inclusive of our net TBA position, our total "at risk" leverage was 6.9 times and 7.5 times our stockholders' equity as of June 30, 2014 and December 31, 2013, respectively. Since we recognize our TBA commitments as derivatives under GAAP, they are not included in our repo and other debt leverage calculations; however, a long TBA position carries similar risks as if we had purchased the underlying MBS assets and funded such purchases with on-balance sheet repo agreements. Similarly, a short TBA position has substantially the same effect as selling the underlying MBS assets and reducing our on-balance sheet repurchase commitments.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further discussion of TBA dollar roll positions). Therefore, we commonly refer to our leverage adjusted for TBA positions as our "at risk" leverage.</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repo and other debt balance, net TBA position and leverage ratios for each of the three month periods listed below (dollars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91"/>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Average Total</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Leverage</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"At Risk"</w:t>
            </w: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gridSpan w:val="8"/>
          </w:tcPr>
          <w:p>
            <w:pPr>
              <w:ind w:left="400"/>
              <w:spacing w:after="0" w:line="126" w:lineRule="exact"/>
              <w:rPr>
                <w:sz w:val="20"/>
                <w:szCs w:val="20"/>
                <w:color w:val="auto"/>
              </w:rPr>
            </w:pPr>
            <w:r>
              <w:rPr>
                <w:rFonts w:ascii="Arial" w:cs="Arial" w:eastAsia="Arial" w:hAnsi="Arial"/>
                <w:sz w:val="13"/>
                <w:szCs w:val="13"/>
                <w:b w:val="1"/>
                <w:bCs w:val="1"/>
                <w:color w:val="auto"/>
              </w:rPr>
              <w:t xml:space="preserve">Repurchase Agreements and Other Debt </w:t>
            </w:r>
            <w:r>
              <w:rPr>
                <w:rFonts w:ascii="Arial" w:cs="Arial" w:eastAsia="Arial" w:hAnsi="Arial"/>
                <w:sz w:val="8"/>
                <w:szCs w:val="8"/>
                <w:b w:val="1"/>
                <w:bCs w:val="1"/>
                <w:color w:val="auto"/>
              </w:rPr>
              <w:t>1</w:t>
            </w:r>
          </w:p>
        </w:tc>
        <w:tc>
          <w:tcPr>
            <w:tcW w:w="160" w:type="dxa"/>
            <w:vAlign w:val="bottom"/>
          </w:tcPr>
          <w:p>
            <w:pPr>
              <w:spacing w:after="0"/>
              <w:rPr>
                <w:sz w:val="10"/>
                <w:szCs w:val="10"/>
                <w:color w:val="auto"/>
              </w:rPr>
            </w:pPr>
          </w:p>
        </w:tc>
        <w:tc>
          <w:tcPr>
            <w:tcW w:w="1740" w:type="dxa"/>
            <w:vAlign w:val="bottom"/>
            <w:gridSpan w:val="4"/>
          </w:tcPr>
          <w:p>
            <w:pPr>
              <w:jc w:val="right"/>
              <w:ind w:right="471"/>
              <w:spacing w:after="0" w:line="126"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120"/>
              <w:spacing w:after="0" w:line="71" w:lineRule="exact"/>
              <w:rPr>
                <w:sz w:val="20"/>
                <w:szCs w:val="20"/>
                <w:color w:val="auto"/>
              </w:rPr>
            </w:pPr>
            <w:r>
              <w:rPr>
                <w:rFonts w:ascii="Arial" w:cs="Arial" w:eastAsia="Arial" w:hAnsi="Arial"/>
                <w:sz w:val="8"/>
                <w:szCs w:val="8"/>
                <w:b w:val="1"/>
                <w:bCs w:val="1"/>
                <w:color w:val="auto"/>
              </w:rPr>
              <w:t>Leverage</w:t>
            </w:r>
          </w:p>
        </w:tc>
        <w:tc>
          <w:tcPr>
            <w:tcW w:w="1140" w:type="dxa"/>
            <w:vAlign w:val="bottom"/>
            <w:gridSpan w:val="2"/>
          </w:tcPr>
          <w:p>
            <w:pPr>
              <w:jc w:val="center"/>
              <w:ind w:right="120"/>
              <w:spacing w:after="0" w:line="71" w:lineRule="exact"/>
              <w:rPr>
                <w:sz w:val="20"/>
                <w:szCs w:val="20"/>
                <w:color w:val="auto"/>
              </w:rPr>
            </w:pPr>
            <w:r>
              <w:rPr>
                <w:rFonts w:ascii="Arial" w:cs="Arial" w:eastAsia="Arial" w:hAnsi="Arial"/>
                <w:sz w:val="8"/>
                <w:szCs w:val="8"/>
                <w:b w:val="1"/>
                <w:bCs w:val="1"/>
                <w:color w:val="auto"/>
              </w:rPr>
              <w:t>"At Risk"</w:t>
            </w:r>
          </w:p>
        </w:tc>
        <w:tc>
          <w:tcPr>
            <w:tcW w:w="900" w:type="dxa"/>
            <w:vAlign w:val="bottom"/>
            <w:gridSpan w:val="2"/>
          </w:tcPr>
          <w:p>
            <w:pPr>
              <w:jc w:val="center"/>
              <w:ind w:right="120"/>
              <w:spacing w:after="0" w:line="71" w:lineRule="exact"/>
              <w:rPr>
                <w:sz w:val="20"/>
                <w:szCs w:val="20"/>
                <w:color w:val="auto"/>
              </w:rPr>
            </w:pPr>
            <w:r>
              <w:rPr>
                <w:rFonts w:ascii="Arial" w:cs="Arial" w:eastAsia="Arial" w:hAnsi="Arial"/>
                <w:sz w:val="8"/>
                <w:szCs w:val="8"/>
                <w:b w:val="1"/>
                <w:bCs w:val="1"/>
                <w:color w:val="auto"/>
              </w:rPr>
              <w:t>as of</w:t>
            </w:r>
          </w:p>
        </w:tc>
        <w:tc>
          <w:tcPr>
            <w:tcW w:w="90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Leverage</w:t>
            </w:r>
          </w:p>
        </w:tc>
        <w:tc>
          <w:tcPr>
            <w:tcW w:w="0" w:type="dxa"/>
            <w:vAlign w:val="bottom"/>
          </w:tcPr>
          <w:p>
            <w:pPr>
              <w:spacing w:after="0"/>
              <w:rPr>
                <w:sz w:val="1"/>
                <w:szCs w:val="1"/>
                <w:color w:val="auto"/>
              </w:rPr>
            </w:pPr>
          </w:p>
        </w:tc>
      </w:tr>
      <w:tr>
        <w:trPr>
          <w:trHeight w:val="139"/>
        </w:trPr>
        <w:tc>
          <w:tcPr>
            <w:tcW w:w="20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Pr>
          <w:p>
            <w:pPr>
              <w:spacing w:after="0"/>
              <w:rPr>
                <w:sz w:val="12"/>
                <w:szCs w:val="12"/>
                <w:color w:val="auto"/>
              </w:rPr>
            </w:pPr>
          </w:p>
        </w:tc>
        <w:tc>
          <w:tcPr>
            <w:tcW w:w="104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2"/>
                <w:szCs w:val="12"/>
                <w:color w:val="auto"/>
              </w:rPr>
            </w:pPr>
          </w:p>
        </w:tc>
        <w:tc>
          <w:tcPr>
            <w:tcW w:w="104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Maximum</w:t>
            </w:r>
          </w:p>
        </w:tc>
        <w:tc>
          <w:tcPr>
            <w:tcW w:w="180" w:type="dxa"/>
            <w:vAlign w:val="bottom"/>
          </w:tcPr>
          <w:p>
            <w:pPr>
              <w:spacing w:after="0"/>
              <w:rPr>
                <w:sz w:val="12"/>
                <w:szCs w:val="12"/>
                <w:color w:val="auto"/>
              </w:rPr>
            </w:pPr>
          </w:p>
        </w:tc>
        <w:tc>
          <w:tcPr>
            <w:tcW w:w="860" w:type="dxa"/>
            <w:vAlign w:val="bottom"/>
            <w:gridSpan w:val="2"/>
          </w:tcPr>
          <w:p>
            <w:pPr>
              <w:ind w:left="100"/>
              <w:spacing w:after="0" w:line="139"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80"/>
              <w:spacing w:after="0" w:line="139"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2"/>
                <w:szCs w:val="12"/>
                <w:color w:val="auto"/>
              </w:rPr>
            </w:pPr>
          </w:p>
        </w:tc>
        <w:tc>
          <w:tcPr>
            <w:tcW w:w="740" w:type="dxa"/>
            <w:vAlign w:val="bottom"/>
          </w:tcPr>
          <w:p>
            <w:pPr>
              <w:jc w:val="right"/>
              <w:ind w:right="191"/>
              <w:spacing w:after="0" w:line="139"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8"/>
              </w:rPr>
              <w:t>during the</w:t>
            </w:r>
          </w:p>
        </w:tc>
        <w:tc>
          <w:tcPr>
            <w:tcW w:w="11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8"/>
              </w:rPr>
              <w:t>Leverage during</w:t>
            </w:r>
          </w:p>
        </w:tc>
        <w:tc>
          <w:tcPr>
            <w:tcW w:w="90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0"/>
              </w:rPr>
              <w:t>Period End</w:t>
            </w: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 xml:space="preserve">the Period </w:t>
            </w:r>
            <w:r>
              <w:rPr>
                <w:rFonts w:ascii="Arial" w:cs="Arial" w:eastAsia="Arial" w:hAnsi="Arial"/>
                <w:sz w:val="8"/>
                <w:szCs w:val="8"/>
                <w:b w:val="1"/>
                <w:bCs w:val="1"/>
                <w:color w:val="auto"/>
                <w:w w:val="89"/>
              </w:rPr>
              <w:t>1,4</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1,5</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1,6</w:t>
            </w: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June 30, 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50,448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52,945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48,362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13,963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18,184</w:t>
            </w:r>
          </w:p>
        </w:tc>
        <w:tc>
          <w:tcPr>
            <w:tcW w:w="10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5.6:1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7.1:1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5.0:1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6.9:1</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March 31, 2014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57,544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63,117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50,454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4,534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14,127</w:t>
            </w:r>
          </w:p>
        </w:tc>
        <w:tc>
          <w:tcPr>
            <w:tcW w:w="100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6.7:1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7.2:1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5.9:1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71,260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80,706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62,124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2,276</w:t>
            </w:r>
          </w:p>
        </w:tc>
        <w:tc>
          <w:tcPr>
            <w:tcW w:w="10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7.6:1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7.5:1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7.3:1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258"/>
        </w:trPr>
        <w:tc>
          <w:tcPr>
            <w:tcW w:w="2080" w:type="dxa"/>
            <w:vAlign w:val="bottom"/>
          </w:tcPr>
          <w:p>
            <w:pPr>
              <w:ind w:left="40"/>
              <w:spacing w:after="0"/>
              <w:rPr>
                <w:sz w:val="20"/>
                <w:szCs w:val="20"/>
                <w:color w:val="auto"/>
              </w:rPr>
            </w:pPr>
            <w:r>
              <w:rPr>
                <w:rFonts w:ascii="Arial" w:cs="Arial" w:eastAsia="Arial" w:hAnsi="Arial"/>
                <w:sz w:val="14"/>
                <w:szCs w:val="14"/>
                <w:color w:val="auto"/>
              </w:rPr>
              <w:t>June 30, 2013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66,060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71,102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71,102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28,904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15,285</w:t>
            </w:r>
          </w:p>
        </w:tc>
        <w:tc>
          <w:tcPr>
            <w:tcW w:w="100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5.9:1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8.4:1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7.0:1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8.5:1</w:t>
            </w:r>
          </w:p>
        </w:tc>
        <w:tc>
          <w:tcPr>
            <w:tcW w:w="0" w:type="dxa"/>
            <w:vAlign w:val="bottom"/>
          </w:tcPr>
          <w:p>
            <w:pPr>
              <w:spacing w:after="0"/>
              <w:rPr>
                <w:sz w:val="1"/>
                <w:szCs w:val="1"/>
                <w:color w:val="auto"/>
              </w:rPr>
            </w:pPr>
          </w:p>
        </w:tc>
      </w:tr>
      <w:tr>
        <w:trPr>
          <w:trHeight w:val="282"/>
        </w:trPr>
        <w:tc>
          <w:tcPr>
            <w:tcW w:w="2080" w:type="dxa"/>
            <w:vAlign w:val="bottom"/>
          </w:tcPr>
          <w:p>
            <w:pPr>
              <w:spacing w:after="0"/>
              <w:rPr>
                <w:sz w:val="20"/>
                <w:szCs w:val="20"/>
                <w:color w:val="auto"/>
              </w:rPr>
            </w:pPr>
            <w:r>
              <w:rPr>
                <w:rFonts w:ascii="Arial" w:cs="Arial" w:eastAsia="Arial" w:hAnsi="Arial"/>
                <w:sz w:val="18"/>
                <w:szCs w:val="18"/>
                <w:color w:val="auto"/>
                <w:w w:val="89"/>
              </w:rPr>
              <w:t>_______________________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repurchase agreements and debt of consolidated VIEs outstanding for the period by the sum of our average month-end stockholders' equity less our average investment in REIT equity securities for the period.</w:t>
      </w:r>
    </w:p>
    <w:p>
      <w:pPr>
        <w:ind w:left="420" w:hanging="412"/>
        <w:spacing w:after="0"/>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Average "at risk" leverage during the period includes the components of "</w:t>
      </w:r>
      <w:r>
        <w:rPr>
          <w:rFonts w:ascii="Arial" w:cs="Arial" w:eastAsia="Arial" w:hAnsi="Arial"/>
          <w:sz w:val="13"/>
          <w:szCs w:val="13"/>
          <w:i w:val="1"/>
          <w:iCs w:val="1"/>
          <w:color w:val="auto"/>
        </w:rPr>
        <w:t>average leverage during the period</w:t>
      </w:r>
      <w:r>
        <w:rPr>
          <w:rFonts w:ascii="Arial" w:cs="Arial" w:eastAsia="Arial" w:hAnsi="Arial"/>
          <w:sz w:val="13"/>
          <w:szCs w:val="13"/>
          <w:color w:val="auto"/>
        </w:rPr>
        <w:t>", plus our daily weighted average net TBA position (at cost) during the period.</w:t>
      </w:r>
    </w:p>
    <w:p>
      <w:pPr>
        <w:spacing w:after="0" w:line="12" w:lineRule="exact"/>
        <w:rPr>
          <w:rFonts w:ascii="Arial" w:cs="Arial" w:eastAsia="Arial" w:hAnsi="Arial"/>
          <w:sz w:val="13"/>
          <w:szCs w:val="13"/>
          <w:color w:val="auto"/>
        </w:rPr>
      </w:pPr>
    </w:p>
    <w:p>
      <w:pPr>
        <w:ind w:left="420" w:hanging="412"/>
        <w:spacing w:after="0" w:line="260" w:lineRule="auto"/>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Leverage as of period end was calculated by dividing the sum of the amount outstanding under our agency MBS repurchase agreements, net payables and receivables for unsettled agency MBS securities and debt of consolidated VIEs by the sum of our total stockholders' equity less the fair value of our investment in REIT equity securities at period end.</w:t>
      </w: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w:t>
      </w:r>
      <w:r>
        <w:rPr>
          <w:rFonts w:ascii="Arial" w:cs="Arial" w:eastAsia="Arial" w:hAnsi="Arial"/>
          <w:sz w:val="14"/>
          <w:szCs w:val="14"/>
          <w:i w:val="1"/>
          <w:iCs w:val="1"/>
          <w:color w:val="auto"/>
        </w:rPr>
        <w:t>leverage as of period end</w:t>
      </w:r>
      <w:r>
        <w:rPr>
          <w:rFonts w:ascii="Arial" w:cs="Arial" w:eastAsia="Arial" w:hAnsi="Arial"/>
          <w:sz w:val="14"/>
          <w:szCs w:val="14"/>
          <w:color w:val="auto"/>
        </w:rPr>
        <w:t>" plus the cost basis (or contract price) of our net TBA position.</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decline in our "at risk" leverage from December 31, 2013 to June 30, 2014 was largely a function of net gains on our portfolio over the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interest expense is primarily comprised of interest expense on our repurchase agreements and the reclassification of accumulated OCI into interest expense related to previously de-designated interest rate swaps.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"adjusted net interest expense," also referred to as our "cost of funds" when stated as a percentage of our outstanding repurchase agreements and other debt balance, includes periodic interest costs on our interest rate swaps reported in gain (loss) on derivatives and other securities, net in our consolidated statements of comprehensive income. Our cost of funds does not include swap termination fees and costs associated with our other supplemental hedges, such as swaptions and short U.S. Treasury positions. Our cost of funds also does not include the implied financing cost/benefit of our net TBA dollar roll position, however, it includes all of the interest rate swap hedge costs related to both our repo funded and TBA dollar roll funded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ind w:firstLine="405"/>
        <w:spacing w:after="0" w:line="308" w:lineRule="auto"/>
        <w:rPr>
          <w:sz w:val="20"/>
          <w:szCs w:val="20"/>
          <w:color w:val="auto"/>
        </w:rPr>
      </w:pPr>
      <w:r>
        <w:rPr>
          <w:rFonts w:ascii="Arial" w:cs="Arial" w:eastAsia="Arial" w:hAnsi="Arial"/>
          <w:sz w:val="17"/>
          <w:szCs w:val="17"/>
          <w:color w:val="auto"/>
        </w:rPr>
        <w:t>The table below presents a reconciliation of our interest expense (the most comparable GAAP financial measure) to our adjusted net interest expense and cost of funds (non-GAAP financial measures) for the three and six months ended June 30, 2014 and 2013 (dollars in millions):</w:t>
      </w:r>
    </w:p>
    <w:p>
      <w:pPr>
        <w:spacing w:after="0" w:line="368"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Adjusted Net Interest Expense and Cost of Funds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280" w:type="dxa"/>
            <w:vAlign w:val="bottom"/>
            <w:gridSpan w:val="2"/>
          </w:tcPr>
          <w:p>
            <w:pPr>
              <w:ind w:left="360"/>
              <w:spacing w:after="0" w:line="157" w:lineRule="exact"/>
              <w:rPr>
                <w:sz w:val="20"/>
                <w:szCs w:val="20"/>
                <w:color w:val="auto"/>
              </w:rPr>
            </w:pPr>
            <w:r>
              <w:rPr>
                <w:rFonts w:ascii="Arial" w:cs="Arial" w:eastAsia="Arial" w:hAnsi="Arial"/>
                <w:sz w:val="14"/>
                <w:szCs w:val="14"/>
                <w:color w:val="auto"/>
                <w:w w:val="99"/>
              </w:rPr>
              <w:t>Repurchase agreement and other debt interest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gridSpan w:val="2"/>
          </w:tcPr>
          <w:p>
            <w:pPr>
              <w:ind w:left="680"/>
              <w:spacing w:after="0"/>
              <w:rPr>
                <w:sz w:val="20"/>
                <w:szCs w:val="20"/>
                <w:color w:val="auto"/>
              </w:rPr>
            </w:pPr>
            <w:r>
              <w:rPr>
                <w:rFonts w:ascii="Arial" w:cs="Arial" w:eastAsia="Arial" w:hAnsi="Arial"/>
                <w:sz w:val="14"/>
                <w:szCs w:val="14"/>
                <w:color w:val="auto"/>
              </w:rPr>
              <w:t>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120</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previously designated as hedges under</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GAAP, 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44"/>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203</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7"/>
              </w:rPr>
              <w:t>Other 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33"/>
        </w:trPr>
        <w:tc>
          <w:tcPr>
            <w:tcW w:w="32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Total adjusted net interest expense and cost of</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373</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5"/>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funds</w:t>
            </w:r>
          </w:p>
        </w:tc>
        <w:tc>
          <w:tcPr>
            <w:tcW w:w="24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Percent of our average repurchase agreements and other debt outstanding for the period annualized.</w:t>
      </w:r>
    </w:p>
    <w:p>
      <w:pPr>
        <w:spacing w:after="0" w:line="372"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principal elements impacting our adjusted net interest expense are the size of our repurchase agreements and interest rate swap portfolio and our cost of funds. The following is a summary of the estimated impact of these elements on changes in our adjusted net interest expense for the three and six months ended June 30, 2014 and 2013 (in millions):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Principle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2014 vs.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23495</wp:posOffset>
            </wp:positionV>
            <wp:extent cx="5728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03"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264"/>
        </w:trPr>
        <w:tc>
          <w:tcPr>
            <w:tcW w:w="45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Decrease</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Repo / Swap Balance</w:t>
            </w:r>
          </w:p>
        </w:tc>
        <w:tc>
          <w:tcPr>
            <w:tcW w:w="10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Repo / Swap Rate</w:t>
            </w:r>
          </w:p>
        </w:tc>
      </w:tr>
      <w:tr>
        <w:trPr>
          <w:trHeight w:val="27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4520" w:type="dxa"/>
            <w:vAlign w:val="bottom"/>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8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8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4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4"/>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0"/>
        </w:trPr>
        <w:tc>
          <w:tcPr>
            <w:tcW w:w="4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our repurchase agreement/interest rate swap balance and changes in repurchase agreement/swap interest rates, but cannot be separately identified, are allocated to each variance based on their respective relative amounts.</w:t>
      </w:r>
    </w:p>
    <w:p>
      <w:pPr>
        <w:ind w:left="660" w:hanging="328"/>
        <w:spacing w:after="0" w:line="255"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200" w:lineRule="exact"/>
        <w:rPr>
          <w:sz w:val="20"/>
          <w:szCs w:val="20"/>
          <w:color w:val="auto"/>
        </w:rPr>
      </w:pPr>
    </w:p>
    <w:p>
      <w:pPr>
        <w:spacing w:after="0" w:line="31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decline in our average repo and other debt balance outstanding was largely a function of the decrease in our agency MBS portfolio. The increase in our costs of funds was largely due to higher average pay rates and lower average receive rates on our interest rate swaps. The table below presents a summary of our average repo and interest rates swaps outstanding for the three and six months ended June 30, 2014 and 2013 (dollars in millions):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2" w:name="page43"/>
    <w:bookmarkEnd w:id="42"/>
    <w:tbl>
      <w:tblPr>
        <w:tblLayout w:type="fixed"/>
        <w:tblInd w:w="34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17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 Debt and Interest Rate Swaps Outstanding</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56"/>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repurchase agreements and other debt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50,448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66,060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68,313</w:t>
            </w:r>
          </w:p>
        </w:tc>
      </w:tr>
      <w:tr>
        <w:trPr>
          <w:trHeight w:val="264"/>
        </w:trPr>
        <w:tc>
          <w:tcPr>
            <w:tcW w:w="688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notional amount of interest rate swaps </w:t>
            </w:r>
            <w:r>
              <w:rPr>
                <w:rFonts w:ascii="Arial" w:cs="Arial" w:eastAsia="Arial" w:hAnsi="Arial"/>
                <w:sz w:val="8"/>
                <w:szCs w:val="8"/>
                <w:color w:val="auto"/>
              </w:rPr>
              <w:t>1</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36,636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49,412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36,917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wp:posOffset>
            </wp:positionV>
            <wp:extent cx="68433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3395" cy="171450"/>
                    </a:xfrm>
                    <a:prstGeom prst="rect">
                      <a:avLst/>
                    </a:prstGeom>
                    <a:noFill/>
                  </pic:spPr>
                </pic:pic>
              </a:graphicData>
            </a:graphic>
          </wp:anchor>
        </w:drawing>
      </w:r>
    </w:p>
    <w:p>
      <w:pPr>
        <w:spacing w:after="0" w:line="29"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6880" w:type="dxa"/>
            <w:vAlign w:val="bottom"/>
          </w:tcPr>
          <w:p>
            <w:pPr>
              <w:ind w:left="20"/>
              <w:spacing w:after="0"/>
              <w:rPr>
                <w:sz w:val="20"/>
                <w:szCs w:val="20"/>
                <w:color w:val="auto"/>
              </w:rPr>
            </w:pPr>
            <w:r>
              <w:rPr>
                <w:rFonts w:ascii="Arial" w:cs="Arial" w:eastAsia="Arial" w:hAnsi="Arial"/>
                <w:sz w:val="14"/>
                <w:szCs w:val="14"/>
                <w:color w:val="auto"/>
              </w:rPr>
              <w:t>Average ratio of interest rate swaps to repurchase agreements and other debt outstanding</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6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8"/>
        </w:trPr>
        <w:tc>
          <w:tcPr>
            <w:tcW w:w="6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pay rate on interest rate swaps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64"/>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receive rate on interest rate swaps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r>
      <w:tr>
        <w:trPr>
          <w:trHeight w:val="243"/>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interest rate swaps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0"/>
        </w:trPr>
        <w:tc>
          <w:tcPr>
            <w:tcW w:w="6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Average notional amount of interest rate swaps excludes forward starting swaps not in effect during the periods presented.</w:t>
      </w:r>
    </w:p>
    <w:p>
      <w:pPr>
        <w:spacing w:after="0" w:line="318" w:lineRule="exact"/>
        <w:rPr>
          <w:sz w:val="20"/>
          <w:szCs w:val="20"/>
          <w:color w:val="auto"/>
        </w:rPr>
      </w:pPr>
    </w:p>
    <w:p>
      <w:pPr>
        <w:jc w:val="both"/>
        <w:ind w:left="60" w:firstLine="486"/>
        <w:spacing w:after="0" w:line="254" w:lineRule="auto"/>
        <w:rPr>
          <w:sz w:val="20"/>
          <w:szCs w:val="20"/>
          <w:color w:val="auto"/>
        </w:rPr>
      </w:pPr>
      <w:r>
        <w:rPr>
          <w:rFonts w:ascii="Arial" w:cs="Arial" w:eastAsia="Arial" w:hAnsi="Arial"/>
          <w:sz w:val="18"/>
          <w:szCs w:val="18"/>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Manager's view of the forward yield curve and the timing of potential changes in short-term interest rates, time to deploy new capital, amount and timing of expirations of our existing interest swap portfolio, current and anticipated swap spreads and our desire to mitigate our exposure to specific sectors of the yield curve. As of June 30, 2014, we had $11.7 billion of forward starting interest rate swaps outstanding with a weighted average forward start date of 1.7 years through April 2019 and a weighted average fixed pay rate of 3.09%. As of June 30, 2013, we had $2.5 billion of forward starting interest rate swaps outstanding with forward start dates through September 2013.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amortization(non-GAAP financial measures) for the three and six months ended June 30, 2014 and 2013 (dollars in millions):</w:t>
      </w:r>
    </w:p>
    <w:p>
      <w:pPr>
        <w:spacing w:after="0" w:line="26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78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Three Months Ended June</w:t>
            </w:r>
          </w:p>
        </w:tc>
        <w:tc>
          <w:tcPr>
            <w:tcW w:w="100" w:type="dxa"/>
            <w:vAlign w:val="bottom"/>
          </w:tcPr>
          <w:p>
            <w:pPr>
              <w:spacing w:after="0"/>
              <w:rPr>
                <w:sz w:val="14"/>
                <w:szCs w:val="14"/>
                <w:color w:val="auto"/>
              </w:rPr>
            </w:pPr>
          </w:p>
        </w:tc>
        <w:tc>
          <w:tcPr>
            <w:tcW w:w="158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1"/>
              </w:rPr>
              <w:t>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64"/>
        </w:trPr>
        <w:tc>
          <w:tcPr>
            <w:tcW w:w="574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6"/>
        </w:trPr>
        <w:tc>
          <w:tcPr>
            <w:tcW w:w="5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REIT equity securities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shareholders</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(benefit) cost due to change in CPR forecast</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3"/>
        </w:trPr>
        <w:tc>
          <w:tcPr>
            <w:tcW w:w="57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8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shareholders</w:t>
            </w:r>
          </w:p>
        </w:tc>
        <w:tc>
          <w:tcPr>
            <w:tcW w:w="1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352.8</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353.8</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0.87</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10"/>
        </w:trPr>
        <w:tc>
          <w:tcPr>
            <w:tcW w:w="574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32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basic and diluted</w:t>
            </w:r>
          </w:p>
        </w:tc>
        <w:tc>
          <w:tcPr>
            <w:tcW w:w="16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2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pacing w:after="0" w:line="31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decline in net spread and dollar roll income per common share for the three and six months ended June 30, 2014 was primarily a function of lower leverage.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8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is a summary of our net gain (loss) on sale of agency MBS for the three and six months ended June 30, 2014 and 2013 (in millions):</w:t>
      </w:r>
    </w:p>
    <w:p>
      <w:pPr>
        <w:spacing w:after="0" w:line="338"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6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86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4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r>
      <w:tr>
        <w:trPr>
          <w:trHeight w:val="25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(35,397)</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15,086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35,388</w:t>
            </w: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Asset sales were primarily a function of shifting our portfolio to TBA dollar roll funded assets, reducing leverage and repositioning our investment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and six months ended June 30, 2014 and 2013 (in millions):</w:t>
      </w:r>
    </w:p>
    <w:p>
      <w:pPr>
        <w:spacing w:after="0" w:line="338"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6"/>
                <w:szCs w:val="16"/>
                <w:color w:val="auto"/>
              </w:rPr>
            </w:pPr>
          </w:p>
        </w:tc>
        <w:tc>
          <w:tcPr>
            <w:tcW w:w="180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59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r>
      <w:tr>
        <w:trPr>
          <w:trHeight w:val="256"/>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258"/>
        </w:trPr>
        <w:tc>
          <w:tcPr>
            <w:tcW w:w="5980" w:type="dxa"/>
            <w:vAlign w:val="bottom"/>
          </w:tcPr>
          <w:p>
            <w:pPr>
              <w:ind w:left="20"/>
              <w:spacing w:after="0"/>
              <w:rPr>
                <w:sz w:val="20"/>
                <w:szCs w:val="20"/>
                <w:color w:val="auto"/>
              </w:rPr>
            </w:pPr>
            <w:r>
              <w:rPr>
                <w:rFonts w:ascii="Arial" w:cs="Arial" w:eastAsia="Arial" w:hAnsi="Arial"/>
                <w:sz w:val="14"/>
                <w:szCs w:val="14"/>
                <w:color w:val="auto"/>
              </w:rPr>
              <w:t>Realized gain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5980" w:type="dxa"/>
            <w:vAlign w:val="bottom"/>
          </w:tcPr>
          <w:p>
            <w:pPr>
              <w:ind w:left="26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realized gain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239</w:t>
            </w:r>
          </w:p>
        </w:tc>
      </w:tr>
      <w:tr>
        <w:trPr>
          <w:trHeight w:val="27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Unrealized (loss) gain on derivative instruments and other securities, net: </w:t>
            </w:r>
            <w:r>
              <w:rPr>
                <w:rFonts w:ascii="Arial" w:cs="Arial" w:eastAsia="Arial" w:hAnsi="Arial"/>
                <w:sz w:val="8"/>
                <w:szCs w:val="8"/>
                <w:color w:val="auto"/>
              </w:rPr>
              <w:t>2</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(866)</w:t>
            </w: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462</w:t>
            </w: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598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5980" w:type="dxa"/>
            <w:vAlign w:val="bottom"/>
          </w:tcPr>
          <w:p>
            <w:pPr>
              <w:ind w:left="11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unrealized (loss) gain on derivative instruments and other securities, net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1,324</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1,296</w:t>
            </w:r>
          </w:p>
        </w:tc>
      </w:tr>
      <w:tr>
        <w:trPr>
          <w:trHeight w:val="243"/>
        </w:trPr>
        <w:tc>
          <w:tcPr>
            <w:tcW w:w="5980" w:type="dxa"/>
            <w:vAlign w:val="bottom"/>
          </w:tcPr>
          <w:p>
            <w:pPr>
              <w:ind w:left="20"/>
              <w:spacing w:after="0"/>
              <w:rPr>
                <w:sz w:val="20"/>
                <w:szCs w:val="20"/>
                <w:color w:val="auto"/>
              </w:rPr>
            </w:pPr>
            <w:r>
              <w:rPr>
                <w:rFonts w:ascii="Arial" w:cs="Arial" w:eastAsia="Arial" w:hAnsi="Arial"/>
                <w:sz w:val="14"/>
                <w:szCs w:val="14"/>
                <w:color w:val="auto"/>
              </w:rPr>
              <w:t>Total (loss) gain on derivative instruments and other securities, net</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1,346</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ectPr>
          <w:pgSz w:w="11900" w:h="16838" w:orient="portrait"/>
          <w:cols w:equalWidth="0" w:num="1">
            <w:col w:w="11420"/>
          </w:cols>
          <w:pgMar w:left="240" w:top="584"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4" w:right="239" w:bottom="1440" w:gutter="0" w:footer="0" w:header="0"/>
          <w:type w:val="continuous"/>
        </w:sectPr>
      </w:pPr>
    </w:p>
    <w:bookmarkStart w:id="44" w:name="page45"/>
    <w:bookmarkEnd w:id="44"/>
    <w:p>
      <w:pPr>
        <w:ind w:left="980" w:right="20" w:hanging="648"/>
        <w:spacing w:after="0" w:line="273" w:lineRule="auto"/>
        <w:tabs>
          <w:tab w:leader="none" w:pos="6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pay our Manager a base management fee payable monthly in arrears in an amount equal to one twelfth of 1.25% of our Equity. Our Equity is defined as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$30 million and $37 million for the three months ended June 30, 2014 and 2013, respectively, and $59 million and $70 million for the six months ended June 30, 2014 and 2013, respectively. The decline in our management fees was a function of our smaller capital base due to the combination of share repurchases and net realized losses on our portfolio during the second half of calendar year 2013.</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General and administrative expenses were $6 million and $9 million for the three months ended June 30, 2014 and 2013, respectively, and $12 million and $18 million for the six months ended June 30, 2014 and 2013, respectively. Our general and administrative expenses primarily consisted of prime broker fees, information technology costs, accounting fees, legal fees, Board of Director fees, insurance expense and general overhead expense. The decline in our general and administrative expenses was largely due to a smaller average portfolio size.</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total operating expense as a percentage of our average stockholders' equity was 1.55% and 1.64% for the three months ended June 30, 2014 and 2013, respectively, and 1.56% and 1.61% for the six months ended June 30, 2014 and 2013,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three months ended June 30, 2014 and 2013, we had estimated taxable income available to common shareholders of $100 million and $411 million (or $0.28 and $1.04 per common share), respectively, and for the six months ended June 30, 2014 and 2013, we had estimated taxable income available to common shareholders of $267 million and $587 million (or $0.75 and $1.56 per common share), respectively.</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REIT, we are required to distribute annually 90% of our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net premiums paid on investments. Furthermore, our estimated taxable income is subject to potential adjustments up to the time of filing our appropriate tax returns, which occurs after the end of our fiscal year.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jc w:val="both"/>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and six months ended June 30, 2014 and 2013 (dollars in millions):</w:t>
      </w:r>
    </w:p>
    <w:p>
      <w:pPr>
        <w:spacing w:after="0" w:line="25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20" w:type="dxa"/>
            <w:vAlign w:val="bottom"/>
            <w:gridSpan w:val="7"/>
          </w:tcPr>
          <w:p>
            <w:pPr>
              <w:ind w:left="60"/>
              <w:spacing w:after="0"/>
              <w:rPr>
                <w:sz w:val="20"/>
                <w:szCs w:val="20"/>
                <w:color w:val="auto"/>
              </w:rPr>
            </w:pPr>
            <w:r>
              <w:rPr>
                <w:rFonts w:ascii="Arial" w:cs="Arial" w:eastAsia="Arial" w:hAnsi="Arial"/>
                <w:sz w:val="14"/>
                <w:szCs w:val="14"/>
                <w:b w:val="1"/>
                <w:bCs w:val="1"/>
                <w:color w:val="auto"/>
                <w:w w:val="99"/>
              </w:rPr>
              <w:t>Three Months Ended June</w:t>
            </w:r>
          </w:p>
        </w:tc>
        <w:tc>
          <w:tcPr>
            <w:tcW w:w="120" w:type="dxa"/>
            <w:vAlign w:val="bottom"/>
          </w:tcPr>
          <w:p>
            <w:pPr>
              <w:spacing w:after="0"/>
              <w:rPr>
                <w:sz w:val="14"/>
                <w:szCs w:val="14"/>
                <w:color w:val="auto"/>
              </w:rPr>
            </w:pPr>
          </w:p>
        </w:tc>
        <w:tc>
          <w:tcPr>
            <w:tcW w:w="156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1"/>
              </w:rPr>
              <w:t>Six Months Ended June</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1"/>
              </w:rPr>
              <w:t>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1"/>
              </w:rPr>
              <w:t>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1,829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(108)</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book to tax differences: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160"/>
              <w:spacing w:after="0"/>
              <w:rPr>
                <w:sz w:val="20"/>
                <w:szCs w:val="20"/>
                <w:color w:val="auto"/>
              </w:rPr>
            </w:pPr>
            <w:r>
              <w:rPr>
                <w:rFonts w:ascii="Arial" w:cs="Arial" w:eastAsia="Arial" w:hAnsi="Arial"/>
                <w:sz w:val="14"/>
                <w:szCs w:val="14"/>
                <w:color w:val="auto"/>
              </w:rPr>
              <w:t>Premium amortization, net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Realized losses (gains), net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64"/>
        </w:trPr>
        <w:tc>
          <w:tcPr>
            <w:tcW w:w="4380" w:type="dxa"/>
            <w:vAlign w:val="bottom"/>
          </w:tcPr>
          <w:p>
            <w:pPr>
              <w:ind w:left="160"/>
              <w:spacing w:after="0"/>
              <w:rPr>
                <w:sz w:val="20"/>
                <w:szCs w:val="20"/>
                <w:color w:val="auto"/>
              </w:rPr>
            </w:pPr>
            <w:r>
              <w:rPr>
                <w:rFonts w:ascii="Arial" w:cs="Arial" w:eastAsia="Arial" w:hAnsi="Arial"/>
                <w:sz w:val="14"/>
                <w:szCs w:val="14"/>
                <w:color w:val="auto"/>
              </w:rPr>
              <w:t>Capital loss carryforward</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Unrealized losses (gains), net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book to tax differences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4"/>
                <w:szCs w:val="14"/>
                <w:color w:val="auto"/>
              </w:rPr>
              <w:t>Estimated REIT taxable income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83"/>
        </w:trPr>
        <w:tc>
          <w:tcPr>
            <w:tcW w:w="4380" w:type="dxa"/>
            <w:vAlign w:val="bottom"/>
          </w:tcPr>
          <w:p>
            <w:pPr>
              <w:ind w:left="20"/>
              <w:spacing w:after="0"/>
              <w:rPr>
                <w:sz w:val="20"/>
                <w:szCs w:val="20"/>
                <w:color w:val="auto"/>
              </w:rPr>
            </w:pPr>
            <w:r>
              <w:rPr>
                <w:rFonts w:ascii="Arial" w:cs="Arial" w:eastAsia="Arial" w:hAnsi="Arial"/>
                <w:sz w:val="14"/>
                <w:szCs w:val="14"/>
                <w:color w:val="auto"/>
              </w:rPr>
              <w:t>Estimated REIT taxable income available to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267</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10"/>
        </w:trPr>
        <w:tc>
          <w:tcPr>
            <w:tcW w:w="438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2"/>
                <w:szCs w:val="12"/>
                <w:color w:val="auto"/>
              </w:rPr>
              <w:t>Weighted average number of common shares outstanding - basic and</w:t>
            </w:r>
          </w:p>
        </w:tc>
        <w:tc>
          <w:tcPr>
            <w:tcW w:w="1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352.8</w:t>
            </w: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396.4</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353.8</w:t>
            </w: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18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4"/>
                <w:szCs w:val="14"/>
                <w:color w:val="auto"/>
                <w:w w:val="99"/>
              </w:rPr>
              <w:t>Estimated REIT taxable income per common share - basic and 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0.28</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0.75</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64"/>
        </w:trPr>
        <w:tc>
          <w:tcPr>
            <w:tcW w:w="43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Beginning cumulative non-deductible capital losses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1,683</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1,785</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loss carryforward</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cumulative non-deductible capital losses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capital losses per common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Taxable income for the three and six months ended June 30, 2014 excludes $310 million and $412 million of estimated net capital gains, respectively, which were applied against our prior year net capital loss carryforward.</w:t>
      </w:r>
    </w:p>
    <w:p>
      <w:pPr>
        <w:spacing w:after="0" w:line="2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distributed all of our 2013 taxable income within the allowable time frame, including the available spill-back provision, so that we will not be subject to federal or state corporate income tax. As of June 30, 2014, we had an estimated $16 million of current year undistributed taxable income, net of our dividend payable. Our undistributed taxable income excludes $1.4 billion, or $3.89 per common share, of remaining prior year non-deductible net capital losses, which may be applied against future capital gains through 2018.</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TBA dollar roll income is treated as "capital gains/losses" for income tax purposes, rather than as "ordinary income" if we held the position in pool form and funded it with repo financing, and is offset against our prior year net capital loss carryforward for taxable earnings purposes. Therefore, given that a significant component of our current earnings is in the form of dollar roll income and is offset against our net capital loss carryforward, we anticipate that a portion of our 2014 dividends declared on our common stock will represent a "return of capital" instead of "ordinary income" for income tax purposes when the final determination is made after the end of our calendar year. Dividends characterized as a "return of capital" may reduce a shareholder's cost basis in their stock position and for shareholders that hold our common stock in taxable accounts this may result in an improvement to their after-tax returns. The final tax characterization of our dividends will be reported to shareholders on Form 1099-DIV after the end of the calendar year. The tax consequences of an investment in our common stock will depend upon each shareholder's particular circumstances and shareholders are advised to consult with their tax adviser concerning the tax consequences of an investment in our common stock.</w:t>
      </w:r>
    </w:p>
    <w:p>
      <w:pPr>
        <w:spacing w:after="0" w:line="128"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7"/>
          <w:szCs w:val="17"/>
          <w:color w:val="auto"/>
        </w:rPr>
        <w:t>The following table summarizes dividends declared on our Series A Preferred Stock, Series B Preferred Stock (each underlying depositary share representing a 1/1000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interest in a share of our Series B Preferred Stock) and common stock during the six months ended June 30, 2014 and 2013:</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tbl>
      <w:tblPr>
        <w:tblLayout w:type="fixed"/>
        <w:tblInd w:w="180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Dividends Declared per Share</w:t>
            </w:r>
          </w:p>
        </w:tc>
        <w:tc>
          <w:tcPr>
            <w:tcW w:w="134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Series B Preferred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 (Per Depositary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Share)</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June 30, 2014 </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0.36059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0.50000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0.36059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March 31, 2013</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0.50000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Series B Preferred Stock depositary share dividend amount includes dividends payable for a partial dividend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TRS is subject to corporate federal and state income taxes at the combined federal and state corporate statutory tax rate of 39.5%. For the three and six months ended June 30, 2014 and three months ended June 30, 2013, we recorded no provision for income taxes attributable to our TRS. For the six months ended June 30, 2013, we recorded an income tax provision of $10 million attributable to our TRS, which is included in our net income tax provision on our accompanying consolidated statements of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income for the three and six months ended June 30, 2014 and 2013 (in millions):</w:t>
      </w:r>
    </w:p>
    <w:p>
      <w:pPr>
        <w:spacing w:after="0" w:line="365"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1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8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54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AFS securities, net:</w:t>
            </w:r>
          </w:p>
        </w:tc>
        <w:tc>
          <w:tcPr>
            <w:tcW w:w="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5400" w:type="dxa"/>
            <w:vAlign w:val="bottom"/>
          </w:tcPr>
          <w:p>
            <w:pPr>
              <w:ind w:left="100"/>
              <w:spacing w:after="0"/>
              <w:rPr>
                <w:sz w:val="20"/>
                <w:szCs w:val="20"/>
                <w:color w:val="auto"/>
              </w:rPr>
            </w:pPr>
            <w:r>
              <w:rPr>
                <w:rFonts w:ascii="Arial" w:cs="Arial" w:eastAsia="Arial" w:hAnsi="Arial"/>
                <w:sz w:val="14"/>
                <w:szCs w:val="14"/>
                <w:color w:val="auto"/>
              </w:rPr>
              <w:t>Unrealized gain (loss), net</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w w:val="85"/>
              </w:rPr>
              <w:t>812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(2,796)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(3,659)</w:t>
            </w:r>
          </w:p>
        </w:tc>
      </w:tr>
      <w:tr>
        <w:trPr>
          <w:trHeight w:val="270"/>
        </w:trPr>
        <w:tc>
          <w:tcPr>
            <w:tcW w:w="5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6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5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gain (loss) on AFS securities, net:</w:t>
            </w:r>
          </w:p>
        </w:tc>
        <w:tc>
          <w:tcPr>
            <w:tcW w:w="6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5"/>
              </w:rPr>
              <w:t>790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(3,650)</w:t>
            </w: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157"/>
        </w:trPr>
        <w:tc>
          <w:tcPr>
            <w:tcW w:w="5400" w:type="dxa"/>
            <w:vAlign w:val="bottom"/>
          </w:tcPr>
          <w:p>
            <w:pPr>
              <w:ind w:left="100"/>
              <w:spacing w:after="0" w:line="157" w:lineRule="exact"/>
              <w:rPr>
                <w:sz w:val="20"/>
                <w:szCs w:val="20"/>
                <w:color w:val="auto"/>
              </w:rPr>
            </w:pPr>
            <w:r>
              <w:rPr>
                <w:rFonts w:ascii="Arial" w:cs="Arial" w:eastAsia="Arial" w:hAnsi="Arial"/>
                <w:sz w:val="14"/>
                <w:szCs w:val="14"/>
                <w:color w:val="auto"/>
                <w:w w:val="96"/>
              </w:rPr>
              <w:t>Reversal of prior period unrealized loss on interest rate swaps, net, upon reclassification</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8"/>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 interest expense</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5"/>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(3,553)</w:t>
            </w:r>
          </w:p>
        </w:tc>
      </w:tr>
      <w:tr>
        <w:trPr>
          <w:trHeight w:val="20"/>
        </w:trPr>
        <w:tc>
          <w:tcPr>
            <w:tcW w:w="5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funds are borrowings under master repurchase agreements, equity offerings, asset sales and monthly principal and interest payments on our investment portfolio. Because the level of our borrowings can be adjusted on a daily basis, the level of cash and cash equivalents carried on our balance sheet is significantly less important than the potential liquidity available under our borrowing arrangements. 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net taxable income. To the extent that we annually distribute all of our net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the extent we raise additional equity capital through follow-on equity offerings, through our at-the-market offering program or under our dividend reinvestment and direct stock purchase plan, we currently anticipate using cash proceeds from such transactions to purchase additional investment securities, to make scheduled payments of principal and interest on our repurchase</w:t>
      </w:r>
    </w:p>
    <w:p>
      <w:pPr>
        <w:sectPr>
          <w:pgSz w:w="11900" w:h="16838" w:orient="portrait"/>
          <w:cols w:equalWidth="0" w:num="1">
            <w:col w:w="11420"/>
          </w:cols>
          <w:pgMar w:left="240" w:top="92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923" w:right="239" w:bottom="1440" w:gutter="0" w:footer="0" w:header="0"/>
          <w:type w:val="continuous"/>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agreements and for other general corporate purposes. There can be no assurance, however, that we will be able to raise additional equity capital at any particular time or on any particular terms.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Preferred Stock Offering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May 2014, we completed a public offering in which 7.0 million depositary shares were sold to the underwriters at a price of $24.2125 per depositary share, for proceeds, net of offering expenses, of approximately $169 million. Each depositary share represents a 1/1,000th interest in a share of our Series B Preferred Stock. Our Series B Preferred Stock has no stated maturity, is not subject to any sinking fund or mandatory redemption and ranks on parity with our Series A Preferred Stock. Holders of depositary shares have no voting rights, except under limited conditions, and are entitled to receive cumulative cash dividends at a rate of 7.750% per annum of the $25.00 per depositary share liquidation preference before holders of our common stock are entitled to receive any dividends. For further details regarding our Series A and Series B Preferred Stock please refer to Note 9 to our consolidated financial statements in this Form 10-Q.</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October 2012, our Board of Directors adopted a program that provides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repurchase shares only when the purchase price is less than our estimate of our current net asset value per share of our common stock.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9"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did not repurchase any shares of our common stock during the three months ended June 30, 2014. During the six months ended June 30, 2014, we repurchased approximately 3.4 million shares of our common stock at an average repurchase price of $22.10 per share, including expenses, totaling $74 million. As of June 30, 2014, the total remaining amount authorized for repurchases of our common stock was $992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part of our investment strategy, we borrow against our investment portfolio pursuant to master repurchase agreements. We expect that our borrowings under such master repurchase agreements will generally have maturities ranging up to one year, but may have maturities up to five years or longer.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 Our leverage as of June 30, 2014 was 5.0 times our stockholders' equity, measured as the sum of our agency MBS repurchase agreements, net receivable / payable for unsettled agency securities and debt of consolidated VIEs divided by the sum of our total stockholders' equity less the fair value of our investment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1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2014, our agency MBS repurchase agreements had a weighted average cost of funds of 0.41% and a weighted average remaining days-to-maturity of 170 days, excluding amounts borrowed under U.S. Treasury repurchase agreements.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June 30, 2014, we had master repurchase agreements with 36 financial institutions, subject to certain conditions, located throughout North America, Europe and Asia. As of June 30, 2014, less than 4% of our stockholders' equity was at risk with any one repo counterparty, with the top five repo counterparties representing approximately 12% of our stockholders' equity. The table below includes a summary of our repurchase agreement funding by number of repo counterparties and counterparty region as of June 30, 2014. For further details regarding our borrowings under repurchase agreements and other debt as of June 30, 2014, please refer to Note 5 to our consolidated financial statements in this Form 10-Q.</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tbl>
      <w:tblPr>
        <w:tblLayout w:type="fixed"/>
        <w:tblInd w:w="252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52"/>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200" w:type="dxa"/>
            <w:vAlign w:val="bottom"/>
            <w:vMerge w:val="restart"/>
          </w:tcPr>
          <w:p>
            <w:pPr>
              <w:spacing w:after="0"/>
              <w:rPr>
                <w:sz w:val="13"/>
                <w:szCs w:val="13"/>
                <w:color w:val="auto"/>
              </w:rPr>
            </w:pPr>
          </w:p>
        </w:tc>
        <w:tc>
          <w:tcPr>
            <w:tcW w:w="17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Number of Counter-</w:t>
            </w:r>
          </w:p>
        </w:tc>
        <w:tc>
          <w:tcPr>
            <w:tcW w:w="1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 Repurchase</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62%</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Asia</w:t>
            </w:r>
          </w:p>
        </w:tc>
        <w:tc>
          <w:tcPr>
            <w:tcW w:w="16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8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36</w:t>
            </w:r>
          </w:p>
        </w:tc>
        <w:tc>
          <w:tcPr>
            <w:tcW w:w="1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six months ended June 30, 2014, haircuts on our pledged collateral remained stable and as of June 30, 2014, our weighted average haircut was approximately 5% of the value of our collateral.</w:t>
      </w:r>
    </w:p>
    <w:p>
      <w:pPr>
        <w:spacing w:after="0" w:line="13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agency securities securing our repurchase agreements and prepayments on the mortgages securing such agency securities. Similarly, if the estimated fair value of our investment securities increases due to changes in interest rates or other factors, counterparties may release collateral back to us. Our repurchase agreements generally provide that the valuations for the agency MBS securing our repurchase agreements are to be obtained from a generally recognized source agreed to by the parties. However, in certain circumstances under certain of our repurchase agreements our lenders have the sole discretion to determine the value of the agency MBS securing our repurchase agreements.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2014, we had met all of our margin requirements and we had unrestricted cash and cash equivalents of $1.7 billion and unpledged securities of approximately $3.6 billion, including securities pledged to us, available to meet margin calls on our repurchase agreements and derivative instruments and for other corporate purposes.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3 and 6 to our consolidated financial statements in this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Similar to repurchase agreements, our use of derivatives exposes us to counterparty credit risk relating to potential losses that could be recognized in the event that the counterparties to these instruments fail to perform their obligations under the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68"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We minimize this risk by limiting our counterparties to major financial institutions with acceptable credit ratings and by monitoring positions with individual counterparties.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Excluding centrally cleared interest rate swaps, as of June 30, 2014,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Transactions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also enter into TBA dollar roll transactions as a means of leveraging (long TBAs) or deleveraging (short TBAs) our investment portfolio. TBA dollar roll transactions represent a form of off-balance sheet financing and are accounted for as derivative instruments in our accompanying consolidated financial statements in this Form 10-Q. Inclusive of our net TBA position, as of June 30, 2014, our total "at risk" leverage was 6.9 times our stockholders' equity.</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June 30, 2014, we had a net long TBA position with a market value and a total contract price of $18.4 billion and $18.2 billion, respectively, and a total carrying value of $200 million recognized in derivative assets/(liabilities), at fair value on our consolidated balance sheets in this Form 10-Q.</w:t>
      </w:r>
    </w:p>
    <w:p>
      <w:pPr>
        <w:spacing w:after="0" w:line="18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TBA dollar roll contracts are also subject to margin requirements governed by the Mortgage-Backed Securities Division ("MBSD") of the Fixed Income Clearing Corporation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maintain a portfolio of highly liquid agency MBS securities. We may sell our agency MBS securities through the TBA market by delivering securities into TBA contracts for the sale of agency securities, subject to "good delivery" provisions promulgated by the Securities Industry and Financial Markets Association ("SIFMA"). We may alternatively sell agency MBS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MBS securities eligible for TBA delivery enhances our liquidity profile and provides price support for our TBA eligible securities in a rising interest rate scenario at or above generic TBA prices. As of June 30, 2014, approximately 94% of our fixed rate agency MBS portfolio was eligible for TBA delivery.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2014,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June 30, 2014, we had not guaranteed any obligations of unconsolidated entities or entered into any commitment or intent to provide funding to any such entities.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agency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options to enter into interest rate swaps.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Primary measures of an instrument's price sensitivity to interest rate fluctuations are its duration and convexity. The duration of our investment portfolio changes with interest rates and tends to increase when rates rise and decrease when rates fall. This "negative convexity" generally increases the interest rate exposure of our investment portfolio in excess of what is measured by duration alone.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Further, since we do not control the other agency mortgage REITs in which we invest in, we have limited transparency into their underlying investment and hedge portfolios. Therefore, our Manager must make certain assumptions to estimate the duration and convexity of the underlying portfolios and their sensitivity to changes in interest rates. Such estimates do not include the potential impact of other factors which may affect the fair value of our investments in other REITs, such as stock market volatility. Accordingly, actual results could differ from our estimates.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and the estimated changes in the fair value of our investment portfolio (including derivatives and other securities used for hedging purposes) and in our net asset value as of June 30, 2014 and December 31, 2013 should interest rates go up or down by 50 and 100 basis points, assuming instantaneous parallel shifts in the yield curve and including the impact of both duration and convexity.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jc w:val="both"/>
        <w:ind w:firstLine="432"/>
        <w:spacing w:after="0" w:line="302" w:lineRule="auto"/>
        <w:rPr>
          <w:sz w:val="20"/>
          <w:szCs w:val="20"/>
          <w:color w:val="auto"/>
        </w:rPr>
      </w:pPr>
      <w:r>
        <w:rPr>
          <w:rFonts w:ascii="Arial" w:cs="Arial" w:eastAsia="Arial" w:hAnsi="Arial"/>
          <w:sz w:val="16"/>
          <w:szCs w:val="16"/>
          <w:color w:val="auto"/>
        </w:rPr>
        <w:t>All changes in income and value in the table below are measured as percentage changes from the projected net interest income, investment portfolio value and net asset value at the base interest rate scenario. The base interest rate scenario assumes interest rates and prepayment projections as of June 30, 2014 and December 31, 2013.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increases and decreases on a static portfolio, we may from time to time sell any of our agency securities as a part of our overall management of our investment portfolio.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23495</wp:posOffset>
            </wp:positionV>
            <wp:extent cx="4073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103"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41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8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 in Interest Rate</w:t>
            </w: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Net Interest Income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Portfolio Market</w:t>
            </w:r>
          </w:p>
        </w:tc>
        <w:tc>
          <w:tcPr>
            <w:tcW w:w="13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5"/>
              </w:rPr>
              <w:t xml:space="preserve">Net Asset Value </w:t>
            </w:r>
            <w:r>
              <w:rPr>
                <w:rFonts w:ascii="Arial" w:cs="Arial" w:eastAsia="Arial" w:hAnsi="Arial"/>
                <w:sz w:val="8"/>
                <w:szCs w:val="8"/>
                <w:b w:val="1"/>
                <w:bCs w:val="1"/>
                <w:color w:val="auto"/>
                <w:w w:val="95"/>
              </w:rPr>
              <w:t>3,5</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3,4</w:t>
            </w: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June 30, 2014</w:t>
            </w: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+0.4%</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+2.8%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-11.5%</w:t>
            </w:r>
          </w:p>
        </w:tc>
        <w:tc>
          <w:tcPr>
            <w:tcW w:w="0" w:type="dxa"/>
            <w:vAlign w:val="bottom"/>
          </w:tcPr>
          <w:p>
            <w:pPr>
              <w:spacing w:after="0"/>
              <w:rPr>
                <w:sz w:val="1"/>
                <w:szCs w:val="1"/>
                <w:color w:val="auto"/>
              </w:rPr>
            </w:pPr>
          </w:p>
        </w:tc>
      </w:tr>
      <w:tr>
        <w:trPr>
          <w:trHeight w:val="330"/>
        </w:trPr>
        <w:tc>
          <w:tcPr>
            <w:tcW w:w="2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+1.8%</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+9.0%</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+6.8%</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+0.8%</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+6.1%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-7.2%</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-1.7%</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-13.1%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hanging="328"/>
        <w:spacing w:after="0" w:line="24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other supplemental hedges, such as swaptions and U.S. Treasury securities. Also excludes costs associated with our TBA position and TBA dollar roll income/loss. Base case scenario assumes interest rates and forecasted CPR of 8% and 7% as of June 30, 2014 and December 31, 2013, respectively. As of June 30, 2014, rate shock scenarios assume a forecasted CPR of 11%, 9%, 8% and 7% for the -100, -50, +50 and +100 basis points scenarios, respectively. As of December 31, 2013, rate shock scenarios assume a forecasted CPR of 10%, 8%, 7% and 6% for such scenarios, respectively. Estimated dollar change in net interest income does not include the one time impact of retroactive "catch-up" premium amortization benefit/cost due to a decrease/increase in the forecasted CPR and does not include dividend income from investments in other REITs. Down rate scenarios assume a floor of 0% for anticipated interest rates.</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 in our interest rate sensitivity as of June 30, 2014 compared to December 31, 2013 was a function of a flatter yield curve, partially mitigated by changes in the size and composition of our asset and hedge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2" w:name="page53"/>
    <w:bookmarkEnd w:id="52"/>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agency MBS into interest income over the projected lives of the securities, including contractual payments and estimated prepayments using the interest method. Our policy for estimating prepayment speeds for calculating the effective yield is to evaluate published prepayment data for similar agency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When the market spread widens between the yield on our agency securities and benchmark interest rates, our net book value could decline if the value of our agency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table below quantifies the estimated changes in the fair value of our investment portfolio (including derivatives and other securities used for hedging purposes) and in our net asset value as of June 30, 2014 and December 31, 2013 should spreads between our mortgage assets and benchmark interest rates go up or down by 10 and 25 basis points. These estimated impacts of spread changes are in addition to our sensitivity to interest rate shocks included in the interest rate shock table above. The table below assumes a spread duration of 5.1 years and 5.5 years based on interest rates and MBS prices as of June 30, 2014 and December 31, 2013, respectively. However, our portfolio's sensitivity of mortgage spread changes will vary with changes in interest rates and will generally increase as interest rates rise and prepayments slow. Additionally, we have limited transparency into the underlying investment and hedge portfolios of the other agency mortgage REITs in which we invest. Therefore, actual results could differ materially from our estimates.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23495</wp:posOffset>
            </wp:positionV>
            <wp:extent cx="3816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103" w:lineRule="exact"/>
        <w:rPr>
          <w:sz w:val="20"/>
          <w:szCs w:val="20"/>
          <w:color w:val="auto"/>
        </w:rPr>
      </w:pPr>
    </w:p>
    <w:tbl>
      <w:tblPr>
        <w:tblLayout w:type="fixed"/>
        <w:tblInd w:w="270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30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Portfolio</w:t>
            </w:r>
          </w:p>
        </w:tc>
        <w:tc>
          <w:tcPr>
            <w:tcW w:w="15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 in MBS Spread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5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b w:val="1"/>
                <w:bCs w:val="1"/>
                <w:color w:val="auto"/>
              </w:rPr>
              <w:t>As of June 30, 2014</w:t>
            </w: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+10.5%</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+4.2%</w:t>
            </w: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-4.2%</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8"/>
              </w:rPr>
              <w:t>-1.4%</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-10.5%</w:t>
            </w:r>
          </w:p>
        </w:tc>
        <w:tc>
          <w:tcPr>
            <w:tcW w:w="0" w:type="dxa"/>
            <w:vAlign w:val="bottom"/>
          </w:tcPr>
          <w:p>
            <w:pPr>
              <w:spacing w:after="0"/>
              <w:rPr>
                <w:sz w:val="1"/>
                <w:szCs w:val="1"/>
                <w:color w:val="auto"/>
              </w:rPr>
            </w:pPr>
          </w:p>
        </w:tc>
      </w:tr>
      <w:tr>
        <w:trPr>
          <w:trHeight w:val="330"/>
        </w:trPr>
        <w:tc>
          <w:tcPr>
            <w:tcW w:w="30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+10.1%</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-4.1%</w:t>
            </w:r>
          </w:p>
        </w:tc>
        <w:tc>
          <w:tcPr>
            <w:tcW w:w="0" w:type="dxa"/>
            <w:vAlign w:val="bottom"/>
          </w:tcPr>
          <w:p>
            <w:pPr>
              <w:spacing w:after="0"/>
              <w:rPr>
                <w:sz w:val="1"/>
                <w:szCs w:val="1"/>
                <w:color w:val="auto"/>
              </w:rPr>
            </w:pPr>
          </w:p>
        </w:tc>
      </w:tr>
      <w:tr>
        <w:trPr>
          <w:trHeight w:val="258"/>
        </w:trPr>
        <w:tc>
          <w:tcPr>
            <w:tcW w:w="3020" w:type="dxa"/>
            <w:vAlign w:val="bottom"/>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-10.1%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right="20" w:hanging="328"/>
        <w:spacing w:after="0" w:line="241"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stockholders' equity, net of the Series A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primary liquidity risk for us arises from financing long-term assets with shorter-term borrowings through repurchase agreements. Our assets that are pledged to secure repurchase agreements are agency securities, U.S. Treasury securities and cash. As of June 30, 2014, we had unrestricted cash and cash equivalents of $1.7 billion and unpledged securities of approximately $3.6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billion, including securities pledged to us, available to meet margin calls on our repurchase agreements and derivative contracts and for other corporate purposes. However, should the value of our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projected weighted-average life and the duration (or interest rate sensitivity) of our investments is based on our Manager's assumptions regarding the rate at which the borrowers will prepay the underlying mortgage loans. In general, we use 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repurchase agreements.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However, if prepayment rates decrease in a rising interest rate environment, the average life or duration of our fixed rate assets or the fixed rate portion of the ARMs or other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agency securities collateralized by fixed rate mortgages or hybrid ARMs to decline by more than otherwise would be the case while most of our hedging instruments (with the exception of short TBA mortgage positions, interest-only securities and certain other supplemental hedging instruments) would not receive any incremental offsetting gains. In extreme situations, we may be forced to sell assets to maintain adequate liquidity, which could cause us to incur realized losses.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However, there is no guarantee our efforts to manage counterparty credit risk will be successful and we could suffer significant losses if unsuccessful.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June 30, 2014. Based on the foregoing, our Chief Executive Officer and Chief Financial Officer concluded that our disclosure controls and procedures were effective.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27" w:right="239" w:bottom="1440" w:gutter="0" w:footer="0" w:header="0"/>
        </w:sectPr>
      </w:pPr>
    </w:p>
    <w:bookmarkStart w:id="55" w:name="page56"/>
    <w:bookmarkEnd w:id="55"/>
    <w:p>
      <w:pPr>
        <w:jc w:val="center"/>
        <w:ind w:right="-4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Tables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240" w:top="580" w:right="659" w:bottom="1440" w:gutter="0" w:footer="0" w:header="0"/>
        </w:sectPr>
      </w:pPr>
    </w:p>
    <w:bookmarkStart w:id="56" w:name="page57"/>
    <w:bookmarkEnd w:id="56"/>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to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to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to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to Form 8-K (File No. 001-34067), filed May 8, 2014.</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†10.1  Form of Restricted Stock Unit Agreement for independent directors, filed herewith.</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9" w:lineRule="exact"/>
        <w:rPr>
          <w:sz w:val="20"/>
          <w:szCs w:val="20"/>
          <w:color w:val="auto"/>
        </w:rPr>
      </w:pPr>
    </w:p>
    <w:p>
      <w:pPr>
        <w:ind w:left="660" w:right="160" w:hanging="652"/>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399" w:lineRule="exact"/>
        <w:rPr>
          <w:rFonts w:ascii="Arial" w:cs="Arial" w:eastAsia="Arial" w:hAnsi="Arial"/>
          <w:sz w:val="18"/>
          <w:szCs w:val="18"/>
          <w:color w:val="auto"/>
        </w:rPr>
      </w:pPr>
    </w:p>
    <w:p>
      <w:pPr>
        <w:ind w:left="880" w:hanging="467"/>
        <w:spacing w:after="0"/>
        <w:tabs>
          <w:tab w:leader="none" w:pos="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887" w:right="319" w:bottom="1440" w:gutter="0" w:footer="0" w:header="0"/>
        </w:sectPr>
      </w:pPr>
    </w:p>
    <w:bookmarkStart w:id="57" w:name="page58"/>
    <w:bookmarkEnd w:id="57"/>
    <w:p>
      <w:pPr>
        <w:ind w:left="880" w:hanging="46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financial statement schedules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5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7,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801"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Exhibit 10.1</w:t>
      </w:r>
    </w:p>
    <w:p>
      <w:pPr>
        <w:spacing w:after="0" w:line="22" w:lineRule="exact"/>
        <w:rPr>
          <w:sz w:val="20"/>
          <w:szCs w:val="20"/>
          <w:color w:val="auto"/>
        </w:rPr>
      </w:pPr>
    </w:p>
    <w:p>
      <w:pPr>
        <w:jc w:val="center"/>
        <w:ind w:left="260" w:right="2580"/>
        <w:spacing w:after="0" w:line="245" w:lineRule="auto"/>
        <w:rPr>
          <w:sz w:val="20"/>
          <w:szCs w:val="20"/>
          <w:color w:val="auto"/>
        </w:rPr>
      </w:pPr>
      <w:r>
        <w:rPr>
          <w:rFonts w:ascii="Arial" w:cs="Arial" w:eastAsia="Arial" w:hAnsi="Arial"/>
          <w:sz w:val="22"/>
          <w:szCs w:val="22"/>
          <w:b w:val="1"/>
          <w:bCs w:val="1"/>
          <w:color w:val="auto"/>
        </w:rPr>
        <w:t>AMERICAN CAPITAL AGENCY CORP. EQUITY INCENTIVE PLAN FOR INDEPENDENT DIRECTORS RESTRICTED STOCK UNIT AGREEMENT</w:t>
      </w:r>
    </w:p>
    <w:p>
      <w:pPr>
        <w:spacing w:after="0" w:line="234" w:lineRule="exact"/>
        <w:rPr>
          <w:sz w:val="20"/>
          <w:szCs w:val="20"/>
          <w:color w:val="auto"/>
        </w:rPr>
      </w:pPr>
    </w:p>
    <w:p>
      <w:pPr>
        <w:ind w:right="400" w:firstLine="648"/>
        <w:spacing w:after="0" w:line="248" w:lineRule="auto"/>
        <w:rPr>
          <w:sz w:val="20"/>
          <w:szCs w:val="20"/>
          <w:color w:val="auto"/>
        </w:rPr>
      </w:pPr>
      <w:r>
        <w:rPr>
          <w:rFonts w:ascii="Arial" w:cs="Arial" w:eastAsia="Arial" w:hAnsi="Arial"/>
          <w:sz w:val="22"/>
          <w:szCs w:val="22"/>
          <w:color w:val="auto"/>
        </w:rPr>
        <w:t>This Restricted Stock Unit Agreement (this “Agreement”) is executed and delivered as of [●] (the “Grant Date”) by and between American Capital Agency Corp., a Delaware corporation (the “Company”), and [●], a director of the Company (the “Grantee”). Capitalized terms used but not defined herein shall have the meanings assigned to them in the American Capital Agency Corp. Equity Incentive Plan for Independent Directors (the “Plan”). The Grantee and the Company hereby agree as follows:</w:t>
      </w:r>
    </w:p>
    <w:p>
      <w:pPr>
        <w:spacing w:after="0" w:line="200" w:lineRule="exact"/>
        <w:rPr>
          <w:sz w:val="20"/>
          <w:szCs w:val="20"/>
          <w:color w:val="auto"/>
        </w:rPr>
      </w:pPr>
    </w:p>
    <w:p>
      <w:pPr>
        <w:spacing w:after="0" w:line="249" w:lineRule="exact"/>
        <w:rPr>
          <w:sz w:val="20"/>
          <w:szCs w:val="20"/>
          <w:color w:val="auto"/>
        </w:rPr>
      </w:pPr>
    </w:p>
    <w:p>
      <w:pPr>
        <w:ind w:left="660" w:right="600" w:hanging="652"/>
        <w:spacing w:after="0" w:line="253"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Pursuant to the Plan, the Company hereby grants to the Grantee [●] Restricted Stock Units (the “RSUs”), representing the right to receive an equivalent number of shares of Stock, plus any dividend equivalents on the RSUs, subject to the terms and conditions of the Plan and this Agreement.</w:t>
      </w:r>
    </w:p>
    <w:p>
      <w:pPr>
        <w:spacing w:after="0" w:line="185" w:lineRule="exact"/>
        <w:rPr>
          <w:rFonts w:ascii="Arial" w:cs="Arial" w:eastAsia="Arial" w:hAnsi="Arial"/>
          <w:sz w:val="22"/>
          <w:szCs w:val="22"/>
          <w:color w:val="auto"/>
        </w:rPr>
      </w:pPr>
    </w:p>
    <w:p>
      <w:pPr>
        <w:ind w:left="660" w:right="200" w:hanging="652"/>
        <w:spacing w:after="0" w:line="253"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RSUs will vest on [●] (the “Vesting Date”), subject to the Grantee’s continued service through the Vesting Date. If the Grantee separates from service for any reason prior to the Vesting Date, his or her RSUs will be forfeited as of such separation date.</w:t>
      </w:r>
    </w:p>
    <w:p>
      <w:pPr>
        <w:spacing w:after="0" w:line="185" w:lineRule="exact"/>
        <w:rPr>
          <w:rFonts w:ascii="Arial" w:cs="Arial" w:eastAsia="Arial" w:hAnsi="Arial"/>
          <w:sz w:val="22"/>
          <w:szCs w:val="22"/>
          <w:color w:val="auto"/>
        </w:rPr>
      </w:pPr>
    </w:p>
    <w:p>
      <w:pPr>
        <w:ind w:left="660" w:right="80" w:hanging="652"/>
        <w:spacing w:after="0" w:line="261" w:lineRule="auto"/>
        <w:tabs>
          <w:tab w:leader="none" w:pos="66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Distribution</w:t>
      </w:r>
      <w:r>
        <w:rPr>
          <w:rFonts w:ascii="Arial" w:cs="Arial" w:eastAsia="Arial" w:hAnsi="Arial"/>
          <w:sz w:val="21"/>
          <w:szCs w:val="21"/>
          <w:color w:val="auto"/>
        </w:rPr>
        <w:t>. Notwithstanding any other provision of the Plan, unless a deferral election is made pursuant to Section 4 below, the RSUs will be paid in Stock as soon as practicable (and in no event more than thirty (30) days) after the Vesting Date. In the event of a deferral election with respect to the RSUs, the RSUs shall be paid in Stock as soon as practicable (and in no event more than thirty (30) days) after the deferred payment date elected by the Grantee. The Grantee agrees that he or she will cooperate with the Company to facilitate payment of the RSUs, which cooperation may include being required to maintain a brokerage account with the Plan’s recordkeeper.</w:t>
      </w:r>
    </w:p>
    <w:p>
      <w:pPr>
        <w:spacing w:after="0" w:line="180" w:lineRule="exact"/>
        <w:rPr>
          <w:rFonts w:ascii="Arial" w:cs="Arial" w:eastAsia="Arial" w:hAnsi="Arial"/>
          <w:sz w:val="21"/>
          <w:szCs w:val="21"/>
          <w:color w:val="auto"/>
        </w:rPr>
      </w:pPr>
    </w:p>
    <w:p>
      <w:pPr>
        <w:jc w:val="both"/>
        <w:ind w:left="660" w:right="120" w:hanging="652"/>
        <w:spacing w:after="0" w:line="250"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Deferral Elections</w:t>
      </w:r>
      <w:r>
        <w:rPr>
          <w:rFonts w:ascii="Arial" w:cs="Arial" w:eastAsia="Arial" w:hAnsi="Arial"/>
          <w:sz w:val="22"/>
          <w:szCs w:val="22"/>
          <w:color w:val="auto"/>
        </w:rPr>
        <w:t>. The Grantee may, by completing a copy of the attached Deferral Election Exhibit and returning it to the Corporate Secretary of the Company no later than [●], irrevocably elect to defer payment of all or a portion of the RSUs to any later date after the Vesting Date, provided that he or she may not elect to defer payment of the RSUs or portion thereof to any date after [●].</w:t>
      </w:r>
    </w:p>
    <w:p>
      <w:pPr>
        <w:spacing w:after="0" w:line="188" w:lineRule="exact"/>
        <w:rPr>
          <w:rFonts w:ascii="Arial" w:cs="Arial" w:eastAsia="Arial" w:hAnsi="Arial"/>
          <w:sz w:val="22"/>
          <w:szCs w:val="22"/>
          <w:color w:val="auto"/>
        </w:rPr>
      </w:pPr>
    </w:p>
    <w:p>
      <w:pPr>
        <w:ind w:left="660" w:right="80"/>
        <w:spacing w:after="0" w:line="253" w:lineRule="auto"/>
        <w:rPr>
          <w:rFonts w:ascii="Arial" w:cs="Arial" w:eastAsia="Arial" w:hAnsi="Arial"/>
          <w:sz w:val="22"/>
          <w:szCs w:val="22"/>
          <w:color w:val="auto"/>
        </w:rPr>
      </w:pPr>
      <w:r>
        <w:rPr>
          <w:rFonts w:ascii="Arial" w:cs="Arial" w:eastAsia="Arial" w:hAnsi="Arial"/>
          <w:sz w:val="22"/>
          <w:szCs w:val="22"/>
          <w:color w:val="auto"/>
        </w:rPr>
        <w:t>The Grantee may also elect multiple payment dates for the RSUs, provided that he or she also specifies in the election the percentage of the RSUs that will be payable on each such date. However, the Grantee may not elect more than one payment date in any particular calendar year for the RSUs or portion of the RSUs.</w:t>
      </w:r>
    </w:p>
    <w:p>
      <w:pPr>
        <w:spacing w:after="0" w:line="185" w:lineRule="exact"/>
        <w:rPr>
          <w:rFonts w:ascii="Arial" w:cs="Arial" w:eastAsia="Arial" w:hAnsi="Arial"/>
          <w:sz w:val="22"/>
          <w:szCs w:val="22"/>
          <w:color w:val="auto"/>
        </w:rPr>
      </w:pPr>
    </w:p>
    <w:p>
      <w:pPr>
        <w:jc w:val="both"/>
        <w:ind w:left="660" w:right="180"/>
        <w:spacing w:after="0" w:line="253" w:lineRule="auto"/>
        <w:rPr>
          <w:rFonts w:ascii="Arial" w:cs="Arial" w:eastAsia="Arial" w:hAnsi="Arial"/>
          <w:sz w:val="22"/>
          <w:szCs w:val="22"/>
          <w:color w:val="auto"/>
        </w:rPr>
      </w:pPr>
      <w:r>
        <w:rPr>
          <w:rFonts w:ascii="Arial" w:cs="Arial" w:eastAsia="Arial" w:hAnsi="Arial"/>
          <w:sz w:val="22"/>
          <w:szCs w:val="22"/>
          <w:color w:val="auto"/>
        </w:rPr>
        <w:t>For example, the Grantee may elect to defer payment of 50% of the RSUs to April 1, 2021, and payment of the remaining 50% of the RSUs to July 1, 2022, but may not elect to defer payment of the remaining 50% of the RSUs to another date or dates in 2021.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75" w:right="239" w:bottom="1440" w:gutter="0" w:footer="0" w:header="0"/>
        </w:sectPr>
      </w:pPr>
    </w:p>
    <w:bookmarkStart w:id="59" w:name="page60"/>
    <w:bookmarkEnd w:id="59"/>
    <w:p>
      <w:pPr>
        <w:ind w:left="652" w:right="280"/>
        <w:spacing w:after="0" w:line="263" w:lineRule="auto"/>
        <w:rPr>
          <w:sz w:val="20"/>
          <w:szCs w:val="20"/>
          <w:color w:val="auto"/>
        </w:rPr>
      </w:pPr>
      <w:r>
        <w:rPr>
          <w:rFonts w:ascii="Arial" w:cs="Arial" w:eastAsia="Arial" w:hAnsi="Arial"/>
          <w:sz w:val="22"/>
          <w:szCs w:val="22"/>
          <w:color w:val="auto"/>
        </w:rPr>
        <w:t>Subject to the rules described in the preceding paragraphs, the Grantee may elect to defer all, some, or none of the RSUs, and may elect different payment dates for each.</w:t>
      </w:r>
    </w:p>
    <w:p>
      <w:pPr>
        <w:spacing w:after="0" w:line="175" w:lineRule="exact"/>
        <w:rPr>
          <w:sz w:val="20"/>
          <w:szCs w:val="20"/>
          <w:color w:val="auto"/>
        </w:rPr>
      </w:pPr>
    </w:p>
    <w:p>
      <w:pPr>
        <w:ind w:left="652" w:right="100"/>
        <w:spacing w:after="0" w:line="248" w:lineRule="auto"/>
        <w:rPr>
          <w:sz w:val="20"/>
          <w:szCs w:val="20"/>
          <w:color w:val="auto"/>
        </w:rPr>
      </w:pPr>
      <w:r>
        <w:rPr>
          <w:rFonts w:ascii="Arial" w:cs="Arial" w:eastAsia="Arial" w:hAnsi="Arial"/>
          <w:sz w:val="22"/>
          <w:szCs w:val="22"/>
          <w:color w:val="auto"/>
        </w:rPr>
        <w:t>Notwithstanding the foregoing, if the Grantee separates from service (within the meaning of Section 409A) with the Company, or in the event of the Grantee’s death or disability or a Change of Control, any vested RSUs the Grantee has elected to defer will be paid to the Grantee (in the event of the Grantee’s death, to his or her surviving spouse or, if none, to his or her estate) as soon as practicable (and in no event more than thirty (30) days) thereafter, notwithstanding any later payment dates(s) the Grantee may have elected.</w:t>
      </w:r>
    </w:p>
    <w:p>
      <w:pPr>
        <w:spacing w:after="0" w:line="186" w:lineRule="exact"/>
        <w:rPr>
          <w:sz w:val="20"/>
          <w:szCs w:val="20"/>
          <w:color w:val="auto"/>
        </w:rPr>
      </w:pPr>
    </w:p>
    <w:p>
      <w:pPr>
        <w:ind w:left="652"/>
        <w:spacing w:after="0" w:line="350" w:lineRule="auto"/>
        <w:rPr>
          <w:sz w:val="20"/>
          <w:szCs w:val="20"/>
          <w:color w:val="auto"/>
        </w:rPr>
      </w:pPr>
      <w:r>
        <w:rPr>
          <w:rFonts w:ascii="Arial" w:cs="Arial" w:eastAsia="Arial" w:hAnsi="Arial"/>
          <w:sz w:val="19"/>
          <w:szCs w:val="19"/>
          <w:b w:val="1"/>
          <w:bCs w:val="1"/>
          <w:color w:val="auto"/>
        </w:rPr>
        <w:t>If the Grantee fails to complete the Deferral Election Exhibit and timely return it, he or she will be deemed to have elected not to defer payment of any of the RSUs. Under applicable tax rules, late deferral elections are not permitted.</w:t>
      </w:r>
    </w:p>
    <w:p>
      <w:pPr>
        <w:spacing w:after="0" w:line="98" w:lineRule="exact"/>
        <w:rPr>
          <w:sz w:val="20"/>
          <w:szCs w:val="20"/>
          <w:color w:val="auto"/>
        </w:rPr>
      </w:pPr>
    </w:p>
    <w:p>
      <w:pPr>
        <w:ind w:left="652" w:right="80" w:hanging="652"/>
        <w:spacing w:after="0" w:line="250" w:lineRule="auto"/>
        <w:tabs>
          <w:tab w:leader="none" w:pos="65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The terms of Section 6(b)(iii)(C) of the Plan shall apply to the extent dividends are paid with respect to the Company’s Stock. To the extent the Grantee makes a deferral election with respect to any portion of his Award, dividend equivalents credited on the RSUs underlying such portion shall be distributed at the same time as such underlying RSUs.</w:t>
      </w:r>
    </w:p>
    <w:p>
      <w:pPr>
        <w:spacing w:after="0" w:line="188" w:lineRule="exact"/>
        <w:rPr>
          <w:rFonts w:ascii="Arial" w:cs="Arial" w:eastAsia="Arial" w:hAnsi="Arial"/>
          <w:sz w:val="22"/>
          <w:szCs w:val="22"/>
          <w:color w:val="auto"/>
        </w:rPr>
      </w:pPr>
    </w:p>
    <w:p>
      <w:pPr>
        <w:ind w:left="652" w:right="40" w:hanging="652"/>
        <w:spacing w:after="0" w:line="259" w:lineRule="auto"/>
        <w:tabs>
          <w:tab w:leader="none" w:pos="65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Establishment of Trust</w:t>
      </w:r>
      <w:r>
        <w:rPr>
          <w:rFonts w:ascii="Arial" w:cs="Arial" w:eastAsia="Arial" w:hAnsi="Arial"/>
          <w:sz w:val="21"/>
          <w:szCs w:val="21"/>
          <w:color w:val="auto"/>
        </w:rPr>
        <w:t>. The Company may establish a trust to fund the payment of the Award (the “Trust”), and the assets of such Trust shall be invested in Stock. Notwithstanding the establishment of such trust, (a) all credits and adjustments to the account for the Grantee’s Award shall be bookkeeping entries only and shall not represent a special reserve or otherwise constitute a funding of the Company’s unsecured promise to pay any amounts hereunder, and (b) to the extent that the Grantee or any other person acquires a right to receive payments from the Company under the Plan, such right shall be no greater than the right of any unsecured general creditor of the Company, and such person has only the unsecured promise of the Company that such payments shall be made. The Award evidenced by this Agreement is intended to be part of an unfunded incentive program exempt from the Employee Retirement Income Security Act of 1974, as amended, pursuant to 29 C.F.R. Section 2510.3-2(c).</w:t>
      </w:r>
    </w:p>
    <w:p>
      <w:pPr>
        <w:spacing w:after="0" w:line="180" w:lineRule="exact"/>
        <w:rPr>
          <w:rFonts w:ascii="Arial" w:cs="Arial" w:eastAsia="Arial" w:hAnsi="Arial"/>
          <w:sz w:val="21"/>
          <w:szCs w:val="21"/>
          <w:color w:val="auto"/>
        </w:rPr>
      </w:pPr>
    </w:p>
    <w:p>
      <w:pPr>
        <w:ind w:left="652" w:right="160" w:hanging="652"/>
        <w:spacing w:after="0" w:line="297" w:lineRule="auto"/>
        <w:tabs>
          <w:tab w:leader="none" w:pos="65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Tax Advice</w:t>
      </w:r>
      <w:r>
        <w:rPr>
          <w:rFonts w:ascii="Arial" w:cs="Arial" w:eastAsia="Arial" w:hAnsi="Arial"/>
          <w:sz w:val="19"/>
          <w:szCs w:val="19"/>
          <w:color w:val="auto"/>
        </w:rPr>
        <w:t>. By signing this Agreement, the Grantee represents that he or she has reviewed with his or her own tax advisors the federal, state, local and foreign tax consequences of the transactions contemplated by this Agreement and that he or she is relying solely on such advisors and not on any statements or representations of the Company or any of its agents. The Grantee understands and agrees that he or she (and not the Company) shall be responsible for any tax liability that may arise as a result of the transactions contemplated by this Agreement.</w:t>
      </w:r>
    </w:p>
    <w:p>
      <w:pPr>
        <w:spacing w:after="0" w:line="147" w:lineRule="exact"/>
        <w:rPr>
          <w:rFonts w:ascii="Arial" w:cs="Arial" w:eastAsia="Arial" w:hAnsi="Arial"/>
          <w:sz w:val="19"/>
          <w:szCs w:val="19"/>
          <w:color w:val="auto"/>
        </w:rPr>
      </w:pPr>
    </w:p>
    <w:p>
      <w:pPr>
        <w:ind w:left="652" w:right="100" w:hanging="652"/>
        <w:spacing w:after="0" w:line="265" w:lineRule="auto"/>
        <w:tabs>
          <w:tab w:leader="none" w:pos="65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Entire Agreement; Plan Controls</w:t>
      </w:r>
      <w:r>
        <w:rPr>
          <w:rFonts w:ascii="Arial" w:cs="Arial" w:eastAsia="Arial" w:hAnsi="Arial"/>
          <w:sz w:val="21"/>
          <w:szCs w:val="21"/>
          <w:color w:val="auto"/>
        </w:rPr>
        <w:t>. This Agreement and the Plan contain the entire understanding and agreement of the parties concerning the subject matter hereof, and supersede all earlier negotiations and understandings, written or oral, between the parties with respect thereto. This Agreement is made under and subject to the provisions of the Plan, and all of the provisions of the Plan are hereby incorporated by reference into this</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92"/>
          </w:cols>
          <w:pgMar w:left="248" w:top="375" w:right="259" w:bottom="1440" w:gutter="0" w:footer="0" w:header="0"/>
        </w:sectPr>
      </w:pPr>
    </w:p>
    <w:bookmarkStart w:id="60" w:name="page61"/>
    <w:bookmarkEnd w:id="60"/>
    <w:p>
      <w:pPr>
        <w:ind w:left="652" w:right="140"/>
        <w:spacing w:after="0" w:line="253" w:lineRule="auto"/>
        <w:rPr>
          <w:sz w:val="20"/>
          <w:szCs w:val="20"/>
          <w:color w:val="auto"/>
        </w:rPr>
      </w:pPr>
      <w:r>
        <w:rPr>
          <w:rFonts w:ascii="Arial" w:cs="Arial" w:eastAsia="Arial" w:hAnsi="Arial"/>
          <w:sz w:val="22"/>
          <w:szCs w:val="22"/>
          <w:color w:val="auto"/>
        </w:rPr>
        <w:t>Agreement. In the event of any conflict between the provisions of this Agreement and the provisions of the Plan, the provisions of the Plan shall govern. By signing this Agreement, the Grantee confirms that he or she has received a copy of the Plan and has had an opportunity to review the contents thereof.</w:t>
      </w:r>
    </w:p>
    <w:p>
      <w:pPr>
        <w:spacing w:after="0" w:line="186" w:lineRule="exact"/>
        <w:rPr>
          <w:sz w:val="20"/>
          <w:szCs w:val="20"/>
          <w:color w:val="auto"/>
        </w:rPr>
      </w:pPr>
    </w:p>
    <w:p>
      <w:pPr>
        <w:ind w:left="652" w:hanging="652"/>
        <w:spacing w:after="0"/>
        <w:tabs>
          <w:tab w:leader="none" w:pos="65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52" w:right="20" w:hanging="4"/>
        <w:spacing w:after="0" w:line="251" w:lineRule="auto"/>
        <w:tabs>
          <w:tab w:leader="none" w:pos="1072"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personally, or when deposited in a United States Post Office, postage prepaid, addressed, as appropriate, to the Grantee either at his or her address herein below set forth or such other address as he or she may designate in writing to the Company, or to the Company to the attention of the Secretary, at the Company’s address or such other address as the Company may designate in writing to the Grantee.</w:t>
      </w:r>
    </w:p>
    <w:p>
      <w:pPr>
        <w:spacing w:after="0" w:line="189" w:lineRule="exact"/>
        <w:rPr>
          <w:rFonts w:ascii="Arial" w:cs="Arial" w:eastAsia="Arial" w:hAnsi="Arial"/>
          <w:sz w:val="22"/>
          <w:szCs w:val="22"/>
          <w:color w:val="auto"/>
        </w:rPr>
      </w:pPr>
    </w:p>
    <w:p>
      <w:pPr>
        <w:ind w:left="652" w:right="300" w:hanging="4"/>
        <w:spacing w:after="0" w:line="358" w:lineRule="auto"/>
        <w:tabs>
          <w:tab w:leader="none" w:pos="108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Failure to Enforce Not a Waiver</w:t>
      </w:r>
      <w:r>
        <w:rPr>
          <w:rFonts w:ascii="Arial" w:cs="Arial" w:eastAsia="Arial" w:hAnsi="Arial"/>
          <w:sz w:val="19"/>
          <w:szCs w:val="19"/>
          <w:color w:val="auto"/>
        </w:rPr>
        <w:t>. The failure of the Company or the Grantee to enforce at any time any provision of this Agreement shall in no way be construed to be a waiver of such provision or of any other provision hereof.</w:t>
      </w:r>
    </w:p>
    <w:p>
      <w:pPr>
        <w:spacing w:after="0" w:line="90" w:lineRule="exact"/>
        <w:rPr>
          <w:rFonts w:ascii="Arial" w:cs="Arial" w:eastAsia="Arial" w:hAnsi="Arial"/>
          <w:sz w:val="19"/>
          <w:szCs w:val="19"/>
          <w:color w:val="auto"/>
        </w:rPr>
      </w:pPr>
    </w:p>
    <w:p>
      <w:pPr>
        <w:ind w:left="652" w:right="260" w:hanging="4"/>
        <w:spacing w:after="0" w:line="276" w:lineRule="auto"/>
        <w:tabs>
          <w:tab w:leader="none" w:pos="1072"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giving effect to the choice of law principles thereof.</w:t>
      </w:r>
    </w:p>
    <w:p>
      <w:pPr>
        <w:spacing w:after="0" w:line="160" w:lineRule="exact"/>
        <w:rPr>
          <w:rFonts w:ascii="Arial" w:cs="Arial" w:eastAsia="Arial" w:hAnsi="Arial"/>
          <w:sz w:val="22"/>
          <w:szCs w:val="22"/>
          <w:color w:val="auto"/>
        </w:rPr>
      </w:pPr>
    </w:p>
    <w:p>
      <w:pPr>
        <w:ind w:left="652" w:right="400" w:hanging="4"/>
        <w:spacing w:after="0" w:line="276" w:lineRule="auto"/>
        <w:tabs>
          <w:tab w:leader="none" w:pos="1084"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be amended or modified at any time by an instrument in writing signed by the parties.</w:t>
      </w:r>
    </w:p>
    <w:p>
      <w:pPr>
        <w:spacing w:after="0" w:line="160" w:lineRule="exact"/>
        <w:rPr>
          <w:rFonts w:ascii="Arial" w:cs="Arial" w:eastAsia="Arial" w:hAnsi="Arial"/>
          <w:sz w:val="22"/>
          <w:szCs w:val="22"/>
          <w:color w:val="auto"/>
        </w:rPr>
      </w:pPr>
    </w:p>
    <w:p>
      <w:pPr>
        <w:ind w:left="652" w:right="120" w:hanging="4"/>
        <w:spacing w:after="0" w:line="260" w:lineRule="auto"/>
        <w:tabs>
          <w:tab w:leader="none" w:pos="1072"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Agreement Not a Contract of Employment</w:t>
      </w:r>
      <w:r>
        <w:rPr>
          <w:rFonts w:ascii="Arial" w:cs="Arial" w:eastAsia="Arial" w:hAnsi="Arial"/>
          <w:sz w:val="22"/>
          <w:szCs w:val="22"/>
          <w:color w:val="auto"/>
        </w:rPr>
        <w:t>. Neither this Agreement nor any other action taken in connection herewith shall constitute or be evidence of any agreement or understanding, express or implied, that the Grantee is an employee of the Company or any subsidiary of the Company.</w:t>
      </w:r>
    </w:p>
    <w:p>
      <w:pPr>
        <w:spacing w:after="0" w:line="177" w:lineRule="exact"/>
        <w:rPr>
          <w:rFonts w:ascii="Arial" w:cs="Arial" w:eastAsia="Arial" w:hAnsi="Arial"/>
          <w:sz w:val="22"/>
          <w:szCs w:val="22"/>
          <w:color w:val="auto"/>
        </w:rPr>
      </w:pPr>
    </w:p>
    <w:p>
      <w:pPr>
        <w:ind w:left="652" w:right="240" w:hanging="4"/>
        <w:spacing w:after="0" w:line="276" w:lineRule="auto"/>
        <w:tabs>
          <w:tab w:leader="none" w:pos="1048"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and headings of the sections and subsections of this Agreement are included for convenience only and are not to be considered in construing or interpreting this Agreement.</w:t>
      </w:r>
    </w:p>
    <w:p>
      <w:pPr>
        <w:spacing w:after="0" w:line="160" w:lineRule="exact"/>
        <w:rPr>
          <w:rFonts w:ascii="Arial" w:cs="Arial" w:eastAsia="Arial" w:hAnsi="Arial"/>
          <w:sz w:val="22"/>
          <w:szCs w:val="22"/>
          <w:color w:val="auto"/>
        </w:rPr>
      </w:pPr>
    </w:p>
    <w:p>
      <w:pPr>
        <w:ind w:left="652" w:right="300" w:hanging="4"/>
        <w:spacing w:after="0" w:line="358" w:lineRule="auto"/>
        <w:tabs>
          <w:tab w:leader="none" w:pos="108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when signed by the Company or the Grantee will be deemed an original and all of which together will be deemed the same agreement.</w:t>
      </w:r>
    </w:p>
    <w:p>
      <w:pPr>
        <w:spacing w:after="0" w:line="90" w:lineRule="exact"/>
        <w:rPr>
          <w:rFonts w:ascii="Arial" w:cs="Arial" w:eastAsia="Arial" w:hAnsi="Arial"/>
          <w:sz w:val="19"/>
          <w:szCs w:val="19"/>
          <w:color w:val="auto"/>
        </w:rPr>
      </w:pPr>
    </w:p>
    <w:p>
      <w:pPr>
        <w:ind w:left="652" w:hanging="4"/>
        <w:spacing w:after="0" w:line="307" w:lineRule="auto"/>
        <w:tabs>
          <w:tab w:leader="none" w:pos="1084"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The Company may assign its rights and delegate its duties under this Agreement. If any such assignment or delegation requires consent of any state securities authorities, the parties agree to cooperate in requesting such consent. This Agreement shall inure to the benefit of the successors and assigns of the Company and, subject to the restrictions on transfer herein set forth, be binding upon the Grantee and his or her heirs, executors, administrators, successors and assigns.</w:t>
      </w:r>
    </w:p>
    <w:p>
      <w:pPr>
        <w:spacing w:after="0" w:line="381"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52"/>
          </w:cols>
          <w:pgMar w:left="248" w:top="375" w:right="299" w:bottom="1440" w:gutter="0" w:footer="0" w:header="0"/>
        </w:sectPr>
      </w:pPr>
    </w:p>
    <w:bookmarkStart w:id="61" w:name="page62"/>
    <w:bookmarkEnd w:id="61"/>
    <w:p>
      <w:pPr>
        <w:ind w:left="660" w:right="80" w:hanging="4"/>
        <w:spacing w:after="0" w:line="307" w:lineRule="auto"/>
        <w:tabs>
          <w:tab w:leader="none" w:pos="104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This Agreement will be severable, and the invalidity or unenforceability of any term or provision hereof will not affect the validity or enforceability of this Agreement or of any other term or provision hereof. Furthermore, in lieu of any invalid or unenforceable term or provision, the parties intend that there be added as a part of this Agreement a valid and enforceable provision as similar in terms to such invalid or unenforceable provision as may be possible.</w:t>
      </w:r>
    </w:p>
    <w:p>
      <w:pPr>
        <w:spacing w:after="0" w:line="138" w:lineRule="exact"/>
        <w:rPr>
          <w:rFonts w:ascii="Arial" w:cs="Arial" w:eastAsia="Arial" w:hAnsi="Arial"/>
          <w:sz w:val="19"/>
          <w:szCs w:val="19"/>
          <w:color w:val="auto"/>
        </w:rPr>
      </w:pPr>
    </w:p>
    <w:p>
      <w:pPr>
        <w:ind w:left="660" w:right="20" w:hanging="4"/>
        <w:spacing w:after="0" w:line="250" w:lineRule="auto"/>
        <w:tabs>
          <w:tab w:leader="none" w:pos="104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The Plan and this Agreement are intended to comply, and shall be interpreted in a manner consistent, with the requirements of Section 409A of the Code and the regulations and other regulatory guidance thereunder (including the exceptions thereto), as applicable. In no event will the Company or any affiliate be liable for any tax, interest or penalties that may be imposed by Section 409A of the Code or any damages for failing to comply with Section 409A of the Code. In addition, please note that the Company shall comply with six-month delay provisions of Section 409A(a)(2)(B) of the Code to the extent applicable.</w:t>
      </w:r>
    </w:p>
    <w:p>
      <w:pPr>
        <w:spacing w:after="0" w:line="188" w:lineRule="exact"/>
        <w:rPr>
          <w:rFonts w:ascii="Arial" w:cs="Arial" w:eastAsia="Arial" w:hAnsi="Arial"/>
          <w:sz w:val="22"/>
          <w:szCs w:val="22"/>
          <w:color w:val="auto"/>
        </w:rPr>
      </w:pPr>
    </w:p>
    <w:p>
      <w:pPr>
        <w:ind w:left="5820"/>
        <w:spacing w:after="0"/>
        <w:rPr>
          <w:rFonts w:ascii="Arial" w:cs="Arial" w:eastAsia="Arial" w:hAnsi="Arial"/>
          <w:sz w:val="22"/>
          <w:szCs w:val="22"/>
          <w:color w:val="auto"/>
        </w:rPr>
      </w:pPr>
      <w:r>
        <w:rPr>
          <w:rFonts w:ascii="Arial" w:cs="Arial" w:eastAsia="Arial" w:hAnsi="Arial"/>
          <w:sz w:val="22"/>
          <w:szCs w:val="22"/>
          <w:color w:val="auto"/>
        </w:rPr>
        <w:t>*  *  *  *  *</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a duly authorized representative and the Grantee has hereunto set his or her hand as of the Grant Date.</w:t>
      </w:r>
    </w:p>
    <w:p>
      <w:pPr>
        <w:spacing w:after="0" w:line="200" w:lineRule="exact"/>
        <w:rPr>
          <w:sz w:val="20"/>
          <w:szCs w:val="20"/>
          <w:color w:val="auto"/>
        </w:rPr>
      </w:pPr>
    </w:p>
    <w:p>
      <w:pPr>
        <w:spacing w:after="0" w:line="27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AMERICAN CAPITAL AGENCY CORP.</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w:t>
      </w:r>
    </w:p>
    <w:p>
      <w:pPr>
        <w:spacing w:after="0" w:line="200" w:lineRule="exact"/>
        <w:rPr>
          <w:sz w:val="20"/>
          <w:szCs w:val="20"/>
          <w:color w:val="auto"/>
        </w:rPr>
      </w:pPr>
    </w:p>
    <w:p>
      <w:pPr>
        <w:spacing w:after="0" w:line="29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3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______________________________________</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Name: [●]</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62" w:name="page63"/>
    <w:bookmarkEnd w:id="62"/>
    <w:p>
      <w:pPr>
        <w:ind w:left="4360"/>
        <w:spacing w:after="0"/>
        <w:rPr>
          <w:sz w:val="20"/>
          <w:szCs w:val="20"/>
          <w:color w:val="auto"/>
        </w:rPr>
      </w:pPr>
      <w:r>
        <w:rPr>
          <w:rFonts w:ascii="Arial" w:cs="Arial" w:eastAsia="Arial" w:hAnsi="Arial"/>
          <w:sz w:val="22"/>
          <w:szCs w:val="22"/>
          <w:b w:val="1"/>
          <w:bCs w:val="1"/>
          <w:color w:val="auto"/>
        </w:rPr>
        <w:t>DEFERRAL ELECTION EXHIBIT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Name: [●]</w:t>
      </w:r>
    </w:p>
    <w:p>
      <w:pPr>
        <w:spacing w:after="0" w:line="219" w:lineRule="exact"/>
        <w:rPr>
          <w:rFonts w:ascii="Arial" w:cs="Arial" w:eastAsia="Arial" w:hAnsi="Arial"/>
          <w:sz w:val="22"/>
          <w:szCs w:val="22"/>
          <w:color w:val="auto"/>
        </w:rPr>
      </w:pPr>
    </w:p>
    <w:p>
      <w:pPr>
        <w:ind w:left="220" w:hanging="212"/>
        <w:spacing w:after="0"/>
        <w:tabs>
          <w:tab w:leader="none" w:pos="2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Date of Award: [●]</w:t>
      </w:r>
    </w:p>
    <w:p>
      <w:pPr>
        <w:spacing w:after="0" w:line="219" w:lineRule="exact"/>
        <w:rPr>
          <w:rFonts w:ascii="Arial" w:cs="Arial" w:eastAsia="Arial" w:hAnsi="Arial"/>
          <w:sz w:val="22"/>
          <w:szCs w:val="22"/>
          <w:color w:val="auto"/>
        </w:rPr>
      </w:pPr>
    </w:p>
    <w:p>
      <w:pPr>
        <w:ind w:left="220" w:hanging="212"/>
        <w:spacing w:after="0"/>
        <w:tabs>
          <w:tab w:leader="none" w:pos="2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Number of RSUs:   [●]</w:t>
      </w:r>
    </w:p>
    <w:p>
      <w:pPr>
        <w:spacing w:after="0" w:line="260" w:lineRule="exact"/>
        <w:rPr>
          <w:rFonts w:ascii="Arial" w:cs="Arial" w:eastAsia="Arial" w:hAnsi="Arial"/>
          <w:sz w:val="22"/>
          <w:szCs w:val="22"/>
          <w:color w:val="auto"/>
        </w:rPr>
      </w:pPr>
    </w:p>
    <w:p>
      <w:pPr>
        <w:ind w:left="220" w:hanging="212"/>
        <w:spacing w:after="0"/>
        <w:tabs>
          <w:tab w:leader="none" w:pos="2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Vesting Date: [●]</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Deferral Election (Complete only if electing to defer payment of all or any portion of the RSUs):</w:t>
      </w:r>
    </w:p>
    <w:p>
      <w:pPr>
        <w:spacing w:after="0" w:line="22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Grantee hereby irrevocably elects to defer payment of all or a portion of the RSUs to the dates specified below. If more than one date is elected for the RSUs, the Grantee must also specify the percentage of the RSUs that will be payable on each such date (the amount payable on each such multiple payment date will be treated as a separate payment for purposes of Section 409A of the Code). If the Grantee elects a deferred payment date or dates for any portion of the RSUs, then the elected percentage set forth below must equal 100%. The Grantee may not elect more than one payment date in any year.</w:t>
      </w:r>
    </w:p>
    <w:p>
      <w:pPr>
        <w:spacing w:after="0" w:line="296" w:lineRule="exact"/>
        <w:rPr>
          <w:sz w:val="20"/>
          <w:szCs w:val="20"/>
          <w:color w:val="auto"/>
        </w:rPr>
      </w:pPr>
    </w:p>
    <w:p>
      <w:pPr>
        <w:ind w:left="2200"/>
        <w:spacing w:after="0"/>
        <w:tabs>
          <w:tab w:leader="none" w:pos="4380" w:val="left"/>
        </w:tabs>
        <w:rPr>
          <w:sz w:val="20"/>
          <w:szCs w:val="20"/>
          <w:color w:val="auto"/>
        </w:rPr>
      </w:pPr>
      <w:r>
        <w:rPr>
          <w:rFonts w:ascii="Arial" w:cs="Arial" w:eastAsia="Arial" w:hAnsi="Arial"/>
          <w:sz w:val="22"/>
          <w:szCs w:val="22"/>
          <w:u w:val="single" w:color="auto"/>
          <w:color w:val="auto"/>
        </w:rPr>
        <w:t>Payment Date</w:t>
      </w:r>
      <w:r>
        <w:rPr>
          <w:sz w:val="20"/>
          <w:szCs w:val="20"/>
          <w:color w:val="auto"/>
        </w:rPr>
        <w:tab/>
      </w:r>
      <w:r>
        <w:rPr>
          <w:rFonts w:ascii="Arial" w:cs="Arial" w:eastAsia="Arial" w:hAnsi="Arial"/>
          <w:sz w:val="18"/>
          <w:szCs w:val="18"/>
          <w:u w:val="single" w:color="auto"/>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281940</wp:posOffset>
            </wp:positionV>
            <wp:extent cx="2632710" cy="1981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271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To make a valid election, return this form to the Company not later than [●].</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ectPr>
          <w:pgSz w:w="11900" w:h="16838" w:orient="portrait"/>
          <w:cols w:equalWidth="0" w:num="1">
            <w:col w:w="11320"/>
          </w:cols>
          <w:pgMar w:left="240" w:top="625" w:right="339" w:bottom="1440" w:gutter="0" w:footer="0" w:header="0"/>
        </w:sect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w:t>
      </w:r>
    </w:p>
    <w:p>
      <w:pPr>
        <w:spacing w:after="0" w:line="79" w:lineRule="exact"/>
        <w:rPr>
          <w:sz w:val="20"/>
          <w:szCs w:val="20"/>
          <w:color w:val="auto"/>
        </w:rPr>
      </w:pPr>
    </w:p>
    <w:p>
      <w:pPr>
        <w:sectPr>
          <w:pgSz w:w="11900" w:h="16838" w:orient="portrait"/>
          <w:cols w:equalWidth="0" w:num="2">
            <w:col w:w="2740" w:space="720"/>
            <w:col w:w="7860"/>
          </w:cols>
          <w:pgMar w:left="240" w:top="625"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Name: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ectPr>
          <w:pgSz w:w="11900" w:h="16838" w:orient="portrait"/>
          <w:cols w:equalWidth="0" w:num="2">
            <w:col w:w="2740" w:space="720"/>
            <w:col w:w="7860"/>
          </w:cols>
          <w:pgMar w:left="240" w:top="625"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20"/>
          </w:cols>
          <w:pgMar w:left="240" w:top="625" w:right="339" w:bottom="1440" w:gutter="0" w:footer="0" w:header="0"/>
          <w:type w:val="continuous"/>
        </w:sectPr>
      </w:pPr>
    </w:p>
    <w:bookmarkStart w:id="63" w:name="page64"/>
    <w:bookmarkEnd w:id="63"/>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2014</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00"/>
          </w:cols>
          <w:pgMar w:left="260" w:top="580" w:right="239" w:bottom="1440" w:gutter="0" w:footer="0" w:header="0"/>
        </w:sectPr>
      </w:pPr>
    </w:p>
    <w:bookmarkStart w:id="64" w:name="page65"/>
    <w:bookmarkEnd w:id="64"/>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2014</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00"/>
          </w:cols>
          <w:pgMar w:left="26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Malon Wilkus, Chief Executive Officer and Chair of the Board of Directors, and John R. Erickson, Executive Vice President and Chief Financial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Officer of American Capital Agency Corp. (the “Company”), certify pursuant to Section 906 of the Sarbanes-Oxley Act of 2002, 18 U.S.C. Section 1350 that:</w:t>
      </w:r>
    </w:p>
    <w:p>
      <w:pPr>
        <w:spacing w:after="0" w:line="180" w:lineRule="exact"/>
        <w:rPr>
          <w:sz w:val="20"/>
          <w:szCs w:val="20"/>
          <w:color w:val="auto"/>
        </w:rPr>
      </w:pPr>
    </w:p>
    <w:p>
      <w:pPr>
        <w:ind w:left="660" w:right="3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2014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August 7, 2014</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August 7, 2014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815"/>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32"/>
    </w:lvl>
  </w:abstractNum>
  <w:abstractNum w:abstractNumId="41">
    <w:nsid w:val="542289EC"/>
    <w:multiLevelType w:val="hybridMultilevel"/>
    <w:lvl w:ilvl="0">
      <w:lvlJc w:val="left"/>
      <w:lvlText w:val="**"/>
      <w:numFmt w:val="bullet"/>
      <w:start w:val="1"/>
    </w:lvl>
    <w:lvl w:ilvl="1">
      <w:lvlJc w:val="left"/>
      <w:lvlText w:val="(%2)"/>
      <w:numFmt w:val="lowerLetter"/>
      <w:start w:val="2"/>
    </w:lvl>
  </w:abstractNum>
  <w:abstractNum w:abstractNumId="42">
    <w:nsid w:val="6DE91B18"/>
    <w:multiLevelType w:val="hybridMultilevel"/>
    <w:lvl w:ilvl="0">
      <w:lvlJc w:val="left"/>
      <w:lvlText w:val="(%1)"/>
      <w:numFmt w:val="lowerLetter"/>
      <w:start w:val="3"/>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5"/>
    </w:lvl>
  </w:abstractNum>
  <w:abstractNum w:abstractNumId="45">
    <w:nsid w:val="32FFF902"/>
    <w:multiLevelType w:val="hybridMultilevel"/>
    <w:lvl w:ilvl="0">
      <w:lvlJc w:val="left"/>
      <w:lvlText w:val="%1."/>
      <w:numFmt w:val="decimal"/>
      <w:start w:val="9"/>
    </w:lvl>
    <w:lvl w:ilvl="1">
      <w:lvlJc w:val="left"/>
      <w:lvlText w:val="(%2)"/>
      <w:numFmt w:val="lowerLetter"/>
      <w:start w:val="1"/>
    </w:lvl>
  </w:abstractNum>
  <w:abstractNum w:abstractNumId="46">
    <w:nsid w:val="684A481A"/>
    <w:multiLevelType w:val="hybridMultilevel"/>
    <w:lvl w:ilvl="0">
      <w:lvlJc w:val="left"/>
      <w:lvlText w:val="(%1)"/>
      <w:numFmt w:val="lowerLetter"/>
      <w:start w:val="9"/>
    </w:lvl>
    <w:lvl w:ilvl="1">
      <w:lvlJc w:val="left"/>
      <w:lvlText w:val="*"/>
      <w:numFmt w:val="bullet"/>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2019-12-07T17:37:53Z</dcterms:created>
  <dcterms:modified xsi:type="dcterms:W3CDTF">2019-12-07T17:37:53Z</dcterms:modified>
</cp:coreProperties>
</file>