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1)</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American Capital Agency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02503X105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31, 2008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02503X105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8" w:lineRule="exact"/>
        <w:rPr>
          <w:sz w:val="20"/>
          <w:szCs w:val="20"/>
          <w:color w:val="auto"/>
        </w:rPr>
      </w:pPr>
    </w:p>
    <w:tbl>
      <w:tblPr>
        <w:tblLayout w:type="fixed"/>
        <w:tblInd w:w="80" w:type="dxa"/>
        <w:tblCellMar>
          <w:top w:w="0" w:type="dxa"/>
          <w:left w:w="0" w:type="dxa"/>
          <w:bottom w:w="0" w:type="dxa"/>
          <w:right w:w="0" w:type="dxa"/>
        </w:tblCellMar>
      </w:tblPr>
      <w:tr>
        <w:trPr>
          <w:trHeight w:val="253"/>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73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w w:val="93"/>
              </w:rPr>
              <w:t>I.R.S. IDENTIFICATION NO. OF ABOVE PERSONS (ENTITIES ONLY)</w:t>
            </w:r>
          </w:p>
        </w:tc>
      </w:tr>
      <w:tr>
        <w:trPr>
          <w:trHeight w:val="455"/>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Bay Pond Partners, L.P.</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37-1406661</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7360" w:type="dxa"/>
            <w:vAlign w:val="bottom"/>
          </w:tcPr>
          <w:p>
            <w:pPr>
              <w:ind w:left="780"/>
              <w:spacing w:after="0"/>
              <w:rPr>
                <w:sz w:val="20"/>
                <w:szCs w:val="20"/>
                <w:color w:val="auto"/>
              </w:rPr>
            </w:pPr>
            <w:r>
              <w:rPr>
                <w:rFonts w:ascii="Arial" w:cs="Arial" w:eastAsia="Arial" w:hAnsi="Arial"/>
                <w:sz w:val="22"/>
                <w:szCs w:val="22"/>
                <w:color w:val="auto"/>
              </w:rPr>
              <w:t>CHECK THE APPROPRIATE BOX IF A MEMBER OF A GROUP</w:t>
            </w:r>
          </w:p>
        </w:tc>
      </w:tr>
      <w:tr>
        <w:trPr>
          <w:trHeight w:val="455"/>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73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73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80" w:type="dxa"/>
        <w:tblCellMar>
          <w:top w:w="0" w:type="dxa"/>
          <w:left w:w="0" w:type="dxa"/>
          <w:bottom w:w="0" w:type="dxa"/>
          <w:right w:w="0" w:type="dxa"/>
        </w:tblCellMar>
      </w:tblPr>
      <w:tr>
        <w:trPr>
          <w:trHeight w:val="275"/>
        </w:trPr>
        <w:tc>
          <w:tcPr>
            <w:tcW w:w="1620" w:type="dxa"/>
            <w:vAlign w:val="bottom"/>
            <w:vMerge w:val="restart"/>
          </w:tcPr>
          <w:p>
            <w:pPr>
              <w:spacing w:after="0"/>
              <w:rPr>
                <w:sz w:val="20"/>
                <w:szCs w:val="20"/>
                <w:color w:val="auto"/>
              </w:rPr>
            </w:pPr>
            <w:r>
              <w:rPr>
                <w:rFonts w:ascii="Arial" w:cs="Arial" w:eastAsia="Arial" w:hAnsi="Arial"/>
                <w:sz w:val="22"/>
                <w:szCs w:val="22"/>
                <w:color w:val="auto"/>
              </w:rPr>
              <w:t>NUMBER OF</w:t>
            </w:r>
          </w:p>
        </w:tc>
        <w:tc>
          <w:tcPr>
            <w:tcW w:w="420" w:type="dxa"/>
            <w:vAlign w:val="bottom"/>
          </w:tcPr>
          <w:p>
            <w:pPr>
              <w:spacing w:after="0"/>
              <w:rPr>
                <w:sz w:val="23"/>
                <w:szCs w:val="23"/>
                <w:color w:val="auto"/>
              </w:rPr>
            </w:pPr>
          </w:p>
        </w:tc>
        <w:tc>
          <w:tcPr>
            <w:tcW w:w="5460" w:type="dxa"/>
            <w:vAlign w:val="bottom"/>
          </w:tcPr>
          <w:p>
            <w:pPr>
              <w:ind w:left="220"/>
              <w:spacing w:after="0"/>
              <w:rPr>
                <w:sz w:val="20"/>
                <w:szCs w:val="20"/>
                <w:color w:val="auto"/>
              </w:rPr>
            </w:pPr>
            <w:r>
              <w:rPr>
                <w:rFonts w:ascii="Arial" w:cs="Arial" w:eastAsia="Arial" w:hAnsi="Arial"/>
                <w:sz w:val="22"/>
                <w:szCs w:val="22"/>
                <w:color w:val="auto"/>
              </w:rPr>
              <w:t>5. SOLE VOTING POWER</w:t>
            </w:r>
          </w:p>
        </w:tc>
        <w:tc>
          <w:tcPr>
            <w:tcW w:w="2660" w:type="dxa"/>
            <w:vAlign w:val="bottom"/>
          </w:tcPr>
          <w:p>
            <w:pPr>
              <w:ind w:left="196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620" w:type="dxa"/>
            <w:vAlign w:val="bottom"/>
            <w:vMerge w:val="continue"/>
          </w:tcPr>
          <w:p>
            <w:pPr>
              <w:spacing w:after="0"/>
              <w:rPr>
                <w:sz w:val="4"/>
                <w:szCs w:val="4"/>
                <w:color w:val="auto"/>
              </w:rPr>
            </w:pPr>
          </w:p>
        </w:tc>
        <w:tc>
          <w:tcPr>
            <w:tcW w:w="420" w:type="dxa"/>
            <w:vAlign w:val="bottom"/>
          </w:tcPr>
          <w:p>
            <w:pPr>
              <w:spacing w:after="0"/>
              <w:rPr>
                <w:sz w:val="4"/>
                <w:szCs w:val="4"/>
                <w:color w:val="auto"/>
              </w:rPr>
            </w:pPr>
          </w:p>
        </w:tc>
        <w:tc>
          <w:tcPr>
            <w:tcW w:w="5460" w:type="dxa"/>
            <w:vAlign w:val="bottom"/>
          </w:tcPr>
          <w:p>
            <w:pPr>
              <w:spacing w:after="0"/>
              <w:rPr>
                <w:sz w:val="4"/>
                <w:szCs w:val="4"/>
                <w:color w:val="auto"/>
              </w:rPr>
            </w:pPr>
          </w:p>
        </w:tc>
        <w:tc>
          <w:tcPr>
            <w:tcW w:w="26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620" w:type="dxa"/>
            <w:vAlign w:val="bottom"/>
          </w:tcPr>
          <w:p>
            <w:pPr>
              <w:spacing w:after="0" w:line="243" w:lineRule="exact"/>
              <w:rPr>
                <w:sz w:val="20"/>
                <w:szCs w:val="20"/>
                <w:color w:val="auto"/>
              </w:rPr>
            </w:pPr>
            <w:r>
              <w:rPr>
                <w:rFonts w:ascii="Arial" w:cs="Arial" w:eastAsia="Arial" w:hAnsi="Arial"/>
                <w:sz w:val="22"/>
                <w:szCs w:val="22"/>
                <w:color w:val="auto"/>
              </w:rPr>
              <w:t>SHARES</w:t>
            </w:r>
          </w:p>
        </w:tc>
        <w:tc>
          <w:tcPr>
            <w:tcW w:w="420" w:type="dxa"/>
            <w:vAlign w:val="bottom"/>
          </w:tcPr>
          <w:p>
            <w:pPr>
              <w:spacing w:after="0"/>
              <w:rPr>
                <w:sz w:val="21"/>
                <w:szCs w:val="21"/>
                <w:color w:val="auto"/>
              </w:rPr>
            </w:pPr>
          </w:p>
        </w:tc>
        <w:tc>
          <w:tcPr>
            <w:tcW w:w="5460" w:type="dxa"/>
            <w:vAlign w:val="bottom"/>
            <w:vMerge w:val="restart"/>
          </w:tcPr>
          <w:p>
            <w:pPr>
              <w:ind w:left="220"/>
              <w:spacing w:after="0"/>
              <w:rPr>
                <w:sz w:val="20"/>
                <w:szCs w:val="20"/>
                <w:color w:val="auto"/>
              </w:rPr>
            </w:pPr>
            <w:r>
              <w:rPr>
                <w:rFonts w:ascii="Arial" w:cs="Arial" w:eastAsia="Arial" w:hAnsi="Arial"/>
                <w:sz w:val="22"/>
                <w:szCs w:val="22"/>
                <w:color w:val="auto"/>
              </w:rPr>
              <w:t>6. SHARED VOTING POWER</w:t>
            </w:r>
          </w:p>
        </w:tc>
        <w:tc>
          <w:tcPr>
            <w:tcW w:w="2660" w:type="dxa"/>
            <w:vAlign w:val="bottom"/>
            <w:vMerge w:val="restart"/>
          </w:tcPr>
          <w:p>
            <w:pPr>
              <w:ind w:left="1960"/>
              <w:spacing w:after="0"/>
              <w:rPr>
                <w:sz w:val="20"/>
                <w:szCs w:val="20"/>
                <w:color w:val="auto"/>
              </w:rPr>
            </w:pPr>
            <w:r>
              <w:rPr>
                <w:rFonts w:ascii="Arial" w:cs="Arial" w:eastAsia="Arial" w:hAnsi="Arial"/>
                <w:sz w:val="22"/>
                <w:szCs w:val="22"/>
                <w:color w:val="auto"/>
                <w:w w:val="85"/>
              </w:rPr>
              <w:t>725,790</w:t>
            </w:r>
          </w:p>
        </w:tc>
        <w:tc>
          <w:tcPr>
            <w:tcW w:w="0" w:type="dxa"/>
            <w:vAlign w:val="bottom"/>
          </w:tcPr>
          <w:p>
            <w:pPr>
              <w:spacing w:after="0"/>
              <w:rPr>
                <w:sz w:val="1"/>
                <w:szCs w:val="1"/>
                <w:color w:val="auto"/>
              </w:rPr>
            </w:pPr>
          </w:p>
        </w:tc>
      </w:tr>
      <w:tr>
        <w:trPr>
          <w:trHeight w:val="166"/>
        </w:trPr>
        <w:tc>
          <w:tcPr>
            <w:tcW w:w="1620" w:type="dxa"/>
            <w:vAlign w:val="bottom"/>
            <w:vMerge w:val="restart"/>
          </w:tcPr>
          <w:p>
            <w:pPr>
              <w:spacing w:after="0" w:line="243" w:lineRule="exact"/>
              <w:rPr>
                <w:sz w:val="20"/>
                <w:szCs w:val="20"/>
                <w:color w:val="auto"/>
              </w:rPr>
            </w:pPr>
            <w:r>
              <w:rPr>
                <w:rFonts w:ascii="Arial" w:cs="Arial" w:eastAsia="Arial" w:hAnsi="Arial"/>
                <w:sz w:val="22"/>
                <w:szCs w:val="22"/>
                <w:color w:val="auto"/>
              </w:rPr>
              <w:t>BENEFICIALLY</w:t>
            </w:r>
          </w:p>
        </w:tc>
        <w:tc>
          <w:tcPr>
            <w:tcW w:w="420" w:type="dxa"/>
            <w:vAlign w:val="bottom"/>
          </w:tcPr>
          <w:p>
            <w:pPr>
              <w:spacing w:after="0"/>
              <w:rPr>
                <w:sz w:val="14"/>
                <w:szCs w:val="14"/>
                <w:color w:val="auto"/>
              </w:rPr>
            </w:pPr>
          </w:p>
        </w:tc>
        <w:tc>
          <w:tcPr>
            <w:tcW w:w="5460" w:type="dxa"/>
            <w:vAlign w:val="bottom"/>
            <w:vMerge w:val="continue"/>
          </w:tcPr>
          <w:p>
            <w:pPr>
              <w:spacing w:after="0"/>
              <w:rPr>
                <w:sz w:val="14"/>
                <w:szCs w:val="14"/>
                <w:color w:val="auto"/>
              </w:rPr>
            </w:pPr>
          </w:p>
        </w:tc>
        <w:tc>
          <w:tcPr>
            <w:tcW w:w="26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620" w:type="dxa"/>
            <w:vAlign w:val="bottom"/>
            <w:vMerge w:val="continue"/>
          </w:tcPr>
          <w:p>
            <w:pPr>
              <w:spacing w:after="0"/>
              <w:rPr>
                <w:sz w:val="6"/>
                <w:szCs w:val="6"/>
                <w:color w:val="auto"/>
              </w:rPr>
            </w:pPr>
          </w:p>
        </w:tc>
        <w:tc>
          <w:tcPr>
            <w:tcW w:w="420" w:type="dxa"/>
            <w:vAlign w:val="bottom"/>
          </w:tcPr>
          <w:p>
            <w:pPr>
              <w:spacing w:after="0"/>
              <w:rPr>
                <w:sz w:val="6"/>
                <w:szCs w:val="6"/>
                <w:color w:val="auto"/>
              </w:rPr>
            </w:pPr>
          </w:p>
        </w:tc>
        <w:tc>
          <w:tcPr>
            <w:tcW w:w="5460" w:type="dxa"/>
            <w:vAlign w:val="bottom"/>
          </w:tcPr>
          <w:p>
            <w:pPr>
              <w:spacing w:after="0"/>
              <w:rPr>
                <w:sz w:val="6"/>
                <w:szCs w:val="6"/>
                <w:color w:val="auto"/>
              </w:rPr>
            </w:pPr>
          </w:p>
        </w:tc>
        <w:tc>
          <w:tcPr>
            <w:tcW w:w="26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040" w:type="dxa"/>
            <w:vAlign w:val="bottom"/>
            <w:gridSpan w:val="2"/>
          </w:tcPr>
          <w:p>
            <w:pPr>
              <w:spacing w:after="0" w:line="243" w:lineRule="exact"/>
              <w:rPr>
                <w:sz w:val="20"/>
                <w:szCs w:val="20"/>
                <w:color w:val="auto"/>
              </w:rPr>
            </w:pPr>
            <w:r>
              <w:rPr>
                <w:rFonts w:ascii="Arial" w:cs="Arial" w:eastAsia="Arial" w:hAnsi="Arial"/>
                <w:sz w:val="22"/>
                <w:szCs w:val="22"/>
                <w:color w:val="auto"/>
              </w:rPr>
              <w:t>OWNED BY EACH</w:t>
            </w:r>
          </w:p>
        </w:tc>
        <w:tc>
          <w:tcPr>
            <w:tcW w:w="5460" w:type="dxa"/>
            <w:vAlign w:val="bottom"/>
            <w:vMerge w:val="restart"/>
          </w:tcPr>
          <w:p>
            <w:pPr>
              <w:ind w:left="220"/>
              <w:spacing w:after="0"/>
              <w:rPr>
                <w:sz w:val="20"/>
                <w:szCs w:val="20"/>
                <w:color w:val="auto"/>
              </w:rPr>
            </w:pPr>
            <w:r>
              <w:rPr>
                <w:rFonts w:ascii="Arial" w:cs="Arial" w:eastAsia="Arial" w:hAnsi="Arial"/>
                <w:sz w:val="22"/>
                <w:szCs w:val="22"/>
                <w:color w:val="auto"/>
              </w:rPr>
              <w:t>7. SOLE DISPOSITIVE POWER</w:t>
            </w:r>
          </w:p>
        </w:tc>
        <w:tc>
          <w:tcPr>
            <w:tcW w:w="2660" w:type="dxa"/>
            <w:vAlign w:val="bottom"/>
            <w:vMerge w:val="restart"/>
          </w:tcPr>
          <w:p>
            <w:pPr>
              <w:ind w:left="196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620" w:type="dxa"/>
            <w:vAlign w:val="bottom"/>
            <w:vMerge w:val="restart"/>
          </w:tcPr>
          <w:p>
            <w:pPr>
              <w:spacing w:after="0" w:line="243" w:lineRule="exact"/>
              <w:rPr>
                <w:sz w:val="20"/>
                <w:szCs w:val="20"/>
                <w:color w:val="auto"/>
              </w:rPr>
            </w:pPr>
            <w:r>
              <w:rPr>
                <w:rFonts w:ascii="Arial" w:cs="Arial" w:eastAsia="Arial" w:hAnsi="Arial"/>
                <w:sz w:val="22"/>
                <w:szCs w:val="22"/>
                <w:color w:val="auto"/>
              </w:rPr>
              <w:t>REPORTING</w:t>
            </w:r>
          </w:p>
        </w:tc>
        <w:tc>
          <w:tcPr>
            <w:tcW w:w="420" w:type="dxa"/>
            <w:vAlign w:val="bottom"/>
          </w:tcPr>
          <w:p>
            <w:pPr>
              <w:spacing w:after="0"/>
              <w:rPr>
                <w:sz w:val="12"/>
                <w:szCs w:val="12"/>
                <w:color w:val="auto"/>
              </w:rPr>
            </w:pPr>
          </w:p>
        </w:tc>
        <w:tc>
          <w:tcPr>
            <w:tcW w:w="5460" w:type="dxa"/>
            <w:vAlign w:val="bottom"/>
            <w:vMerge w:val="continue"/>
          </w:tcPr>
          <w:p>
            <w:pPr>
              <w:spacing w:after="0"/>
              <w:rPr>
                <w:sz w:val="12"/>
                <w:szCs w:val="12"/>
                <w:color w:val="auto"/>
              </w:rPr>
            </w:pPr>
          </w:p>
        </w:tc>
        <w:tc>
          <w:tcPr>
            <w:tcW w:w="26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620" w:type="dxa"/>
            <w:vAlign w:val="bottom"/>
            <w:vMerge w:val="continue"/>
          </w:tcPr>
          <w:p>
            <w:pPr>
              <w:spacing w:after="0"/>
              <w:rPr>
                <w:sz w:val="9"/>
                <w:szCs w:val="9"/>
                <w:color w:val="auto"/>
              </w:rPr>
            </w:pPr>
          </w:p>
        </w:tc>
        <w:tc>
          <w:tcPr>
            <w:tcW w:w="420" w:type="dxa"/>
            <w:vAlign w:val="bottom"/>
          </w:tcPr>
          <w:p>
            <w:pPr>
              <w:spacing w:after="0"/>
              <w:rPr>
                <w:sz w:val="9"/>
                <w:szCs w:val="9"/>
                <w:color w:val="auto"/>
              </w:rPr>
            </w:pPr>
          </w:p>
        </w:tc>
        <w:tc>
          <w:tcPr>
            <w:tcW w:w="5460" w:type="dxa"/>
            <w:vAlign w:val="bottom"/>
          </w:tcPr>
          <w:p>
            <w:pPr>
              <w:spacing w:after="0"/>
              <w:rPr>
                <w:sz w:val="9"/>
                <w:szCs w:val="9"/>
                <w:color w:val="auto"/>
              </w:rPr>
            </w:pPr>
          </w:p>
        </w:tc>
        <w:tc>
          <w:tcPr>
            <w:tcW w:w="2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620" w:type="dxa"/>
            <w:vAlign w:val="bottom"/>
          </w:tcPr>
          <w:p>
            <w:pPr>
              <w:spacing w:after="0"/>
              <w:rPr>
                <w:sz w:val="20"/>
                <w:szCs w:val="20"/>
                <w:color w:val="auto"/>
              </w:rPr>
            </w:pPr>
            <w:r>
              <w:rPr>
                <w:rFonts w:ascii="Arial" w:cs="Arial" w:eastAsia="Arial" w:hAnsi="Arial"/>
                <w:sz w:val="22"/>
                <w:szCs w:val="22"/>
                <w:color w:val="auto"/>
              </w:rPr>
              <w:t>PERSON WITH</w:t>
            </w:r>
          </w:p>
        </w:tc>
        <w:tc>
          <w:tcPr>
            <w:tcW w:w="420" w:type="dxa"/>
            <w:vAlign w:val="bottom"/>
          </w:tcPr>
          <w:p>
            <w:pPr>
              <w:spacing w:after="0"/>
              <w:rPr>
                <w:sz w:val="23"/>
                <w:szCs w:val="23"/>
                <w:color w:val="auto"/>
              </w:rPr>
            </w:pPr>
          </w:p>
        </w:tc>
        <w:tc>
          <w:tcPr>
            <w:tcW w:w="5460" w:type="dxa"/>
            <w:vAlign w:val="bottom"/>
            <w:vMerge w:val="restart"/>
          </w:tcPr>
          <w:p>
            <w:pPr>
              <w:ind w:left="220"/>
              <w:spacing w:after="0"/>
              <w:rPr>
                <w:sz w:val="20"/>
                <w:szCs w:val="20"/>
                <w:color w:val="auto"/>
              </w:rPr>
            </w:pPr>
            <w:r>
              <w:rPr>
                <w:rFonts w:ascii="Arial" w:cs="Arial" w:eastAsia="Arial" w:hAnsi="Arial"/>
                <w:sz w:val="22"/>
                <w:szCs w:val="22"/>
                <w:color w:val="auto"/>
              </w:rPr>
              <w:t>8. SHARED DISPOSITIVE POWER</w:t>
            </w:r>
          </w:p>
        </w:tc>
        <w:tc>
          <w:tcPr>
            <w:tcW w:w="2660" w:type="dxa"/>
            <w:vAlign w:val="bottom"/>
            <w:vMerge w:val="restart"/>
          </w:tcPr>
          <w:p>
            <w:pPr>
              <w:ind w:left="1960"/>
              <w:spacing w:after="0"/>
              <w:rPr>
                <w:sz w:val="20"/>
                <w:szCs w:val="20"/>
                <w:color w:val="auto"/>
              </w:rPr>
            </w:pPr>
            <w:r>
              <w:rPr>
                <w:rFonts w:ascii="Arial" w:cs="Arial" w:eastAsia="Arial" w:hAnsi="Arial"/>
                <w:sz w:val="22"/>
                <w:szCs w:val="22"/>
                <w:color w:val="auto"/>
                <w:w w:val="85"/>
              </w:rPr>
              <w:t>725,790</w:t>
            </w:r>
          </w:p>
        </w:tc>
        <w:tc>
          <w:tcPr>
            <w:tcW w:w="0" w:type="dxa"/>
            <w:vAlign w:val="bottom"/>
          </w:tcPr>
          <w:p>
            <w:pPr>
              <w:spacing w:after="0"/>
              <w:rPr>
                <w:sz w:val="1"/>
                <w:szCs w:val="1"/>
                <w:color w:val="auto"/>
              </w:rPr>
            </w:pPr>
          </w:p>
        </w:tc>
      </w:tr>
      <w:tr>
        <w:trPr>
          <w:trHeight w:val="81"/>
        </w:trPr>
        <w:tc>
          <w:tcPr>
            <w:tcW w:w="1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5460" w:type="dxa"/>
            <w:vAlign w:val="bottom"/>
            <w:vMerge w:val="continue"/>
          </w:tcPr>
          <w:p>
            <w:pPr>
              <w:spacing w:after="0"/>
              <w:rPr>
                <w:sz w:val="7"/>
                <w:szCs w:val="7"/>
                <w:color w:val="auto"/>
              </w:rPr>
            </w:pPr>
          </w:p>
        </w:tc>
        <w:tc>
          <w:tcPr>
            <w:tcW w:w="26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620" w:type="dxa"/>
            <w:vAlign w:val="bottom"/>
          </w:tcPr>
          <w:p>
            <w:pPr>
              <w:spacing w:after="0"/>
              <w:rPr>
                <w:sz w:val="20"/>
                <w:szCs w:val="20"/>
                <w:color w:val="auto"/>
              </w:rPr>
            </w:pPr>
            <w:r>
              <w:rPr>
                <w:rFonts w:ascii="Arial" w:cs="Arial" w:eastAsia="Arial" w:hAnsi="Arial"/>
                <w:sz w:val="22"/>
                <w:szCs w:val="22"/>
                <w:color w:val="auto"/>
              </w:rPr>
              <w:t>9.</w:t>
            </w:r>
          </w:p>
        </w:tc>
        <w:tc>
          <w:tcPr>
            <w:tcW w:w="854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bl>
    <w:p>
      <w:pPr>
        <w:spacing w:after="0" w:line="212"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725,790</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2"/>
          <w:szCs w:val="22"/>
          <w:color w:val="auto"/>
        </w:rPr>
        <w:t>10.</w:t>
      </w:r>
      <w:r>
        <w:rPr>
          <w:sz w:val="20"/>
          <w:szCs w:val="20"/>
          <w:color w:val="auto"/>
        </w:rPr>
        <w:tab/>
      </w:r>
      <w:r>
        <w:rPr>
          <w:rFonts w:ascii="Arial" w:cs="Arial" w:eastAsia="Arial" w:hAnsi="Arial"/>
          <w:sz w:val="22"/>
          <w:szCs w:val="22"/>
          <w:color w:val="auto"/>
        </w:rPr>
        <w:t>CHECK IF THE AGGREGATE AMOUNT IN ROW (9) EXCLUDES CERTAIN SHARES</w:t>
      </w:r>
    </w:p>
    <w:p>
      <w:pPr>
        <w:spacing w:after="0" w:line="233"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 ]</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2"/>
          <w:szCs w:val="22"/>
          <w:color w:val="auto"/>
        </w:rPr>
        <w:t>11.</w:t>
      </w:r>
      <w:r>
        <w:rPr>
          <w:sz w:val="20"/>
          <w:szCs w:val="20"/>
          <w:color w:val="auto"/>
        </w:rPr>
        <w:tab/>
      </w:r>
      <w:r>
        <w:rPr>
          <w:rFonts w:ascii="Arial" w:cs="Arial" w:eastAsia="Arial" w:hAnsi="Arial"/>
          <w:sz w:val="22"/>
          <w:szCs w:val="22"/>
          <w:color w:val="auto"/>
        </w:rPr>
        <w:t>PERCENT OF CLASS REPRESENTED BY AMOUNT IN ROW (9)</w:t>
      </w:r>
    </w:p>
    <w:p>
      <w:pPr>
        <w:spacing w:after="0" w:line="233"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4.84%</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2"/>
          <w:szCs w:val="22"/>
          <w:color w:val="auto"/>
        </w:rPr>
        <w:t>12.</w:t>
      </w:r>
      <w:r>
        <w:rPr>
          <w:sz w:val="20"/>
          <w:szCs w:val="20"/>
          <w:color w:val="auto"/>
        </w:rPr>
        <w:tab/>
      </w:r>
      <w:r>
        <w:rPr>
          <w:rFonts w:ascii="Arial" w:cs="Arial" w:eastAsia="Arial" w:hAnsi="Arial"/>
          <w:sz w:val="22"/>
          <w:szCs w:val="22"/>
          <w:color w:val="auto"/>
        </w:rPr>
        <w:t>TYPE OF REPORTING PERSON</w:t>
      </w:r>
    </w:p>
    <w:p>
      <w:pPr>
        <w:spacing w:after="0" w:line="233"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76200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40"/>
          </w:cols>
          <w:pgMar w:left="280" w:top="388" w:right="1379" w:bottom="1440" w:gutter="0" w:footer="0" w:header="0"/>
        </w:sectPr>
      </w:pPr>
    </w:p>
    <w:bookmarkStart w:id="2" w:name="page3"/>
    <w:bookmarkEnd w:id="2"/>
    <w:p>
      <w:pPr>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02503X105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170180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8" w:lineRule="exact"/>
        <w:rPr>
          <w:sz w:val="20"/>
          <w:szCs w:val="20"/>
          <w:color w:val="auto"/>
        </w:rPr>
      </w:pPr>
    </w:p>
    <w:tbl>
      <w:tblPr>
        <w:tblLayout w:type="fixed"/>
        <w:tblInd w:w="80" w:type="dxa"/>
        <w:tblCellMar>
          <w:top w:w="0" w:type="dxa"/>
          <w:left w:w="0" w:type="dxa"/>
          <w:bottom w:w="0" w:type="dxa"/>
          <w:right w:w="0" w:type="dxa"/>
        </w:tblCellMar>
      </w:tblPr>
      <w:tr>
        <w:trPr>
          <w:trHeight w:val="253"/>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73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w w:val="93"/>
              </w:rPr>
              <w:t>I.R.S. IDENTIFICATION NO. OF ABOVE PERSONS (ENTITIES ONLY)</w:t>
            </w:r>
          </w:p>
        </w:tc>
      </w:tr>
      <w:tr>
        <w:trPr>
          <w:trHeight w:val="455"/>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Wellington Hedge Management, LLC</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04-3215301</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7360" w:type="dxa"/>
            <w:vAlign w:val="bottom"/>
          </w:tcPr>
          <w:p>
            <w:pPr>
              <w:ind w:left="780"/>
              <w:spacing w:after="0"/>
              <w:rPr>
                <w:sz w:val="20"/>
                <w:szCs w:val="20"/>
                <w:color w:val="auto"/>
              </w:rPr>
            </w:pPr>
            <w:r>
              <w:rPr>
                <w:rFonts w:ascii="Arial" w:cs="Arial" w:eastAsia="Arial" w:hAnsi="Arial"/>
                <w:sz w:val="22"/>
                <w:szCs w:val="22"/>
                <w:color w:val="auto"/>
              </w:rPr>
              <w:t>CHECK THE APPROPRIATE BOX IF A MEMBER OF A GROUP</w:t>
            </w:r>
          </w:p>
        </w:tc>
      </w:tr>
      <w:tr>
        <w:trPr>
          <w:trHeight w:val="455"/>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73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73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80" w:type="dxa"/>
        <w:tblCellMar>
          <w:top w:w="0" w:type="dxa"/>
          <w:left w:w="0" w:type="dxa"/>
          <w:bottom w:w="0" w:type="dxa"/>
          <w:right w:w="0" w:type="dxa"/>
        </w:tblCellMar>
      </w:tblPr>
      <w:tr>
        <w:trPr>
          <w:trHeight w:val="275"/>
        </w:trPr>
        <w:tc>
          <w:tcPr>
            <w:tcW w:w="1620" w:type="dxa"/>
            <w:vAlign w:val="bottom"/>
            <w:vMerge w:val="restart"/>
          </w:tcPr>
          <w:p>
            <w:pPr>
              <w:spacing w:after="0"/>
              <w:rPr>
                <w:sz w:val="20"/>
                <w:szCs w:val="20"/>
                <w:color w:val="auto"/>
              </w:rPr>
            </w:pPr>
            <w:r>
              <w:rPr>
                <w:rFonts w:ascii="Arial" w:cs="Arial" w:eastAsia="Arial" w:hAnsi="Arial"/>
                <w:sz w:val="22"/>
                <w:szCs w:val="22"/>
                <w:color w:val="auto"/>
              </w:rPr>
              <w:t>NUMBER OF</w:t>
            </w:r>
          </w:p>
        </w:tc>
        <w:tc>
          <w:tcPr>
            <w:tcW w:w="420" w:type="dxa"/>
            <w:vAlign w:val="bottom"/>
          </w:tcPr>
          <w:p>
            <w:pPr>
              <w:spacing w:after="0"/>
              <w:rPr>
                <w:sz w:val="23"/>
                <w:szCs w:val="23"/>
                <w:color w:val="auto"/>
              </w:rPr>
            </w:pPr>
          </w:p>
        </w:tc>
        <w:tc>
          <w:tcPr>
            <w:tcW w:w="5460" w:type="dxa"/>
            <w:vAlign w:val="bottom"/>
          </w:tcPr>
          <w:p>
            <w:pPr>
              <w:ind w:left="220"/>
              <w:spacing w:after="0"/>
              <w:rPr>
                <w:sz w:val="20"/>
                <w:szCs w:val="20"/>
                <w:color w:val="auto"/>
              </w:rPr>
            </w:pPr>
            <w:r>
              <w:rPr>
                <w:rFonts w:ascii="Arial" w:cs="Arial" w:eastAsia="Arial" w:hAnsi="Arial"/>
                <w:sz w:val="22"/>
                <w:szCs w:val="22"/>
                <w:color w:val="auto"/>
              </w:rPr>
              <w:t>5. SOLE VOTING POWER</w:t>
            </w:r>
          </w:p>
        </w:tc>
        <w:tc>
          <w:tcPr>
            <w:tcW w:w="2660" w:type="dxa"/>
            <w:vAlign w:val="bottom"/>
          </w:tcPr>
          <w:p>
            <w:pPr>
              <w:ind w:left="196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620" w:type="dxa"/>
            <w:vAlign w:val="bottom"/>
            <w:vMerge w:val="continue"/>
          </w:tcPr>
          <w:p>
            <w:pPr>
              <w:spacing w:after="0"/>
              <w:rPr>
                <w:sz w:val="4"/>
                <w:szCs w:val="4"/>
                <w:color w:val="auto"/>
              </w:rPr>
            </w:pPr>
          </w:p>
        </w:tc>
        <w:tc>
          <w:tcPr>
            <w:tcW w:w="420" w:type="dxa"/>
            <w:vAlign w:val="bottom"/>
          </w:tcPr>
          <w:p>
            <w:pPr>
              <w:spacing w:after="0"/>
              <w:rPr>
                <w:sz w:val="4"/>
                <w:szCs w:val="4"/>
                <w:color w:val="auto"/>
              </w:rPr>
            </w:pPr>
          </w:p>
        </w:tc>
        <w:tc>
          <w:tcPr>
            <w:tcW w:w="5460" w:type="dxa"/>
            <w:vAlign w:val="bottom"/>
          </w:tcPr>
          <w:p>
            <w:pPr>
              <w:spacing w:after="0"/>
              <w:rPr>
                <w:sz w:val="4"/>
                <w:szCs w:val="4"/>
                <w:color w:val="auto"/>
              </w:rPr>
            </w:pPr>
          </w:p>
        </w:tc>
        <w:tc>
          <w:tcPr>
            <w:tcW w:w="26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620" w:type="dxa"/>
            <w:vAlign w:val="bottom"/>
          </w:tcPr>
          <w:p>
            <w:pPr>
              <w:spacing w:after="0" w:line="243" w:lineRule="exact"/>
              <w:rPr>
                <w:sz w:val="20"/>
                <w:szCs w:val="20"/>
                <w:color w:val="auto"/>
              </w:rPr>
            </w:pPr>
            <w:r>
              <w:rPr>
                <w:rFonts w:ascii="Arial" w:cs="Arial" w:eastAsia="Arial" w:hAnsi="Arial"/>
                <w:sz w:val="22"/>
                <w:szCs w:val="22"/>
                <w:color w:val="auto"/>
              </w:rPr>
              <w:t>SHARES</w:t>
            </w:r>
          </w:p>
        </w:tc>
        <w:tc>
          <w:tcPr>
            <w:tcW w:w="420" w:type="dxa"/>
            <w:vAlign w:val="bottom"/>
          </w:tcPr>
          <w:p>
            <w:pPr>
              <w:spacing w:after="0"/>
              <w:rPr>
                <w:sz w:val="21"/>
                <w:szCs w:val="21"/>
                <w:color w:val="auto"/>
              </w:rPr>
            </w:pPr>
          </w:p>
        </w:tc>
        <w:tc>
          <w:tcPr>
            <w:tcW w:w="5460" w:type="dxa"/>
            <w:vAlign w:val="bottom"/>
            <w:vMerge w:val="restart"/>
          </w:tcPr>
          <w:p>
            <w:pPr>
              <w:ind w:left="220"/>
              <w:spacing w:after="0"/>
              <w:rPr>
                <w:sz w:val="20"/>
                <w:szCs w:val="20"/>
                <w:color w:val="auto"/>
              </w:rPr>
            </w:pPr>
            <w:r>
              <w:rPr>
                <w:rFonts w:ascii="Arial" w:cs="Arial" w:eastAsia="Arial" w:hAnsi="Arial"/>
                <w:sz w:val="22"/>
                <w:szCs w:val="22"/>
                <w:color w:val="auto"/>
              </w:rPr>
              <w:t>6. SHARED VOTING POWER</w:t>
            </w:r>
          </w:p>
        </w:tc>
        <w:tc>
          <w:tcPr>
            <w:tcW w:w="2660" w:type="dxa"/>
            <w:vAlign w:val="bottom"/>
            <w:vMerge w:val="restart"/>
          </w:tcPr>
          <w:p>
            <w:pPr>
              <w:ind w:left="1960"/>
              <w:spacing w:after="0"/>
              <w:rPr>
                <w:sz w:val="20"/>
                <w:szCs w:val="20"/>
                <w:color w:val="auto"/>
              </w:rPr>
            </w:pPr>
            <w:r>
              <w:rPr>
                <w:rFonts w:ascii="Arial" w:cs="Arial" w:eastAsia="Arial" w:hAnsi="Arial"/>
                <w:sz w:val="22"/>
                <w:szCs w:val="22"/>
                <w:color w:val="auto"/>
                <w:w w:val="85"/>
              </w:rPr>
              <w:t>725,790</w:t>
            </w:r>
          </w:p>
        </w:tc>
        <w:tc>
          <w:tcPr>
            <w:tcW w:w="0" w:type="dxa"/>
            <w:vAlign w:val="bottom"/>
          </w:tcPr>
          <w:p>
            <w:pPr>
              <w:spacing w:after="0"/>
              <w:rPr>
                <w:sz w:val="1"/>
                <w:szCs w:val="1"/>
                <w:color w:val="auto"/>
              </w:rPr>
            </w:pPr>
          </w:p>
        </w:tc>
      </w:tr>
      <w:tr>
        <w:trPr>
          <w:trHeight w:val="166"/>
        </w:trPr>
        <w:tc>
          <w:tcPr>
            <w:tcW w:w="1620" w:type="dxa"/>
            <w:vAlign w:val="bottom"/>
            <w:vMerge w:val="restart"/>
          </w:tcPr>
          <w:p>
            <w:pPr>
              <w:spacing w:after="0" w:line="243" w:lineRule="exact"/>
              <w:rPr>
                <w:sz w:val="20"/>
                <w:szCs w:val="20"/>
                <w:color w:val="auto"/>
              </w:rPr>
            </w:pPr>
            <w:r>
              <w:rPr>
                <w:rFonts w:ascii="Arial" w:cs="Arial" w:eastAsia="Arial" w:hAnsi="Arial"/>
                <w:sz w:val="22"/>
                <w:szCs w:val="22"/>
                <w:color w:val="auto"/>
              </w:rPr>
              <w:t>BENEFICIALLY</w:t>
            </w:r>
          </w:p>
        </w:tc>
        <w:tc>
          <w:tcPr>
            <w:tcW w:w="420" w:type="dxa"/>
            <w:vAlign w:val="bottom"/>
          </w:tcPr>
          <w:p>
            <w:pPr>
              <w:spacing w:after="0"/>
              <w:rPr>
                <w:sz w:val="14"/>
                <w:szCs w:val="14"/>
                <w:color w:val="auto"/>
              </w:rPr>
            </w:pPr>
          </w:p>
        </w:tc>
        <w:tc>
          <w:tcPr>
            <w:tcW w:w="5460" w:type="dxa"/>
            <w:vAlign w:val="bottom"/>
            <w:vMerge w:val="continue"/>
          </w:tcPr>
          <w:p>
            <w:pPr>
              <w:spacing w:after="0"/>
              <w:rPr>
                <w:sz w:val="14"/>
                <w:szCs w:val="14"/>
                <w:color w:val="auto"/>
              </w:rPr>
            </w:pPr>
          </w:p>
        </w:tc>
        <w:tc>
          <w:tcPr>
            <w:tcW w:w="26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620" w:type="dxa"/>
            <w:vAlign w:val="bottom"/>
            <w:vMerge w:val="continue"/>
          </w:tcPr>
          <w:p>
            <w:pPr>
              <w:spacing w:after="0"/>
              <w:rPr>
                <w:sz w:val="6"/>
                <w:szCs w:val="6"/>
                <w:color w:val="auto"/>
              </w:rPr>
            </w:pPr>
          </w:p>
        </w:tc>
        <w:tc>
          <w:tcPr>
            <w:tcW w:w="420" w:type="dxa"/>
            <w:vAlign w:val="bottom"/>
          </w:tcPr>
          <w:p>
            <w:pPr>
              <w:spacing w:after="0"/>
              <w:rPr>
                <w:sz w:val="6"/>
                <w:szCs w:val="6"/>
                <w:color w:val="auto"/>
              </w:rPr>
            </w:pPr>
          </w:p>
        </w:tc>
        <w:tc>
          <w:tcPr>
            <w:tcW w:w="5460" w:type="dxa"/>
            <w:vAlign w:val="bottom"/>
          </w:tcPr>
          <w:p>
            <w:pPr>
              <w:spacing w:after="0"/>
              <w:rPr>
                <w:sz w:val="6"/>
                <w:szCs w:val="6"/>
                <w:color w:val="auto"/>
              </w:rPr>
            </w:pPr>
          </w:p>
        </w:tc>
        <w:tc>
          <w:tcPr>
            <w:tcW w:w="26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040" w:type="dxa"/>
            <w:vAlign w:val="bottom"/>
            <w:gridSpan w:val="2"/>
          </w:tcPr>
          <w:p>
            <w:pPr>
              <w:spacing w:after="0" w:line="243" w:lineRule="exact"/>
              <w:rPr>
                <w:sz w:val="20"/>
                <w:szCs w:val="20"/>
                <w:color w:val="auto"/>
              </w:rPr>
            </w:pPr>
            <w:r>
              <w:rPr>
                <w:rFonts w:ascii="Arial" w:cs="Arial" w:eastAsia="Arial" w:hAnsi="Arial"/>
                <w:sz w:val="22"/>
                <w:szCs w:val="22"/>
                <w:color w:val="auto"/>
              </w:rPr>
              <w:t>OWNED BY EACH</w:t>
            </w:r>
          </w:p>
        </w:tc>
        <w:tc>
          <w:tcPr>
            <w:tcW w:w="5460" w:type="dxa"/>
            <w:vAlign w:val="bottom"/>
            <w:vMerge w:val="restart"/>
          </w:tcPr>
          <w:p>
            <w:pPr>
              <w:ind w:left="220"/>
              <w:spacing w:after="0"/>
              <w:rPr>
                <w:sz w:val="20"/>
                <w:szCs w:val="20"/>
                <w:color w:val="auto"/>
              </w:rPr>
            </w:pPr>
            <w:r>
              <w:rPr>
                <w:rFonts w:ascii="Arial" w:cs="Arial" w:eastAsia="Arial" w:hAnsi="Arial"/>
                <w:sz w:val="22"/>
                <w:szCs w:val="22"/>
                <w:color w:val="auto"/>
              </w:rPr>
              <w:t>7. SOLE DISPOSITIVE POWER</w:t>
            </w:r>
          </w:p>
        </w:tc>
        <w:tc>
          <w:tcPr>
            <w:tcW w:w="2660" w:type="dxa"/>
            <w:vAlign w:val="bottom"/>
            <w:vMerge w:val="restart"/>
          </w:tcPr>
          <w:p>
            <w:pPr>
              <w:ind w:left="196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620" w:type="dxa"/>
            <w:vAlign w:val="bottom"/>
            <w:vMerge w:val="restart"/>
          </w:tcPr>
          <w:p>
            <w:pPr>
              <w:spacing w:after="0" w:line="243" w:lineRule="exact"/>
              <w:rPr>
                <w:sz w:val="20"/>
                <w:szCs w:val="20"/>
                <w:color w:val="auto"/>
              </w:rPr>
            </w:pPr>
            <w:r>
              <w:rPr>
                <w:rFonts w:ascii="Arial" w:cs="Arial" w:eastAsia="Arial" w:hAnsi="Arial"/>
                <w:sz w:val="22"/>
                <w:szCs w:val="22"/>
                <w:color w:val="auto"/>
              </w:rPr>
              <w:t>REPORTING</w:t>
            </w:r>
          </w:p>
        </w:tc>
        <w:tc>
          <w:tcPr>
            <w:tcW w:w="420" w:type="dxa"/>
            <w:vAlign w:val="bottom"/>
          </w:tcPr>
          <w:p>
            <w:pPr>
              <w:spacing w:after="0"/>
              <w:rPr>
                <w:sz w:val="12"/>
                <w:szCs w:val="12"/>
                <w:color w:val="auto"/>
              </w:rPr>
            </w:pPr>
          </w:p>
        </w:tc>
        <w:tc>
          <w:tcPr>
            <w:tcW w:w="5460" w:type="dxa"/>
            <w:vAlign w:val="bottom"/>
            <w:vMerge w:val="continue"/>
          </w:tcPr>
          <w:p>
            <w:pPr>
              <w:spacing w:after="0"/>
              <w:rPr>
                <w:sz w:val="12"/>
                <w:szCs w:val="12"/>
                <w:color w:val="auto"/>
              </w:rPr>
            </w:pPr>
          </w:p>
        </w:tc>
        <w:tc>
          <w:tcPr>
            <w:tcW w:w="26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620" w:type="dxa"/>
            <w:vAlign w:val="bottom"/>
            <w:vMerge w:val="continue"/>
          </w:tcPr>
          <w:p>
            <w:pPr>
              <w:spacing w:after="0"/>
              <w:rPr>
                <w:sz w:val="9"/>
                <w:szCs w:val="9"/>
                <w:color w:val="auto"/>
              </w:rPr>
            </w:pPr>
          </w:p>
        </w:tc>
        <w:tc>
          <w:tcPr>
            <w:tcW w:w="420" w:type="dxa"/>
            <w:vAlign w:val="bottom"/>
          </w:tcPr>
          <w:p>
            <w:pPr>
              <w:spacing w:after="0"/>
              <w:rPr>
                <w:sz w:val="9"/>
                <w:szCs w:val="9"/>
                <w:color w:val="auto"/>
              </w:rPr>
            </w:pPr>
          </w:p>
        </w:tc>
        <w:tc>
          <w:tcPr>
            <w:tcW w:w="5460" w:type="dxa"/>
            <w:vAlign w:val="bottom"/>
          </w:tcPr>
          <w:p>
            <w:pPr>
              <w:spacing w:after="0"/>
              <w:rPr>
                <w:sz w:val="9"/>
                <w:szCs w:val="9"/>
                <w:color w:val="auto"/>
              </w:rPr>
            </w:pPr>
          </w:p>
        </w:tc>
        <w:tc>
          <w:tcPr>
            <w:tcW w:w="2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620" w:type="dxa"/>
            <w:vAlign w:val="bottom"/>
          </w:tcPr>
          <w:p>
            <w:pPr>
              <w:spacing w:after="0"/>
              <w:rPr>
                <w:sz w:val="20"/>
                <w:szCs w:val="20"/>
                <w:color w:val="auto"/>
              </w:rPr>
            </w:pPr>
            <w:r>
              <w:rPr>
                <w:rFonts w:ascii="Arial" w:cs="Arial" w:eastAsia="Arial" w:hAnsi="Arial"/>
                <w:sz w:val="22"/>
                <w:szCs w:val="22"/>
                <w:color w:val="auto"/>
              </w:rPr>
              <w:t>PERSON WITH</w:t>
            </w:r>
          </w:p>
        </w:tc>
        <w:tc>
          <w:tcPr>
            <w:tcW w:w="420" w:type="dxa"/>
            <w:vAlign w:val="bottom"/>
          </w:tcPr>
          <w:p>
            <w:pPr>
              <w:spacing w:after="0"/>
              <w:rPr>
                <w:sz w:val="23"/>
                <w:szCs w:val="23"/>
                <w:color w:val="auto"/>
              </w:rPr>
            </w:pPr>
          </w:p>
        </w:tc>
        <w:tc>
          <w:tcPr>
            <w:tcW w:w="5460" w:type="dxa"/>
            <w:vAlign w:val="bottom"/>
            <w:vMerge w:val="restart"/>
          </w:tcPr>
          <w:p>
            <w:pPr>
              <w:ind w:left="220"/>
              <w:spacing w:after="0"/>
              <w:rPr>
                <w:sz w:val="20"/>
                <w:szCs w:val="20"/>
                <w:color w:val="auto"/>
              </w:rPr>
            </w:pPr>
            <w:r>
              <w:rPr>
                <w:rFonts w:ascii="Arial" w:cs="Arial" w:eastAsia="Arial" w:hAnsi="Arial"/>
                <w:sz w:val="22"/>
                <w:szCs w:val="22"/>
                <w:color w:val="auto"/>
              </w:rPr>
              <w:t>8. SHARED DISPOSITIVE POWER</w:t>
            </w:r>
          </w:p>
        </w:tc>
        <w:tc>
          <w:tcPr>
            <w:tcW w:w="2660" w:type="dxa"/>
            <w:vAlign w:val="bottom"/>
            <w:vMerge w:val="restart"/>
          </w:tcPr>
          <w:p>
            <w:pPr>
              <w:ind w:left="1960"/>
              <w:spacing w:after="0"/>
              <w:rPr>
                <w:sz w:val="20"/>
                <w:szCs w:val="20"/>
                <w:color w:val="auto"/>
              </w:rPr>
            </w:pPr>
            <w:r>
              <w:rPr>
                <w:rFonts w:ascii="Arial" w:cs="Arial" w:eastAsia="Arial" w:hAnsi="Arial"/>
                <w:sz w:val="22"/>
                <w:szCs w:val="22"/>
                <w:color w:val="auto"/>
                <w:w w:val="85"/>
              </w:rPr>
              <w:t>725,790</w:t>
            </w:r>
          </w:p>
        </w:tc>
        <w:tc>
          <w:tcPr>
            <w:tcW w:w="0" w:type="dxa"/>
            <w:vAlign w:val="bottom"/>
          </w:tcPr>
          <w:p>
            <w:pPr>
              <w:spacing w:after="0"/>
              <w:rPr>
                <w:sz w:val="1"/>
                <w:szCs w:val="1"/>
                <w:color w:val="auto"/>
              </w:rPr>
            </w:pPr>
          </w:p>
        </w:tc>
      </w:tr>
      <w:tr>
        <w:trPr>
          <w:trHeight w:val="81"/>
        </w:trPr>
        <w:tc>
          <w:tcPr>
            <w:tcW w:w="1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5460" w:type="dxa"/>
            <w:vAlign w:val="bottom"/>
            <w:vMerge w:val="continue"/>
          </w:tcPr>
          <w:p>
            <w:pPr>
              <w:spacing w:after="0"/>
              <w:rPr>
                <w:sz w:val="7"/>
                <w:szCs w:val="7"/>
                <w:color w:val="auto"/>
              </w:rPr>
            </w:pPr>
          </w:p>
        </w:tc>
        <w:tc>
          <w:tcPr>
            <w:tcW w:w="26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620" w:type="dxa"/>
            <w:vAlign w:val="bottom"/>
          </w:tcPr>
          <w:p>
            <w:pPr>
              <w:spacing w:after="0"/>
              <w:rPr>
                <w:sz w:val="20"/>
                <w:szCs w:val="20"/>
                <w:color w:val="auto"/>
              </w:rPr>
            </w:pPr>
            <w:r>
              <w:rPr>
                <w:rFonts w:ascii="Arial" w:cs="Arial" w:eastAsia="Arial" w:hAnsi="Arial"/>
                <w:sz w:val="22"/>
                <w:szCs w:val="22"/>
                <w:color w:val="auto"/>
              </w:rPr>
              <w:t>9.</w:t>
            </w:r>
          </w:p>
        </w:tc>
        <w:tc>
          <w:tcPr>
            <w:tcW w:w="854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bl>
    <w:p>
      <w:pPr>
        <w:spacing w:after="0" w:line="212"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725,790</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2"/>
          <w:szCs w:val="22"/>
          <w:color w:val="auto"/>
        </w:rPr>
        <w:t>10.</w:t>
      </w:r>
      <w:r>
        <w:rPr>
          <w:sz w:val="20"/>
          <w:szCs w:val="20"/>
          <w:color w:val="auto"/>
        </w:rPr>
        <w:tab/>
      </w:r>
      <w:r>
        <w:rPr>
          <w:rFonts w:ascii="Arial" w:cs="Arial" w:eastAsia="Arial" w:hAnsi="Arial"/>
          <w:sz w:val="22"/>
          <w:szCs w:val="22"/>
          <w:color w:val="auto"/>
        </w:rPr>
        <w:t>CHECK IF THE AGGREGATE AMOUNT IN ROW (9) EXCLUDES CERTAIN SHARES</w:t>
      </w:r>
    </w:p>
    <w:p>
      <w:pPr>
        <w:spacing w:after="0" w:line="233"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 ]</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2"/>
          <w:szCs w:val="22"/>
          <w:color w:val="auto"/>
        </w:rPr>
        <w:t>11.</w:t>
      </w:r>
      <w:r>
        <w:rPr>
          <w:sz w:val="20"/>
          <w:szCs w:val="20"/>
          <w:color w:val="auto"/>
        </w:rPr>
        <w:tab/>
      </w:r>
      <w:r>
        <w:rPr>
          <w:rFonts w:ascii="Arial" w:cs="Arial" w:eastAsia="Arial" w:hAnsi="Arial"/>
          <w:sz w:val="22"/>
          <w:szCs w:val="22"/>
          <w:color w:val="auto"/>
        </w:rPr>
        <w:t>PERCENT OF CLASS REPRESENTED BY AMOUNT IN ROW (9)</w:t>
      </w:r>
    </w:p>
    <w:p>
      <w:pPr>
        <w:spacing w:after="0" w:line="233"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4.84%</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2"/>
          <w:szCs w:val="22"/>
          <w:color w:val="auto"/>
        </w:rPr>
        <w:t>12.</w:t>
      </w:r>
      <w:r>
        <w:rPr>
          <w:sz w:val="20"/>
          <w:szCs w:val="20"/>
          <w:color w:val="auto"/>
        </w:rPr>
        <w:tab/>
      </w:r>
      <w:r>
        <w:rPr>
          <w:rFonts w:ascii="Arial" w:cs="Arial" w:eastAsia="Arial" w:hAnsi="Arial"/>
          <w:sz w:val="22"/>
          <w:szCs w:val="22"/>
          <w:color w:val="auto"/>
        </w:rPr>
        <w:t>TYPE OF REPORTING PERSON</w:t>
      </w:r>
    </w:p>
    <w:p>
      <w:pPr>
        <w:spacing w:after="0" w:line="233"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76200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40"/>
          </w:cols>
          <w:pgMar w:left="280" w:top="388" w:right="1379"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80" w:hanging="407"/>
        <w:spacing w:after="0"/>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American Capital Agency Corp.</w:t>
      </w:r>
    </w:p>
    <w:p>
      <w:pPr>
        <w:spacing w:after="0" w:line="101" w:lineRule="exact"/>
        <w:rPr>
          <w:rFonts w:ascii="Arial" w:cs="Arial" w:eastAsia="Arial" w:hAnsi="Arial"/>
          <w:sz w:val="22"/>
          <w:szCs w:val="22"/>
          <w:b w:val="1"/>
          <w:bCs w:val="1"/>
          <w:color w:val="auto"/>
        </w:rPr>
      </w:pPr>
    </w:p>
    <w:p>
      <w:pPr>
        <w:ind w:left="1780" w:right="5180" w:hanging="407"/>
        <w:spacing w:after="0" w:line="242" w:lineRule="auto"/>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2 Bethesda Metro Center</w:t>
      </w:r>
    </w:p>
    <w:p>
      <w:pPr>
        <w:ind w:left="1780" w:right="7640"/>
        <w:spacing w:after="0" w:line="308" w:lineRule="auto"/>
        <w:rPr>
          <w:rFonts w:ascii="Arial" w:cs="Arial" w:eastAsia="Arial" w:hAnsi="Arial"/>
          <w:sz w:val="22"/>
          <w:szCs w:val="22"/>
          <w:b w:val="1"/>
          <w:bCs w:val="1"/>
          <w:color w:val="auto"/>
        </w:rPr>
      </w:pPr>
      <w:r>
        <w:rPr>
          <w:rFonts w:ascii="Arial" w:cs="Arial" w:eastAsia="Arial" w:hAnsi="Arial"/>
          <w:sz w:val="19"/>
          <w:szCs w:val="19"/>
          <w:color w:val="auto"/>
        </w:rPr>
        <w:t>14th Floor Bethesda, MD 20814</w:t>
      </w:r>
    </w:p>
    <w:p>
      <w:pPr>
        <w:spacing w:after="0" w:line="3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right="40"/>
        <w:spacing w:after="0" w:line="234" w:lineRule="auto"/>
        <w:rPr>
          <w:rFonts w:ascii="Arial" w:cs="Arial" w:eastAsia="Arial" w:hAnsi="Arial"/>
          <w:sz w:val="22"/>
          <w:szCs w:val="22"/>
          <w:b w:val="1"/>
          <w:bCs w:val="1"/>
          <w:color w:val="auto"/>
        </w:rPr>
      </w:pPr>
      <w:r>
        <w:rPr>
          <w:rFonts w:ascii="Arial" w:cs="Arial" w:eastAsia="Arial" w:hAnsi="Arial"/>
          <w:sz w:val="22"/>
          <w:szCs w:val="22"/>
          <w:color w:val="auto"/>
        </w:rPr>
        <w:t>This schedule is filed on behalf of Bay Pond Partners, L.P. (''Bay Pond Partners''), a Delaware limited partnership and Wellington Hedge Management, LLC (''WHML''), a Massachusetts limited liability company which is the sole general partner of Bay Pond Partners.</w:t>
      </w:r>
    </w:p>
    <w:p>
      <w:pPr>
        <w:spacing w:after="0" w:line="100" w:lineRule="exact"/>
        <w:rPr>
          <w:rFonts w:ascii="Arial" w:cs="Arial" w:eastAsia="Arial" w:hAnsi="Arial"/>
          <w:sz w:val="22"/>
          <w:szCs w:val="22"/>
          <w:b w:val="1"/>
          <w:bCs w:val="1"/>
          <w:color w:val="auto"/>
        </w:rPr>
      </w:pPr>
    </w:p>
    <w:p>
      <w:pPr>
        <w:ind w:left="1780" w:right="4080" w:hanging="407"/>
        <w:spacing w:after="0" w:line="253" w:lineRule="auto"/>
        <w:tabs>
          <w:tab w:leader="none" w:pos="1780" w:val="left"/>
        </w:tabs>
        <w:numPr>
          <w:ilvl w:val="0"/>
          <w:numId w:val="3"/>
        </w:numPr>
        <w:rPr>
          <w:rFonts w:ascii="Arial" w:cs="Arial" w:eastAsia="Arial" w:hAnsi="Arial"/>
          <w:sz w:val="21"/>
          <w:szCs w:val="21"/>
          <w:b w:val="1"/>
          <w:bCs w:val="1"/>
          <w:color w:val="auto"/>
        </w:rPr>
      </w:pPr>
      <w:r>
        <w:rPr>
          <w:rFonts w:ascii="Arial" w:cs="Arial" w:eastAsia="Arial" w:hAnsi="Arial"/>
          <w:sz w:val="21"/>
          <w:szCs w:val="21"/>
          <w:b w:val="1"/>
          <w:bCs w:val="1"/>
          <w:color w:val="auto"/>
        </w:rPr>
        <w:t xml:space="preserve">Address of Principal Business Office or, if None, Residence </w:t>
      </w:r>
      <w:r>
        <w:rPr>
          <w:rFonts w:ascii="Arial" w:cs="Arial" w:eastAsia="Arial" w:hAnsi="Arial"/>
          <w:sz w:val="21"/>
          <w:szCs w:val="21"/>
          <w:color w:val="auto"/>
        </w:rPr>
        <w:t>c/o Wellington Management Company, LLP</w:t>
      </w:r>
    </w:p>
    <w:p>
      <w:pPr>
        <w:spacing w:after="0" w:line="1" w:lineRule="exact"/>
        <w:rPr>
          <w:rFonts w:ascii="Arial" w:cs="Arial" w:eastAsia="Arial" w:hAnsi="Arial"/>
          <w:sz w:val="21"/>
          <w:szCs w:val="21"/>
          <w:b w:val="1"/>
          <w:bCs w:val="1"/>
          <w:color w:val="auto"/>
        </w:rPr>
      </w:pPr>
    </w:p>
    <w:p>
      <w:pPr>
        <w:ind w:left="1780" w:right="7820"/>
        <w:spacing w:after="0" w:line="308" w:lineRule="auto"/>
        <w:rPr>
          <w:rFonts w:ascii="Arial" w:cs="Arial" w:eastAsia="Arial" w:hAnsi="Arial"/>
          <w:sz w:val="21"/>
          <w:szCs w:val="21"/>
          <w:b w:val="1"/>
          <w:bCs w:val="1"/>
          <w:color w:val="auto"/>
        </w:rPr>
      </w:pPr>
      <w:r>
        <w:rPr>
          <w:rFonts w:ascii="Arial" w:cs="Arial" w:eastAsia="Arial" w:hAnsi="Arial"/>
          <w:sz w:val="19"/>
          <w:szCs w:val="19"/>
          <w:color w:val="auto"/>
        </w:rPr>
        <w:t>75 State Street Boston, MA 02109</w:t>
      </w:r>
    </w:p>
    <w:p>
      <w:pPr>
        <w:spacing w:after="0" w:line="36" w:lineRule="exact"/>
        <w:rPr>
          <w:rFonts w:ascii="Arial" w:cs="Arial" w:eastAsia="Arial" w:hAnsi="Arial"/>
          <w:sz w:val="21"/>
          <w:szCs w:val="21"/>
          <w:b w:val="1"/>
          <w:bCs w:val="1"/>
          <w:color w:val="auto"/>
        </w:rPr>
      </w:pPr>
    </w:p>
    <w:p>
      <w:pPr>
        <w:ind w:left="1780" w:right="844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Citizenship </w:t>
      </w:r>
      <w:r>
        <w:rPr>
          <w:rFonts w:ascii="Arial" w:cs="Arial" w:eastAsia="Arial" w:hAnsi="Arial"/>
          <w:sz w:val="19"/>
          <w:szCs w:val="19"/>
          <w:color w:val="auto"/>
        </w:rPr>
        <w:t>Delaware</w:t>
      </w:r>
    </w:p>
    <w:p>
      <w:pPr>
        <w:spacing w:after="0" w:line="11" w:lineRule="exact"/>
        <w:rPr>
          <w:rFonts w:ascii="Arial" w:cs="Arial" w:eastAsia="Arial" w:hAnsi="Arial"/>
          <w:sz w:val="19"/>
          <w:szCs w:val="19"/>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02503X105</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40" w:right="3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investment adviser in accordance with Rule 240.13d-1(b)(1)(ii)(E);</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Rule 240.13d-1(b)(1)(ii)(F);</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parent holding company or control person in accordance with Rule 240.13d-1(b)(1)(ii)(G);</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   A savings association as defined in Section 3(b) of the Federal Deposit Insurance Act (12 U.S.C. 1813);</w:t>
      </w:r>
    </w:p>
    <w:p>
      <w:pPr>
        <w:spacing w:after="0" w:line="159" w:lineRule="exact"/>
        <w:rPr>
          <w:rFonts w:ascii="Arial" w:cs="Arial" w:eastAsia="Arial" w:hAnsi="Arial"/>
          <w:sz w:val="19"/>
          <w:szCs w:val="19"/>
          <w:color w:val="auto"/>
        </w:rPr>
      </w:pPr>
    </w:p>
    <w:p>
      <w:pPr>
        <w:ind w:left="2240" w:right="1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If this statement is filed pursuant to Rule 13d-1(c), check this box [X]</w:t>
      </w:r>
    </w:p>
    <w:p>
      <w:pPr>
        <w:spacing w:after="0" w:line="119"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right="420"/>
        <w:spacing w:after="0" w:line="251" w:lineRule="auto"/>
        <w:rPr>
          <w:rFonts w:ascii="Arial" w:cs="Arial" w:eastAsia="Arial" w:hAnsi="Arial"/>
          <w:sz w:val="22"/>
          <w:szCs w:val="22"/>
          <w:color w:val="auto"/>
        </w:rPr>
      </w:pPr>
      <w:r>
        <w:rPr>
          <w:rFonts w:ascii="Arial" w:cs="Arial" w:eastAsia="Arial" w:hAnsi="Arial"/>
          <w:sz w:val="22"/>
          <w:szCs w:val="22"/>
          <w:color w:val="auto"/>
        </w:rPr>
        <w:t>Bay Pond Partners and WHML each may be deemed to beneficially own 725,790 shares of the Common Stock of the Issuer.</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4.84%</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Number of shares as to which such person has:</w:t>
      </w:r>
    </w:p>
    <w:p>
      <w:pPr>
        <w:spacing w:after="0" w:line="125" w:lineRule="exact"/>
        <w:rPr>
          <w:sz w:val="20"/>
          <w:szCs w:val="20"/>
          <w:color w:val="auto"/>
        </w:rPr>
      </w:pPr>
    </w:p>
    <w:tbl>
      <w:tblPr>
        <w:tblLayout w:type="fixed"/>
        <w:tblInd w:w="1780" w:type="dxa"/>
        <w:tblCellMar>
          <w:top w:w="0" w:type="dxa"/>
          <w:left w:w="0" w:type="dxa"/>
          <w:bottom w:w="0" w:type="dxa"/>
          <w:right w:w="0" w:type="dxa"/>
        </w:tblCellMar>
      </w:tblPr>
      <w:tr>
        <w:trPr>
          <w:trHeight w:val="275"/>
        </w:trPr>
        <w:tc>
          <w:tcPr>
            <w:tcW w:w="380" w:type="dxa"/>
            <w:vAlign w:val="bottom"/>
          </w:tcPr>
          <w:p>
            <w:pPr>
              <w:spacing w:after="0"/>
              <w:rPr>
                <w:sz w:val="20"/>
                <w:szCs w:val="20"/>
                <w:color w:val="auto"/>
              </w:rPr>
            </w:pPr>
            <w:r>
              <w:rPr>
                <w:rFonts w:ascii="Arial" w:cs="Arial" w:eastAsia="Arial" w:hAnsi="Arial"/>
                <w:sz w:val="22"/>
                <w:szCs w:val="22"/>
                <w:color w:val="auto"/>
              </w:rPr>
              <w:t>(i)</w:t>
            </w:r>
          </w:p>
        </w:tc>
        <w:tc>
          <w:tcPr>
            <w:tcW w:w="6180" w:type="dxa"/>
            <w:vAlign w:val="bottom"/>
          </w:tcPr>
          <w:p>
            <w:pPr>
              <w:ind w:left="80"/>
              <w:spacing w:after="0"/>
              <w:rPr>
                <w:sz w:val="20"/>
                <w:szCs w:val="20"/>
                <w:color w:val="auto"/>
              </w:rPr>
            </w:pPr>
            <w:r>
              <w:rPr>
                <w:rFonts w:ascii="Arial" w:cs="Arial" w:eastAsia="Arial" w:hAnsi="Arial"/>
                <w:sz w:val="22"/>
                <w:szCs w:val="22"/>
                <w:color w:val="auto"/>
              </w:rPr>
              <w:t>sole power to vote or to direct the vote</w:t>
            </w:r>
          </w:p>
        </w:tc>
        <w:tc>
          <w:tcPr>
            <w:tcW w:w="2400" w:type="dxa"/>
            <w:vAlign w:val="bottom"/>
          </w:tcPr>
          <w:p>
            <w:pPr>
              <w:ind w:left="1700"/>
              <w:spacing w:after="0"/>
              <w:rPr>
                <w:sz w:val="20"/>
                <w:szCs w:val="20"/>
                <w:color w:val="auto"/>
              </w:rPr>
            </w:pPr>
            <w:r>
              <w:rPr>
                <w:rFonts w:ascii="Arial" w:cs="Arial" w:eastAsia="Arial" w:hAnsi="Arial"/>
                <w:sz w:val="22"/>
                <w:szCs w:val="22"/>
                <w:color w:val="auto"/>
              </w:rPr>
              <w:t>0</w:t>
            </w:r>
          </w:p>
        </w:tc>
      </w:tr>
      <w:tr>
        <w:trPr>
          <w:trHeight w:val="378"/>
        </w:trPr>
        <w:tc>
          <w:tcPr>
            <w:tcW w:w="380" w:type="dxa"/>
            <w:vAlign w:val="bottom"/>
          </w:tcPr>
          <w:p>
            <w:pPr>
              <w:spacing w:after="0"/>
              <w:rPr>
                <w:sz w:val="20"/>
                <w:szCs w:val="20"/>
                <w:color w:val="auto"/>
              </w:rPr>
            </w:pPr>
            <w:r>
              <w:rPr>
                <w:rFonts w:ascii="Arial" w:cs="Arial" w:eastAsia="Arial" w:hAnsi="Arial"/>
                <w:sz w:val="22"/>
                <w:szCs w:val="22"/>
                <w:color w:val="auto"/>
              </w:rPr>
              <w:t>(ii)</w:t>
            </w:r>
          </w:p>
        </w:tc>
        <w:tc>
          <w:tcPr>
            <w:tcW w:w="6180" w:type="dxa"/>
            <w:vAlign w:val="bottom"/>
          </w:tcPr>
          <w:p>
            <w:pPr>
              <w:ind w:left="80"/>
              <w:spacing w:after="0"/>
              <w:rPr>
                <w:sz w:val="20"/>
                <w:szCs w:val="20"/>
                <w:color w:val="auto"/>
              </w:rPr>
            </w:pPr>
            <w:r>
              <w:rPr>
                <w:rFonts w:ascii="Arial" w:cs="Arial" w:eastAsia="Arial" w:hAnsi="Arial"/>
                <w:sz w:val="22"/>
                <w:szCs w:val="22"/>
                <w:color w:val="auto"/>
              </w:rPr>
              <w:t>shared power to vote or to direct the vote</w:t>
            </w:r>
          </w:p>
        </w:tc>
        <w:tc>
          <w:tcPr>
            <w:tcW w:w="2400" w:type="dxa"/>
            <w:vAlign w:val="bottom"/>
          </w:tcPr>
          <w:p>
            <w:pPr>
              <w:ind w:left="1700"/>
              <w:spacing w:after="0"/>
              <w:rPr>
                <w:sz w:val="20"/>
                <w:szCs w:val="20"/>
                <w:color w:val="auto"/>
              </w:rPr>
            </w:pPr>
            <w:r>
              <w:rPr>
                <w:rFonts w:ascii="Arial" w:cs="Arial" w:eastAsia="Arial" w:hAnsi="Arial"/>
                <w:sz w:val="22"/>
                <w:szCs w:val="22"/>
                <w:color w:val="auto"/>
                <w:w w:val="85"/>
              </w:rPr>
              <w:t>725,790</w:t>
            </w:r>
          </w:p>
        </w:tc>
      </w:tr>
      <w:tr>
        <w:trPr>
          <w:trHeight w:val="378"/>
        </w:trPr>
        <w:tc>
          <w:tcPr>
            <w:tcW w:w="380" w:type="dxa"/>
            <w:vAlign w:val="bottom"/>
          </w:tcPr>
          <w:p>
            <w:pPr>
              <w:spacing w:after="0"/>
              <w:rPr>
                <w:sz w:val="20"/>
                <w:szCs w:val="20"/>
                <w:color w:val="auto"/>
              </w:rPr>
            </w:pPr>
            <w:r>
              <w:rPr>
                <w:rFonts w:ascii="Arial" w:cs="Arial" w:eastAsia="Arial" w:hAnsi="Arial"/>
                <w:sz w:val="22"/>
                <w:szCs w:val="22"/>
                <w:color w:val="auto"/>
              </w:rPr>
              <w:t>(iii)</w:t>
            </w:r>
          </w:p>
        </w:tc>
        <w:tc>
          <w:tcPr>
            <w:tcW w:w="6180" w:type="dxa"/>
            <w:vAlign w:val="bottom"/>
          </w:tcPr>
          <w:p>
            <w:pPr>
              <w:ind w:left="80"/>
              <w:spacing w:after="0"/>
              <w:rPr>
                <w:sz w:val="20"/>
                <w:szCs w:val="20"/>
                <w:color w:val="auto"/>
              </w:rPr>
            </w:pPr>
            <w:r>
              <w:rPr>
                <w:rFonts w:ascii="Arial" w:cs="Arial" w:eastAsia="Arial" w:hAnsi="Arial"/>
                <w:sz w:val="22"/>
                <w:szCs w:val="22"/>
                <w:color w:val="auto"/>
              </w:rPr>
              <w:t>sole power to dispose or to direct the disposition of</w:t>
            </w:r>
          </w:p>
        </w:tc>
        <w:tc>
          <w:tcPr>
            <w:tcW w:w="2400" w:type="dxa"/>
            <w:vAlign w:val="bottom"/>
          </w:tcPr>
          <w:p>
            <w:pPr>
              <w:ind w:left="1700"/>
              <w:spacing w:after="0"/>
              <w:rPr>
                <w:sz w:val="20"/>
                <w:szCs w:val="20"/>
                <w:color w:val="auto"/>
              </w:rPr>
            </w:pPr>
            <w:r>
              <w:rPr>
                <w:rFonts w:ascii="Arial" w:cs="Arial" w:eastAsia="Arial" w:hAnsi="Arial"/>
                <w:sz w:val="22"/>
                <w:szCs w:val="22"/>
                <w:color w:val="auto"/>
              </w:rPr>
              <w:t>0</w:t>
            </w:r>
          </w:p>
        </w:tc>
      </w:tr>
    </w:tbl>
    <w:p>
      <w:pPr>
        <w:sectPr>
          <w:pgSz w:w="11900" w:h="16838" w:orient="portrait"/>
          <w:cols w:equalWidth="0" w:num="1">
            <w:col w:w="11260"/>
          </w:cols>
          <w:pgMar w:left="320" w:top="409" w:right="319" w:bottom="0" w:gutter="0" w:footer="0" w:header="0"/>
        </w:sectPr>
      </w:pPr>
    </w:p>
    <w:bookmarkStart w:id="4" w:name="page5"/>
    <w:bookmarkEnd w:id="4"/>
    <w:p>
      <w:pPr>
        <w:spacing w:after="0" w:line="1" w:lineRule="exact"/>
        <w:rPr>
          <w:sz w:val="20"/>
          <w:szCs w:val="20"/>
          <w:color w:val="auto"/>
        </w:rPr>
      </w:pPr>
    </w:p>
    <w:tbl>
      <w:tblPr>
        <w:tblLayout w:type="fixed"/>
        <w:tblInd w:w="1780" w:type="dxa"/>
        <w:tblCellMar>
          <w:top w:w="0" w:type="dxa"/>
          <w:left w:w="0" w:type="dxa"/>
          <w:bottom w:w="0" w:type="dxa"/>
          <w:right w:w="0" w:type="dxa"/>
        </w:tblCellMar>
      </w:tblPr>
      <w:tr>
        <w:trPr>
          <w:trHeight w:val="275"/>
        </w:trPr>
        <w:tc>
          <w:tcPr>
            <w:tcW w:w="6680" w:type="dxa"/>
            <w:vAlign w:val="bottom"/>
          </w:tcPr>
          <w:p>
            <w:pPr>
              <w:spacing w:after="0"/>
              <w:rPr>
                <w:sz w:val="20"/>
                <w:szCs w:val="20"/>
                <w:color w:val="auto"/>
              </w:rPr>
            </w:pPr>
            <w:r>
              <w:rPr>
                <w:rFonts w:ascii="Arial" w:cs="Arial" w:eastAsia="Arial" w:hAnsi="Arial"/>
                <w:sz w:val="22"/>
                <w:szCs w:val="22"/>
                <w:color w:val="auto"/>
              </w:rPr>
              <w:t>(iv)  shared power to dispose or to direct the disposition of</w:t>
            </w:r>
          </w:p>
        </w:tc>
        <w:tc>
          <w:tcPr>
            <w:tcW w:w="2280" w:type="dxa"/>
            <w:vAlign w:val="bottom"/>
          </w:tcPr>
          <w:p>
            <w:pPr>
              <w:jc w:val="right"/>
              <w:spacing w:after="0"/>
              <w:rPr>
                <w:sz w:val="20"/>
                <w:szCs w:val="20"/>
                <w:color w:val="auto"/>
              </w:rPr>
            </w:pPr>
            <w:r>
              <w:rPr>
                <w:rFonts w:ascii="Arial" w:cs="Arial" w:eastAsia="Arial" w:hAnsi="Arial"/>
                <w:sz w:val="22"/>
                <w:szCs w:val="22"/>
                <w:color w:val="auto"/>
              </w:rPr>
              <w:t>725,790</w:t>
            </w:r>
          </w:p>
        </w:tc>
      </w:tr>
    </w:tbl>
    <w:p>
      <w:pPr>
        <w:spacing w:after="0" w:line="98"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Class.</w:t>
      </w:r>
    </w:p>
    <w:p>
      <w:pPr>
        <w:spacing w:after="0" w:line="131" w:lineRule="exact"/>
        <w:rPr>
          <w:sz w:val="20"/>
          <w:szCs w:val="20"/>
          <w:color w:val="auto"/>
        </w:rPr>
      </w:pPr>
    </w:p>
    <w:p>
      <w:pPr>
        <w:ind w:left="1380" w:right="20"/>
        <w:spacing w:after="0" w:line="274"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[X]</w:t>
      </w:r>
    </w:p>
    <w:p>
      <w:pPr>
        <w:spacing w:after="0" w:line="64"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131"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ind w:left="1380" w:right="10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7.</w:t>
      </w:r>
      <w:r>
        <w:rPr>
          <w:sz w:val="20"/>
          <w:szCs w:val="20"/>
          <w:color w:val="auto"/>
        </w:rPr>
        <w:tab/>
      </w:r>
      <w:r>
        <w:rPr>
          <w:rFonts w:ascii="Arial" w:cs="Arial" w:eastAsia="Arial" w:hAnsi="Arial"/>
          <w:sz w:val="22"/>
          <w:szCs w:val="22"/>
          <w:b w:val="1"/>
          <w:bCs w:val="1"/>
          <w:color w:val="auto"/>
        </w:rPr>
        <w:t>Identification and Classification of the Subsidiary Which Acquired the Security Being Reported on by the Parent Holding Company.</w:t>
      </w:r>
    </w:p>
    <w:p>
      <w:pPr>
        <w:spacing w:after="0" w:line="88"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239" w:lineRule="exact"/>
        <w:rPr>
          <w:sz w:val="20"/>
          <w:szCs w:val="20"/>
          <w:color w:val="auto"/>
        </w:rPr>
      </w:pPr>
    </w:p>
    <w:p>
      <w:pPr>
        <w:jc w:val="center"/>
        <w:ind w:right="708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39"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10.</w:t>
      </w:r>
      <w:r>
        <w:rPr>
          <w:sz w:val="20"/>
          <w:szCs w:val="20"/>
          <w:color w:val="auto"/>
        </w:rPr>
        <w:tab/>
      </w:r>
      <w:r>
        <w:rPr>
          <w:rFonts w:ascii="Arial" w:cs="Arial" w:eastAsia="Arial" w:hAnsi="Arial"/>
          <w:sz w:val="19"/>
          <w:szCs w:val="19"/>
          <w:b w:val="1"/>
          <w:bCs w:val="1"/>
          <w:color w:val="auto"/>
        </w:rPr>
        <w:t>Certification.</w:t>
      </w:r>
    </w:p>
    <w:p>
      <w:pPr>
        <w:spacing w:after="0" w:line="239" w:lineRule="exact"/>
        <w:rPr>
          <w:sz w:val="20"/>
          <w:szCs w:val="20"/>
          <w:color w:val="auto"/>
        </w:rPr>
      </w:pPr>
    </w:p>
    <w:p>
      <w:pPr>
        <w:ind w:left="1380"/>
        <w:spacing w:after="0" w:line="287" w:lineRule="auto"/>
        <w:rPr>
          <w:sz w:val="20"/>
          <w:szCs w:val="20"/>
          <w:color w:val="auto"/>
        </w:rPr>
      </w:pPr>
      <w:r>
        <w:rPr>
          <w:rFonts w:ascii="Arial" w:cs="Arial" w:eastAsia="Arial" w:hAnsi="Arial"/>
          <w:sz w:val="19"/>
          <w:szCs w:val="19"/>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86"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SIGNATURE</w:t>
      </w:r>
    </w:p>
    <w:p>
      <w:pPr>
        <w:spacing w:after="0" w:line="334" w:lineRule="exact"/>
        <w:rPr>
          <w:sz w:val="20"/>
          <w:szCs w:val="20"/>
          <w:color w:val="auto"/>
        </w:rPr>
      </w:pPr>
    </w:p>
    <w:p>
      <w:pPr>
        <w:ind w:left="1120" w:right="1320"/>
        <w:spacing w:after="0" w:line="251"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54"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By: Bay Pond Partners, L.P.</w:t>
      </w:r>
    </w:p>
    <w:p>
      <w:pPr>
        <w:spacing w:after="0" w:line="341"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By: Wellington Hedge Management, LLC</w:t>
      </w:r>
    </w:p>
    <w:p>
      <w:pPr>
        <w:spacing w:after="0" w:line="8"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Its General Partner</w:t>
      </w:r>
    </w:p>
    <w:p>
      <w:pPr>
        <w:spacing w:after="0" w:line="26"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By: /s/ Gregory S. Konzal</w:t>
      </w:r>
    </w:p>
    <w:p>
      <w:pPr>
        <w:spacing w:after="0" w:line="44"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w:t>
      </w:r>
    </w:p>
    <w:p>
      <w:pPr>
        <w:spacing w:after="0" w:line="44"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Name: Gregory S. Konzal</w:t>
      </w:r>
    </w:p>
    <w:p>
      <w:pPr>
        <w:spacing w:after="0" w:line="44"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Title: Vice President</w:t>
      </w:r>
    </w:p>
    <w:p>
      <w:pPr>
        <w:spacing w:after="0" w:line="44"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Date: February 17, 2009</w:t>
      </w:r>
    </w:p>
    <w:sectPr>
      <w:pgSz w:w="11900" w:h="16838" w:orient="portrait"/>
      <w:cols w:equalWidth="0" w:num="1">
        <w:col w:w="11200"/>
      </w:cols>
      <w:pgMar w:left="320" w:top="118"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lvl w:ilvl="1">
      <w:lvlJc w:val="left"/>
      <w:lvlText w:val="[%2]"/>
      <w:numFmt w:val="upperLetter"/>
      <w:start w:val="24"/>
    </w:lvl>
  </w:abstractNum>
  <w:abstractNum w:abstractNumId="1">
    <w:nsid w:val="2AE8944A"/>
    <w:multiLevelType w:val="hybridMultilevel"/>
    <w:lvl w:ilvl="0">
      <w:lvlJc w:val="left"/>
      <w:lvlText w:val="(%1)"/>
      <w:numFmt w:val="lowerLetter"/>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2019-12-11T05:16:41Z</dcterms:created>
  <dcterms:modified xsi:type="dcterms:W3CDTF">2019-12-11T05:16:41Z</dcterms:modified>
</cp:coreProperties>
</file>