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8"/>
              </w:rPr>
              <w:t>UNITED STATES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8300" w:type="dxa"/>
            <w:vAlign w:val="bottom"/>
          </w:tcPr>
          <w:p>
            <w:pPr>
              <w:jc w:val="center"/>
              <w:ind w:left="239"/>
              <w:spacing w:after="0"/>
              <w:rPr>
                <w:sz w:val="20"/>
                <w:szCs w:val="20"/>
                <w:color w:val="auto"/>
              </w:rPr>
            </w:pPr>
            <w:r>
              <w:rPr>
                <w:rFonts w:ascii="Arial" w:cs="Arial" w:eastAsia="Arial" w:hAnsi="Arial"/>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Washington, D.C. 20549</w:t>
            </w:r>
          </w:p>
        </w:tc>
        <w:tc>
          <w:tcPr>
            <w:tcW w:w="0" w:type="dxa"/>
            <w:vAlign w:val="bottom"/>
          </w:tcPr>
          <w:p>
            <w:pPr>
              <w:spacing w:after="0"/>
              <w:rPr>
                <w:sz w:val="1"/>
                <w:szCs w:val="1"/>
                <w:color w:val="auto"/>
              </w:rPr>
            </w:pPr>
          </w:p>
        </w:tc>
      </w:tr>
      <w:tr>
        <w:trPr>
          <w:trHeight w:val="25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9"/>
              </w:rPr>
              <w:t>FORM 10-Q</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8300" w:type="dxa"/>
            <w:vAlign w:val="bottom"/>
          </w:tcPr>
          <w:p>
            <w:pPr>
              <w:ind w:left="9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w w:val="94"/>
              </w:rPr>
              <w:t>For the quarterly period ended March 31, 2021</w:t>
            </w:r>
          </w:p>
        </w:tc>
        <w:tc>
          <w:tcPr>
            <w:tcW w:w="0" w:type="dxa"/>
            <w:vAlign w:val="bottom"/>
          </w:tcPr>
          <w:p>
            <w:pPr>
              <w:spacing w:after="0"/>
              <w:rPr>
                <w:sz w:val="1"/>
                <w:szCs w:val="1"/>
                <w:color w:val="auto"/>
              </w:rPr>
            </w:pPr>
          </w:p>
        </w:tc>
      </w:tr>
      <w:tr>
        <w:trPr>
          <w:trHeight w:val="18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19"/>
        </w:trPr>
        <w:tc>
          <w:tcPr>
            <w:tcW w:w="1060" w:type="dxa"/>
            <w:vAlign w:val="bottom"/>
            <w:vMerge w:val="continue"/>
          </w:tcPr>
          <w:p>
            <w:pPr>
              <w:spacing w:after="0"/>
              <w:rPr>
                <w:sz w:val="19"/>
                <w:szCs w:val="19"/>
                <w:color w:val="auto"/>
              </w:rPr>
            </w:pPr>
          </w:p>
        </w:tc>
        <w:tc>
          <w:tcPr>
            <w:tcW w:w="8300" w:type="dxa"/>
            <w:vAlign w:val="bottom"/>
          </w:tcPr>
          <w:p>
            <w:pPr>
              <w:ind w:left="9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7"/>
        </w:trPr>
        <w:tc>
          <w:tcPr>
            <w:tcW w:w="1060" w:type="dxa"/>
            <w:vAlign w:val="bottom"/>
          </w:tcPr>
          <w:p>
            <w:pPr>
              <w:spacing w:after="0"/>
              <w:rPr>
                <w:sz w:val="23"/>
                <w:szCs w:val="23"/>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359410</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AGNC INVESTMENT CORP.</w:t>
      </w:r>
    </w:p>
    <w:p>
      <w:pPr>
        <w:sectPr>
          <w:pgSz w:w="11900" w:h="16838" w:orient="portrait"/>
          <w:cols w:equalWidth="0" w:num="1">
            <w:col w:w="11240"/>
          </w:cols>
          <w:pgMar w:left="320" w:top="913" w:right="339" w:bottom="1440" w:gutter="0" w:footer="0" w:header="0"/>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82"/>
        </w:trPr>
        <w:tc>
          <w:tcPr>
            <w:tcW w:w="7440" w:type="dxa"/>
            <w:vAlign w:val="bottom"/>
            <w:gridSpan w:val="5"/>
          </w:tcPr>
          <w:p>
            <w:pPr>
              <w:jc w:val="right"/>
              <w:ind w:right="20"/>
              <w:spacing w:after="0"/>
              <w:rPr>
                <w:sz w:val="20"/>
                <w:szCs w:val="20"/>
                <w:color w:val="auto"/>
              </w:rPr>
            </w:pPr>
            <w:r>
              <w:rPr>
                <w:rFonts w:ascii="Arial" w:cs="Arial" w:eastAsia="Arial" w:hAnsi="Arial"/>
                <w:sz w:val="14"/>
                <w:szCs w:val="14"/>
                <w:color w:val="auto"/>
              </w:rPr>
              <w:t>__________________________________________________</w:t>
            </w:r>
          </w:p>
        </w:tc>
        <w:tc>
          <w:tcPr>
            <w:tcW w:w="0" w:type="dxa"/>
            <w:vAlign w:val="bottom"/>
          </w:tcPr>
          <w:p>
            <w:pPr>
              <w:spacing w:after="0"/>
              <w:rPr>
                <w:sz w:val="1"/>
                <w:szCs w:val="1"/>
                <w:color w:val="auto"/>
              </w:rPr>
            </w:pPr>
          </w:p>
        </w:tc>
      </w:tr>
      <w:tr>
        <w:trPr>
          <w:trHeight w:val="203"/>
        </w:trPr>
        <w:tc>
          <w:tcPr>
            <w:tcW w:w="4040" w:type="dxa"/>
            <w:vAlign w:val="bottom"/>
          </w:tcPr>
          <w:p>
            <w:pPr>
              <w:jc w:val="center"/>
              <w:ind w:left="1308"/>
              <w:spacing w:after="0"/>
              <w:rPr>
                <w:sz w:val="20"/>
                <w:szCs w:val="20"/>
                <w:color w:val="auto"/>
              </w:rPr>
            </w:pPr>
            <w:r>
              <w:rPr>
                <w:rFonts w:ascii="Arial" w:cs="Arial" w:eastAsia="Arial" w:hAnsi="Arial"/>
                <w:sz w:val="14"/>
                <w:szCs w:val="14"/>
                <w:b w:val="1"/>
                <w:bCs w:val="1"/>
                <w:color w:val="auto"/>
                <w:w w:val="94"/>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40" w:type="dxa"/>
            <w:vAlign w:val="bottom"/>
          </w:tcPr>
          <w:p>
            <w:pPr>
              <w:jc w:val="center"/>
              <w:ind w:left="13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40" w:type="dxa"/>
            <w:vAlign w:val="bottom"/>
          </w:tcPr>
          <w:p>
            <w:pPr>
              <w:jc w:val="center"/>
              <w:ind w:left="1308"/>
              <w:spacing w:after="0"/>
              <w:rPr>
                <w:sz w:val="20"/>
                <w:szCs w:val="20"/>
                <w:color w:val="auto"/>
              </w:rPr>
            </w:pPr>
            <w:r>
              <w:rPr>
                <w:rFonts w:ascii="Arial" w:cs="Arial" w:eastAsia="Arial" w:hAnsi="Arial"/>
                <w:sz w:val="14"/>
                <w:szCs w:val="14"/>
                <w:b w:val="1"/>
                <w:bCs w:val="1"/>
                <w:color w:val="auto"/>
                <w:w w:val="95"/>
              </w:rPr>
              <w:t>Incorporation or Organization)</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2 Bethesda Metro Center, 12th Floor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Bethesda, Maryland 20814</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240" w:type="dxa"/>
            <w:vAlign w:val="bottom"/>
            <w:gridSpan w:val="3"/>
          </w:tcPr>
          <w:p>
            <w:pPr>
              <w:jc w:val="right"/>
              <w:ind w:right="1128"/>
              <w:spacing w:after="0"/>
              <w:rPr>
                <w:sz w:val="20"/>
                <w:szCs w:val="20"/>
                <w:color w:val="auto"/>
              </w:rPr>
            </w:pPr>
            <w:r>
              <w:rPr>
                <w:rFonts w:ascii="Arial" w:cs="Arial" w:eastAsia="Arial" w:hAnsi="Arial"/>
                <w:sz w:val="14"/>
                <w:szCs w:val="14"/>
                <w:b w:val="1"/>
                <w:bCs w:val="1"/>
                <w:color w:val="auto"/>
              </w:rPr>
              <w:t>(301) 968-9315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gridSpan w:val="5"/>
          </w:tcPr>
          <w:p>
            <w:pPr>
              <w:jc w:val="center"/>
              <w:ind w:left="37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62"/>
        </w:trPr>
        <w:tc>
          <w:tcPr>
            <w:tcW w:w="7440" w:type="dxa"/>
            <w:vAlign w:val="bottom"/>
            <w:gridSpan w:val="5"/>
          </w:tcPr>
          <w:p>
            <w:pPr>
              <w:jc w:val="center"/>
              <w:ind w:left="3768"/>
              <w:spacing w:after="0"/>
              <w:rPr>
                <w:sz w:val="20"/>
                <w:szCs w:val="20"/>
                <w:color w:val="auto"/>
              </w:rPr>
            </w:pPr>
            <w:r>
              <w:rPr>
                <w:rFonts w:ascii="Arial" w:cs="Arial" w:eastAsia="Arial" w:hAnsi="Arial"/>
                <w:sz w:val="14"/>
                <w:szCs w:val="14"/>
                <w:color w:val="auto"/>
                <w:w w:val="92"/>
              </w:rPr>
              <w:t>__________________________________________________</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Pr>
          <w:p>
            <w:pPr>
              <w:jc w:val="center"/>
              <w:ind w:left="1528"/>
              <w:spacing w:after="0"/>
              <w:rPr>
                <w:sz w:val="20"/>
                <w:szCs w:val="20"/>
                <w:color w:val="auto"/>
              </w:rPr>
            </w:pPr>
            <w:r>
              <w:rPr>
                <w:rFonts w:ascii="Arial" w:cs="Arial" w:eastAsia="Arial" w:hAnsi="Arial"/>
                <w:sz w:val="14"/>
                <w:szCs w:val="14"/>
                <w:b w:val="1"/>
                <w:bCs w:val="1"/>
                <w:color w:val="auto"/>
                <w:w w:val="93"/>
              </w:rPr>
              <w:t>Title of Each Class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0" w:type="dxa"/>
            <w:vAlign w:val="bottom"/>
          </w:tcPr>
          <w:p>
            <w:pPr>
              <w:spacing w:after="0"/>
              <w:rPr>
                <w:sz w:val="1"/>
                <w:szCs w:val="1"/>
                <w:color w:val="auto"/>
              </w:rPr>
            </w:pPr>
          </w:p>
        </w:tc>
      </w:tr>
      <w:tr>
        <w:trPr>
          <w:trHeight w:val="182"/>
        </w:trPr>
        <w:tc>
          <w:tcPr>
            <w:tcW w:w="4040" w:type="dxa"/>
            <w:vAlign w:val="bottom"/>
            <w:tcBorders>
              <w:top w:val="single" w:sz="8" w:color="auto"/>
            </w:tcBorders>
          </w:tcPr>
          <w:p>
            <w:pPr>
              <w:jc w:val="center"/>
              <w:ind w:left="1508"/>
              <w:spacing w:after="0"/>
              <w:rPr>
                <w:sz w:val="20"/>
                <w:szCs w:val="20"/>
                <w:color w:val="auto"/>
              </w:rPr>
            </w:pPr>
            <w:r>
              <w:rPr>
                <w:rFonts w:ascii="Arial" w:cs="Arial" w:eastAsia="Arial" w:hAnsi="Arial"/>
                <w:sz w:val="14"/>
                <w:szCs w:val="14"/>
                <w:color w:val="auto"/>
                <w:w w:val="91"/>
              </w:rPr>
              <w:t>Common Stock, par value $0.01 per share</w:t>
            </w: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AGNC</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8"/>
              </w:rPr>
              <w:t>AGNCN</w:t>
            </w:r>
          </w:p>
        </w:tc>
        <w:tc>
          <w:tcPr>
            <w:tcW w:w="0" w:type="dxa"/>
            <w:vAlign w:val="bottom"/>
          </w:tcPr>
          <w:p>
            <w:pPr>
              <w:spacing w:after="0"/>
              <w:rPr>
                <w:sz w:val="1"/>
                <w:szCs w:val="1"/>
                <w:color w:val="auto"/>
              </w:rPr>
            </w:pPr>
          </w:p>
        </w:tc>
      </w:tr>
      <w:tr>
        <w:trPr>
          <w:trHeight w:val="110"/>
        </w:trPr>
        <w:tc>
          <w:tcPr>
            <w:tcW w:w="4040" w:type="dxa"/>
            <w:vAlign w:val="bottom"/>
            <w:vMerge w:val="restart"/>
          </w:tcPr>
          <w:p>
            <w:pPr>
              <w:jc w:val="center"/>
              <w:ind w:left="1528"/>
              <w:spacing w:after="0"/>
              <w:rPr>
                <w:sz w:val="20"/>
                <w:szCs w:val="20"/>
                <w:color w:val="auto"/>
              </w:rPr>
            </w:pPr>
            <w:r>
              <w:rPr>
                <w:rFonts w:ascii="Arial" w:cs="Arial" w:eastAsia="Arial" w:hAnsi="Arial"/>
                <w:sz w:val="14"/>
                <w:szCs w:val="14"/>
                <w:color w:val="auto"/>
                <w:w w:val="91"/>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4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142"/>
        </w:trPr>
        <w:tc>
          <w:tcPr>
            <w:tcW w:w="5880" w:type="dxa"/>
            <w:vAlign w:val="bottom"/>
          </w:tcPr>
          <w:p>
            <w:pPr>
              <w:jc w:val="center"/>
              <w:ind w:right="248"/>
              <w:spacing w:after="0" w:line="142" w:lineRule="exact"/>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color w:val="auto"/>
              </w:rPr>
              <w:t>AGNCM</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48"/>
              <w:spacing w:after="0" w:line="142" w:lineRule="exact"/>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color w:val="auto"/>
                <w:w w:val="97"/>
              </w:rPr>
              <w:t>AGNCO</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68"/>
              <w:spacing w:after="0" w:line="142" w:lineRule="exact"/>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color w:val="auto"/>
              </w:rPr>
              <w:t>AGNCP</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26-1701984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68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-436245</wp:posOffset>
            </wp:positionH>
            <wp:positionV relativeFrom="paragraph">
              <wp:posOffset>38100</wp:posOffset>
            </wp:positionV>
            <wp:extent cx="2442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49"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96"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85" w:lineRule="exact"/>
        <w:rPr>
          <w:sz w:val="24"/>
          <w:szCs w:val="24"/>
          <w:color w:val="auto"/>
        </w:rPr>
      </w:pPr>
    </w:p>
    <w:p>
      <w:pPr>
        <w:sectPr>
          <w:pgSz w:w="11900" w:h="16838" w:orient="portrait"/>
          <w:cols w:equalWidth="0" w:num="2">
            <w:col w:w="7440" w:space="640"/>
            <w:col w:w="3160"/>
          </w:cols>
          <w:pgMar w:left="320" w:top="913"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7" w:lineRule="exact"/>
        <w:rPr>
          <w:sz w:val="24"/>
          <w:szCs w:val="24"/>
          <w:color w:val="auto"/>
        </w:rPr>
      </w:pPr>
    </w:p>
    <w:p>
      <w:pPr>
        <w:ind w:right="10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82"/>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99" w:lineRule="exact"/>
        <w:rPr>
          <w:sz w:val="24"/>
          <w:szCs w:val="24"/>
          <w:color w:val="auto"/>
        </w:rPr>
      </w:pPr>
    </w:p>
    <w:p>
      <w:pPr>
        <w:ind w:right="460" w:firstLine="324"/>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360"/>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The number of shares of the issuer's common stock, $0.01 par value, outstanding as of April 30, 2021 was 524,907,212.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Borders>
              <w:bottom w:val="single" w:sz="8" w:color="0000FF"/>
            </w:tcBorders>
            <w:gridSpan w:val="2"/>
          </w:tcPr>
          <w:p>
            <w:pPr>
              <w:spacing w:after="0"/>
              <w:rPr>
                <w:rFonts w:ascii="Arial" w:cs="Arial" w:eastAsia="Arial" w:hAnsi="Arial"/>
                <w:sz w:val="16"/>
                <w:szCs w:val="16"/>
                <w:b w:val="1"/>
                <w:bCs w:val="1"/>
                <w:color w:val="0000FF"/>
                <w:w w:val="98"/>
              </w:rPr>
            </w:pPr>
            <w:hyperlink w:anchor="page44">
              <w:r>
                <w:rPr>
                  <w:rFonts w:ascii="Arial" w:cs="Arial" w:eastAsia="Arial" w:hAnsi="Arial"/>
                  <w:sz w:val="16"/>
                  <w:szCs w:val="16"/>
                  <w:b w:val="1"/>
                  <w:bCs w:val="1"/>
                  <w:color w:val="0000FF"/>
                  <w:w w:val="98"/>
                </w:rPr>
                <w:t>PART I.</w:t>
              </w:r>
            </w:hyperlink>
          </w:p>
        </w:tc>
        <w:tc>
          <w:tcPr>
            <w:tcW w:w="420" w:type="dxa"/>
            <w:vAlign w:val="bottom"/>
            <w:gridSpan w:val="2"/>
          </w:tcPr>
          <w:p>
            <w:pPr>
              <w:spacing w:after="0"/>
              <w:rPr>
                <w:sz w:val="16"/>
                <w:szCs w:val="16"/>
                <w:color w:val="auto"/>
              </w:rPr>
            </w:pPr>
          </w:p>
        </w:tc>
        <w:tc>
          <w:tcPr>
            <w:tcW w:w="2160" w:type="dxa"/>
            <w:vAlign w:val="bottom"/>
            <w:tcBorders>
              <w:bottom w:val="single" w:sz="8" w:color="0000FF"/>
            </w:tcBorders>
            <w:gridSpan w:val="9"/>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720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Item 1.</w:t>
              </w:r>
            </w:hyperlink>
          </w:p>
        </w:tc>
        <w:tc>
          <w:tcPr>
            <w:tcW w:w="540" w:type="dxa"/>
            <w:vAlign w:val="bottom"/>
            <w:gridSpan w:val="3"/>
          </w:tcPr>
          <w:p>
            <w:pPr>
              <w:spacing w:after="0"/>
              <w:rPr>
                <w:sz w:val="17"/>
                <w:szCs w:val="17"/>
                <w:color w:val="auto"/>
              </w:rPr>
            </w:pPr>
          </w:p>
        </w:tc>
        <w:tc>
          <w:tcPr>
            <w:tcW w:w="1360" w:type="dxa"/>
            <w:vAlign w:val="bottom"/>
            <w:gridSpan w:val="5"/>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Financial Statements</w:t>
              </w:r>
            </w:hyperlink>
          </w:p>
        </w:tc>
        <w:tc>
          <w:tcPr>
            <w:tcW w:w="8000" w:type="dxa"/>
            <w:vAlign w:val="bottom"/>
            <w:gridSpan w:val="7"/>
          </w:tcPr>
          <w:p>
            <w:pPr>
              <w:spacing w:after="0"/>
              <w:rPr>
                <w:sz w:val="17"/>
                <w:szCs w:val="17"/>
                <w:color w:val="auto"/>
              </w:rPr>
            </w:pPr>
          </w:p>
        </w:tc>
        <w:tc>
          <w:tcPr>
            <w:tcW w:w="180" w:type="dxa"/>
            <w:vAlign w:val="bottom"/>
            <w:gridSpan w:val="3"/>
          </w:tcPr>
          <w:p>
            <w:pPr>
              <w:jc w:val="right"/>
              <w:ind w:right="40"/>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24">
              <w:r>
                <w:rPr>
                  <w:rFonts w:ascii="Arial" w:cs="Arial" w:eastAsia="Arial" w:hAnsi="Arial"/>
                  <w:sz w:val="16"/>
                  <w:szCs w:val="16"/>
                  <w:color w:val="0000FF"/>
                  <w:w w:val="85"/>
                </w:rPr>
                <w:t>Item 2.</w:t>
              </w:r>
            </w:hyperlink>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360" w:type="dxa"/>
            <w:vAlign w:val="bottom"/>
            <w:gridSpan w:val="12"/>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Management's Discussion and Analysis of Financial Condition and Results of Operations</w:t>
              </w:r>
            </w:hyperlink>
          </w:p>
        </w:tc>
        <w:tc>
          <w:tcPr>
            <w:tcW w:w="180" w:type="dxa"/>
            <w:vAlign w:val="bottom"/>
            <w:gridSpan w:val="3"/>
          </w:tcPr>
          <w:p>
            <w:pPr>
              <w:jc w:val="right"/>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23</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1">
              <w:r>
                <w:rPr>
                  <w:rFonts w:ascii="Arial" w:cs="Arial" w:eastAsia="Arial" w:hAnsi="Arial"/>
                  <w:sz w:val="16"/>
                  <w:szCs w:val="16"/>
                  <w:color w:val="0000FF"/>
                  <w:w w:val="85"/>
                </w:rPr>
                <w:t>Item 3.</w:t>
              </w:r>
            </w:hyperlink>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920" w:type="dxa"/>
            <w:vAlign w:val="bottom"/>
            <w:gridSpan w:val="10"/>
          </w:tcPr>
          <w:p>
            <w:pPr>
              <w:spacing w:after="0"/>
              <w:rPr>
                <w:rFonts w:ascii="Arial" w:cs="Arial" w:eastAsia="Arial" w:hAnsi="Arial"/>
                <w:sz w:val="16"/>
                <w:szCs w:val="16"/>
                <w:color w:val="0000FF"/>
                <w:w w:val="92"/>
              </w:rPr>
            </w:pPr>
            <w:hyperlink w:anchor="page41">
              <w:r>
                <w:rPr>
                  <w:rFonts w:ascii="Arial" w:cs="Arial" w:eastAsia="Arial" w:hAnsi="Arial"/>
                  <w:sz w:val="16"/>
                  <w:szCs w:val="16"/>
                  <w:color w:val="0000FF"/>
                  <w:w w:val="92"/>
                </w:rPr>
                <w:t>Quantitative and Qualitative Disclosures About Market Risk</w:t>
              </w:r>
            </w:hyperlink>
          </w:p>
        </w:tc>
        <w:tc>
          <w:tcPr>
            <w:tcW w:w="18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40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tcBorders>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4">
              <w:r>
                <w:rPr>
                  <w:rFonts w:ascii="Arial" w:cs="Arial" w:eastAsia="Arial" w:hAnsi="Arial"/>
                  <w:sz w:val="16"/>
                  <w:szCs w:val="16"/>
                  <w:color w:val="0000FF"/>
                  <w:w w:val="85"/>
                </w:rPr>
                <w:t>Item 4.</w:t>
              </w:r>
            </w:hyperlink>
          </w:p>
        </w:tc>
        <w:tc>
          <w:tcPr>
            <w:tcW w:w="540" w:type="dxa"/>
            <w:vAlign w:val="bottom"/>
            <w:gridSpan w:val="3"/>
          </w:tcPr>
          <w:p>
            <w:pPr>
              <w:spacing w:after="0"/>
              <w:rPr>
                <w:sz w:val="17"/>
                <w:szCs w:val="17"/>
                <w:color w:val="auto"/>
              </w:rPr>
            </w:pPr>
          </w:p>
        </w:tc>
        <w:tc>
          <w:tcPr>
            <w:tcW w:w="3920" w:type="dxa"/>
            <w:vAlign w:val="bottom"/>
            <w:gridSpan w:val="10"/>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Controls and Procedures</w:t>
              </w:r>
            </w:hyperlink>
          </w:p>
        </w:tc>
        <w:tc>
          <w:tcPr>
            <w:tcW w:w="5440" w:type="dxa"/>
            <w:vAlign w:val="bottom"/>
            <w:gridSpan w:val="2"/>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4">
              <w:r>
                <w:rPr>
                  <w:rFonts w:ascii="Arial" w:cs="Arial" w:eastAsia="Arial" w:hAnsi="Arial"/>
                  <w:sz w:val="16"/>
                  <w:szCs w:val="16"/>
                  <w:color w:val="0000FF"/>
                  <w:w w:val="89"/>
                </w:rPr>
                <w:t>43</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gridSpan w:val="3"/>
          </w:tcPr>
          <w:p>
            <w:pPr>
              <w:spacing w:after="0"/>
              <w:rPr>
                <w:rFonts w:ascii="Arial" w:cs="Arial" w:eastAsia="Arial" w:hAnsi="Arial"/>
                <w:sz w:val="16"/>
                <w:szCs w:val="16"/>
                <w:b w:val="1"/>
                <w:bCs w:val="1"/>
                <w:color w:val="0000FF"/>
              </w:rPr>
            </w:pPr>
            <w:hyperlink w:anchor="page44">
              <w:r>
                <w:rPr>
                  <w:rFonts w:ascii="Arial" w:cs="Arial" w:eastAsia="Arial" w:hAnsi="Arial"/>
                  <w:sz w:val="16"/>
                  <w:szCs w:val="16"/>
                  <w:b w:val="1"/>
                  <w:bCs w:val="1"/>
                  <w:color w:val="0000FF"/>
                </w:rPr>
                <w:t>PART II.</w:t>
              </w:r>
            </w:hyperlink>
          </w:p>
        </w:tc>
        <w:tc>
          <w:tcPr>
            <w:tcW w:w="32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6"/>
                <w:szCs w:val="16"/>
                <w:b w:val="1"/>
                <w:bCs w:val="1"/>
                <w:color w:val="0000FF"/>
              </w:rPr>
            </w:pPr>
            <w:hyperlink w:anchor="page44">
              <w:r>
                <w:rPr>
                  <w:rFonts w:ascii="Arial" w:cs="Arial" w:eastAsia="Arial" w:hAnsi="Arial"/>
                  <w:sz w:val="16"/>
                  <w:szCs w:val="16"/>
                  <w:b w:val="1"/>
                  <w:bCs w:val="1"/>
                  <w:color w:val="0000FF"/>
                </w:rPr>
                <w:t>OTHER INFORMATION</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8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rPr>
            </w:pPr>
            <w:hyperlink w:anchor="page45">
              <w:r>
                <w:rPr>
                  <w:rFonts w:ascii="Arial" w:cs="Arial" w:eastAsia="Arial" w:hAnsi="Arial"/>
                  <w:sz w:val="16"/>
                  <w:szCs w:val="16"/>
                  <w:color w:val="0000FF"/>
                </w:rPr>
                <w:t>Item 1.</w:t>
              </w:r>
            </w:hyperlink>
          </w:p>
        </w:tc>
        <w:tc>
          <w:tcPr>
            <w:tcW w:w="320" w:type="dxa"/>
            <w:vAlign w:val="bottom"/>
          </w:tcPr>
          <w:p>
            <w:pPr>
              <w:spacing w:after="0"/>
              <w:rPr>
                <w:sz w:val="18"/>
                <w:szCs w:val="18"/>
                <w:color w:val="auto"/>
              </w:rPr>
            </w:pPr>
          </w:p>
        </w:tc>
        <w:tc>
          <w:tcPr>
            <w:tcW w:w="120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89"/>
              </w:rPr>
            </w:pPr>
            <w:hyperlink w:anchor="page45">
              <w:r>
                <w:rPr>
                  <w:rFonts w:ascii="Arial" w:cs="Arial" w:eastAsia="Arial" w:hAnsi="Arial"/>
                  <w:sz w:val="16"/>
                  <w:szCs w:val="16"/>
                  <w:color w:val="0000FF"/>
                  <w:w w:val="89"/>
                </w:rPr>
                <w:t>Legal Proceedings</w:t>
              </w:r>
            </w:hyperlink>
          </w:p>
        </w:tc>
        <w:tc>
          <w:tcPr>
            <w:tcW w:w="620" w:type="dxa"/>
            <w:vAlign w:val="bottom"/>
            <w:tcBorders>
              <w:top w:val="single" w:sz="8" w:color="0000FF"/>
              <w:bottom w:val="single" w:sz="8" w:color="0000FF"/>
            </w:tcBorders>
            <w:gridSpan w:val="3"/>
          </w:tcPr>
          <w:p>
            <w:pPr>
              <w:spacing w:after="0"/>
              <w:rPr>
                <w:sz w:val="18"/>
                <w:szCs w:val="18"/>
                <w:color w:val="auto"/>
              </w:rPr>
            </w:pPr>
          </w:p>
        </w:tc>
        <w:tc>
          <w:tcPr>
            <w:tcW w:w="240" w:type="dxa"/>
            <w:vAlign w:val="bottom"/>
            <w:tcBorders>
              <w:bottom w:val="single" w:sz="8" w:color="0000FF"/>
            </w:tcBorders>
          </w:tcPr>
          <w:p>
            <w:pPr>
              <w:spacing w:after="0"/>
              <w:rPr>
                <w:sz w:val="18"/>
                <w:szCs w:val="18"/>
                <w:color w:val="auto"/>
              </w:rPr>
            </w:pPr>
          </w:p>
        </w:tc>
        <w:tc>
          <w:tcPr>
            <w:tcW w:w="1860" w:type="dxa"/>
            <w:vAlign w:val="bottom"/>
            <w:gridSpan w:val="2"/>
          </w:tcPr>
          <w:p>
            <w:pPr>
              <w:spacing w:after="0"/>
              <w:rPr>
                <w:sz w:val="18"/>
                <w:szCs w:val="18"/>
                <w:color w:val="auto"/>
              </w:rPr>
            </w:pPr>
          </w:p>
        </w:tc>
        <w:tc>
          <w:tcPr>
            <w:tcW w:w="54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190"/>
        </w:trPr>
        <w:tc>
          <w:tcPr>
            <w:tcW w:w="1000" w:type="dxa"/>
            <w:vAlign w:val="bottom"/>
            <w:gridSpan w:val="4"/>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1A.</w:t>
              </w:r>
            </w:hyperlink>
          </w:p>
        </w:tc>
        <w:tc>
          <w:tcPr>
            <w:tcW w:w="9360" w:type="dxa"/>
            <w:vAlign w:val="bottom"/>
            <w:gridSpan w:val="12"/>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Risk Factors</w:t>
              </w:r>
            </w:hyperlink>
          </w:p>
        </w:tc>
        <w:tc>
          <w:tcPr>
            <w:tcW w:w="180" w:type="dxa"/>
            <w:vAlign w:val="bottom"/>
            <w:gridSpan w:val="3"/>
          </w:tcPr>
          <w:p>
            <w:pPr>
              <w:jc w:val="right"/>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44</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5">
              <w:r>
                <w:rPr>
                  <w:rFonts w:ascii="Arial" w:cs="Arial" w:eastAsia="Arial" w:hAnsi="Arial"/>
                  <w:sz w:val="16"/>
                  <w:szCs w:val="16"/>
                  <w:color w:val="0000FF"/>
                  <w:w w:val="85"/>
                </w:rPr>
                <w:t>Item 2.</w:t>
              </w:r>
            </w:hyperlink>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920" w:type="dxa"/>
            <w:vAlign w:val="bottom"/>
            <w:gridSpan w:val="10"/>
          </w:tcPr>
          <w:p>
            <w:pPr>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Unregistered Sales of Equity Securities and Use of Proceeds</w:t>
              </w:r>
            </w:hyperlink>
          </w:p>
        </w:tc>
        <w:tc>
          <w:tcPr>
            <w:tcW w:w="5440" w:type="dxa"/>
            <w:vAlign w:val="bottom"/>
            <w:gridSpan w:val="2"/>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rFonts w:ascii="Arial" w:cs="Arial" w:eastAsia="Arial" w:hAnsi="Arial"/>
                <w:sz w:val="16"/>
                <w:szCs w:val="16"/>
                <w:color w:val="0000FF"/>
                <w:w w:val="85"/>
              </w:rPr>
            </w:pPr>
            <w:hyperlink w:anchor="page45">
              <w:r>
                <w:rPr>
                  <w:rFonts w:ascii="Arial" w:cs="Arial" w:eastAsia="Arial" w:hAnsi="Arial"/>
                  <w:sz w:val="16"/>
                  <w:szCs w:val="16"/>
                  <w:color w:val="0000FF"/>
                  <w:w w:val="85"/>
                </w:rPr>
                <w:t>Item 3.</w:t>
              </w:r>
            </w:hyperlink>
          </w:p>
        </w:tc>
        <w:tc>
          <w:tcPr>
            <w:tcW w:w="220" w:type="dxa"/>
            <w:vAlign w:val="bottom"/>
            <w:tcBorders>
              <w:bottom w:val="single" w:sz="8" w:color="0000FF"/>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tcBorders>
              <w:bottom w:val="single" w:sz="8" w:color="0000FF"/>
            </w:tcBorders>
            <w:gridSpan w:val="10"/>
          </w:tcPr>
          <w:p>
            <w:pPr>
              <w:spacing w:after="0" w:line="183" w:lineRule="exact"/>
              <w:rPr>
                <w:rFonts w:ascii="Arial" w:cs="Arial" w:eastAsia="Arial" w:hAnsi="Arial"/>
                <w:sz w:val="16"/>
                <w:szCs w:val="16"/>
                <w:color w:val="0000FF"/>
              </w:rPr>
            </w:pPr>
            <w:hyperlink w:anchor="page45">
              <w:r>
                <w:rPr>
                  <w:rFonts w:ascii="Arial" w:cs="Arial" w:eastAsia="Arial" w:hAnsi="Arial"/>
                  <w:sz w:val="16"/>
                  <w:szCs w:val="16"/>
                  <w:color w:val="0000FF"/>
                </w:rPr>
                <w:t>Defaults upon Senior Securities</w:t>
              </w:r>
            </w:hyperlink>
          </w:p>
        </w:tc>
        <w:tc>
          <w:tcPr>
            <w:tcW w:w="5440" w:type="dxa"/>
            <w:vAlign w:val="bottom"/>
            <w:tcBorders>
              <w:bottom w:val="single" w:sz="8" w:color="0000FF"/>
            </w:tcBorders>
            <w:gridSpan w:val="2"/>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203"/>
        </w:trPr>
        <w:tc>
          <w:tcPr>
            <w:tcW w:w="680" w:type="dxa"/>
            <w:vAlign w:val="bottom"/>
            <w:tcBorders>
              <w:bottom w:val="single" w:sz="8" w:color="0000FF"/>
            </w:tcBorders>
            <w:gridSpan w:val="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4.</w:t>
              </w:r>
            </w:hyperlink>
          </w:p>
        </w:tc>
        <w:tc>
          <w:tcPr>
            <w:tcW w:w="320" w:type="dxa"/>
            <w:vAlign w:val="bottom"/>
          </w:tcPr>
          <w:p>
            <w:pPr>
              <w:spacing w:after="0"/>
              <w:rPr>
                <w:sz w:val="17"/>
                <w:szCs w:val="17"/>
                <w:color w:val="auto"/>
              </w:rPr>
            </w:pPr>
          </w:p>
        </w:tc>
        <w:tc>
          <w:tcPr>
            <w:tcW w:w="160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Mine Safety Disclosures</w:t>
              </w:r>
            </w:hyperlink>
          </w:p>
        </w:tc>
        <w:tc>
          <w:tcPr>
            <w:tcW w:w="7760" w:type="dxa"/>
            <w:vAlign w:val="bottom"/>
            <w:gridSpan w:val="6"/>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44</w:t>
              </w:r>
            </w:hyperlink>
          </w:p>
        </w:tc>
      </w:tr>
      <w:tr>
        <w:trPr>
          <w:trHeight w:val="196"/>
        </w:trPr>
        <w:tc>
          <w:tcPr>
            <w:tcW w:w="460" w:type="dxa"/>
            <w:vAlign w:val="bottom"/>
          </w:tcPr>
          <w:p>
            <w:pPr>
              <w:spacing w:after="0"/>
              <w:rPr>
                <w:rFonts w:ascii="Arial" w:cs="Arial" w:eastAsia="Arial" w:hAnsi="Arial"/>
                <w:sz w:val="16"/>
                <w:szCs w:val="16"/>
                <w:color w:val="0000FF"/>
                <w:w w:val="85"/>
              </w:rPr>
            </w:pPr>
            <w:hyperlink w:anchor="page45">
              <w:r>
                <w:rPr>
                  <w:rFonts w:ascii="Arial" w:cs="Arial" w:eastAsia="Arial" w:hAnsi="Arial"/>
                  <w:sz w:val="16"/>
                  <w:szCs w:val="16"/>
                  <w:color w:val="0000FF"/>
                  <w:w w:val="85"/>
                </w:rPr>
                <w:t>Item 5.</w:t>
              </w:r>
            </w:hyperlink>
          </w:p>
        </w:tc>
        <w:tc>
          <w:tcPr>
            <w:tcW w:w="540" w:type="dxa"/>
            <w:vAlign w:val="bottom"/>
            <w:gridSpan w:val="3"/>
          </w:tcPr>
          <w:p>
            <w:pPr>
              <w:spacing w:after="0"/>
              <w:rPr>
                <w:sz w:val="17"/>
                <w:szCs w:val="17"/>
                <w:color w:val="auto"/>
              </w:rPr>
            </w:pPr>
          </w:p>
        </w:tc>
        <w:tc>
          <w:tcPr>
            <w:tcW w:w="9360" w:type="dxa"/>
            <w:vAlign w:val="bottom"/>
            <w:gridSpan w:val="12"/>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Other Information</w:t>
              </w:r>
            </w:hyperlink>
          </w:p>
        </w:tc>
        <w:tc>
          <w:tcPr>
            <w:tcW w:w="180" w:type="dxa"/>
            <w:vAlign w:val="bottom"/>
            <w:gridSpan w:val="3"/>
          </w:tcPr>
          <w:p>
            <w:pPr>
              <w:jc w:val="right"/>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5">
              <w:r>
                <w:rPr>
                  <w:rFonts w:ascii="Arial" w:cs="Arial" w:eastAsia="Arial" w:hAnsi="Arial"/>
                  <w:sz w:val="16"/>
                  <w:szCs w:val="16"/>
                  <w:color w:val="0000FF"/>
                  <w:w w:val="85"/>
                </w:rPr>
                <w:t>Item 6.</w:t>
              </w:r>
            </w:hyperlink>
          </w:p>
        </w:tc>
        <w:tc>
          <w:tcPr>
            <w:tcW w:w="540" w:type="dxa"/>
            <w:vAlign w:val="bottom"/>
            <w:gridSpan w:val="3"/>
          </w:tcPr>
          <w:p>
            <w:pPr>
              <w:spacing w:after="0"/>
              <w:rPr>
                <w:sz w:val="17"/>
                <w:szCs w:val="17"/>
                <w:color w:val="auto"/>
              </w:rPr>
            </w:pPr>
          </w:p>
        </w:tc>
        <w:tc>
          <w:tcPr>
            <w:tcW w:w="1180" w:type="dxa"/>
            <w:vAlign w:val="bottom"/>
            <w:gridSpan w:val="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Exhibits</w:t>
              </w:r>
            </w:hyperlink>
          </w:p>
        </w:tc>
        <w:tc>
          <w:tcPr>
            <w:tcW w:w="8180" w:type="dxa"/>
            <w:vAlign w:val="bottom"/>
            <w:gridSpan w:val="9"/>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00" w:type="dxa"/>
            <w:vAlign w:val="bottom"/>
            <w:gridSpan w:val="4"/>
          </w:tcPr>
          <w:p>
            <w:pPr>
              <w:spacing w:after="0"/>
              <w:rPr>
                <w:sz w:val="20"/>
                <w:szCs w:val="20"/>
                <w:color w:val="auto"/>
              </w:rPr>
            </w:pPr>
            <w:r>
              <w:rPr>
                <w:rFonts w:ascii="Arial" w:cs="Arial" w:eastAsia="Arial" w:hAnsi="Arial"/>
                <w:sz w:val="16"/>
                <w:szCs w:val="16"/>
                <w:color w:val="0000FF"/>
              </w:rPr>
              <w:t>Signatures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47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891" w:right="10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Agency securities, at fair value (including pledged securities of $56,343 and $53,698, respectively)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63,286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64,836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Credit risk transfer securities, at fair value (including pledged securities of $406 and $455, respectively)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Non-Agency securities, at fair value (including pledged securities of $414 and $458,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 for investment securities sold (including pledged securities of $0 and $207,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Receivable under reverse repurchase agreements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11,748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agreements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52,366</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Debt of consolidated variable interest entities, at fair value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Payable for investment securities purchased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payable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70,738</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Preferred Stock - aggregate liquidation preference of $1,538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Common stock - $0.01 par value; 1,500 shares authorized; 524.9 and 539.5 shares issued and outstanding,</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13,972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deficit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11,079</w:t>
            </w:r>
          </w:p>
        </w:tc>
        <w:tc>
          <w:tcPr>
            <w:tcW w:w="0" w:type="dxa"/>
            <w:vAlign w:val="bottom"/>
          </w:tcPr>
          <w:p>
            <w:pPr>
              <w:spacing w:after="0"/>
              <w:rPr>
                <w:sz w:val="1"/>
                <w:szCs w:val="1"/>
                <w:color w:val="auto"/>
              </w:rPr>
            </w:pPr>
          </w:p>
        </w:tc>
      </w:tr>
      <w:tr>
        <w:trPr>
          <w:trHeight w:val="213"/>
        </w:trPr>
        <w:tc>
          <w:tcPr>
            <w:tcW w:w="790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81,817</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21"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Three Months Ended</w:t>
      </w:r>
    </w:p>
    <w:p>
      <w:pPr>
        <w:jc w:val="center"/>
        <w:ind w:left="72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interest income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340"/>
              <w:spacing w:after="0"/>
              <w:rPr>
                <w:sz w:val="20"/>
                <w:szCs w:val="20"/>
                <w:color w:val="auto"/>
              </w:rPr>
            </w:pPr>
            <w:r>
              <w:rPr>
                <w:rFonts w:ascii="Arial" w:cs="Arial" w:eastAsia="Arial" w:hAnsi="Arial"/>
                <w:sz w:val="18"/>
                <w:szCs w:val="18"/>
                <w:color w:val="auto"/>
              </w:rPr>
              <w:t>Gain (loss) on sale of investment securities,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Unrealized gain (loss) on investment securities measured at fair value through net income, net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Unrealized gain (loss) on investment securities measured at fair value through other</w:t>
            </w: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net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income (loss) per common share - basic</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91" w:right="13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Preferred</w:t>
            </w: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6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8"/>
                <w:szCs w:val="8"/>
                <w:color w:val="auto"/>
              </w:rPr>
            </w:pPr>
          </w:p>
        </w:tc>
        <w:tc>
          <w:tcPr>
            <w:tcW w:w="12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(2,421)</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567.7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14,334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(6,592)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13,972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(5,106)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13,736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11,364</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1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Three Months Ended</w:t>
      </w:r>
    </w:p>
    <w:p>
      <w:pPr>
        <w:jc w:val="center"/>
        <w:ind w:left="7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(2,421)</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loss on sale of investment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loss on derivative instruments and other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3,154</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other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Decrease in accounts payable and other accrued liabilities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(23,339)</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Purchases of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49,596</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collections on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U.S. Treasury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(17,907)</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U.S. Treasury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8,795</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(payments on) reverse repurchase agreements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proceeds from (payments on) derivative instruments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23,577</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repurchase arrangements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1,162,934</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Payments on repurchase agreements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(523,629)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(1,185,576)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debt of consolidated variable interest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Net proceeds from preferred stock issuances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common stock issuances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Payments for common stock repurchases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0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(21,939)</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2020.</w:t>
      </w:r>
    </w:p>
    <w:p>
      <w:pPr>
        <w:spacing w:after="0" w:line="5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9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finance the acquisition of securities for our investment portfolio primarily through repurchase agreements with financial institutions. Repurchase arrangements involve the sale and a simultaneous agreement to repurchase the transferred 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we account for repurchase agreements as collateralized financing transactions, which are carried at their contractual amounts (cost), plus accrued interest. Our repurchase agreements typically have maturities of less than one year but may extend up to five years or more.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Overnight Index Swap Rate ("OIS") or three-month London Interbank Offered Rate ("LIBOR").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is a description of the valuation methodologies used for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w:t>
      </w:r>
    </w:p>
    <w:p>
      <w:pPr>
        <w:spacing w:after="0" w:line="10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Treasury securities and futures are valued based on quoted prices for identical instruments in active markets and are classified as Level 1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instruments are classified as Level 3 inputs.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As of March 31, 2021 and December 31, 2020, our investment portfolio consisted of $65.5 billion and $66.4 billion of investment securities, at fair value, respectively, and $24.8 billion and $31.5 billion of net TBA securities, at fair value, respectively. Our net TBA position is reported at its net carrying value of $(576) million and $275 million as of March 31, 2021 and December 31, 2020,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2021 and December 31, 2020, our investment securities had a net unamortized premium balance of $2.5 billion and $2.4 billion,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ind w:right="20"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March 31, 2021 and December 31, 2020, excluding TBA securities, (dollars in millions). Details of our TBA securities as of each of the respective dates are included in Note 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296"/>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5"/>
          </w:tcPr>
          <w:p>
            <w:pPr>
              <w:jc w:val="right"/>
              <w:ind w:right="191"/>
              <w:spacing w:after="0" w:line="135"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83"/>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61,659</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7"/>
              </w:rPr>
              <w:t>63,122</w:t>
            </w:r>
          </w:p>
        </w:tc>
        <w:tc>
          <w:tcPr>
            <w:tcW w:w="720" w:type="dxa"/>
            <w:vAlign w:val="bottom"/>
            <w:gridSpan w:val="3"/>
          </w:tcPr>
          <w:p>
            <w:pPr>
              <w:jc w:val="right"/>
              <w:ind w:right="35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61,977</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64,615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Multifamily</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62,065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7"/>
              </w:rPr>
              <w:t>63,556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62,457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495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 securities</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1,067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1,073</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63,975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7"/>
              </w:rPr>
              <w:t>65,497</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63,701</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Agency RMBS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575"/>
              <w:spacing w:after="0"/>
              <w:rPr>
                <w:sz w:val="20"/>
                <w:szCs w:val="20"/>
                <w:color w:val="auto"/>
              </w:rPr>
            </w:pPr>
            <w:r>
              <w:rPr>
                <w:rFonts w:ascii="Arial" w:cs="Arial" w:eastAsia="Arial" w:hAnsi="Arial"/>
                <w:sz w:val="14"/>
                <w:szCs w:val="14"/>
                <w:b w:val="1"/>
                <w:bCs w:val="1"/>
                <w:color w:val="auto"/>
              </w:rPr>
              <w:t>Non-Agency</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Pr>
          <w:p>
            <w:pPr>
              <w:spacing w:after="0"/>
              <w:rPr>
                <w:sz w:val="11"/>
                <w:szCs w:val="11"/>
                <w:color w:val="auto"/>
              </w:rPr>
            </w:pPr>
          </w:p>
        </w:tc>
        <w:tc>
          <w:tcPr>
            <w:tcW w:w="880" w:type="dxa"/>
            <w:vAlign w:val="bottom"/>
          </w:tcPr>
          <w:p>
            <w:pPr>
              <w:ind w:left="180"/>
              <w:spacing w:after="0" w:line="130" w:lineRule="exact"/>
              <w:rPr>
                <w:sz w:val="20"/>
                <w:szCs w:val="20"/>
                <w:color w:val="auto"/>
              </w:rPr>
            </w:pPr>
            <w:r>
              <w:rPr>
                <w:rFonts w:ascii="Arial" w:cs="Arial" w:eastAsia="Arial" w:hAnsi="Arial"/>
                <w:sz w:val="14"/>
                <w:szCs w:val="14"/>
                <w:b w:val="1"/>
                <w:bCs w:val="1"/>
                <w:color w:val="auto"/>
              </w:rPr>
              <w:t>Ginnie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RMBS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jc w:val="right"/>
              <w:ind w:right="215"/>
              <w:spacing w:after="0"/>
              <w:rPr>
                <w:sz w:val="20"/>
                <w:szCs w:val="20"/>
                <w:color w:val="auto"/>
              </w:rPr>
            </w:pPr>
            <w:r>
              <w:rPr>
                <w:rFonts w:ascii="Arial" w:cs="Arial" w:eastAsia="Arial" w:hAnsi="Arial"/>
                <w:sz w:val="14"/>
                <w:szCs w:val="14"/>
                <w:b w:val="1"/>
                <w:bCs w:val="1"/>
                <w:color w:val="auto"/>
              </w:rPr>
              <w:t>CMBS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8,375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11,222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549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8,776</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2,988</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11,766</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482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9,145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3,101</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12,248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gridSpan w:val="2"/>
          </w:tcPr>
          <w:p>
            <w:pPr>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32,513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354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88"/>
              <w:spacing w:after="0"/>
              <w:rPr>
                <w:sz w:val="20"/>
                <w:szCs w:val="20"/>
                <w:color w:val="auto"/>
              </w:rPr>
            </w:pPr>
            <w:r>
              <w:rPr>
                <w:rFonts w:ascii="Arial" w:cs="Arial" w:eastAsia="Arial" w:hAnsi="Arial"/>
                <w:sz w:val="13"/>
                <w:szCs w:val="13"/>
                <w:color w:val="auto"/>
              </w:rPr>
              <w:t>1,068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50,232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w w:val="86"/>
              </w:rPr>
              <w:t>(12)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33,806</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16,490</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95"/>
              <w:spacing w:after="0"/>
              <w:rPr>
                <w:sz w:val="20"/>
                <w:szCs w:val="20"/>
                <w:color w:val="auto"/>
              </w:rPr>
            </w:pPr>
            <w:r>
              <w:rPr>
                <w:rFonts w:ascii="Arial" w:cs="Arial" w:eastAsia="Arial" w:hAnsi="Arial"/>
                <w:sz w:val="13"/>
                <w:szCs w:val="13"/>
                <w:color w:val="auto"/>
              </w:rPr>
              <w:t>356</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4"/>
          </w:tcPr>
          <w:p>
            <w:pPr>
              <w:jc w:val="right"/>
              <w:ind w:right="88"/>
              <w:spacing w:after="0"/>
              <w:rPr>
                <w:sz w:val="20"/>
                <w:szCs w:val="20"/>
                <w:color w:val="auto"/>
              </w:rPr>
            </w:pPr>
            <w:r>
              <w:rPr>
                <w:rFonts w:ascii="Arial" w:cs="Arial" w:eastAsia="Arial" w:hAnsi="Arial"/>
                <w:sz w:val="13"/>
                <w:szCs w:val="13"/>
                <w:color w:val="auto"/>
              </w:rPr>
              <w:t>1,067</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52,209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18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1,379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34,453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16,852</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373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4"/>
            <w:shd w:val="clear" w:color="auto" w:fill="CCEEFF"/>
          </w:tcPr>
          <w:p>
            <w:pPr>
              <w:jc w:val="right"/>
              <w:ind w:right="88"/>
              <w:spacing w:after="0"/>
              <w:rPr>
                <w:sz w:val="20"/>
                <w:szCs w:val="20"/>
                <w:color w:val="auto"/>
              </w:rPr>
            </w:pPr>
            <w:r>
              <w:rPr>
                <w:rFonts w:ascii="Arial" w:cs="Arial" w:eastAsia="Arial" w:hAnsi="Arial"/>
                <w:sz w:val="13"/>
                <w:szCs w:val="13"/>
                <w:color w:val="auto"/>
              </w:rPr>
              <w:t>1,073</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53,249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43,598</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19,953</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3"/>
                <w:szCs w:val="13"/>
                <w:color w:val="auto"/>
              </w:rPr>
              <w:t>373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3"/>
                <w:szCs w:val="13"/>
                <w:color w:val="auto"/>
              </w:rPr>
              <w:t>1,073</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65,497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March 31, 2021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3.27 %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4.06 %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3.30 %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March 31, 2021 </w:t>
            </w:r>
            <w:r>
              <w:rPr>
                <w:rFonts w:ascii="Arial" w:cs="Arial" w:eastAsia="Arial" w:hAnsi="Arial"/>
                <w:sz w:val="16"/>
                <w:szCs w:val="16"/>
                <w:color w:val="auto"/>
                <w:vertAlign w:val="superscript"/>
              </w:rPr>
              <w:t>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2.36 %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4.31 %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3.79 %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11.3% based on forward rates as of March 31, 2021.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2"/>
              </w:rPr>
              <w:t>Fannie</w:t>
            </w:r>
          </w:p>
        </w:tc>
        <w:tc>
          <w:tcPr>
            <w:tcW w:w="8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36"/>
              <w:spacing w:after="0" w:line="130" w:lineRule="exact"/>
              <w:rPr>
                <w:sz w:val="20"/>
                <w:szCs w:val="20"/>
                <w:color w:val="auto"/>
              </w:rPr>
            </w:pPr>
            <w:r>
              <w:rPr>
                <w:rFonts w:ascii="Arial" w:cs="Arial" w:eastAsia="Arial" w:hAnsi="Arial"/>
                <w:sz w:val="14"/>
                <w:szCs w:val="14"/>
                <w:b w:val="1"/>
                <w:bCs w:val="1"/>
                <w:color w:val="auto"/>
              </w:rPr>
              <w:t>Ginnie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RMBS</w:t>
            </w:r>
          </w:p>
        </w:tc>
        <w:tc>
          <w:tcPr>
            <w:tcW w:w="2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CMBS</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200" w:type="dxa"/>
            <w:vAlign w:val="bottom"/>
          </w:tcPr>
          <w:p>
            <w:pPr>
              <w:spacing w:after="0"/>
              <w:rPr>
                <w:sz w:val="11"/>
                <w:szCs w:val="11"/>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Mae</w:t>
            </w: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9,325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12,743</w:t>
            </w:r>
          </w:p>
        </w:tc>
        <w:tc>
          <w:tcPr>
            <w:tcW w:w="0" w:type="dxa"/>
            <w:vAlign w:val="bottom"/>
          </w:tcPr>
          <w:p>
            <w:pPr>
              <w:spacing w:after="0"/>
              <w:rPr>
                <w:sz w:val="1"/>
                <w:szCs w:val="1"/>
                <w:color w:val="auto"/>
              </w:rPr>
            </w:pPr>
          </w:p>
        </w:tc>
      </w:tr>
      <w:tr>
        <w:trPr>
          <w:trHeight w:val="168"/>
        </w:trPr>
        <w:tc>
          <w:tcPr>
            <w:tcW w:w="378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61"/>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rPr>
              <w:t>9,710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3,567</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13,279</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69"/>
        </w:trPr>
        <w:tc>
          <w:tcPr>
            <w:tcW w:w="3780" w:type="dxa"/>
            <w:vAlign w:val="bottom"/>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10,249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3,747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13,998</w:t>
            </w:r>
          </w:p>
        </w:tc>
        <w:tc>
          <w:tcPr>
            <w:tcW w:w="0" w:type="dxa"/>
            <w:vAlign w:val="bottom"/>
          </w:tcPr>
          <w:p>
            <w:pPr>
              <w:spacing w:after="0"/>
              <w:rPr>
                <w:sz w:val="1"/>
                <w:szCs w:val="1"/>
                <w:color w:val="auto"/>
              </w:rPr>
            </w:pPr>
          </w:p>
        </w:tc>
      </w:tr>
      <w:tr>
        <w:trPr>
          <w:trHeight w:val="148"/>
        </w:trPr>
        <w:tc>
          <w:tcPr>
            <w:tcW w:w="37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32,824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14,447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48,527</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61"/>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8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color w:val="auto"/>
              </w:rPr>
              <w:t>34,120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15,053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50,422</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2,014</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5"/>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35,395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15,735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737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52,416</w:t>
            </w:r>
          </w:p>
        </w:tc>
        <w:tc>
          <w:tcPr>
            <w:tcW w:w="0" w:type="dxa"/>
            <w:vAlign w:val="bottom"/>
          </w:tcPr>
          <w:p>
            <w:pPr>
              <w:spacing w:after="0"/>
              <w:rPr>
                <w:sz w:val="1"/>
                <w:szCs w:val="1"/>
                <w:color w:val="auto"/>
              </w:rPr>
            </w:pPr>
          </w:p>
        </w:tc>
      </w:tr>
      <w:tr>
        <w:trPr>
          <w:trHeight w:val="169"/>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45,644</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19,482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737</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66,414</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2020</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3.39 %</w:t>
            </w:r>
          </w:p>
        </w:tc>
        <w:tc>
          <w:tcPr>
            <w:tcW w:w="0" w:type="dxa"/>
            <w:vAlign w:val="bottom"/>
          </w:tcPr>
          <w:p>
            <w:pPr>
              <w:spacing w:after="0"/>
              <w:rPr>
                <w:sz w:val="1"/>
                <w:szCs w:val="1"/>
                <w:color w:val="auto"/>
              </w:rPr>
            </w:pPr>
          </w:p>
        </w:tc>
      </w:tr>
      <w:tr>
        <w:trPr>
          <w:trHeight w:val="214"/>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2020 </w:t>
            </w:r>
            <w:r>
              <w:rPr>
                <w:rFonts w:ascii="Arial" w:cs="Arial" w:eastAsia="Arial" w:hAnsi="Arial"/>
                <w:sz w:val="16"/>
                <w:szCs w:val="16"/>
                <w:color w:val="auto"/>
                <w:vertAlign w:val="superscript"/>
              </w:rPr>
              <w:t>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2.33 %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17.6% based on forward rates as of December 31, 2020.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2021 and December 31, 2020, our investments in CRT and non-Agency securities had the following credit ratings (in millions):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CRT</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18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w:t>
            </w: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2021 and December 31, 2020, the weighted average expected constant prepayment rate ("CPR") over the remaining life of our Agency and high credit quality non-Agency RMBS investment portfolio was 11.3% and 17.6%, respectively. Our estimates can differ materially for different securities and thus our individual holdings have a wide range of projected CPRs. The following table summarizes our investments as of March 31, 2021 and December 31, 2020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March 31, 2021</w:t>
            </w: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8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1,382</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3.44%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2.91%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2.15%</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11,039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3.06%</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2.14%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47,740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45,578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3.54%</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2.42%</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48,918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2.08%</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2,636</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2.19%</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1.84%</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5.56%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3.59%</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65,497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63,975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2.39%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63,701</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months ended March 31, 2021 and 2020 by investment classification of accounting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760" w:type="dxa"/>
            <w:vAlign w:val="bottom"/>
          </w:tcPr>
          <w:p>
            <w:pPr>
              <w:jc w:val="center"/>
              <w:ind w:right="51"/>
              <w:spacing w:after="0" w:line="121" w:lineRule="exact"/>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Sale</w:t>
            </w:r>
          </w:p>
        </w:tc>
        <w:tc>
          <w:tcPr>
            <w:tcW w:w="120" w:type="dxa"/>
            <w:vAlign w:val="bottom"/>
          </w:tcPr>
          <w:p>
            <w:pPr>
              <w:spacing w:after="0"/>
              <w:rPr>
                <w:sz w:val="10"/>
                <w:szCs w:val="10"/>
                <w:color w:val="auto"/>
              </w:rPr>
            </w:pPr>
          </w:p>
        </w:tc>
        <w:tc>
          <w:tcPr>
            <w:tcW w:w="7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5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(6,357)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(49,440)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(49,595)</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5,833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49,933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50,089</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49</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2021, we had met all margin call requirements. For additional information regarding our pledged assets, please refer to Note 6.</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2021 and December 31, 2020, we had $55.1 billion and $52.4 billion, respectively, of repurchase agreements outstanding used to fund our investment portfolio. The terms and conditions of our repurchase agreements are typically negotiated on a transaction-by-transaction basis. Our repurchase agreements with original maturities greater than one year may have floating interest rates based on an index plus or minus a fixed spread. The following table summarizes our borrowings under repurchase agreements by their remaining maturities as of March 31, 2021 and December 31, 2020 (dollars in millions):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31, 2021</w:t>
            </w:r>
          </w:p>
        </w:tc>
        <w:tc>
          <w:tcPr>
            <w:tcW w:w="11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Interest</w:t>
            </w:r>
          </w:p>
        </w:tc>
        <w:tc>
          <w:tcPr>
            <w:tcW w:w="16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31,193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0.12 %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29,505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0.22 %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0.18 %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139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7,317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0.28 %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6 to ≤ 9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270</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9 to ≤ 12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0.17 %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316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12 to ≤ 24 months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55,056</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73</w:t>
            </w: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52,366</w:t>
            </w:r>
          </w:p>
        </w:tc>
        <w:tc>
          <w:tcPr>
            <w:tcW w:w="1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0.24 %</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March 31, 2021 and December 31, 2020, $4.3 billion and $11.2 billion, respectively, of our repurchase agreements had a remaining maturity of one business day and none of our repurchase agreements were due on demand. As of March 31, 2021, we had no forward commitments to enter into repurchase agreements. As of December 31, 2020, we had $2.9 billion of forward commitments to enter into repurchase agreements, with a weighted average forward start date of 4 days and a weighted average interest rate of 0.12%. As of March 31, 2021 and December 31, 2020, 45% and 47%,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44% and 46% of our repurchase agreement funding outstanding as of March 31, 2021 and December 31,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2021 and December 31, 2020, we had $16.8 billion and $11.7 billion, respectively, of reverse repurchase agreements outstanding used primarily to borrow securities to cover short sales of U.S. Treasury securities, for which we had associated obligations to return borrowed securities at fair value of $15.1 billion and $11.7 billion, respectively. As of March 31, 2021 and December 31, 2020, $3.3 billion and $3.6 billion, respectively, of our reverse repurchase agreements were with the FICC sourced through BES.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00" w:type="dxa"/>
            <w:vAlign w:val="bottom"/>
            <w:vMerge w:val="restart"/>
          </w:tcPr>
          <w:p>
            <w:pPr>
              <w:spacing w:after="0"/>
              <w:rPr>
                <w:sz w:val="14"/>
                <w:szCs w:val="14"/>
                <w:color w:val="auto"/>
              </w:rPr>
            </w:pPr>
          </w:p>
        </w:tc>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8"/>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U.S. Treasury securities - short</w:t>
            </w:r>
          </w:p>
        </w:tc>
        <w:tc>
          <w:tcPr>
            <w:tcW w:w="42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Obligation to return securities borrowed under reverse</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09"/>
        </w:trPr>
        <w:tc>
          <w:tcPr>
            <w:tcW w:w="4440" w:type="dxa"/>
            <w:vAlign w:val="bottom"/>
            <w:gridSpan w:val="2"/>
            <w:vMerge w:val="continue"/>
            <w:shd w:val="clear" w:color="auto" w:fill="CCEEFF"/>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millions):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March 31, 2021</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 Swaps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14.2</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0.18%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0.02%</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0.15%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840" w:type="dxa"/>
            <w:vAlign w:val="bottom"/>
            <w:gridSpan w:val="2"/>
          </w:tcPr>
          <w:p>
            <w:pPr>
              <w:ind w:left="500"/>
              <w:spacing w:after="0"/>
              <w:rPr>
                <w:sz w:val="20"/>
                <w:szCs w:val="20"/>
                <w:color w:val="auto"/>
              </w:rPr>
            </w:pPr>
            <w:r>
              <w:rPr>
                <w:rFonts w:ascii="Arial" w:cs="Arial" w:eastAsia="Arial" w:hAnsi="Arial"/>
                <w:sz w:val="14"/>
                <w:szCs w:val="14"/>
                <w:b w:val="1"/>
                <w:bCs w:val="1"/>
                <w:color w:val="auto"/>
              </w:rPr>
              <w:t>March 31,</w:t>
            </w:r>
          </w:p>
        </w:tc>
        <w:tc>
          <w:tcPr>
            <w:tcW w:w="1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20" w:type="dxa"/>
            <w:vAlign w:val="bottom"/>
          </w:tcPr>
          <w:p>
            <w:pPr>
              <w:jc w:val="right"/>
              <w:spacing w:after="0"/>
              <w:rPr>
                <w:sz w:val="20"/>
                <w:szCs w:val="20"/>
                <w:color w:val="auto"/>
              </w:rPr>
            </w:pPr>
            <w:r>
              <w:rPr>
                <w:rFonts w:ascii="Arial" w:cs="Arial" w:eastAsia="Arial" w:hAnsi="Arial"/>
                <w:sz w:val="16"/>
                <w:szCs w:val="16"/>
                <w:color w:val="auto"/>
              </w:rPr>
              <w:t>74 %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2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1"/>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left="22"/>
              <w:spacing w:after="0" w:line="13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2"/>
              <w:spacing w:after="0" w:line="135" w:lineRule="exact"/>
              <w:rPr>
                <w:sz w:val="20"/>
                <w:szCs w:val="20"/>
                <w:color w:val="auto"/>
              </w:rPr>
            </w:pPr>
            <w:r>
              <w:rPr>
                <w:rFonts w:ascii="Arial" w:cs="Arial" w:eastAsia="Arial" w:hAnsi="Arial"/>
                <w:sz w:val="14"/>
                <w:szCs w:val="14"/>
                <w:b w:val="1"/>
                <w:bCs w:val="1"/>
                <w:color w:val="auto"/>
                <w:w w:val="95"/>
              </w:rPr>
              <w:t>Months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Pr>
          <w:p>
            <w:pPr>
              <w:jc w:val="center"/>
              <w:ind w:left="2"/>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Pay</w:t>
            </w:r>
          </w:p>
        </w:tc>
        <w:tc>
          <w:tcPr>
            <w:tcW w:w="9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9"/>
        </w:trPr>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97"/>
              </w:rPr>
              <w:t>Expiration Date</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18"/>
                <w:szCs w:val="18"/>
                <w:b w:val="1"/>
                <w:bCs w:val="1"/>
                <w:color w:val="auto"/>
                <w:w w:val="92"/>
                <w:vertAlign w:val="superscript"/>
              </w:rPr>
              <w:t>2</w:t>
            </w: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40" w:type="dxa"/>
            <w:vAlign w:val="bottom"/>
          </w:tcPr>
          <w:p>
            <w:pPr>
              <w:jc w:val="center"/>
              <w:ind w:left="2"/>
              <w:spacing w:after="0"/>
              <w:rPr>
                <w:sz w:val="20"/>
                <w:szCs w:val="20"/>
                <w:color w:val="auto"/>
              </w:rPr>
            </w:pPr>
            <w:r>
              <w:rPr>
                <w:rFonts w:ascii="Arial" w:cs="Arial" w:eastAsia="Arial" w:hAnsi="Arial"/>
                <w:sz w:val="16"/>
                <w:szCs w:val="16"/>
                <w:color w:val="auto"/>
                <w:w w:val="89"/>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5,400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9.0</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040" w:type="dxa"/>
            <w:vAlign w:val="bottom"/>
          </w:tcPr>
          <w:p>
            <w:pPr>
              <w:jc w:val="center"/>
              <w:ind w:left="2"/>
              <w:spacing w:after="0"/>
              <w:rPr>
                <w:sz w:val="20"/>
                <w:szCs w:val="20"/>
                <w:color w:val="auto"/>
              </w:rPr>
            </w:pPr>
            <w:r>
              <w:rPr>
                <w:rFonts w:ascii="Arial" w:cs="Arial" w:eastAsia="Arial" w:hAnsi="Arial"/>
                <w:sz w:val="16"/>
                <w:szCs w:val="16"/>
                <w:color w:val="auto"/>
                <w:w w:val="89"/>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4,750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3 year ≤ 4 years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2"/>
              <w:spacing w:after="0"/>
              <w:rPr>
                <w:sz w:val="20"/>
                <w:szCs w:val="20"/>
                <w:color w:val="auto"/>
              </w:rPr>
            </w:pPr>
            <w:r>
              <w:rPr>
                <w:rFonts w:ascii="Arial" w:cs="Arial" w:eastAsia="Arial" w:hAnsi="Arial"/>
                <w:sz w:val="16"/>
                <w:szCs w:val="16"/>
                <w:color w:val="auto"/>
                <w:w w:val="89"/>
              </w:rPr>
              <w:t>37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w w:val="89"/>
              </w:rPr>
              <w:t>19</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13,150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1.92%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9.6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9.2</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40" w:type="dxa"/>
            <w:vAlign w:val="bottom"/>
          </w:tcPr>
          <w:p>
            <w:pPr>
              <w:jc w:val="center"/>
              <w:ind w:left="2"/>
              <w:spacing w:after="0"/>
              <w:rPr>
                <w:sz w:val="20"/>
                <w:szCs w:val="20"/>
                <w:color w:val="auto"/>
              </w:rPr>
            </w:pPr>
            <w:r>
              <w:rPr>
                <w:rFonts w:ascii="Arial" w:cs="Arial" w:eastAsia="Arial" w:hAnsi="Arial"/>
                <w:sz w:val="16"/>
                <w:szCs w:val="16"/>
                <w:color w:val="auto"/>
                <w:w w:val="89"/>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3 year ≤ 4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w w:val="89"/>
              </w:rPr>
              <w:t>40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2"/>
              <w:spacing w:after="0"/>
              <w:rPr>
                <w:sz w:val="20"/>
                <w:szCs w:val="20"/>
                <w:color w:val="auto"/>
              </w:rPr>
            </w:pPr>
            <w:r>
              <w:rPr>
                <w:rFonts w:ascii="Arial" w:cs="Arial" w:eastAsia="Arial" w:hAnsi="Arial"/>
                <w:sz w:val="16"/>
                <w:szCs w:val="16"/>
                <w:color w:val="auto"/>
                <w:w w:val="89"/>
              </w:rPr>
              <w:t>15</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March 31, 2021 and December 31, 2020, ≤ 1 year notional amount includes $700 million of Bermudan swaptions where the options may be exercised on predetermined dates up to their final exercise date, which is six months prior to the underlying swaps' maturity date.</w:t>
      </w:r>
    </w:p>
    <w:p>
      <w:pPr>
        <w:ind w:left="660" w:right="2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March 31, 2021, 20% and 80% of the underlying swap receive rates were tied to 3-Month LIBOR and SOFR, respectively. As of December 31, 2020, 33% and 67% of the underlying payer swap receive rates were tied to 3-Month LIBOR and SOFR,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Treasury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Face Amount</w:t>
            </w:r>
          </w:p>
        </w:tc>
        <w:tc>
          <w:tcPr>
            <w:tcW w:w="120" w:type="dxa"/>
            <w:vAlign w:val="bottom"/>
          </w:tcPr>
          <w:p>
            <w:pPr>
              <w:spacing w:after="0"/>
              <w:rPr>
                <w:sz w:val="11"/>
                <w:szCs w:val="11"/>
                <w:color w:val="auto"/>
              </w:rPr>
            </w:pPr>
          </w:p>
        </w:tc>
        <w:tc>
          <w:tcPr>
            <w:tcW w:w="10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8"/>
              </w:rPr>
              <w:t xml:space="preserve">Cost Basis </w:t>
            </w:r>
            <w:r>
              <w:rPr>
                <w:rFonts w:ascii="Arial" w:cs="Arial" w:eastAsia="Arial" w:hAnsi="Arial"/>
                <w:sz w:val="18"/>
                <w:szCs w:val="18"/>
                <w:b w:val="1"/>
                <w:bCs w:val="1"/>
                <w:color w:val="auto"/>
                <w:w w:val="98"/>
                <w:vertAlign w:val="superscript"/>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2"/>
              <w:spacing w:after="0" w:line="135" w:lineRule="exact"/>
              <w:rPr>
                <w:sz w:val="20"/>
                <w:szCs w:val="20"/>
                <w:color w:val="auto"/>
              </w:rPr>
            </w:pPr>
            <w:r>
              <w:rPr>
                <w:rFonts w:ascii="Arial" w:cs="Arial" w:eastAsia="Arial" w:hAnsi="Arial"/>
                <w:sz w:val="14"/>
                <w:szCs w:val="14"/>
                <w:b w:val="1"/>
                <w:bCs w:val="1"/>
                <w:color w:val="auto"/>
                <w:w w:val="99"/>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1"/>
              </w:rPr>
              <w:t xml:space="preserve">Cost Basis </w:t>
            </w:r>
            <w:r>
              <w:rPr>
                <w:rFonts w:ascii="Arial" w:cs="Arial" w:eastAsia="Arial" w:hAnsi="Arial"/>
                <w:sz w:val="18"/>
                <w:szCs w:val="18"/>
                <w:b w:val="1"/>
                <w:bCs w:val="1"/>
                <w:color w:val="auto"/>
                <w:w w:val="91"/>
                <w:vertAlign w:val="superscript"/>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12"/>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(15,527)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(15,538)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(11,288)</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(11,368)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March 31, 2021 and December 31, 2020, short U.S. Treasury securities had a weighted average yield of 1.17% and 1.20%,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1"/>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9"/>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2"/>
        </w:trPr>
        <w:tc>
          <w:tcPr>
            <w:tcW w:w="2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tcPr>
          <w:p>
            <w:pPr>
              <w:jc w:val="right"/>
              <w:ind w:right="210"/>
              <w:spacing w:after="0" w:line="175"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8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(2,695)</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6,708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10,294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20,314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14,855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26,774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27,707</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27,137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24,779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months ended March 31, 2021 and 2020 (in millions):</w:t>
      </w:r>
    </w:p>
    <w:tbl>
      <w:tblPr>
        <w:tblLayout w:type="fixed"/>
        <w:tblInd w:w="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w w:val="99"/>
              </w:rPr>
              <w:t>Beginning</w:t>
            </w:r>
          </w:p>
        </w:tc>
        <w:tc>
          <w:tcPr>
            <w:tcW w:w="1240" w:type="dxa"/>
            <w:vAlign w:val="bottom"/>
          </w:tcPr>
          <w:p>
            <w:pPr>
              <w:spacing w:after="0"/>
              <w:rPr>
                <w:sz w:val="11"/>
                <w:szCs w:val="11"/>
                <w:color w:val="auto"/>
              </w:rPr>
            </w:pP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5"/>
              </w:rPr>
              <w:t>Termination,</w:t>
            </w:r>
          </w:p>
        </w:tc>
        <w:tc>
          <w:tcPr>
            <w:tcW w:w="30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2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9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Additions</w:t>
            </w: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7"/>
              </w:rPr>
              <w:t>Expiration or</w:t>
            </w:r>
          </w:p>
        </w:tc>
        <w:tc>
          <w:tcPr>
            <w:tcW w:w="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Notional Amount</w:t>
            </w:r>
          </w:p>
        </w:tc>
        <w:tc>
          <w:tcPr>
            <w:tcW w:w="1240" w:type="dxa"/>
            <w:vAlign w:val="bottom"/>
            <w:vMerge w:val="continue"/>
          </w:tcPr>
          <w:p>
            <w:pPr>
              <w:spacing w:after="0"/>
              <w:rPr>
                <w:sz w:val="16"/>
                <w:szCs w:val="16"/>
                <w:color w:val="auto"/>
              </w:rPr>
            </w:pPr>
          </w:p>
        </w:tc>
        <w:tc>
          <w:tcPr>
            <w:tcW w:w="120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6"/>
                <w:szCs w:val="16"/>
                <w:color w:val="auto"/>
              </w:rPr>
            </w:pPr>
          </w:p>
        </w:tc>
        <w:tc>
          <w:tcPr>
            <w:tcW w:w="1200" w:type="dxa"/>
            <w:vAlign w:val="bottom"/>
          </w:tcPr>
          <w:p>
            <w:pPr>
              <w:jc w:val="center"/>
              <w:ind w:right="61"/>
              <w:spacing w:after="0" w:line="189" w:lineRule="exact"/>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30,364</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93,336</w:t>
            </w:r>
          </w:p>
        </w:tc>
        <w:tc>
          <w:tcPr>
            <w:tcW w:w="1200" w:type="dxa"/>
            <w:vAlign w:val="bottom"/>
          </w:tcPr>
          <w:p>
            <w:pPr>
              <w:jc w:val="right"/>
              <w:spacing w:after="0"/>
              <w:rPr>
                <w:sz w:val="20"/>
                <w:szCs w:val="20"/>
                <w:color w:val="auto"/>
              </w:rPr>
            </w:pPr>
            <w:r>
              <w:rPr>
                <w:rFonts w:ascii="Arial" w:cs="Arial" w:eastAsia="Arial" w:hAnsi="Arial"/>
                <w:sz w:val="16"/>
                <w:szCs w:val="16"/>
                <w:color w:val="auto"/>
              </w:rPr>
              <w:t>(99,182)</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24,518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43,225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49,725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10,400</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4,250</w:t>
            </w:r>
          </w:p>
        </w:tc>
        <w:tc>
          <w:tcPr>
            <w:tcW w:w="1200" w:type="dxa"/>
            <w:vAlign w:val="bottom"/>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13,150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(11,287)</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(7,261)</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3,021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(15,527)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1,315</w:t>
            </w:r>
          </w:p>
        </w:tc>
        <w:tc>
          <w:tcPr>
            <w:tcW w:w="1200" w:type="dxa"/>
            <w:vAlign w:val="bottom"/>
          </w:tcPr>
          <w:p>
            <w:pPr>
              <w:jc w:val="right"/>
              <w:spacing w:after="0"/>
              <w:rPr>
                <w:sz w:val="20"/>
                <w:szCs w:val="20"/>
                <w:color w:val="auto"/>
              </w:rPr>
            </w:pPr>
            <w:r>
              <w:rPr>
                <w:rFonts w:ascii="Arial" w:cs="Arial" w:eastAsia="Arial" w:hAnsi="Arial"/>
                <w:sz w:val="16"/>
                <w:szCs w:val="16"/>
                <w:color w:val="auto"/>
              </w:rPr>
              <w:t>(1,315)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9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7,322</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37,750</w:t>
            </w:r>
          </w:p>
        </w:tc>
        <w:tc>
          <w:tcPr>
            <w:tcW w:w="1200" w:type="dxa"/>
            <w:vAlign w:val="bottom"/>
          </w:tcPr>
          <w:p>
            <w:pPr>
              <w:jc w:val="right"/>
              <w:spacing w:after="0"/>
              <w:rPr>
                <w:sz w:val="20"/>
                <w:szCs w:val="20"/>
                <w:color w:val="auto"/>
              </w:rPr>
            </w:pPr>
            <w:r>
              <w:rPr>
                <w:rFonts w:ascii="Arial" w:cs="Arial" w:eastAsia="Arial" w:hAnsi="Arial"/>
                <w:sz w:val="16"/>
                <w:szCs w:val="16"/>
                <w:color w:val="auto"/>
              </w:rPr>
              <w:t>(24,793)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20,279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79,075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49,975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46,475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8,850</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2,000</w:t>
            </w:r>
          </w:p>
        </w:tc>
        <w:tc>
          <w:tcPr>
            <w:tcW w:w="1200" w:type="dxa"/>
            <w:vAlign w:val="bottom"/>
          </w:tcPr>
          <w:p>
            <w:pPr>
              <w:jc w:val="right"/>
              <w:spacing w:after="0"/>
              <w:rPr>
                <w:sz w:val="20"/>
                <w:szCs w:val="20"/>
                <w:color w:val="auto"/>
              </w:rPr>
            </w:pPr>
            <w:r>
              <w:rPr>
                <w:rFonts w:ascii="Arial" w:cs="Arial" w:eastAsia="Arial" w:hAnsi="Arial"/>
                <w:sz w:val="16"/>
                <w:szCs w:val="16"/>
                <w:color w:val="auto"/>
              </w:rPr>
              <w:t>(1,300)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9,550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(9,224)</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(6,045)</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11,024</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95</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6,461</w:t>
            </w:r>
          </w:p>
        </w:tc>
        <w:tc>
          <w:tcPr>
            <w:tcW w:w="1200" w:type="dxa"/>
            <w:vAlign w:val="bottom"/>
          </w:tcPr>
          <w:p>
            <w:pPr>
              <w:jc w:val="right"/>
              <w:spacing w:after="0"/>
              <w:rPr>
                <w:sz w:val="20"/>
                <w:szCs w:val="20"/>
                <w:color w:val="auto"/>
              </w:rPr>
            </w:pPr>
            <w:r>
              <w:rPr>
                <w:rFonts w:ascii="Arial" w:cs="Arial" w:eastAsia="Arial" w:hAnsi="Arial"/>
                <w:sz w:val="16"/>
                <w:szCs w:val="16"/>
                <w:color w:val="auto"/>
              </w:rPr>
              <w:t>(2,987)</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3,569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2021,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March 31, 2021, approximately 9% of our tangible stockholder's equity was at risk with the Fixed Income Clearing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March 31, 2021 and December 31, 2020 (in millions):</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Consolidated VIEs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Agreements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55,977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57,318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59,880</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Repurchase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Pr>
          <w:p>
            <w:pPr>
              <w:jc w:val="right"/>
              <w:ind w:right="273"/>
              <w:spacing w:after="0"/>
              <w:rPr>
                <w:sz w:val="20"/>
                <w:szCs w:val="20"/>
                <w:color w:val="auto"/>
              </w:rPr>
            </w:pPr>
            <w:r>
              <w:rPr>
                <w:rFonts w:ascii="Arial" w:cs="Arial" w:eastAsia="Arial" w:hAnsi="Arial"/>
                <w:sz w:val="9"/>
                <w:szCs w:val="9"/>
                <w:b w:val="1"/>
                <w:bCs w:val="1"/>
                <w:color w:val="auto"/>
                <w:w w:val="78"/>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Consolidated VIEs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Agreements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53,401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54,878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$106 million and $119 million of retained interests in our consolidated VIEs pledged as collateral under repurchase agreements as of March 31, 2021 and December 31, 2020, respectively.</w:t>
      </w: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2021 and December 31, 2020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3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of</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Interest on</w:t>
            </w:r>
          </w:p>
        </w:tc>
        <w:tc>
          <w:tcPr>
            <w:tcW w:w="160" w:type="dxa"/>
            <w:vAlign w:val="bottom"/>
          </w:tcPr>
          <w:p>
            <w:pPr>
              <w:spacing w:after="0"/>
              <w:rPr>
                <w:sz w:val="11"/>
                <w:szCs w:val="11"/>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18"/>
                <w:szCs w:val="18"/>
                <w:b w:val="1"/>
                <w:bCs w:val="1"/>
                <w:color w:val="auto"/>
                <w:vertAlign w:val="superscript"/>
              </w:rPr>
              <w:t>1,2</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Pledged Securities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83"/>
        </w:trPr>
        <w:tc>
          <w:tcPr>
            <w:tcW w:w="3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29,674</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8,438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1"/>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54,314</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$106 million and $119 million of retained interests in our consolidated VIEs pledged as collateral under repurchase agreements as of March 31, 2021 and December 31, 2020, respectively.</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$1.4 billion of repledged U.S. Treasury securities received as collateral from counterparties as of March 31,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8"/>
          <w:szCs w:val="18"/>
          <w:color w:val="auto"/>
        </w:rPr>
        <w:t>As of March 31, 2021 and December 31, 2020,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16,633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16,643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11,740</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180"/>
              <w:spacing w:after="0"/>
              <w:rPr>
                <w:sz w:val="20"/>
                <w:szCs w:val="20"/>
                <w:color w:val="auto"/>
              </w:rPr>
            </w:pPr>
            <w:r>
              <w:rPr>
                <w:rFonts w:ascii="Arial" w:cs="Arial" w:eastAsia="Arial" w:hAnsi="Arial"/>
                <w:sz w:val="9"/>
                <w:szCs w:val="9"/>
                <w:b w:val="1"/>
                <w:bCs w:val="1"/>
                <w:color w:val="auto"/>
              </w:rPr>
              <w:t>1</w:t>
            </w: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March 31, 2021, $1.4 billion of U.S. Treasury securities received from counterparties were repledged as collateral. As of March 31, 2021 and December 31, 2020, $15.1 billion and $11.7 billion, respectively, of U.S. Treasury securities received from counterparties were used to cover short sales of U.S. Treasury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2021 and December 31, 2020 (in millions):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w w:val="91"/>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728"/>
              <w:spacing w:after="0" w:line="135" w:lineRule="exact"/>
              <w:rPr>
                <w:sz w:val="20"/>
                <w:szCs w:val="20"/>
                <w:color w:val="auto"/>
              </w:rPr>
            </w:pPr>
            <w:r>
              <w:rPr>
                <w:rFonts w:ascii="Arial" w:cs="Arial" w:eastAsia="Arial" w:hAnsi="Arial"/>
                <w:sz w:val="14"/>
                <w:szCs w:val="14"/>
                <w:b w:val="1"/>
                <w:bCs w:val="1"/>
                <w:color w:val="auto"/>
                <w:w w:val="96"/>
              </w:rPr>
              <w:t>in the</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Pr>
          <w:p>
            <w:pPr>
              <w:spacing w:after="0"/>
              <w:rPr>
                <w:sz w:val="16"/>
                <w:szCs w:val="16"/>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6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93"/>
              </w:rPr>
              <w:t>Assets Presented</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Balance Sheets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06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18"/>
                <w:szCs w:val="18"/>
                <w:b w:val="1"/>
                <w:bCs w:val="1"/>
                <w:color w:val="auto"/>
                <w:vertAlign w:val="superscript"/>
              </w:rPr>
              <w:t>2</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TBA securities, at fair value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TBA securities, at fair value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23495</wp:posOffset>
            </wp:positionV>
            <wp:extent cx="45516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March 31, 2021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TBA securities, at fair value</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Repurchase agreements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December 31, 2020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Repurchase agreements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left="748"/>
              <w:spacing w:after="0" w:line="135"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9"/>
              </w:rPr>
              <w:t>Liabilities</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of Recognized</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line="189" w:lineRule="exact"/>
              <w:rPr>
                <w:sz w:val="20"/>
                <w:szCs w:val="20"/>
                <w:color w:val="auto"/>
              </w:rPr>
            </w:pPr>
            <w:r>
              <w:rPr>
                <w:rFonts w:ascii="Arial" w:cs="Arial" w:eastAsia="Arial" w:hAnsi="Arial"/>
                <w:sz w:val="14"/>
                <w:szCs w:val="14"/>
                <w:b w:val="1"/>
                <w:bCs w:val="1"/>
                <w:color w:val="auto"/>
                <w:w w:val="95"/>
              </w:rPr>
              <w:t xml:space="preserve">Pledged </w:t>
            </w:r>
            <w:r>
              <w:rPr>
                <w:rFonts w:ascii="Arial" w:cs="Arial" w:eastAsia="Arial" w:hAnsi="Arial"/>
                <w:sz w:val="18"/>
                <w:szCs w:val="18"/>
                <w:b w:val="1"/>
                <w:bCs w:val="1"/>
                <w:color w:val="auto"/>
                <w:w w:val="95"/>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55,056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55,645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55,645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(8,448)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52,366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(45,844)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52,366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(6,522)</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-805180</wp:posOffset>
            </wp:positionV>
            <wp:extent cx="707199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-539115</wp:posOffset>
            </wp:positionV>
            <wp:extent cx="70719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-281940</wp:posOffset>
            </wp:positionV>
            <wp:extent cx="707199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-1053465</wp:posOffset>
            </wp:positionV>
            <wp:extent cx="707199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320" w:space="720"/>
            <w:col w:w="7200"/>
          </w:cols>
          <w:pgMar w:left="320" w:top="1089" w:right="339" w:bottom="1440" w:gutter="0" w:footer="0" w:header="0"/>
          <w:type w:val="continuous"/>
        </w:sectPr>
      </w:pPr>
    </w:p>
    <w:p>
      <w:pPr>
        <w:ind w:left="660" w:right="16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March 31, 2021 and December 31, 2020,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1" w:name="page22"/>
    <w:bookmarkEnd w:id="21"/>
    <w:tbl>
      <w:tblPr>
        <w:tblLayout w:type="fixed"/>
        <w:tblInd w:w="4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63,286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64,836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Swaptions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66,162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66,805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Debt of consolidated VIEs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Obligation to return U.S. Treasury securities borrowed under reverse</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Excluded from the table above are financial instruments presented in our consolidated financial statements at cost. The fair value of our repurchase agreements approximated cost as of March 31, 2021 and December 31, 2020, as the rates on our outstanding repurchase agreements largely corresponded to prevailing rates observed in the repo market. The fair value of cash and cash equivalents, restricted cash, receivables and other payables were determined to approximate cost as of March 31, 2021 and December 31, 2020 due to their short duration. We estimate the fair value of these instruments carried at cost using "Level 1" or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51"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 March</w:t>
      </w:r>
    </w:p>
    <w:p>
      <w:pPr>
        <w:jc w:val="center"/>
        <w:ind w:left="8340"/>
        <w:spacing w:after="0"/>
        <w:rPr>
          <w:sz w:val="20"/>
          <w:szCs w:val="20"/>
          <w:color w:val="auto"/>
        </w:rPr>
      </w:pPr>
      <w:r>
        <w:rPr>
          <w:rFonts w:ascii="Arial" w:cs="Arial" w:eastAsia="Arial" w:hAnsi="Arial"/>
          <w:sz w:val="14"/>
          <w:szCs w:val="14"/>
          <w:b w:val="1"/>
          <w:bCs w:val="1"/>
          <w:color w:val="auto"/>
        </w:rPr>
        <w:t>31,</w:t>
      </w:r>
    </w:p>
    <w:p>
      <w:pPr>
        <w:spacing w:after="0" w:line="9"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8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547.5</w:t>
            </w: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548.0</w:t>
            </w: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4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(2,442)</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4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For the three months ended March 31, 2020, 1.2 million of potentially dilutive unvested time and performance based RSUs outstanding were excluded from the computation of diluted net income (loss) per common share because to do so would have been anti-dilutive for the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are authorized to designate and issue up to 10.0 million shares of preferred stock in one or more classes or series. As of March 31, 2021 and December 31,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March 31, 2021 and December 31, 2020, 13,000, 9,400, 16,100 and 23,000 shares of Series C, D, E and F Preferred Stock, respectively, were issued and outstanding. Each share of preferred stock is represented by 1,000 depositary shares. Each share of preferred stock has a liquidation preference of $25,000 per share (or $25 per depositary share).</w:t>
      </w:r>
    </w:p>
    <w:p>
      <w:pPr>
        <w:spacing w:after="0" w:line="1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March 31, 2021 (dollars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Fixed-to-Floating Rate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Optional</w:t>
            </w:r>
          </w:p>
        </w:tc>
        <w:tc>
          <w:tcPr>
            <w:tcW w:w="12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Issuance</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Redemption</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Preference</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Date </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Rate</w:t>
            </w:r>
          </w:p>
        </w:tc>
        <w:tc>
          <w:tcPr>
            <w:tcW w:w="0" w:type="dxa"/>
            <w:vAlign w:val="bottom"/>
          </w:tcPr>
          <w:p>
            <w:pPr>
              <w:spacing w:after="0"/>
              <w:rPr>
                <w:sz w:val="1"/>
                <w:szCs w:val="1"/>
                <w:color w:val="auto"/>
              </w:rPr>
            </w:pPr>
          </w:p>
        </w:tc>
      </w:tr>
      <w:tr>
        <w:trPr>
          <w:trHeight w:val="128"/>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7.000%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09"/>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March 6, 2019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6.875%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E</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October 3, 2019</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6.500%</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79"/>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F</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February 11, 2020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6.125%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As of March 31, 2021, shares of our common stock with an aggregate offering price of $26 million remained authorized for issuance under this program through June 14,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October 2020, our Board of Directors authorized the repurchase of up to $1 billion of our outstanding common stock through December 31, 2021. During the three months ended March 31, 2021, we repurchased 15.0 million shares, or $239 million, of our common stock for an average repurchase price of $16.00 per common share, inclusive of transaction cost and including amounts repurchased in December 2020 that settled in January 2021. As of March 31, 2021, we had $0.7 billion of common stock remaining available for repurchase through December 31, 2021.</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may repurchase shares in the open market or through privately negotiated transactions or pursuant to a trading plan that may be adopted in accordance with Rule 10b5-1 of the Securities Exchange Act of 1934, as amended (the "Exchange Act"). We intend to repurchase shares under the stock repurchase program only when the repurchase price is less than our then-current estimate of our tangible net book value per common share.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2021 and 2020 (in millions):</w:t>
      </w:r>
    </w:p>
    <w:p>
      <w:pPr>
        <w:spacing w:after="0" w:line="11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9"/>
              </w:rPr>
              <w:t>Three Months Ended March</w:t>
            </w:r>
          </w:p>
        </w:tc>
        <w:tc>
          <w:tcPr>
            <w:tcW w:w="0" w:type="dxa"/>
            <w:vAlign w:val="bottom"/>
          </w:tcPr>
          <w:p>
            <w:pPr>
              <w:spacing w:after="0"/>
              <w:rPr>
                <w:sz w:val="1"/>
                <w:szCs w:val="1"/>
                <w:color w:val="auto"/>
              </w:rPr>
            </w:pPr>
          </w:p>
        </w:tc>
      </w:tr>
      <w:tr>
        <w:trPr>
          <w:trHeight w:val="186"/>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0"/>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35"/>
        </w:trPr>
        <w:tc>
          <w:tcPr>
            <w:tcW w:w="7360" w:type="dxa"/>
            <w:vAlign w:val="bottom"/>
            <w:gridSpan w:val="2"/>
          </w:tcPr>
          <w:p>
            <w:pPr>
              <w:ind w:left="180"/>
              <w:spacing w:after="0" w:line="135" w:lineRule="exact"/>
              <w:rPr>
                <w:sz w:val="20"/>
                <w:szCs w:val="20"/>
                <w:color w:val="auto"/>
              </w:rPr>
            </w:pPr>
            <w:r>
              <w:rPr>
                <w:rFonts w:ascii="Arial" w:cs="Arial" w:eastAsia="Arial" w:hAnsi="Arial"/>
                <w:sz w:val="14"/>
                <w:szCs w:val="14"/>
                <w:color w:val="auto"/>
                <w:w w:val="99"/>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2021.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4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Optimism regarding the potential for a strong economic recovery in the second half of 2021 pushed most risk-asset prices higher in the first quarter of 2021. The improved economic outlook and additional fiscal stimulus led to a substantial increase in longer term interest rates and a material steepening of the yield curve during the quarter, with the 10-year U.S. Treasury yield increasing 82 basis points to close the first quarter at 1.74%, nearly 125 basis points above its historical low in August 2020. Despite the sharp rise in rates, Agency RMBS performed well during the quarter, outperforming interest rate hedges. Residential credit performance was mixed and ranged from largely flat to modest increases in valuations.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jc w:val="both"/>
        <w:ind w:firstLine="405"/>
        <w:spacing w:after="0" w:line="263" w:lineRule="auto"/>
        <w:rPr>
          <w:sz w:val="20"/>
          <w:szCs w:val="20"/>
          <w:color w:val="auto"/>
        </w:rPr>
      </w:pPr>
      <w:r>
        <w:rPr>
          <w:rFonts w:ascii="Arial" w:cs="Arial" w:eastAsia="Arial" w:hAnsi="Arial"/>
          <w:sz w:val="18"/>
          <w:szCs w:val="18"/>
          <w:color w:val="auto"/>
        </w:rPr>
        <w:t>For the first quarter, we earned an economic return of 8.2%, comprised of $1.01 increase in tangible net book value per common share and $0.36 of dividends per common share. Our performance in the first quarter marks our fourth consecutive quarter of economic returns of 7.5% or more and brings our last twelve-month cumulative economic return to 40.7%.</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Asset positioning remained an important factor in driving our favorable performance during the first quarter. Similar to prior quarters, we benefited from the differing risk profiles of the two primary components of our asset portfolio: low coupon generic securities and higher coupon specified pool securities, which together have bolstered our performance across a wide range of interest rate and spread scenarios over the past twelve months. During the first quarter, our higher coupon specified pools benefited from the steep rise in rates and corresponding reduction in prepayment expectations. This contrasts with the third and fourth quarters of 2020, during which our lower coupon generic securities outperformed as mortgage rates declined to historic lows and drove mortgage prepayment rates to a 20-year high. Our hedge portfolio, which was mainly comprised of intermediate and longer-term hedges, also contributed significantly to our positive first quarter results as hedge gains exceeded the aggregate price declines on our asset portfolio.</w:t>
      </w:r>
    </w:p>
    <w:p>
      <w:pPr>
        <w:spacing w:after="0" w:line="11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March 31, 2021, our investment portfolio totaled $90.3 billion, compared to $97.9 billion as of December 31, 2020 and consisted of $63.6 billion Agency RMBS, $24.8 billion net TBA securities, and $1.9 billion of CRT and non-Agency securities. Our "at risk" leverage, as of March 31, 2021, was 7.7x our tangible equity, compared to 8.5x as of December 31, 2020. Our liquidity position, consisting of unencumbered Agency RMBS, US Treasury securities and cash and excluding both unencumbered credit assets and assets held at our broker-dealer subsidiary, was largely unchanged during the first quarter at $5.2 billion as of March 31, 2021, compared to $5.4 billion as of December 31, 2020, or 48% and 51%, respectively, of our tangible equity. The average prepayment rate on our Agency RMBS holdings during the first quarter was 24.6%, down from 27.6% for the fourth quarter of 2020. Consistent with the significant increase in primary mortgage rates of approximately 50 basis points over the first quarter, our average CPR forecast for the remaining life of our Agency RMBS decreased to 11.3% as of March 31, 2021, from 17.6% as of December 31, 2020.</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interest rate exposure remained limited during the first quarter as we managed the size and composition of our hedge position in response to changing market conditions. We proactively increased our interest rate hedge portfolio during the first quarter to $79 billion through the addition of interest rate swaps, swaptions and U.S. Treasury hedges to provide incremental protection against rising interest rates. As of March 31, 2021, our interest rate hedges totaled 98% of our funding liabilities, up from 80% as of December 31, 2020 and from a twelve-month low of 66% at the end of the second quarter of 2020. As of March 31, 2021, 72% of our hedges had a maturity of four years or more, which was a significant contributor to our first quarter hedge performance given the sharp rise in longer term rates. Consistent with the increase in interest rates and the corresponding extension of mortgage durations during the quarter, our duration gap, which is a measure of the difference between the interest rate sensitivity of our assets and liabilities, inclusive of our interest rate hedges, increased to 0.6 years as of March 31, 2021 from -0.5 years as of December 31, 2020.</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Net spread and dollar roll income (a non-GAAP measure) was $0.76 per diluted common share for the first quarter, which excludes a "catch-up" premium amortization benefit of $0.40 per diluted common share due to changes in CPR projections for securities acquired prior to the first quarter. This compares to net spread and dollar roll income of $0.75 and $0.57 per diluted common share for the fourth and first quarters of 2020, respectively, excluding $0.44 and $0.20 of "catch-up" premium amortization expense, respectively. The marginal improvement in net spread and dollar roll income for the first quarter was due to the combination of lower funding costs, the sharp decline in CPR projections, and earnings accretion due to common stock share repurchases, which more than offset our lower operating leverage and an overall decline in asset yields during the quarter. (Please refer to Results of Operations below for further information regarding non-GAAP measures.)</w:t>
      </w:r>
    </w:p>
    <w:p>
      <w:pPr>
        <w:spacing w:after="0" w:line="1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average asset yield, excluding "catch-up" amortization and including the implied yield on our TBA securities, declined to 2.02% for the first quarter, compared to 2.07% for the fourth quarter and to 2.97% for the first quarter 2020, as lower prevailing yields on new asset purchases outweighed the yield improvement due to lower CPR projections.</w:t>
      </w:r>
    </w:p>
    <w:p>
      <w:pPr>
        <w:spacing w:after="0" w:line="13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funding environment for Agency RMBS remained very favorable during the first quarter, with our average repo funding cost declining to 21 basis points from 38 basis points for the fourth quarter and 180 basis points for the first quarter 2020. As of March 31, 2021, our average repo rate was 0.15%, compared to 0.24% as of December 31, 2020. Favorable repo rates, and even lower implied financing rates in the TBA dollar roll market, more than offset a modest increase in our interest rate swap costs during the first quarter. Our aggregate cost of funds, including implied TBA dollar roll funding and interest rate swap costs, for the first quarter was 0.02%, compared to 0.05% for the fourth quarter and 1.67% for the first quarter of 2020.</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Looking ahead, we expect that the near zero short-term interest rate environment is likely to remain in place through at least 2023 and the Federal Reserve ("Fed") is unlikely to begin tapering its Agency RMBS purchases before 2022, with any such tapering likely to gradually occur over a multi-month period. The Fed has also indicated it will communicate its intentions well in advance of taking any such action to reduce market uncertainty. Importantly, even after the Fed completes the taper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process, it has indicated that it intends to continue to reinvest portfolio paydowns for an extended period of time. Against this backdrop, we believe the Agency RMBS sector remains attractive, particularly when compared on a relative value basis to other asset classes. Nonetheless, given the significant spread tightening that has occurred in the sector relative to benchmark interest rates, we chose to operate with sequentially lower leverage in recent quarters. Going forward, we may choose to operate at somewhat lower leverage levels than the first quarter of 2021 to mitigate the potential downside risk to our tangible net book value associated with reduced Fed purchases and future spread widening, as well as to provide capacity for us to increase leverage opportunistically when expected return levels are more favorable.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Mar. 31,</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 31, 2021</w:t>
            </w:r>
          </w:p>
        </w:tc>
        <w:tc>
          <w:tcPr>
            <w:tcW w:w="0" w:type="dxa"/>
            <w:vAlign w:val="bottom"/>
          </w:tcPr>
          <w:p>
            <w:pPr>
              <w:spacing w:after="0"/>
              <w:rPr>
                <w:sz w:val="1"/>
                <w:szCs w:val="1"/>
                <w:color w:val="auto"/>
              </w:rPr>
            </w:pPr>
          </w:p>
        </w:tc>
      </w:tr>
      <w:tr>
        <w:trPr>
          <w:trHeight w:val="135"/>
        </w:trPr>
        <w:tc>
          <w:tcPr>
            <w:tcW w:w="536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9"/>
        </w:trPr>
        <w:tc>
          <w:tcPr>
            <w:tcW w:w="536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2020</w:t>
            </w:r>
          </w:p>
        </w:tc>
        <w:tc>
          <w:tcPr>
            <w:tcW w:w="0" w:type="dxa"/>
            <w:vAlign w:val="bottom"/>
          </w:tcPr>
          <w:p>
            <w:pPr>
              <w:spacing w:after="0"/>
              <w:rPr>
                <w:sz w:val="1"/>
                <w:szCs w:val="1"/>
                <w:color w:val="auto"/>
              </w:rPr>
            </w:pPr>
          </w:p>
        </w:tc>
      </w:tr>
      <w:tr>
        <w:trPr>
          <w:trHeight w:val="183"/>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SOFR Rate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0.10%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0.08%</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0.01%</w:t>
            </w:r>
          </w:p>
        </w:tc>
        <w:tc>
          <w:tcPr>
            <w:tcW w:w="160" w:type="dxa"/>
            <w:vAlign w:val="bottom"/>
          </w:tcPr>
          <w:p>
            <w:pPr>
              <w:spacing w:after="0"/>
              <w:rPr>
                <w:sz w:val="16"/>
                <w:szCs w:val="16"/>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4"/>
                <w:szCs w:val="14"/>
                <w:color w:val="auto"/>
              </w:rPr>
              <w:t>-6 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 Interest Rate Swap Rate:</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0.09%</w:t>
            </w:r>
          </w:p>
        </w:tc>
        <w:tc>
          <w:tcPr>
            <w:tcW w:w="16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0.12%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0.08%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0.13%</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0.24%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0.47%</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0.71%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1.52%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0.13%</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0.16%</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0.28%</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0.36%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0.69%</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0.92%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1.74%</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1.32%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1.46%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$100.66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$101.05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$96.59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-$4.46</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$102.33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$103.39</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$103.88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$99.70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-$4.18</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$104.26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$104.90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$105.41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$102.55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-$2.86</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$105.33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$104.75</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$104.77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-$0.64</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$105.40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$105.66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$105.63</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-$0.03</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$105.98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$106.64</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$106.78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$107.31</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+$0.53</w:t>
            </w:r>
          </w:p>
        </w:tc>
        <w:tc>
          <w:tcPr>
            <w:tcW w:w="0" w:type="dxa"/>
            <w:vAlign w:val="bottom"/>
          </w:tcPr>
          <w:p>
            <w:pPr>
              <w:spacing w:after="0"/>
              <w:rPr>
                <w:sz w:val="1"/>
                <w:szCs w:val="1"/>
                <w:color w:val="auto"/>
              </w:rPr>
            </w:pPr>
          </w:p>
        </w:tc>
      </w:tr>
      <w:tr>
        <w:trPr>
          <w:trHeight w:val="188"/>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N/A</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$102.31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$102.89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$100.40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-$2.49</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$103.95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$104.55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$102.61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-$1.94</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$103.72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$104.44</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$104.30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-$0.24</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$104.94</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$104.97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$105.59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+$0.62</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$105.19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$105.06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$105.81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$106.03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$106.69</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+$0.66</w:t>
            </w:r>
          </w:p>
        </w:tc>
        <w:tc>
          <w:tcPr>
            <w:tcW w:w="0" w:type="dxa"/>
            <w:vAlign w:val="bottom"/>
          </w:tcPr>
          <w:p>
            <w:pPr>
              <w:spacing w:after="0"/>
              <w:rPr>
                <w:sz w:val="1"/>
                <w:szCs w:val="1"/>
                <w:color w:val="auto"/>
              </w:rPr>
            </w:pPr>
          </w:p>
        </w:tc>
      </w:tr>
      <w:tr>
        <w:trPr>
          <w:trHeight w:val="182"/>
        </w:trPr>
        <w:tc>
          <w:tcPr>
            <w:tcW w:w="520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$105.56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$105.75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$106.15</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$106.28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$106.34</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+$0.06</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5" w:lineRule="exact"/>
        <w:rPr>
          <w:sz w:val="20"/>
          <w:szCs w:val="20"/>
          <w:color w:val="auto"/>
        </w:rPr>
      </w:pPr>
    </w:p>
    <w:p>
      <w:pPr>
        <w:ind w:left="660" w:hanging="328"/>
        <w:spacing w:after="0" w:line="27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in the table above were obtained from Barclays. Interest and LIBOR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2021 and December 31, 2020, our investment portfolio consisted of $65.5 billion and $66.4 billion of investment securities, at fair value, respectively, and $24.8 billion and $31.5 billion of TBA securities, at fair value, respectively. The following table is a summary of our investment portfolio as of March 31, 2021 and December 31, 2020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2021</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gridSpan w:val="2"/>
          </w:tcPr>
          <w:p>
            <w:pPr>
              <w:ind w:left="260"/>
              <w:spacing w:after="0" w:line="189"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6,980</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2.49 %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45,026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52,663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3.55 %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line="193"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27,137</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24,288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71,338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72,163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77,162</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18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87,014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87,901</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93,181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79"/>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CMO</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5.59 %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4.10 %</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4.10 %</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87,420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88,335</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93,661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96,610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79"/>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3.16 %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4.28 %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1"/>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89,330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90,276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94,905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97,893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10-Q.</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March 31, 2021 and December 31, 2020, our TBA positions had a net carrying value of $(576) million and $275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2021 and December 31, 2020, the weighted average yield on our investment securities (excluding TBA securities) was 2.39% and 2.33%,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 2021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0.99%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5,747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105.7%</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27%</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103.0%</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2.82%</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1.53%</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4.74%</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2,627</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103.4%</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3.27%</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13,545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2.80%</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3.44%</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4,314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3.74%</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13,851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68,450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71,338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72,163</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45%</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104.7%</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4.19%</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83,683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87,901</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104.2%</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3.81%</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2021, lower balance specified pools had a weighted average original loan balance of $119,000 and $116,000 for 15-year and 30-year securities, respectively, and HARP pools had a weighted average original LTV of 127% and 137%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line="122" w:lineRule="exact"/>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0"/>
                <w:szCs w:val="10"/>
                <w:color w:val="auto"/>
              </w:rPr>
            </w:pPr>
          </w:p>
        </w:tc>
        <w:tc>
          <w:tcPr>
            <w:tcW w:w="116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4.63%</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103.1%</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3.09%</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18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89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4.73%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20%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103.2%</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3.34%</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23,805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24,628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2.89%</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3,709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17%</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3.74%</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21%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71,882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74,600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77,162</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48%</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104.3%</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4.17%</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104.0%</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3.98%</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60"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2020, lower balance specified pools had a weighted average original loan balance of $117,000 and $117,000 for 15-year and 30-year securities, respectively, and HARP pools had a weighted average original LTV of 126% and 137% for 15-year and 30-year securities, respectively.</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2020.</w:t>
      </w:r>
    </w:p>
    <w:p>
      <w:pPr>
        <w:spacing w:after="0" w:line="15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additional details regarding our CRT and non-Agency securities, including credit ratings, as of March 31, 2021 and December 31, 2020, please refer to Note 3 of our Consolidated Financial Statements in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1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52" w:lineRule="exact"/>
        <w:rPr>
          <w:sz w:val="20"/>
          <w:szCs w:val="20"/>
          <w:color w:val="auto"/>
        </w:rPr>
      </w:pPr>
    </w:p>
    <w:p>
      <w:pPr>
        <w:jc w:val="both"/>
        <w:ind w:right="20" w:firstLine="445"/>
        <w:spacing w:after="0" w:line="278"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2021 and December 31, 2020 and condensed consolidated statements of comprehensive income and key statistics for the three months ended March 31, 2021 and 2020 (in millions, except per share amounts):</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2"/>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66,414</w:t>
            </w:r>
          </w:p>
        </w:tc>
      </w:t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85,545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81,817</w:t>
            </w: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52,543</w:t>
            </w:r>
          </w:p>
        </w:tc>
      </w:t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74,181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70,738</w:t>
            </w: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11,079</w:t>
            </w:r>
          </w:p>
        </w:tc>
      </w:tr>
      <w:tr>
        <w:trPr>
          <w:trHeight w:val="216"/>
        </w:trPr>
        <w:tc>
          <w:tcPr>
            <w:tcW w:w="69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17.68</w:t>
            </w:r>
          </w:p>
        </w:tc>
      </w:tr>
      <w:tr>
        <w:trPr>
          <w:trHeight w:val="216"/>
        </w:trPr>
        <w:tc>
          <w:tcPr>
            <w:tcW w:w="69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tbl>
      <w:tblPr>
        <w:tblLayout w:type="fixed"/>
        <w:tblInd w:w="70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84"/>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11"/>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3"/>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1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(2,463)</w:t>
            </w:r>
          </w:p>
        </w:tc>
      </w:tr>
      <w:tr>
        <w:trPr>
          <w:trHeight w:val="21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(2,421)</w:t>
            </w:r>
          </w:p>
        </w:tc>
      </w:tr>
      <w:tr>
        <w:trPr>
          <w:trHeight w:val="21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(2,421)</w:t>
            </w:r>
          </w:p>
        </w:tc>
      </w:tr>
      <w:tr>
        <w:trPr>
          <w:trHeight w:val="21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09"/>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(1,957)</w:t>
            </w:r>
          </w:p>
        </w:tc>
      </w:tr>
      <w:tr>
        <w:trPr>
          <w:trHeight w:val="21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6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8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211"/>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56,641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94,933</w:t>
            </w:r>
          </w:p>
        </w:tc>
      </w:tr>
      <w:tr>
        <w:trPr>
          <w:trHeight w:val="213"/>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58,948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97,889</w:t>
            </w:r>
          </w:p>
        </w:tc>
      </w:tr>
      <w:tr>
        <w:trPr>
          <w:trHeight w:val="21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32,022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7,487</w:t>
            </w:r>
          </w:p>
        </w:tc>
      </w:tr>
      <w:tr>
        <w:trPr>
          <w:trHeight w:val="213"/>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79,415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113,930</w:t>
            </w:r>
          </w:p>
        </w:tc>
      </w:tr>
      <w:tr>
        <w:trPr>
          <w:trHeight w:val="21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54,602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93,538</w:t>
            </w: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11,312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10,735</w:t>
            </w:r>
          </w:p>
        </w:tc>
      </w:tr>
    </w:tbl>
    <w:p>
      <w:pPr>
        <w:spacing w:after="0" w:line="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5</w:t>
            </w:r>
          </w:p>
        </w:tc>
        <w:tc>
          <w:tcPr>
            <w:tcW w:w="2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8.0:1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r>
      <w:tr>
        <w:trPr>
          <w:trHeight w:val="216"/>
        </w:trPr>
        <w:tc>
          <w:tcPr>
            <w:tcW w:w="6200" w:type="dxa"/>
            <w:vAlign w:val="bottom"/>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6</w:t>
            </w:r>
          </w:p>
        </w:tc>
        <w:tc>
          <w:tcPr>
            <w:tcW w:w="2560" w:type="dxa"/>
            <w:vAlign w:val="bottom"/>
          </w:tcPr>
          <w:p>
            <w:pPr>
              <w:jc w:val="right"/>
              <w:ind w:right="419"/>
              <w:spacing w:after="0"/>
              <w:rPr>
                <w:sz w:val="20"/>
                <w:szCs w:val="20"/>
                <w:color w:val="auto"/>
              </w:rPr>
            </w:pPr>
            <w:r>
              <w:rPr>
                <w:rFonts w:ascii="Arial" w:cs="Arial" w:eastAsia="Arial" w:hAnsi="Arial"/>
                <w:sz w:val="16"/>
                <w:szCs w:val="16"/>
                <w:color w:val="auto"/>
              </w:rPr>
              <w:t>7.7:1</w:t>
            </w:r>
          </w:p>
        </w:tc>
        <w:tc>
          <w:tcPr>
            <w:tcW w:w="108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 unannualized </w:t>
            </w:r>
            <w:r>
              <w:rPr>
                <w:rFonts w:ascii="Arial" w:cs="Arial" w:eastAsia="Arial" w:hAnsi="Arial"/>
                <w:sz w:val="18"/>
                <w:szCs w:val="18"/>
                <w:color w:val="auto"/>
                <w:vertAlign w:val="superscript"/>
              </w:rPr>
              <w:t>7</w:t>
            </w:r>
          </w:p>
        </w:tc>
        <w:tc>
          <w:tcPr>
            <w:tcW w:w="2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8.2 %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6200" w:type="dxa"/>
            <w:vAlign w:val="bottom"/>
          </w:tcPr>
          <w:p>
            <w:pPr>
              <w:ind w:left="20"/>
              <w:spacing w:after="0"/>
              <w:rPr>
                <w:sz w:val="20"/>
                <w:szCs w:val="20"/>
                <w:color w:val="auto"/>
              </w:rPr>
            </w:pPr>
            <w:r>
              <w:rPr>
                <w:rFonts w:ascii="Arial" w:cs="Arial" w:eastAsia="Arial" w:hAnsi="Arial"/>
                <w:sz w:val="14"/>
                <w:szCs w:val="14"/>
                <w:color w:val="auto"/>
              </w:rPr>
              <w:t>Expenses % of average total assets - annualized</w:t>
            </w:r>
          </w:p>
        </w:tc>
        <w:tc>
          <w:tcPr>
            <w:tcW w:w="2560" w:type="dxa"/>
            <w:vAlign w:val="bottom"/>
          </w:tcPr>
          <w:p>
            <w:pPr>
              <w:jc w:val="right"/>
              <w:ind w:right="419"/>
              <w:spacing w:after="0"/>
              <w:rPr>
                <w:sz w:val="20"/>
                <w:szCs w:val="20"/>
                <w:color w:val="auto"/>
              </w:rPr>
            </w:pPr>
            <w:r>
              <w:rPr>
                <w:rFonts w:ascii="Arial" w:cs="Arial" w:eastAsia="Arial" w:hAnsi="Arial"/>
                <w:sz w:val="16"/>
                <w:szCs w:val="16"/>
                <w:color w:val="auto"/>
              </w:rPr>
              <w:t>0.12 %</w:t>
            </w:r>
          </w:p>
        </w:tc>
        <w:tc>
          <w:tcPr>
            <w:tcW w:w="1080" w:type="dxa"/>
            <w:vAlign w:val="bottom"/>
          </w:tcPr>
          <w:p>
            <w:pPr>
              <w:jc w:val="right"/>
              <w:spacing w:after="0"/>
              <w:rPr>
                <w:sz w:val="20"/>
                <w:szCs w:val="20"/>
                <w:color w:val="auto"/>
              </w:rPr>
            </w:pPr>
            <w:r>
              <w:rPr>
                <w:rFonts w:ascii="Arial" w:cs="Arial" w:eastAsia="Arial" w:hAnsi="Arial"/>
                <w:sz w:val="16"/>
                <w:szCs w:val="16"/>
                <w:color w:val="auto"/>
              </w:rPr>
              <w:t>0.08 %</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 - annualized</w:t>
            </w:r>
          </w:p>
        </w:tc>
        <w:tc>
          <w:tcPr>
            <w:tcW w:w="2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0.09 %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Expenses % of average stockholders' equity - annualized</w:t>
            </w:r>
          </w:p>
        </w:tc>
        <w:tc>
          <w:tcPr>
            <w:tcW w:w="2560" w:type="dxa"/>
            <w:vAlign w:val="bottom"/>
          </w:tcPr>
          <w:p>
            <w:pPr>
              <w:jc w:val="right"/>
              <w:ind w:right="419"/>
              <w:spacing w:after="0"/>
              <w:rPr>
                <w:sz w:val="20"/>
                <w:szCs w:val="20"/>
                <w:color w:val="auto"/>
              </w:rPr>
            </w:pPr>
            <w:r>
              <w:rPr>
                <w:rFonts w:ascii="Arial" w:cs="Arial" w:eastAsia="Arial" w:hAnsi="Arial"/>
                <w:sz w:val="16"/>
                <w:szCs w:val="16"/>
                <w:color w:val="auto"/>
              </w:rPr>
              <w:t>0.85 %</w:t>
            </w:r>
          </w:p>
        </w:tc>
        <w:tc>
          <w:tcPr>
            <w:tcW w:w="1080" w:type="dxa"/>
            <w:vAlign w:val="bottom"/>
          </w:tcPr>
          <w:p>
            <w:pPr>
              <w:jc w:val="right"/>
              <w:spacing w:after="0"/>
              <w:rPr>
                <w:sz w:val="20"/>
                <w:szCs w:val="20"/>
                <w:color w:val="auto"/>
              </w:rPr>
            </w:pPr>
            <w:r>
              <w:rPr>
                <w:rFonts w:ascii="Arial" w:cs="Arial" w:eastAsia="Arial" w:hAnsi="Arial"/>
                <w:sz w:val="16"/>
                <w:szCs w:val="16"/>
                <w:color w:val="auto"/>
              </w:rPr>
              <w:t>0.86 %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securities (at cost) (together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60" w:hanging="328"/>
        <w:spacing w:after="0" w:line="260" w:lineRule="auto"/>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660" w:right="20" w:hanging="328"/>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months ended March 31, 2021 and 2020,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4"/>
              </w:rPr>
              <w:t>Three Months Ended 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7"/>
        </w:trPr>
        <w:tc>
          <w:tcPr>
            <w:tcW w:w="59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 benefit (cost)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0.99 %</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189"/>
        </w:trPr>
        <w:tc>
          <w:tcPr>
            <w:tcW w:w="592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208"/>
        </w:trPr>
        <w:tc>
          <w:tcPr>
            <w:tcW w:w="592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Economic interest income, excluding "catch-up" amortization (non-GAAP measure) </w:t>
            </w:r>
            <w:r>
              <w:rPr>
                <w:rFonts w:ascii="Arial" w:cs="Arial" w:eastAsia="Arial" w:hAnsi="Arial"/>
                <w:sz w:val="18"/>
                <w:szCs w:val="18"/>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actual portfolio CPR for investment securities held during the period</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920" w:type="dxa"/>
            <w:vAlign w:val="bottom"/>
          </w:tcPr>
          <w:p>
            <w:pPr>
              <w:ind w:left="20"/>
              <w:spacing w:after="0" w:line="135" w:lineRule="exact"/>
              <w:rPr>
                <w:sz w:val="20"/>
                <w:szCs w:val="20"/>
                <w:color w:val="auto"/>
              </w:rPr>
            </w:pPr>
            <w:r>
              <w:rPr>
                <w:rFonts w:ascii="Arial" w:cs="Arial" w:eastAsia="Arial" w:hAnsi="Arial"/>
                <w:sz w:val="14"/>
                <w:szCs w:val="14"/>
                <w:color w:val="auto"/>
                <w:w w:val="98"/>
              </w:rPr>
              <w:t>Weighted average projected CPR for the remaining life of investment securities held as of period</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14.5 %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20"/>
              <w:spacing w:after="0"/>
              <w:rPr>
                <w:sz w:val="20"/>
                <w:szCs w:val="20"/>
                <w:color w:val="auto"/>
              </w:rPr>
            </w:pPr>
            <w:r>
              <w:rPr>
                <w:rFonts w:ascii="Arial" w:cs="Arial" w:eastAsia="Arial" w:hAnsi="Arial"/>
                <w:sz w:val="14"/>
                <w:szCs w:val="14"/>
                <w:color w:val="auto"/>
              </w:rPr>
              <w:t>end</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2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0.67 %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months ended March 31, 2021 compared to the prior year period (in millions):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 March 31, 2021 vs. March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r>
      <w:tr>
        <w:trPr>
          <w:trHeight w:val="131"/>
        </w:trPr>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1" w:lineRule="exact"/>
              <w:rPr>
                <w:sz w:val="20"/>
                <w:szCs w:val="20"/>
                <w:color w:val="auto"/>
              </w:rPr>
            </w:pPr>
            <w:r>
              <w:rPr>
                <w:rFonts w:ascii="Arial" w:cs="Arial" w:eastAsia="Arial" w:hAnsi="Arial"/>
                <w:sz w:val="14"/>
                <w:szCs w:val="14"/>
                <w:b w:val="1"/>
                <w:bCs w:val="1"/>
                <w:color w:val="auto"/>
              </w:rPr>
              <w:t>Asset</w:t>
            </w:r>
          </w:p>
        </w:tc>
      </w:tr>
      <w:tr>
        <w:trPr>
          <w:trHeight w:val="186"/>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169"/>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9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6"/>
        </w:trPr>
        <w:tc>
          <w:tcPr>
            <w:tcW w:w="6720" w:type="dxa"/>
            <w:vAlign w:val="bottom"/>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18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8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1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average investment portfolio, inclusive of TBAs (at cost), decreased 14% for the three months ended March 31, 2021, compared to the prior year period, largely due to lower operating leverage and a decline in our total stockholders' equity outstanding as a result of common stock repurchases. The decrease in the average yield on our investment portfolio of 95 basis points, compared to the prior year period, was largely due to changes in asset composition and lower prevailing yields on new asset purchases.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w:t>
      </w:r>
    </w:p>
    <w:p>
      <w:pPr>
        <w:spacing w:after="0" w:line="11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6"/>
          </w:tcPr>
          <w:p>
            <w:pPr>
              <w:jc w:val="center"/>
              <w:ind w:left="472"/>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2"/>
              <w:spacing w:after="0" w:line="122"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Average Tangible Net</w:t>
            </w:r>
          </w:p>
        </w:tc>
        <w:tc>
          <w:tcPr>
            <w:tcW w:w="13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9"/>
              </w:rPr>
              <w:t>Value "At Risk"</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Ending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21"/>
        </w:trPr>
        <w:tc>
          <w:tcPr>
            <w:tcW w:w="3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6"/>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Daily Amount</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16"/>
                <w:szCs w:val="16"/>
                <w:b w:val="1"/>
                <w:bCs w:val="1"/>
                <w:color w:val="auto"/>
                <w:w w:val="88"/>
                <w:vertAlign w:val="superscript"/>
              </w:rPr>
              <w:t>3</w:t>
            </w:r>
          </w:p>
        </w:tc>
        <w:tc>
          <w:tcPr>
            <w:tcW w:w="13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 xml:space="preserve">Period End </w:t>
            </w:r>
            <w:r>
              <w:rPr>
                <w:rFonts w:ascii="Arial" w:cs="Arial" w:eastAsia="Arial" w:hAnsi="Arial"/>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8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March 31, 2021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57,153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55,221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32,022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25,355</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8.0:1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December 31, 2020</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53,645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55,249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52,543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4"/>
              <w:spacing w:after="0"/>
              <w:rPr>
                <w:sz w:val="20"/>
                <w:szCs w:val="20"/>
                <w:color w:val="auto"/>
              </w:rPr>
            </w:pPr>
            <w:r>
              <w:rPr>
                <w:rFonts w:ascii="Arial" w:cs="Arial" w:eastAsia="Arial" w:hAnsi="Arial"/>
                <w:sz w:val="14"/>
                <w:szCs w:val="14"/>
                <w:color w:val="auto"/>
              </w:rPr>
              <w:t>33,753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31,204</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8.5:1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2020</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104,773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7,487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20,648</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9.9:1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w:t>
      </w:r>
    </w:p>
    <w:p>
      <w:pPr>
        <w:jc w:val="both"/>
        <w:ind w:left="660" w:hanging="328"/>
        <w:spacing w:after="0" w:line="248"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as of period 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months ended March 31, 2021 and 2020 (dollars in millions), which includes the combination of interest expense on Agency repurchase agreements and other debt (GAAP measure), implied financing cost (benefit) of our TBA securities and interest rate swap periodic interest cost (income):</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7"/>
              </w:rPr>
              <w:t>Three Months Ended 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18"/>
                <w:szCs w:val="18"/>
                <w:b w:val="1"/>
                <w:bCs w:val="1"/>
                <w:color w:val="auto"/>
                <w:vertAlign w:val="superscript"/>
              </w:rPr>
              <w:t>1</w:t>
            </w:r>
          </w:p>
        </w:tc>
        <w:tc>
          <w:tcPr>
            <w:tcW w:w="100" w:type="dxa"/>
            <w:vAlign w:val="bottom"/>
          </w:tcPr>
          <w:p>
            <w:pPr>
              <w:spacing w:after="0"/>
              <w:rPr>
                <w:sz w:val="11"/>
                <w:szCs w:val="11"/>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168"/>
              <w:spacing w:after="0" w:line="130"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89"/>
        </w:trPr>
        <w:tc>
          <w:tcPr>
            <w:tcW w:w="5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Funds</w:t>
            </w:r>
          </w:p>
        </w:tc>
        <w:tc>
          <w:tcPr>
            <w:tcW w:w="1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183"/>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Repurchase agreement and other debt - interest expense (GAAP measure)</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0.21 %</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4"/>
                <w:szCs w:val="14"/>
                <w:color w:val="auto"/>
              </w:rPr>
              <w:t xml:space="preserve">Economic interest expense - before interest rate swap periodic cost (income), net </w:t>
            </w:r>
            <w:r>
              <w:rPr>
                <w:rFonts w:ascii="Arial" w:cs="Arial" w:eastAsia="Arial" w:hAnsi="Arial"/>
                <w:sz w:val="18"/>
                <w:szCs w:val="18"/>
                <w:color w:val="auto"/>
                <w:vertAlign w:val="superscript"/>
              </w:rPr>
              <w:t>4</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Interest rate swap periodic interest cost (income), net </w:t>
            </w:r>
            <w:r>
              <w:rPr>
                <w:rFonts w:ascii="Arial" w:cs="Arial" w:eastAsia="Arial" w:hAnsi="Arial"/>
                <w:sz w:val="18"/>
                <w:szCs w:val="18"/>
                <w:color w:val="auto"/>
                <w:vertAlign w:val="superscript"/>
              </w:rPr>
              <w:t>2,5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8"/>
        </w:trPr>
        <w:tc>
          <w:tcPr>
            <w:tcW w:w="59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3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summary of the estimated impact of these elements on our economic interest expense for the three months ended March 31, 2021 compared to the prior year period (in millions):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6703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2021 vs. March 31, 2020</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31"/>
        </w:trPr>
        <w:tc>
          <w:tcPr>
            <w:tcW w:w="6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right"/>
              <w:ind w:right="68"/>
              <w:spacing w:after="0" w:line="131" w:lineRule="exact"/>
              <w:rPr>
                <w:sz w:val="20"/>
                <w:szCs w:val="20"/>
                <w:color w:val="auto"/>
              </w:rPr>
            </w:pPr>
            <w:r>
              <w:rPr>
                <w:rFonts w:ascii="Arial" w:cs="Arial" w:eastAsia="Arial" w:hAnsi="Arial"/>
                <w:sz w:val="14"/>
                <w:szCs w:val="14"/>
                <w:b w:val="1"/>
                <w:bCs w:val="1"/>
                <w:color w:val="auto"/>
                <w:w w:val="92"/>
              </w:rPr>
              <w:t>Borrowing / Swap</w:t>
            </w:r>
          </w:p>
        </w:tc>
      </w:tr>
      <w:tr>
        <w:trPr>
          <w:trHeight w:val="188"/>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17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6"/>
        </w:trPr>
        <w:tc>
          <w:tcPr>
            <w:tcW w:w="622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9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expense/benefit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1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average mortgage borrowings, inclusive of TBAs, decreased 14% for the three months ended March 31, 2021, compared to the prior year period, consistent with the decline in our average investment portfolio due to lower operating leverage and a decline in our total stockholders' equity outstanding as a result of common stock repurchases.</w:t>
      </w:r>
    </w:p>
    <w:p>
      <w:pPr>
        <w:spacing w:after="0" w:line="2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decline in the average interest rate (actual and implied) on our mortgage borrowings for the three months ended March 31, 2021 was due to the combination of very low financing rates available in the Agency repo market and even lower implied financing rates available in the TBA dollar roll market, as repo and dollar roll funding levels benefited from favorable technical supply and demand factors.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our interest rate swap periodic cost for the three months ended March 31, 2021 was primarily due to a decline in the average floating rate received on our interest rate swaps, consistent with lower short-term interest rates, which was partly offset by a decline in the average fixed rate paid on our interest rate swaps. The following table presents a summary of the ratio of our average interest rates swaps outstanding, excluding forward starting swaps, to our average mortgage borrowings and the weighted average pay-fixed / receive-floating rates on our interest rate swaps for the three months ended March 31, 2021 and 2020 (dollars in millions):</w:t>
      </w:r>
    </w:p>
    <w:tbl>
      <w:tblPr>
        <w:tblLayout w:type="fixed"/>
        <w:tblInd w:w="1080" w:type="dxa"/>
        <w:tblCellMar>
          <w:top w:w="0" w:type="dxa"/>
          <w:left w:w="0" w:type="dxa"/>
          <w:bottom w:w="0" w:type="dxa"/>
          <w:right w:w="0" w:type="dxa"/>
        </w:tblCellMar>
      </w:tblP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right"/>
              <w:ind w:right="468"/>
              <w:spacing w:after="0" w:line="148"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74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Ratio of Interest Rate Swaps (Excluding Forward Starting Swaps) to Mortgage Borrowings</w:t>
            </w:r>
          </w:p>
        </w:tc>
        <w:tc>
          <w:tcPr>
            <w:tcW w:w="260" w:type="dxa"/>
            <w:vAlign w:val="bottom"/>
          </w:tcPr>
          <w:p>
            <w:pPr>
              <w:spacing w:after="0"/>
              <w:rPr>
                <w:sz w:val="10"/>
                <w:szCs w:val="10"/>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54,602</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93,538</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7,487</w:t>
            </w:r>
          </w:p>
        </w:tc>
        <w:tc>
          <w:tcPr>
            <w:tcW w:w="0" w:type="dxa"/>
            <w:vAlign w:val="bottom"/>
          </w:tcPr>
          <w:p>
            <w:pPr>
              <w:spacing w:after="0"/>
              <w:rPr>
                <w:sz w:val="1"/>
                <w:szCs w:val="1"/>
                <w:color w:val="auto"/>
              </w:rPr>
            </w:pPr>
          </w:p>
        </w:tc>
      </w:tr>
      <w:tr>
        <w:trPr>
          <w:trHeight w:val="18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86,624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101,025</w:t>
            </w:r>
          </w:p>
        </w:tc>
        <w:tc>
          <w:tcPr>
            <w:tcW w:w="0" w:type="dxa"/>
            <w:vAlign w:val="bottom"/>
          </w:tcPr>
          <w:p>
            <w:pPr>
              <w:spacing w:after="0"/>
              <w:rPr>
                <w:sz w:val="1"/>
                <w:szCs w:val="1"/>
                <w:color w:val="auto"/>
              </w:rPr>
            </w:pPr>
          </w:p>
        </w:tc>
      </w:tr>
      <w:tr>
        <w:trPr>
          <w:trHeight w:val="182"/>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45,211</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71,659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14"/>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0.16 %</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r>
      <w:tr>
        <w:trPr>
          <w:trHeight w:val="18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21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0.11 %</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For the three months ended March 31, 2021 and 2020, we had an average forward starting swap balance of $0.3 billion and $1.5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months ended March 31, 2021 and 2020 was 53% and 72%,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tbl>
      <w:tblPr>
        <w:tblLayout w:type="fixed"/>
        <w:tblInd w:w="10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r>
      <w:tr>
        <w:trPr>
          <w:trHeight w:val="184"/>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4"/>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2.97 %</w:t>
            </w:r>
          </w:p>
        </w:tc>
      </w:tr>
      <w:tr>
        <w:trPr>
          <w:trHeight w:val="186"/>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211"/>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months ended March 31, 2021 and 2020 (dollars in millions):</w:t>
      </w:r>
    </w:p>
    <w:p>
      <w:pPr>
        <w:spacing w:after="0" w:line="84"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Three Months Ended</w:t>
      </w:r>
    </w:p>
    <w:p>
      <w:pPr>
        <w:jc w:val="center"/>
        <w:ind w:left="78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193"/>
        </w:trPr>
        <w:tc>
          <w:tcPr>
            <w:tcW w:w="78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6"/>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Operating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6"/>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18"/>
        </w:trPr>
        <w:tc>
          <w:tcPr>
            <w:tcW w:w="78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spread and dollar roll income, excluding "catch-up" premium amortization, available to common stockholders (non-GAAP</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measure)</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on investment securities for the three months ended March 31, 2021 and 2020 (in millions):</w:t>
      </w:r>
    </w:p>
    <w:p>
      <w:pPr>
        <w:spacing w:after="0" w:line="10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185"/>
        </w:trPr>
        <w:tc>
          <w:tcPr>
            <w:tcW w:w="794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r>
      <w:tr>
        <w:trPr>
          <w:trHeight w:val="183"/>
        </w:trPr>
        <w:tc>
          <w:tcPr>
            <w:tcW w:w="7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w:t>
            </w:r>
          </w:p>
        </w:tc>
      </w:tr>
      <w:tr>
        <w:trPr>
          <w:trHeight w:val="189"/>
        </w:trPr>
        <w:tc>
          <w:tcPr>
            <w:tcW w:w="794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18"/>
                <w:szCs w:val="18"/>
                <w:color w:val="auto"/>
                <w:vertAlign w:val="superscript"/>
              </w:rPr>
              <w:t>2</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8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r>
      <w:tr>
        <w:trPr>
          <w:trHeight w:val="186"/>
        </w:trPr>
        <w:tc>
          <w:tcPr>
            <w:tcW w:w="794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months ended March 31, 2021 and 2020 (in millions):</w:t>
      </w:r>
    </w:p>
    <w:p>
      <w:pPr>
        <w:spacing w:after="0" w:line="7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Three Months Ended</w:t>
      </w:r>
    </w:p>
    <w:p>
      <w:pPr>
        <w:jc w:val="center"/>
        <w:ind w:left="70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7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84"/>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income (cost),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710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 - dollar roll income,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Payer swaptions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futures - short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w:t>
            </w:r>
          </w:p>
        </w:tc>
      </w:tr>
      <w:tr>
        <w:trPr>
          <w:trHeight w:val="166"/>
        </w:trPr>
        <w:tc>
          <w:tcPr>
            <w:tcW w:w="710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Payer swaptions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86"/>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futures - short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92"/>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21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 (Loss)</w:t>
      </w:r>
    </w:p>
    <w:p>
      <w:pPr>
        <w:spacing w:after="0" w:line="17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For the three months ended March 31, 2021 and 2020, we had estimated taxable income (loss) available (attributable) to common stockholders of $(164) million and $111 million, respectively, or $(0.31) and $0.20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months ended March 31, 2021 and 2020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tbl>
      <w:tblPr>
        <w:tblLayout w:type="fixed"/>
        <w:tblInd w:w="30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Three Months EndedMarch 31,</w:t>
            </w:r>
          </w:p>
        </w:tc>
      </w:tr>
      <w:tr>
        <w:trPr>
          <w:trHeight w:val="187"/>
        </w:trPr>
        <w:tc>
          <w:tcPr>
            <w:tcW w:w="6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Net income/(loss)</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w:t>
            </w:r>
          </w:p>
        </w:tc>
      </w:tr>
      <w:tr>
        <w:trPr>
          <w:trHeight w:val="186"/>
        </w:trPr>
        <w:tc>
          <w:tcPr>
            <w:tcW w:w="6440" w:type="dxa"/>
            <w:vAlign w:val="bottom"/>
          </w:tcPr>
          <w:p>
            <w:pPr>
              <w:spacing w:after="0"/>
              <w:rPr>
                <w:sz w:val="20"/>
                <w:szCs w:val="20"/>
                <w:color w:val="auto"/>
              </w:rPr>
            </w:pPr>
            <w:r>
              <w:rPr>
                <w:rFonts w:ascii="Arial" w:cs="Arial" w:eastAsia="Arial" w:hAnsi="Arial"/>
                <w:sz w:val="14"/>
                <w:szCs w:val="14"/>
                <w:color w:val="auto"/>
              </w:rPr>
              <w:t>Book to tax differences: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186"/>
        </w:trPr>
        <w:tc>
          <w:tcPr>
            <w:tcW w:w="6440" w:type="dxa"/>
            <w:vAlign w:val="bottom"/>
          </w:tcPr>
          <w:p>
            <w:pPr>
              <w:ind w:left="12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2,555</w:t>
            </w:r>
          </w:p>
        </w:tc>
      </w:tr>
      <w:tr>
        <w:trPr>
          <w:trHeight w:val="19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6"/>
        </w:trPr>
        <w:tc>
          <w:tcPr>
            <w:tcW w:w="6440" w:type="dxa"/>
            <w:vAlign w:val="bottom"/>
          </w:tcPr>
          <w:p>
            <w:pPr>
              <w:ind w:left="12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19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79"/>
        </w:trPr>
        <w:tc>
          <w:tcPr>
            <w:tcW w:w="64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2,553</w:t>
            </w: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REIT taxable income (loss)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6"/>
        </w:trPr>
        <w:tc>
          <w:tcPr>
            <w:tcW w:w="6440" w:type="dxa"/>
            <w:vAlign w:val="bottom"/>
          </w:tcPr>
          <w:p>
            <w:pPr>
              <w:ind w:left="120"/>
              <w:spacing w:after="0"/>
              <w:rPr>
                <w:sz w:val="20"/>
                <w:szCs w:val="20"/>
                <w:color w:val="auto"/>
              </w:rPr>
            </w:pPr>
            <w:r>
              <w:rPr>
                <w:rFonts w:ascii="Arial" w:cs="Arial" w:eastAsia="Arial" w:hAnsi="Arial"/>
                <w:sz w:val="14"/>
                <w:szCs w:val="14"/>
                <w:color w:val="auto"/>
              </w:rPr>
              <w:t>REIT taxable income attributed to preferred stock</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1"/>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REIT taxable income (loss), attributed to common stock</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533.7</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20"/>
                <w:szCs w:val="20"/>
                <w:color w:val="auto"/>
              </w:rPr>
            </w:pPr>
            <w:r>
              <w:rPr>
                <w:rFonts w:ascii="Arial" w:cs="Arial" w:eastAsia="Arial" w:hAnsi="Arial"/>
                <w:sz w:val="14"/>
                <w:szCs w:val="14"/>
                <w:color w:val="auto"/>
              </w:rPr>
              <w:t>REIT taxable income (loss) per common share - basic</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REIT taxable income (loss) per common share - diluted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Beginning net capital loss carryforward</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6"/>
        </w:trPr>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Increase (decrease) in net capital loss carryforward</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83"/>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Ending net capital loss carryforward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r>
      <w:tr>
        <w:trPr>
          <w:trHeight w:val="186"/>
        </w:trPr>
        <w:tc>
          <w:tcPr>
            <w:tcW w:w="6440" w:type="dxa"/>
            <w:vAlign w:val="bottom"/>
          </w:tcPr>
          <w:p>
            <w:pPr>
              <w:spacing w:after="0"/>
              <w:rPr>
                <w:sz w:val="20"/>
                <w:szCs w:val="20"/>
                <w:color w:val="auto"/>
              </w:rPr>
            </w:pPr>
            <w:r>
              <w:rPr>
                <w:rFonts w:ascii="Arial" w:cs="Arial" w:eastAsia="Arial" w:hAnsi="Arial"/>
                <w:sz w:val="14"/>
                <w:szCs w:val="14"/>
                <w:color w:val="auto"/>
              </w:rPr>
              <w:t>Ending net capital loss carryforward per common share</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r>
      <w:tr>
        <w:trPr>
          <w:trHeight w:val="21"/>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21"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w:t>
      </w:r>
    </w:p>
    <w:p>
      <w:pPr>
        <w:spacing w:after="0" w:line="10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this Form 10-Q.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Financing Sources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7.7x and 8.5x as of March 31, 2021 and December 31, 2020, respectively. The following table includes a summary of our mortgage borrowings outstanding as of March 31, 2021 and December 31, 2020 (dollars in millions). For additional details of our mortgage borrowings refer to Notes 2, 4 and 5 to our Consolidated Financial Statements in this Form 10-Q.</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 2020</w:t>
            </w:r>
          </w:p>
        </w:tc>
        <w:tc>
          <w:tcPr>
            <w:tcW w:w="720" w:type="dxa"/>
            <w:vAlign w:val="bottom"/>
            <w:tcBorders>
              <w:bottom w:val="single" w:sz="8" w:color="auto"/>
            </w:tcBorders>
          </w:tcPr>
          <w:p>
            <w:pPr>
              <w:spacing w:after="0"/>
              <w:rPr>
                <w:sz w:val="16"/>
                <w:szCs w:val="16"/>
                <w:color w:val="auto"/>
              </w:rPr>
            </w:pPr>
          </w:p>
        </w:tc>
      </w:tr>
      <w:tr>
        <w:trPr>
          <w:trHeight w:val="188"/>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Pr>
          <w:p>
            <w:pPr>
              <w:spacing w:after="0"/>
              <w:rPr>
                <w:sz w:val="16"/>
                <w:szCs w:val="16"/>
                <w:color w:val="auto"/>
              </w:rPr>
            </w:pPr>
          </w:p>
        </w:tc>
        <w:tc>
          <w:tcPr>
            <w:tcW w:w="16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184"/>
        </w:trPr>
        <w:tc>
          <w:tcPr>
            <w:tcW w:w="56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18"/>
                <w:szCs w:val="18"/>
                <w:color w:val="auto"/>
                <w:vertAlign w:val="superscript"/>
              </w:rPr>
              <w:t>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55,056</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55,221</w:t>
            </w: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52,543</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TBA position,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r>
      <w:tr>
        <w:trPr>
          <w:trHeight w:val="21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83,747</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March 31, 2021 and December 31, 2020, 44% and 46%, respectively, of our repurchase agreement funding was through the GCF Repo service.</w:t>
      </w:r>
    </w:p>
    <w:p>
      <w:pPr>
        <w:spacing w:after="0" w:line="15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March 31, 2021, we had met all our margin requirements.</w:t>
      </w:r>
    </w:p>
    <w:p>
      <w:pPr>
        <w:spacing w:after="0" w:line="138"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March 31, 2021, our portfolio largely consisted of lower coupon 30 and 15-year TBA securities, which are not subject to monthly principal pay-downs, and higher coupon holdings concentrated in high quality, specified Agency RMBS pools, which have a lower risk of prepayment than similar coupon generic Agency RMBS.</w:t>
      </w:r>
    </w:p>
    <w:p>
      <w:pPr>
        <w:spacing w:after="0" w:line="11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Collateral requirements under our derivative agreements are subject to our counterparties' assessment of their maximum risk of loss associated with the derivative instrument measured over a certain period of time, referred to as the initial or minimum margin requirement.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our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4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Haircut levels and minimum margin requirements imposed by our counterparties reduce the amount of our unencumbered assets and limit the amount we can borrow against our investment securities. During the three months ended March 31, 2021, haircuts remained stable, and, as of March 31, 2021, the weighted average haircut on our repurchase agreements was approximately 4.2% of the value of our collateral, compared to 4.6% as of December 31, 2020.</w:t>
      </w:r>
    </w:p>
    <w:p>
      <w:pPr>
        <w:spacing w:after="0" w:line="9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To mitigate the risk of future margins calls, we seek to maintain excess liquidity by holding unencumbered liquid assets that can be used to satisfy collateral requirements, collateralize additional borrowings or sold for cash. As of March 31, 2021, our unencumbered assets totaled 62% of our tangible net equity, compared to 60% as of December 31, December 31, 2020. The majority of our liquidity is held at AGNC, but we also maintain capital and excess liquidity at Bethesda Securities to meet regulatory standards, satisfy counterparty and clearing organization expectations, and for risk management purposes. As of March 31, 2021, we had cash and unencumbered Agency RMBS and U.S. Treasury securities totaling $5.2 billion, or 48% of our tangible equity, which excludes unencumbered CRT securities, non-Agency securities and assets held at Bethesda Securities, compared to $5.4 billion and 51%, respectively, as of December 31, 2020.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7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11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As of March 31, 2021,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March 31, 2021, approximately 9% of our tangible stockholder's equity was at risk with the FICC. Excluding central clearing exchanges, as of March 31, 2021, our amount at risk with any counterparty to our derivative agreements was less than 1% of our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or premium relative to generic Agency RMBS. We attempt to manage this risk by maintaining a minimum level of securities that trade at or near TBA values that in our estimation enhances our portfolio liquidity across a wide range of market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and our stock repurchase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2021,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2021,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95" w:lineRule="exact"/>
        <w:rPr>
          <w:sz w:val="20"/>
          <w:szCs w:val="20"/>
          <w:color w:val="auto"/>
        </w:rPr>
      </w:pPr>
    </w:p>
    <w:p>
      <w:pPr>
        <w:ind w:left="660" w:hanging="247"/>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 and of measures taken in response to the COVID-19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U.S. monetary policy or interest rates, including Fed purchases of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estimate the duration and convexity of our assets using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2021 and December 31, 2020 should interest rates go up or down by 50, 75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March 31, 2021 and December 31,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1" w:name="page42"/>
    <w:bookmarkEnd w:id="41"/>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2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March 31, 2021</w:t>
            </w:r>
          </w:p>
        </w:tc>
        <w:tc>
          <w:tcPr>
            <w:tcW w:w="278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 Change in</w:t>
            </w: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-12.6%</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-0.3%</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-2.6%</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-9.7%</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-0.4%</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-5.8%</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-4.0%</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-12.0%</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-8.1%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3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of March 31, 2021 and December 31, 2020, our investment securities (excluding TBAs) had a weighted average projected CPR of 11.3% and 17.6%, respectively, and a weighted average yield of 2.39% and 2.33%, respectively. The table below presents estimated weighted average projected CPRs and yields for our investment securities should interest rates go up or down instantaneously by 50, 75 and 100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tbl>
      <w:tblPr>
        <w:tblLayout w:type="fixed"/>
        <w:tblInd w:w="1280" w:type="dxa"/>
        <w:tblCellMar>
          <w:top w:w="0" w:type="dxa"/>
          <w:left w:w="0" w:type="dxa"/>
          <w:bottom w:w="0" w:type="dxa"/>
          <w:right w:w="0" w:type="dxa"/>
        </w:tblCellMar>
      </w:tblPr>
      <w:tr>
        <w:trPr>
          <w:trHeight w:val="183"/>
        </w:trPr>
        <w:tc>
          <w:tcPr>
            <w:tcW w:w="3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March 31, 2021</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Projected CPR</w:t>
            </w:r>
          </w:p>
        </w:tc>
        <w:tc>
          <w:tcPr>
            <w:tcW w:w="144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Projected CPR</w:t>
            </w: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8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17.7%</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2.06%</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25.6%</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1.91%</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15.7%</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2.16%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1.99%</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13.9%</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2.25%</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0" w:type="dxa"/>
            <w:vAlign w:val="bottom"/>
          </w:tcPr>
          <w:p>
            <w:pPr>
              <w:spacing w:after="0"/>
              <w:rPr>
                <w:sz w:val="1"/>
                <w:szCs w:val="1"/>
                <w:color w:val="auto"/>
              </w:rPr>
            </w:pPr>
          </w:p>
        </w:tc>
      </w:tr>
      <w:tr>
        <w:trPr>
          <w:trHeight w:val="186"/>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11.3%</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17.6%</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2.47%</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14.3%</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2.45%</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9.1%</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13.0%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2.51%</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8.6%</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2021 and December 31, 2020 should spreads widen or tighten by 10, 25 and 50 basis points. The estimated impact of changes in spreads is in addition to our interest rate shock sensitivity included in the interest rate shock table above. The table below assumes a spread duration of 5.6 and 4.4 years as of March 31, 2021 and December 31, 2020,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3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March 31, 2021</w:t>
            </w:r>
          </w:p>
        </w:tc>
        <w:tc>
          <w:tcPr>
            <w:tcW w:w="272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0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+2.8%</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+27.0%</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+2.2%</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+23.9%</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+13.5%</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+11.9%</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+4.8%</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-4.8%</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-13.5%</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-11.9%</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-27.0%</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-23.9%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March 31, 2021,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10-Q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March 31, 2021, our maximum amount at risk with any counterparty related to our repurchase agreements was less than 2% of tangible stockholders' equity and related to our derivative agreements was less than 1% of tangible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2021.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In October of 2020, our Board of Directors authorized the repurchase of up to $1 billion of our outstanding shares of common stock through December 31, 2021. As of March 31, 2021, the Company has repurchased shares at an aggregate amount of $316 million under the program. As of March 31, 2021, $0.7 billion of common stock remained available for repurchase under the program. The following table presents information with respect to purchases of our common stock made during the three months ended March 31, 2021 by us or any "affiliated purchaser" of us, as defined in Rule 10b-18(a)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 under the Exchange Act (in millions,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Net Price</w:t>
            </w:r>
          </w:p>
        </w:tc>
        <w:tc>
          <w:tcPr>
            <w:tcW w:w="1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Publicly</w:t>
            </w:r>
          </w:p>
        </w:tc>
        <w:tc>
          <w:tcPr>
            <w:tcW w:w="0" w:type="dxa"/>
            <w:vAlign w:val="bottom"/>
          </w:tcPr>
          <w:p>
            <w:pPr>
              <w:spacing w:after="0"/>
              <w:rPr>
                <w:sz w:val="1"/>
                <w:szCs w:val="1"/>
                <w:color w:val="auto"/>
              </w:rPr>
            </w:pPr>
          </w:p>
        </w:tc>
      </w:tr>
      <w:tr>
        <w:trPr>
          <w:trHeight w:val="135"/>
        </w:trPr>
        <w:tc>
          <w:tcPr>
            <w:tcW w:w="4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8"/>
                <w:szCs w:val="18"/>
                <w:b w:val="1"/>
                <w:bCs w:val="1"/>
                <w:color w:val="auto"/>
                <w:vertAlign w:val="superscript"/>
              </w:rPr>
              <w:t>1</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6"/>
              </w:rPr>
              <w:t>Purchased as Part of Publicly</w:t>
            </w:r>
          </w:p>
        </w:tc>
        <w:tc>
          <w:tcPr>
            <w:tcW w:w="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2</w:t>
            </w: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of Shares Purchased</w:t>
            </w: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Paid Per Share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Announced Plans or Programs</w:t>
            </w:r>
          </w:p>
        </w:tc>
        <w:tc>
          <w:tcPr>
            <w:tcW w:w="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1, 2021 - January 31,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$15.67</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$872</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February 1, 2021 - February 28, 2021</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5.2</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$16.12</w:t>
            </w:r>
          </w:p>
        </w:tc>
        <w:tc>
          <w:tcPr>
            <w:tcW w:w="100" w:type="dxa"/>
            <w:vAlign w:val="bottom"/>
          </w:tcPr>
          <w:p>
            <w:pPr>
              <w:spacing w:after="0"/>
              <w:rPr>
                <w:sz w:val="16"/>
                <w:szCs w:val="16"/>
                <w:color w:val="auto"/>
              </w:rPr>
            </w:pPr>
          </w:p>
        </w:tc>
        <w:tc>
          <w:tcPr>
            <w:tcW w:w="1940" w:type="dxa"/>
            <w:vAlign w:val="bottom"/>
          </w:tcPr>
          <w:p>
            <w:pPr>
              <w:jc w:val="center"/>
              <w:ind w:left="8"/>
              <w:spacing w:after="0"/>
              <w:rPr>
                <w:sz w:val="20"/>
                <w:szCs w:val="20"/>
                <w:color w:val="auto"/>
              </w:rPr>
            </w:pPr>
            <w:r>
              <w:rPr>
                <w:rFonts w:ascii="Arial" w:cs="Arial" w:eastAsia="Arial" w:hAnsi="Arial"/>
                <w:sz w:val="14"/>
                <w:szCs w:val="14"/>
                <w:color w:val="auto"/>
                <w:w w:val="92"/>
              </w:rPr>
              <w:t>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787</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1, 2021 - March 31, 2021</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$16.09</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6.4</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684</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13.3</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$16.05</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5"/>
              </w:rPr>
              <w:t>13.3</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$684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are reported based on the trade date of the share repurchase.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shares purchased by the Company were pursuant to the stock repurchase program described in Note 9 of our accompanying Consolidated Financial Statements in this Form 10-Q.</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1" w:lineRule="exact"/>
        <w:rPr>
          <w:sz w:val="20"/>
          <w:szCs w:val="20"/>
          <w:color w:val="auto"/>
        </w:rPr>
      </w:pPr>
    </w:p>
    <w:p>
      <w:pPr>
        <w:ind w:left="500" w:right="20" w:hanging="1295"/>
        <w:spacing w:after="0" w:line="277" w:lineRule="auto"/>
        <w:tabs>
          <w:tab w:leader="none" w:pos="480" w:val="left"/>
        </w:tabs>
        <w:rPr>
          <w:rFonts w:ascii="Arial" w:cs="Arial" w:eastAsia="Arial" w:hAnsi="Arial"/>
          <w:sz w:val="18"/>
          <w:szCs w:val="18"/>
          <w:color w:val="auto"/>
        </w:rPr>
      </w:pPr>
      <w:hyperlink r:id="rId65">
        <w:r>
          <w:rPr>
            <w:rFonts w:ascii="Arial" w:cs="Arial" w:eastAsia="Arial" w:hAnsi="Arial"/>
            <w:sz w:val="18"/>
            <w:szCs w:val="18"/>
            <w:color w:val="auto"/>
          </w:rPr>
          <w:t>*3.1</w:t>
        </w:r>
      </w:hyperlink>
      <w:r>
        <w:rPr>
          <w:rFonts w:ascii="Arial" w:cs="Arial" w:eastAsia="Arial" w:hAnsi="Arial"/>
          <w:sz w:val="18"/>
          <w:szCs w:val="18"/>
          <w:color w:val="auto"/>
        </w:rPr>
        <w:tab/>
      </w:r>
      <w:hyperlink r:id="rId65">
        <w:r>
          <w:rPr>
            <w:rFonts w:ascii="Arial" w:cs="Arial" w:eastAsia="Arial" w:hAnsi="Arial"/>
            <w:sz w:val="18"/>
            <w:szCs w:val="18"/>
            <w:color w:val="auto"/>
          </w:rPr>
          <w:t>AGNC Investment Corp. Amended and Restated Certificate of Incorporation, as amended, incorporated by reference from Exhibit 3.1 of Form 10-Q</w:t>
        </w:r>
      </w:hyperlink>
      <w:r>
        <w:rPr>
          <w:rFonts w:ascii="Arial" w:cs="Arial" w:eastAsia="Arial" w:hAnsi="Arial"/>
          <w:sz w:val="18"/>
          <w:szCs w:val="18"/>
          <w:color w:val="auto"/>
        </w:rPr>
        <w:t xml:space="preserve"> </w:t>
      </w:r>
      <w:hyperlink r:id="rId65">
        <w:r>
          <w:rPr>
            <w:rFonts w:ascii="Arial" w:cs="Arial" w:eastAsia="Arial" w:hAnsi="Arial"/>
            <w:sz w:val="18"/>
            <w:szCs w:val="18"/>
            <w:color w:val="auto"/>
          </w:rPr>
          <w:t>for the quarter ended March 31, 2020 (File No. 001-34057), filed May 11, 2020.</w:t>
        </w:r>
      </w:hyperlink>
    </w:p>
    <w:p>
      <w:pPr>
        <w:spacing w:after="0" w:line="116"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r:id="rId66">
        <w:r>
          <w:rPr>
            <w:rFonts w:ascii="Arial" w:cs="Arial" w:eastAsia="Arial" w:hAnsi="Arial"/>
            <w:sz w:val="18"/>
            <w:szCs w:val="18"/>
            <w:color w:val="auto"/>
          </w:rPr>
          <w:t>*3.2</w:t>
        </w:r>
      </w:hyperlink>
      <w:r>
        <w:rPr>
          <w:rFonts w:ascii="Arial" w:cs="Arial" w:eastAsia="Arial" w:hAnsi="Arial"/>
          <w:sz w:val="18"/>
          <w:szCs w:val="18"/>
          <w:color w:val="auto"/>
        </w:rPr>
        <w:tab/>
      </w:r>
      <w:hyperlink r:id="rId66">
        <w:r>
          <w:rPr>
            <w:rFonts w:ascii="Arial" w:cs="Arial" w:eastAsia="Arial" w:hAnsi="Arial"/>
            <w:sz w:val="16"/>
            <w:szCs w:val="16"/>
            <w:color w:val="auto"/>
          </w:rPr>
          <w:t>AGNC Investment Corp. Fourth Amended and Restated Bylaws, as amended, incorporated herein by reference to Exhibit 3.1 of Form 8-K (File No.</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66">
        <w:r>
          <w:rPr>
            <w:rFonts w:ascii="Arial" w:cs="Arial" w:eastAsia="Arial" w:hAnsi="Arial"/>
            <w:sz w:val="18"/>
            <w:szCs w:val="18"/>
            <w:color w:val="auto"/>
          </w:rPr>
          <w:t>001-34057), filed March 11, 2021.</w:t>
        </w:r>
      </w:hyperlink>
    </w:p>
    <w:p>
      <w:pPr>
        <w:spacing w:after="0" w:line="157" w:lineRule="exact"/>
        <w:rPr>
          <w:sz w:val="20"/>
          <w:szCs w:val="20"/>
          <w:color w:val="auto"/>
        </w:rPr>
      </w:pPr>
    </w:p>
    <w:p>
      <w:pPr>
        <w:ind w:left="520" w:hanging="1295"/>
        <w:spacing w:after="0" w:line="277" w:lineRule="auto"/>
        <w:tabs>
          <w:tab w:leader="none" w:pos="500" w:val="left"/>
        </w:tabs>
        <w:rPr>
          <w:rFonts w:ascii="Arial" w:cs="Arial" w:eastAsia="Arial" w:hAnsi="Arial"/>
          <w:sz w:val="18"/>
          <w:szCs w:val="18"/>
          <w:color w:val="auto"/>
        </w:rPr>
      </w:pPr>
      <w:hyperlink r:id="rId67">
        <w:r>
          <w:rPr>
            <w:rFonts w:ascii="Arial" w:cs="Arial" w:eastAsia="Arial" w:hAnsi="Arial"/>
            <w:sz w:val="18"/>
            <w:szCs w:val="18"/>
            <w:color w:val="auto"/>
          </w:rPr>
          <w:t>*3.3</w:t>
        </w:r>
      </w:hyperlink>
      <w:r>
        <w:rPr>
          <w:rFonts w:ascii="Arial" w:cs="Arial" w:eastAsia="Arial" w:hAnsi="Arial"/>
          <w:sz w:val="18"/>
          <w:szCs w:val="18"/>
          <w:color w:val="auto"/>
        </w:rPr>
        <w:tab/>
      </w:r>
      <w:hyperlink r:id="rId67">
        <w:r>
          <w:rPr>
            <w:rFonts w:ascii="Arial" w:cs="Arial" w:eastAsia="Arial" w:hAnsi="Arial"/>
            <w:sz w:val="18"/>
            <w:szCs w:val="18"/>
            <w:color w:val="auto"/>
          </w:rPr>
          <w:t>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67">
        <w:r>
          <w:rPr>
            <w:rFonts w:ascii="Arial" w:cs="Arial" w:eastAsia="Arial" w:hAnsi="Arial"/>
            <w:sz w:val="18"/>
            <w:szCs w:val="18"/>
            <w:color w:val="auto"/>
          </w:rPr>
          <w:t>Exhibit 3.5 of Form 8-A (File No. 001-34057), filed August 18, 2017.</w:t>
        </w:r>
      </w:hyperlink>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ind w:left="500" w:hanging="1295"/>
        <w:spacing w:after="0" w:line="277" w:lineRule="auto"/>
        <w:tabs>
          <w:tab w:leader="none" w:pos="480" w:val="left"/>
        </w:tabs>
        <w:rPr>
          <w:rFonts w:ascii="Arial" w:cs="Arial" w:eastAsia="Arial" w:hAnsi="Arial"/>
          <w:sz w:val="18"/>
          <w:szCs w:val="18"/>
          <w:color w:val="auto"/>
        </w:rPr>
      </w:pPr>
      <w:hyperlink r:id="rId69">
        <w:r>
          <w:rPr>
            <w:rFonts w:ascii="Arial" w:cs="Arial" w:eastAsia="Arial" w:hAnsi="Arial"/>
            <w:sz w:val="18"/>
            <w:szCs w:val="18"/>
            <w:color w:val="auto"/>
          </w:rPr>
          <w:t>*3.4</w:t>
        </w:r>
      </w:hyperlink>
      <w:r>
        <w:rPr>
          <w:rFonts w:ascii="Arial" w:cs="Arial" w:eastAsia="Arial" w:hAnsi="Arial"/>
          <w:sz w:val="18"/>
          <w:szCs w:val="18"/>
          <w:color w:val="auto"/>
        </w:rPr>
        <w:tab/>
      </w:r>
      <w:hyperlink r:id="rId69">
        <w:r>
          <w:rPr>
            <w:rFonts w:ascii="Arial" w:cs="Arial" w:eastAsia="Arial" w:hAnsi="Arial"/>
            <w:sz w:val="18"/>
            <w:szCs w:val="18"/>
            <w:color w:val="auto"/>
          </w:rPr>
          <w:t>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69">
        <w:r>
          <w:rPr>
            <w:rFonts w:ascii="Arial" w:cs="Arial" w:eastAsia="Arial" w:hAnsi="Arial"/>
            <w:sz w:val="18"/>
            <w:szCs w:val="18"/>
            <w:color w:val="auto"/>
          </w:rPr>
          <w:t>(File No 001-34057), filed October 26,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0">
        <w:r>
          <w:rPr>
            <w:rFonts w:ascii="Arial" w:cs="Arial" w:eastAsia="Arial" w:hAnsi="Arial"/>
            <w:sz w:val="18"/>
            <w:szCs w:val="18"/>
            <w:color w:val="auto"/>
          </w:rPr>
          <w:t>*3.5</w:t>
        </w:r>
      </w:hyperlink>
      <w:r>
        <w:rPr>
          <w:rFonts w:ascii="Arial" w:cs="Arial" w:eastAsia="Arial" w:hAnsi="Arial"/>
          <w:sz w:val="18"/>
          <w:szCs w:val="18"/>
          <w:color w:val="auto"/>
        </w:rPr>
        <w:tab/>
      </w:r>
      <w:hyperlink r:id="rId70">
        <w:r>
          <w:rPr>
            <w:rFonts w:ascii="Arial" w:cs="Arial" w:eastAsia="Arial" w:hAnsi="Arial"/>
            <w:sz w:val="18"/>
            <w:szCs w:val="18"/>
            <w:color w:val="auto"/>
          </w:rPr>
          <w:t>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70">
        <w:r>
          <w:rPr>
            <w:rFonts w:ascii="Arial" w:cs="Arial" w:eastAsia="Arial" w:hAnsi="Arial"/>
            <w:sz w:val="18"/>
            <w:szCs w:val="18"/>
            <w:color w:val="auto"/>
          </w:rPr>
          <w:t>Exhibit 3.5 of Form 8-A (File No 001-34057), filed March 6,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1">
        <w:r>
          <w:rPr>
            <w:rFonts w:ascii="Arial" w:cs="Arial" w:eastAsia="Arial" w:hAnsi="Arial"/>
            <w:sz w:val="18"/>
            <w:szCs w:val="18"/>
            <w:color w:val="auto"/>
          </w:rPr>
          <w:t>*3.6</w:t>
        </w:r>
      </w:hyperlink>
      <w:r>
        <w:rPr>
          <w:rFonts w:ascii="Arial" w:cs="Arial" w:eastAsia="Arial" w:hAnsi="Arial"/>
          <w:sz w:val="18"/>
          <w:szCs w:val="18"/>
          <w:color w:val="auto"/>
        </w:rPr>
        <w:tab/>
      </w:r>
      <w:hyperlink r:id="rId71">
        <w:r>
          <w:rPr>
            <w:rFonts w:ascii="Arial" w:cs="Arial" w:eastAsia="Arial" w:hAnsi="Arial"/>
            <w:sz w:val="18"/>
            <w:szCs w:val="18"/>
            <w:color w:val="auto"/>
          </w:rPr>
          <w:t>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71">
        <w:r>
          <w:rPr>
            <w:rFonts w:ascii="Arial" w:cs="Arial" w:eastAsia="Arial" w:hAnsi="Arial"/>
            <w:sz w:val="18"/>
            <w:szCs w:val="18"/>
            <w:color w:val="auto"/>
          </w:rPr>
          <w:t>Exhibit 3.6 of Form 8-A (File No 001-34057), filed October 3, 2019.</w:t>
        </w:r>
      </w:hyperlink>
    </w:p>
    <w:p>
      <w:pPr>
        <w:spacing w:after="0" w:line="116" w:lineRule="exact"/>
        <w:rPr>
          <w:rFonts w:ascii="Arial" w:cs="Arial" w:eastAsia="Arial" w:hAnsi="Arial"/>
          <w:sz w:val="18"/>
          <w:szCs w:val="18"/>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72">
        <w:r>
          <w:rPr>
            <w:rFonts w:ascii="Arial" w:cs="Arial" w:eastAsia="Arial" w:hAnsi="Arial"/>
            <w:sz w:val="18"/>
            <w:szCs w:val="18"/>
            <w:color w:val="auto"/>
          </w:rPr>
          <w:t>*3.7</w:t>
        </w:r>
      </w:hyperlink>
      <w:r>
        <w:rPr>
          <w:rFonts w:ascii="Arial" w:cs="Arial" w:eastAsia="Arial" w:hAnsi="Arial"/>
          <w:sz w:val="18"/>
          <w:szCs w:val="18"/>
          <w:color w:val="auto"/>
        </w:rPr>
        <w:tab/>
      </w:r>
      <w:hyperlink r:id="rId72">
        <w:r>
          <w:rPr>
            <w:rFonts w:ascii="Arial" w:cs="Arial" w:eastAsia="Arial" w:hAnsi="Arial"/>
            <w:sz w:val="18"/>
            <w:szCs w:val="18"/>
            <w:color w:val="auto"/>
          </w:rPr>
          <w:t>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72">
        <w:r>
          <w:rPr>
            <w:rFonts w:ascii="Arial" w:cs="Arial" w:eastAsia="Arial" w:hAnsi="Arial"/>
            <w:sz w:val="18"/>
            <w:szCs w:val="18"/>
            <w:color w:val="auto"/>
          </w:rPr>
          <w:t>(File No 001-34057), filed December 13,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3">
        <w:r>
          <w:rPr>
            <w:rFonts w:ascii="Arial" w:cs="Arial" w:eastAsia="Arial" w:hAnsi="Arial"/>
            <w:sz w:val="18"/>
            <w:szCs w:val="18"/>
            <w:color w:val="auto"/>
          </w:rPr>
          <w:t>*3.8</w:t>
        </w:r>
      </w:hyperlink>
      <w:r>
        <w:rPr>
          <w:rFonts w:ascii="Arial" w:cs="Arial" w:eastAsia="Arial" w:hAnsi="Arial"/>
          <w:sz w:val="18"/>
          <w:szCs w:val="18"/>
          <w:color w:val="auto"/>
        </w:rPr>
        <w:tab/>
      </w:r>
      <w:hyperlink r:id="rId73">
        <w:r>
          <w:rPr>
            <w:rFonts w:ascii="Arial" w:cs="Arial" w:eastAsia="Arial" w:hAnsi="Arial"/>
            <w:sz w:val="18"/>
            <w:szCs w:val="18"/>
            <w:color w:val="auto"/>
          </w:rPr>
          <w:t>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Exhibit 3.6 of Form 8-A (File No 001-34057), filed February 11, 2020.</w:t>
        </w:r>
      </w:hyperlink>
    </w:p>
    <w:p>
      <w:pPr>
        <w:spacing w:after="0" w:line="116" w:lineRule="exact"/>
        <w:rPr>
          <w:rFonts w:ascii="Arial" w:cs="Arial" w:eastAsia="Arial" w:hAnsi="Arial"/>
          <w:sz w:val="18"/>
          <w:szCs w:val="18"/>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74">
        <w:r>
          <w:rPr>
            <w:rFonts w:ascii="Arial" w:cs="Arial" w:eastAsia="Arial" w:hAnsi="Arial"/>
            <w:sz w:val="18"/>
            <w:szCs w:val="18"/>
            <w:color w:val="auto"/>
          </w:rPr>
          <w:t>*4.1</w:t>
        </w:r>
      </w:hyperlink>
      <w:r>
        <w:rPr>
          <w:rFonts w:ascii="Arial" w:cs="Arial" w:eastAsia="Arial" w:hAnsi="Arial"/>
          <w:sz w:val="18"/>
          <w:szCs w:val="18"/>
          <w:color w:val="auto"/>
        </w:rPr>
        <w:tab/>
      </w:r>
      <w:hyperlink r:id="rId74">
        <w:r>
          <w:rPr>
            <w:rFonts w:ascii="Arial" w:cs="Arial" w:eastAsia="Arial" w:hAnsi="Arial"/>
            <w:sz w:val="18"/>
            <w:szCs w:val="18"/>
            <w:color w:val="auto"/>
          </w:rPr>
          <w:t>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incorporated herein by reference to Exhibit 3.1 of Form 10-Q for the quarter ended March 31, 2018 (File No. 001-34057) filed May 7,</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2018.</w:t>
        </w:r>
      </w:hyperlink>
    </w:p>
    <w:p>
      <w:pPr>
        <w:spacing w:after="0" w:line="130" w:lineRule="exact"/>
        <w:rPr>
          <w:rFonts w:ascii="Arial" w:cs="Arial" w:eastAsia="Arial" w:hAnsi="Arial"/>
          <w:sz w:val="18"/>
          <w:szCs w:val="18"/>
          <w:color w:val="auto"/>
        </w:rPr>
      </w:pPr>
    </w:p>
    <w:p>
      <w:pPr>
        <w:jc w:val="both"/>
        <w:ind w:left="500" w:right="20" w:hanging="1295"/>
        <w:spacing w:after="0" w:line="308" w:lineRule="auto"/>
        <w:tabs>
          <w:tab w:leader="none" w:pos="480" w:val="left"/>
        </w:tabs>
        <w:rPr>
          <w:rFonts w:ascii="Arial" w:cs="Arial" w:eastAsia="Arial" w:hAnsi="Arial"/>
          <w:sz w:val="17"/>
          <w:szCs w:val="17"/>
          <w:color w:val="auto"/>
        </w:rPr>
      </w:pPr>
      <w:hyperlink r:id="rId75">
        <w:r>
          <w:rPr>
            <w:rFonts w:ascii="Arial" w:cs="Arial" w:eastAsia="Arial" w:hAnsi="Arial"/>
            <w:sz w:val="18"/>
            <w:szCs w:val="18"/>
            <w:color w:val="auto"/>
          </w:rPr>
          <w:t>*4.2</w:t>
        </w:r>
      </w:hyperlink>
      <w:r>
        <w:rPr>
          <w:rFonts w:ascii="Arial" w:cs="Arial" w:eastAsia="Arial" w:hAnsi="Arial"/>
          <w:sz w:val="18"/>
          <w:szCs w:val="18"/>
          <w:color w:val="auto"/>
        </w:rPr>
        <w:tab/>
      </w:r>
      <w:hyperlink r:id="rId75">
        <w:r>
          <w:rPr>
            <w:rFonts w:ascii="Arial" w:cs="Arial" w:eastAsia="Arial" w:hAnsi="Arial"/>
            <w:sz w:val="17"/>
            <w:szCs w:val="17"/>
            <w:color w:val="auto"/>
          </w:rPr>
          <w:t>Instruments defining the rights of holders of securities: See Article VI of our Third Amended and Restated Bylaws, as amended, incorporated herein</w:t>
        </w:r>
      </w:hyperlink>
      <w:r>
        <w:rPr>
          <w:rFonts w:ascii="Arial" w:cs="Arial" w:eastAsia="Arial" w:hAnsi="Arial"/>
          <w:sz w:val="17"/>
          <w:szCs w:val="17"/>
          <w:color w:val="auto"/>
        </w:rPr>
        <w:t xml:space="preserve"> </w:t>
      </w:r>
      <w:hyperlink r:id="rId75">
        <w:r>
          <w:rPr>
            <w:rFonts w:ascii="Arial" w:cs="Arial" w:eastAsia="Arial" w:hAnsi="Arial"/>
            <w:sz w:val="17"/>
            <w:szCs w:val="17"/>
            <w:color w:val="auto"/>
          </w:rPr>
          <w:t>by reference to Exhibit 3.2 of Form 10-Q for the quarter ended September 30, 2016 (File No. 001-34057) filed November 7, 2016.</w:t>
        </w:r>
      </w:hyperlink>
    </w:p>
    <w:p>
      <w:pPr>
        <w:spacing w:after="0" w:line="92" w:lineRule="exact"/>
        <w:rPr>
          <w:rFonts w:ascii="Arial" w:cs="Arial" w:eastAsia="Arial" w:hAnsi="Arial"/>
          <w:sz w:val="18"/>
          <w:szCs w:val="18"/>
          <w:color w:val="auto"/>
        </w:rPr>
      </w:pPr>
    </w:p>
    <w:p>
      <w:pPr>
        <w:jc w:val="both"/>
        <w:ind w:left="560" w:hanging="1295"/>
        <w:spacing w:after="0" w:line="277" w:lineRule="auto"/>
        <w:tabs>
          <w:tab w:leader="none" w:pos="540" w:val="left"/>
        </w:tabs>
        <w:rPr>
          <w:rFonts w:ascii="Arial" w:cs="Arial" w:eastAsia="Arial" w:hAnsi="Arial"/>
          <w:sz w:val="18"/>
          <w:szCs w:val="18"/>
          <w:color w:val="auto"/>
        </w:rPr>
      </w:pPr>
      <w:hyperlink r:id="rId76">
        <w:r>
          <w:rPr>
            <w:rFonts w:ascii="Arial" w:cs="Arial" w:eastAsia="Arial" w:hAnsi="Arial"/>
            <w:sz w:val="18"/>
            <w:szCs w:val="18"/>
            <w:color w:val="auto"/>
          </w:rPr>
          <w:t>*4.3</w:t>
        </w:r>
      </w:hyperlink>
      <w:r>
        <w:rPr>
          <w:rFonts w:ascii="Arial" w:cs="Arial" w:eastAsia="Arial" w:hAnsi="Arial"/>
          <w:sz w:val="18"/>
          <w:szCs w:val="18"/>
          <w:color w:val="auto"/>
        </w:rPr>
        <w:tab/>
      </w:r>
      <w:hyperlink r:id="rId76">
        <w:r>
          <w:rPr>
            <w:rFonts w:ascii="Arial" w:cs="Arial" w:eastAsia="Arial" w:hAnsi="Arial"/>
            <w:sz w:val="18"/>
            <w:szCs w:val="18"/>
            <w:color w:val="auto"/>
          </w:rPr>
          <w:t>Form of Certificate for Common Stock, incorporated herein by reference to Exhibit 4.3 of Form 10-Q for the quarter ended September 30, 2016</w:t>
        </w:r>
      </w:hyperlink>
      <w:r>
        <w:rPr>
          <w:rFonts w:ascii="Arial" w:cs="Arial" w:eastAsia="Arial" w:hAnsi="Arial"/>
          <w:sz w:val="18"/>
          <w:szCs w:val="18"/>
          <w:color w:val="auto"/>
        </w:rPr>
        <w:t xml:space="preserve"> </w:t>
      </w:r>
      <w:hyperlink r:id="rId76">
        <w:r>
          <w:rPr>
            <w:rFonts w:ascii="Arial" w:cs="Arial" w:eastAsia="Arial" w:hAnsi="Arial"/>
            <w:sz w:val="18"/>
            <w:szCs w:val="18"/>
            <w:color w:val="auto"/>
          </w:rPr>
          <w:t>(File No. 001-34057), filed November 7, 2016.</w:t>
        </w:r>
      </w:hyperlink>
    </w:p>
    <w:p>
      <w:pPr>
        <w:spacing w:after="0" w:line="116" w:lineRule="exact"/>
        <w:rPr>
          <w:rFonts w:ascii="Arial" w:cs="Arial" w:eastAsia="Arial" w:hAnsi="Arial"/>
          <w:sz w:val="18"/>
          <w:szCs w:val="18"/>
          <w:color w:val="auto"/>
        </w:rPr>
      </w:pPr>
    </w:p>
    <w:p>
      <w:pPr>
        <w:spacing w:after="0"/>
        <w:tabs>
          <w:tab w:leader="none" w:pos="500" w:val="left"/>
        </w:tabs>
        <w:rPr>
          <w:rFonts w:ascii="Arial" w:cs="Arial" w:eastAsia="Arial" w:hAnsi="Arial"/>
          <w:sz w:val="16"/>
          <w:szCs w:val="16"/>
          <w:color w:val="auto"/>
        </w:rPr>
      </w:pPr>
      <w:hyperlink r:id="rId77">
        <w:r>
          <w:rPr>
            <w:rFonts w:ascii="Arial" w:cs="Arial" w:eastAsia="Arial" w:hAnsi="Arial"/>
            <w:sz w:val="18"/>
            <w:szCs w:val="18"/>
            <w:color w:val="auto"/>
          </w:rPr>
          <w:t>*4.4</w:t>
        </w:r>
      </w:hyperlink>
      <w:r>
        <w:rPr>
          <w:rFonts w:ascii="Arial" w:cs="Arial" w:eastAsia="Arial" w:hAnsi="Arial"/>
          <w:sz w:val="18"/>
          <w:szCs w:val="18"/>
          <w:color w:val="auto"/>
        </w:rPr>
        <w:tab/>
      </w:r>
      <w:hyperlink r:id="rId77">
        <w:r>
          <w:rPr>
            <w:rFonts w:ascii="Arial" w:cs="Arial" w:eastAsia="Arial" w:hAnsi="Arial"/>
            <w:sz w:val="16"/>
            <w:szCs w:val="16"/>
            <w:color w:val="auto"/>
          </w:rPr>
          <w:t>Specimen 7.00% Series C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7">
        <w:r>
          <w:rPr>
            <w:rFonts w:ascii="Arial" w:cs="Arial" w:eastAsia="Arial" w:hAnsi="Arial"/>
            <w:sz w:val="18"/>
            <w:szCs w:val="18"/>
            <w:color w:val="auto"/>
          </w:rPr>
          <w:t>4.1 of Form 8-A (File No. 001-34057), filed August 18, 2017.</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78">
        <w:r>
          <w:rPr>
            <w:rFonts w:ascii="Arial" w:cs="Arial" w:eastAsia="Arial" w:hAnsi="Arial"/>
            <w:sz w:val="18"/>
            <w:szCs w:val="18"/>
            <w:color w:val="auto"/>
          </w:rPr>
          <w:t>*4.5</w:t>
        </w:r>
      </w:hyperlink>
      <w:r>
        <w:rPr>
          <w:rFonts w:ascii="Arial" w:cs="Arial" w:eastAsia="Arial" w:hAnsi="Arial"/>
          <w:sz w:val="18"/>
          <w:szCs w:val="18"/>
          <w:color w:val="auto"/>
        </w:rPr>
        <w:tab/>
      </w:r>
      <w:hyperlink r:id="rId78">
        <w:r>
          <w:rPr>
            <w:rFonts w:ascii="Arial" w:cs="Arial" w:eastAsia="Arial" w:hAnsi="Arial"/>
            <w:sz w:val="16"/>
            <w:szCs w:val="16"/>
            <w:color w:val="auto"/>
          </w:rPr>
          <w:t>Specimen 6.875% Series D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8">
        <w:r>
          <w:rPr>
            <w:rFonts w:ascii="Arial" w:cs="Arial" w:eastAsia="Arial" w:hAnsi="Arial"/>
            <w:sz w:val="18"/>
            <w:szCs w:val="18"/>
            <w:color w:val="auto"/>
          </w:rPr>
          <w:t>4.1 of Form 8-A (File No. 001-34057), filed March 6, 2019.</w:t>
        </w:r>
      </w:hyperlink>
    </w:p>
    <w:p>
      <w:pPr>
        <w:spacing w:after="0" w:line="157" w:lineRule="exact"/>
        <w:rPr>
          <w:sz w:val="20"/>
          <w:szCs w:val="20"/>
          <w:color w:val="auto"/>
        </w:rPr>
      </w:pPr>
    </w:p>
    <w:p>
      <w:pPr>
        <w:spacing w:after="0"/>
        <w:tabs>
          <w:tab w:leader="none" w:pos="520" w:val="left"/>
        </w:tabs>
        <w:rPr>
          <w:rFonts w:ascii="Arial" w:cs="Arial" w:eastAsia="Arial" w:hAnsi="Arial"/>
          <w:sz w:val="16"/>
          <w:szCs w:val="16"/>
          <w:color w:val="auto"/>
        </w:rPr>
      </w:pPr>
      <w:hyperlink r:id="rId79">
        <w:r>
          <w:rPr>
            <w:rFonts w:ascii="Arial" w:cs="Arial" w:eastAsia="Arial" w:hAnsi="Arial"/>
            <w:sz w:val="18"/>
            <w:szCs w:val="18"/>
            <w:color w:val="auto"/>
          </w:rPr>
          <w:t>*4.6</w:t>
        </w:r>
      </w:hyperlink>
      <w:r>
        <w:rPr>
          <w:rFonts w:ascii="Arial" w:cs="Arial" w:eastAsia="Arial" w:hAnsi="Arial"/>
          <w:sz w:val="18"/>
          <w:szCs w:val="18"/>
          <w:color w:val="auto"/>
        </w:rPr>
        <w:tab/>
      </w:r>
      <w:hyperlink r:id="rId79">
        <w:r>
          <w:rPr>
            <w:rFonts w:ascii="Arial" w:cs="Arial" w:eastAsia="Arial" w:hAnsi="Arial"/>
            <w:sz w:val="16"/>
            <w:szCs w:val="16"/>
            <w:color w:val="auto"/>
          </w:rPr>
          <w:t>Specimen 6.50% Series E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9">
        <w:r>
          <w:rPr>
            <w:rFonts w:ascii="Arial" w:cs="Arial" w:eastAsia="Arial" w:hAnsi="Arial"/>
            <w:sz w:val="18"/>
            <w:szCs w:val="18"/>
            <w:color w:val="auto"/>
          </w:rPr>
          <w:t>4.1 of Form 8-A (File No. 001-34057), filed October 3, 2019.</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80">
        <w:r>
          <w:rPr>
            <w:rFonts w:ascii="Arial" w:cs="Arial" w:eastAsia="Arial" w:hAnsi="Arial"/>
            <w:sz w:val="18"/>
            <w:szCs w:val="18"/>
            <w:color w:val="auto"/>
          </w:rPr>
          <w:t>*4.7</w:t>
        </w:r>
      </w:hyperlink>
      <w:r>
        <w:rPr>
          <w:rFonts w:ascii="Arial" w:cs="Arial" w:eastAsia="Arial" w:hAnsi="Arial"/>
          <w:sz w:val="18"/>
          <w:szCs w:val="18"/>
          <w:color w:val="auto"/>
        </w:rPr>
        <w:tab/>
      </w:r>
      <w:hyperlink r:id="rId80">
        <w:r>
          <w:rPr>
            <w:rFonts w:ascii="Arial" w:cs="Arial" w:eastAsia="Arial" w:hAnsi="Arial"/>
            <w:sz w:val="16"/>
            <w:szCs w:val="16"/>
            <w:color w:val="auto"/>
          </w:rPr>
          <w:t>Specimen 6.125% Series F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0">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81">
        <w:r>
          <w:rPr>
            <w:rFonts w:ascii="Arial" w:cs="Arial" w:eastAsia="Arial" w:hAnsi="Arial"/>
            <w:sz w:val="18"/>
            <w:szCs w:val="18"/>
            <w:color w:val="auto"/>
          </w:rPr>
          <w:t>*4.8</w:t>
        </w:r>
      </w:hyperlink>
      <w:r>
        <w:rPr>
          <w:rFonts w:ascii="Arial" w:cs="Arial" w:eastAsia="Arial" w:hAnsi="Arial"/>
          <w:sz w:val="18"/>
          <w:szCs w:val="18"/>
          <w:color w:val="auto"/>
        </w:rPr>
        <w:tab/>
      </w:r>
      <w:hyperlink r:id="rId81">
        <w:r>
          <w:rPr>
            <w:rFonts w:ascii="Arial" w:cs="Arial" w:eastAsia="Arial" w:hAnsi="Arial"/>
            <w:sz w:val="18"/>
            <w:szCs w:val="18"/>
            <w:color w:val="auto"/>
          </w:rPr>
          <w:t>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reference to Exhibit 4.2 of Form 8-K (File No. 001-34057) filed August 22, 2017.</w:t>
        </w:r>
      </w:hyperlink>
    </w:p>
    <w:p>
      <w:pPr>
        <w:spacing w:after="0" w:line="130" w:lineRule="exact"/>
        <w:rPr>
          <w:rFonts w:ascii="Arial" w:cs="Arial" w:eastAsia="Arial" w:hAnsi="Arial"/>
          <w:sz w:val="18"/>
          <w:szCs w:val="18"/>
          <w:color w:val="auto"/>
        </w:rPr>
      </w:pPr>
    </w:p>
    <w:p>
      <w:pPr>
        <w:jc w:val="both"/>
        <w:ind w:left="540" w:hanging="1295"/>
        <w:spacing w:after="0" w:line="263" w:lineRule="auto"/>
        <w:tabs>
          <w:tab w:leader="none" w:pos="520" w:val="left"/>
        </w:tabs>
        <w:rPr>
          <w:rFonts w:ascii="Arial" w:cs="Arial" w:eastAsia="Arial" w:hAnsi="Arial"/>
          <w:sz w:val="18"/>
          <w:szCs w:val="18"/>
          <w:color w:val="auto"/>
        </w:rPr>
      </w:pPr>
      <w:hyperlink r:id="rId81">
        <w:r>
          <w:rPr>
            <w:rFonts w:ascii="Arial" w:cs="Arial" w:eastAsia="Arial" w:hAnsi="Arial"/>
            <w:sz w:val="18"/>
            <w:szCs w:val="18"/>
            <w:color w:val="auto"/>
          </w:rPr>
          <w:t>*4.9</w:t>
        </w:r>
      </w:hyperlink>
      <w:r>
        <w:rPr>
          <w:rFonts w:ascii="Arial" w:cs="Arial" w:eastAsia="Arial" w:hAnsi="Arial"/>
          <w:sz w:val="18"/>
          <w:szCs w:val="18"/>
          <w:color w:val="auto"/>
        </w:rPr>
        <w:tab/>
      </w:r>
      <w:hyperlink r:id="rId81">
        <w:r>
          <w:rPr>
            <w:rFonts w:ascii="Arial" w:cs="Arial" w:eastAsia="Arial" w:hAnsi="Arial"/>
            <w:sz w:val="18"/>
            <w:szCs w:val="18"/>
            <w:color w:val="auto"/>
          </w:rPr>
          <w:t>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660" w:hanging="1295"/>
        <w:spacing w:after="0" w:line="263" w:lineRule="auto"/>
        <w:tabs>
          <w:tab w:leader="none" w:pos="640" w:val="left"/>
        </w:tabs>
        <w:rPr>
          <w:rFonts w:ascii="Arial" w:cs="Arial" w:eastAsia="Arial" w:hAnsi="Arial"/>
          <w:sz w:val="18"/>
          <w:szCs w:val="18"/>
          <w:color w:val="auto"/>
        </w:rPr>
      </w:pPr>
      <w:hyperlink r:id="rId82">
        <w:r>
          <w:rPr>
            <w:rFonts w:ascii="Arial" w:cs="Arial" w:eastAsia="Arial" w:hAnsi="Arial"/>
            <w:sz w:val="18"/>
            <w:szCs w:val="18"/>
            <w:color w:val="auto"/>
          </w:rPr>
          <w:t>*4.10</w:t>
        </w:r>
      </w:hyperlink>
      <w:r>
        <w:rPr>
          <w:rFonts w:ascii="Arial" w:cs="Arial" w:eastAsia="Arial" w:hAnsi="Arial"/>
          <w:sz w:val="18"/>
          <w:szCs w:val="18"/>
          <w:color w:val="auto"/>
        </w:rPr>
        <w:tab/>
      </w:r>
      <w:hyperlink r:id="rId82">
        <w:r>
          <w:rPr>
            <w:rFonts w:ascii="Arial" w:cs="Arial" w:eastAsia="Arial" w:hAnsi="Arial"/>
            <w:sz w:val="18"/>
            <w:szCs w:val="18"/>
            <w:color w:val="auto"/>
          </w:rPr>
          <w:t>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600" w:hanging="1295"/>
        <w:spacing w:after="0" w:line="263" w:lineRule="auto"/>
        <w:tabs>
          <w:tab w:leader="none" w:pos="580" w:val="left"/>
        </w:tabs>
        <w:rPr>
          <w:rFonts w:ascii="Arial" w:cs="Arial" w:eastAsia="Arial" w:hAnsi="Arial"/>
          <w:sz w:val="18"/>
          <w:szCs w:val="18"/>
          <w:color w:val="auto"/>
        </w:rPr>
      </w:pPr>
      <w:hyperlink r:id="rId82">
        <w:r>
          <w:rPr>
            <w:rFonts w:ascii="Arial" w:cs="Arial" w:eastAsia="Arial" w:hAnsi="Arial"/>
            <w:sz w:val="18"/>
            <w:szCs w:val="18"/>
            <w:color w:val="auto"/>
          </w:rPr>
          <w:t>*4.11</w:t>
        </w:r>
      </w:hyperlink>
      <w:r>
        <w:rPr>
          <w:rFonts w:ascii="Arial" w:cs="Arial" w:eastAsia="Arial" w:hAnsi="Arial"/>
          <w:sz w:val="18"/>
          <w:szCs w:val="18"/>
          <w:color w:val="auto"/>
        </w:rPr>
        <w:tab/>
      </w:r>
      <w:hyperlink r:id="rId82">
        <w:r>
          <w:rPr>
            <w:rFonts w:ascii="Arial" w:cs="Arial" w:eastAsia="Arial" w:hAnsi="Arial"/>
            <w:sz w:val="18"/>
            <w:szCs w:val="18"/>
            <w:color w:val="auto"/>
          </w:rPr>
          <w:t>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(included as part of Exhibit 4.10), incorporated herein by reference to Exhibit A of Exhibit 4.2 of Form 8-K (File No. 001-34057) filed</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jc w:val="both"/>
        <w:ind w:left="600" w:right="320" w:hanging="1295"/>
        <w:spacing w:after="0" w:line="263" w:lineRule="auto"/>
        <w:tabs>
          <w:tab w:leader="none" w:pos="580" w:val="left"/>
        </w:tabs>
        <w:rPr>
          <w:rFonts w:ascii="Arial" w:cs="Arial" w:eastAsia="Arial" w:hAnsi="Arial"/>
          <w:sz w:val="18"/>
          <w:szCs w:val="18"/>
          <w:color w:val="auto"/>
        </w:rPr>
      </w:pPr>
      <w:hyperlink r:id="rId83">
        <w:r>
          <w:rPr>
            <w:rFonts w:ascii="Arial" w:cs="Arial" w:eastAsia="Arial" w:hAnsi="Arial"/>
            <w:sz w:val="18"/>
            <w:szCs w:val="18"/>
            <w:color w:val="auto"/>
          </w:rPr>
          <w:t>*4.12</w:t>
        </w:r>
      </w:hyperlink>
      <w:r>
        <w:rPr>
          <w:rFonts w:ascii="Arial" w:cs="Arial" w:eastAsia="Arial" w:hAnsi="Arial"/>
          <w:sz w:val="18"/>
          <w:szCs w:val="18"/>
          <w:color w:val="auto"/>
        </w:rPr>
        <w:tab/>
      </w:r>
      <w:hyperlink r:id="rId83">
        <w:r>
          <w:rPr>
            <w:rFonts w:ascii="Arial" w:cs="Arial" w:eastAsia="Arial" w:hAnsi="Arial"/>
            <w:sz w:val="18"/>
            <w:szCs w:val="18"/>
            <w:color w:val="auto"/>
          </w:rPr>
          <w:t>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reference to Exhibit 4.2 of Form 8-K (File No. 001-34057) filed October 3, 2019.</w:t>
        </w:r>
      </w:hyperlink>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jc w:val="both"/>
        <w:ind w:left="600" w:right="80" w:hanging="1295"/>
        <w:spacing w:after="0" w:line="263" w:lineRule="auto"/>
        <w:tabs>
          <w:tab w:leader="none" w:pos="580" w:val="left"/>
        </w:tabs>
        <w:rPr>
          <w:rFonts w:ascii="Arial" w:cs="Arial" w:eastAsia="Arial" w:hAnsi="Arial"/>
          <w:sz w:val="18"/>
          <w:szCs w:val="18"/>
          <w:color w:val="auto"/>
        </w:rPr>
      </w:pPr>
      <w:hyperlink r:id="rId83">
        <w:r>
          <w:rPr>
            <w:rFonts w:ascii="Arial" w:cs="Arial" w:eastAsia="Arial" w:hAnsi="Arial"/>
            <w:sz w:val="18"/>
            <w:szCs w:val="18"/>
            <w:color w:val="auto"/>
          </w:rPr>
          <w:t>*4.13</w:t>
        </w:r>
      </w:hyperlink>
      <w:r>
        <w:rPr>
          <w:rFonts w:ascii="Arial" w:cs="Arial" w:eastAsia="Arial" w:hAnsi="Arial"/>
          <w:sz w:val="18"/>
          <w:szCs w:val="18"/>
          <w:color w:val="auto"/>
        </w:rPr>
        <w:tab/>
      </w:r>
      <w:hyperlink r:id="rId83">
        <w:r>
          <w:rPr>
            <w:rFonts w:ascii="Arial" w:cs="Arial" w:eastAsia="Arial" w:hAnsi="Arial"/>
            <w:sz w:val="18"/>
            <w:szCs w:val="18"/>
            <w:color w:val="auto"/>
          </w:rPr>
          <w:t>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(included as part of Exhibit 4.12), incorporated herein by reference to Exhibit A of Exhibit 4.2 of Form 8-K (File No. 001-34057) filed</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ind w:left="600" w:right="20" w:hanging="1295"/>
        <w:spacing w:after="0" w:line="263" w:lineRule="auto"/>
        <w:tabs>
          <w:tab w:leader="none" w:pos="580" w:val="left"/>
        </w:tabs>
        <w:rPr>
          <w:rFonts w:ascii="Arial" w:cs="Arial" w:eastAsia="Arial" w:hAnsi="Arial"/>
          <w:sz w:val="18"/>
          <w:szCs w:val="18"/>
          <w:color w:val="auto"/>
        </w:rPr>
      </w:pPr>
      <w:hyperlink r:id="rId85">
        <w:r>
          <w:rPr>
            <w:rFonts w:ascii="Arial" w:cs="Arial" w:eastAsia="Arial" w:hAnsi="Arial"/>
            <w:sz w:val="18"/>
            <w:szCs w:val="18"/>
            <w:color w:val="auto"/>
          </w:rPr>
          <w:t>*4.14</w:t>
        </w:r>
      </w:hyperlink>
      <w:r>
        <w:rPr>
          <w:rFonts w:ascii="Arial" w:cs="Arial" w:eastAsia="Arial" w:hAnsi="Arial"/>
          <w:sz w:val="18"/>
          <w:szCs w:val="18"/>
          <w:color w:val="auto"/>
        </w:rPr>
        <w:tab/>
      </w:r>
      <w:hyperlink r:id="rId85">
        <w:r>
          <w:rPr>
            <w:rFonts w:ascii="Arial" w:cs="Arial" w:eastAsia="Arial" w:hAnsi="Arial"/>
            <w:sz w:val="18"/>
            <w:szCs w:val="18"/>
            <w:color w:val="auto"/>
          </w:rPr>
          <w:t>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ind w:left="600" w:hanging="1295"/>
        <w:spacing w:after="0" w:line="263" w:lineRule="auto"/>
        <w:tabs>
          <w:tab w:leader="none" w:pos="580" w:val="left"/>
        </w:tabs>
        <w:rPr>
          <w:rFonts w:ascii="Arial" w:cs="Arial" w:eastAsia="Arial" w:hAnsi="Arial"/>
          <w:sz w:val="18"/>
          <w:szCs w:val="18"/>
          <w:color w:val="auto"/>
        </w:rPr>
      </w:pPr>
      <w:hyperlink r:id="rId85">
        <w:r>
          <w:rPr>
            <w:rFonts w:ascii="Arial" w:cs="Arial" w:eastAsia="Arial" w:hAnsi="Arial"/>
            <w:sz w:val="18"/>
            <w:szCs w:val="18"/>
            <w:color w:val="auto"/>
          </w:rPr>
          <w:t>*4.15</w:t>
        </w:r>
      </w:hyperlink>
      <w:r>
        <w:rPr>
          <w:rFonts w:ascii="Arial" w:cs="Arial" w:eastAsia="Arial" w:hAnsi="Arial"/>
          <w:sz w:val="18"/>
          <w:szCs w:val="18"/>
          <w:color w:val="auto"/>
        </w:rPr>
        <w:tab/>
      </w:r>
      <w:hyperlink r:id="rId85">
        <w:r>
          <w:rPr>
            <w:rFonts w:ascii="Arial" w:cs="Arial" w:eastAsia="Arial" w:hAnsi="Arial"/>
            <w:sz w:val="18"/>
            <w:szCs w:val="18"/>
            <w:color w:val="auto"/>
          </w:rPr>
          <w:t>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(included as part of Exhibit 4.14), incorporated herein by reference to Exhibit A of Exhibit 4.1 of Form 8-K (File No. 001-34057) filed</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w:anchor="page49">
        <w:r>
          <w:rPr>
            <w:rFonts w:ascii="Arial" w:cs="Arial" w:eastAsia="Arial" w:hAnsi="Arial"/>
            <w:sz w:val="18"/>
            <w:szCs w:val="18"/>
            <w:color w:val="auto"/>
          </w:rPr>
          <w:t>31.1</w:t>
        </w:r>
      </w:hyperlink>
      <w:r>
        <w:rPr>
          <w:rFonts w:ascii="Arial" w:cs="Arial" w:eastAsia="Arial" w:hAnsi="Arial"/>
          <w:sz w:val="18"/>
          <w:szCs w:val="18"/>
          <w:color w:val="auto"/>
        </w:rPr>
        <w:tab/>
      </w:r>
      <w:hyperlink w:anchor="page49">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spacing w:after="0"/>
        <w:tabs>
          <w:tab w:leader="none" w:pos="480" w:val="left"/>
        </w:tabs>
        <w:rPr>
          <w:rFonts w:ascii="Arial" w:cs="Arial" w:eastAsia="Arial" w:hAnsi="Arial"/>
          <w:sz w:val="16"/>
          <w:szCs w:val="16"/>
          <w:color w:val="auto"/>
        </w:rPr>
      </w:pPr>
      <w:hyperlink w:anchor="page50">
        <w:r>
          <w:rPr>
            <w:rFonts w:ascii="Arial" w:cs="Arial" w:eastAsia="Arial" w:hAnsi="Arial"/>
            <w:sz w:val="18"/>
            <w:szCs w:val="18"/>
            <w:color w:val="auto"/>
          </w:rPr>
          <w:t>31.2</w:t>
        </w:r>
      </w:hyperlink>
      <w:r>
        <w:rPr>
          <w:rFonts w:ascii="Arial" w:cs="Arial" w:eastAsia="Arial" w:hAnsi="Arial"/>
          <w:sz w:val="18"/>
          <w:szCs w:val="18"/>
          <w:color w:val="auto"/>
        </w:rPr>
        <w:tab/>
      </w:r>
      <w:hyperlink w:anchor="page50">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spacing w:after="0"/>
        <w:tabs>
          <w:tab w:leader="none" w:pos="340" w:val="left"/>
        </w:tabs>
        <w:rPr>
          <w:rFonts w:ascii="Arial" w:cs="Arial" w:eastAsia="Arial" w:hAnsi="Arial"/>
          <w:sz w:val="16"/>
          <w:szCs w:val="16"/>
          <w:color w:val="auto"/>
        </w:rPr>
      </w:pPr>
      <w:r>
        <w:rPr>
          <w:rFonts w:ascii="Arial" w:cs="Arial" w:eastAsia="Arial" w:hAnsi="Arial"/>
          <w:sz w:val="18"/>
          <w:szCs w:val="18"/>
          <w:color w:val="auto"/>
        </w:rPr>
        <w:t>32</w:t>
      </w:r>
      <w:r>
        <w:rPr>
          <w:sz w:val="20"/>
          <w:szCs w:val="20"/>
          <w:color w:val="auto"/>
        </w:rPr>
        <w:tab/>
      </w:r>
      <w:hyperlink w:anchor="page51">
        <w:r>
          <w:rPr>
            <w:rFonts w:ascii="Arial" w:cs="Arial" w:eastAsia="Arial" w:hAnsi="Arial"/>
            <w:sz w:val="16"/>
            <w:szCs w:val="16"/>
            <w:color w:val="auto"/>
          </w:rPr>
          <w:t>Certification of CEO and CFO Pursuant to Section 906 of the Sarbanes-Oxley Act of 2002.</w:t>
        </w:r>
      </w:hyperlink>
    </w:p>
    <w:p>
      <w:pPr>
        <w:sectPr>
          <w:pgSz w:w="11900" w:h="16838" w:orient="portrait"/>
          <w:cols w:equalWidth="0" w:num="1">
            <w:col w:w="11120"/>
          </w:cols>
          <w:pgMar w:left="320" w:top="1057" w:right="45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93" w:lineRule="exact"/>
        <w:rPr>
          <w:sz w:val="20"/>
          <w:szCs w:val="20"/>
          <w:color w:val="auto"/>
        </w:rPr>
      </w:pPr>
    </w:p>
    <w:p>
      <w:pPr>
        <w:sectPr>
          <w:pgSz w:w="11900" w:h="16838" w:orient="portrait"/>
          <w:cols w:equalWidth="0" w:num="2">
            <w:col w:w="800" w:space="160"/>
            <w:col w:w="10160"/>
          </w:cols>
          <w:pgMar w:left="320" w:top="1057" w:right="45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sz w:val="20"/>
          <w:szCs w:val="20"/>
          <w:color w:val="auto"/>
        </w:rPr>
      </w:pPr>
    </w:p>
    <w:p>
      <w:pPr>
        <w:sectPr>
          <w:pgSz w:w="11900" w:h="16838" w:orient="portrait"/>
          <w:cols w:equalWidth="0" w:num="2">
            <w:col w:w="860" w:space="180"/>
            <w:col w:w="10080"/>
          </w:cols>
          <w:pgMar w:left="320" w:top="1057" w:right="45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860" w:space="180"/>
            <w:col w:w="10080"/>
          </w:cols>
          <w:pgMar w:left="320" w:top="1057" w:right="4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sz w:val="20"/>
          <w:szCs w:val="20"/>
          <w:color w:val="auto"/>
        </w:rPr>
      </w:pPr>
    </w:p>
    <w:p>
      <w:pPr>
        <w:sectPr>
          <w:pgSz w:w="11900" w:h="16838" w:orient="portrait"/>
          <w:cols w:equalWidth="0" w:num="2">
            <w:col w:w="860" w:space="180"/>
            <w:col w:w="10080"/>
          </w:cols>
          <w:pgMar w:left="320" w:top="1057" w:right="45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sz w:val="20"/>
          <w:szCs w:val="20"/>
          <w:color w:val="auto"/>
        </w:rPr>
      </w:pPr>
    </w:p>
    <w:p>
      <w:pPr>
        <w:sectPr>
          <w:pgSz w:w="11900" w:h="16838" w:orient="portrait"/>
          <w:cols w:equalWidth="0" w:num="2">
            <w:col w:w="840" w:space="180"/>
            <w:col w:w="10100"/>
          </w:cols>
          <w:pgMar w:left="320" w:top="1057" w:right="45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3" w:lineRule="exact"/>
        <w:rPr>
          <w:sz w:val="20"/>
          <w:szCs w:val="20"/>
          <w:color w:val="auto"/>
        </w:rPr>
      </w:pPr>
    </w:p>
    <w:p>
      <w:pPr>
        <w:sectPr>
          <w:pgSz w:w="11900" w:h="16838" w:orient="portrait"/>
          <w:cols w:equalWidth="0" w:num="2">
            <w:col w:w="840" w:space="180"/>
            <w:col w:w="10100"/>
          </w:cols>
          <w:pgMar w:left="320" w:top="1057" w:right="45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360" w:right="240" w:hanging="647"/>
        <w:spacing w:after="0" w:line="250" w:lineRule="auto"/>
        <w:tabs>
          <w:tab w:leader="none" w:pos="340" w:val="left"/>
        </w:tabs>
        <w:rPr>
          <w:sz w:val="20"/>
          <w:szCs w:val="20"/>
          <w:color w:val="auto"/>
        </w:rPr>
      </w:pPr>
      <w:r>
        <w:rPr>
          <w:rFonts w:ascii="Arial" w:cs="Arial" w:eastAsia="Arial" w:hAnsi="Arial"/>
          <w:sz w:val="18"/>
          <w:szCs w:val="18"/>
          <w:color w:val="auto"/>
        </w:rPr>
        <w:t>**</w:t>
        <w:tab/>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3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sz w:val="20"/>
          <w:szCs w:val="20"/>
          <w:color w:val="auto"/>
        </w:rPr>
      </w:pPr>
    </w:p>
    <w:p>
      <w:pPr>
        <w:ind w:left="680" w:right="7380" w:hanging="227"/>
        <w:spacing w:after="0" w:line="277" w:lineRule="auto"/>
        <w:tabs>
          <w:tab w:leader="none" w:pos="8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7" w:right="459" w:bottom="1440" w:gutter="0" w:footer="0" w:header="0"/>
          <w:type w:val="continuous"/>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7" w:lineRule="exact"/>
        <w:rPr>
          <w:sz w:val="20"/>
          <w:szCs w:val="20"/>
          <w:color w:val="auto"/>
        </w:rPr>
      </w:pPr>
    </w:p>
    <w:p>
      <w:pPr>
        <w:ind w:left="5540"/>
        <w:spacing w:after="0"/>
        <w:tabs>
          <w:tab w:leader="none" w:pos="7900" w:val="left"/>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4"/>
          <w:szCs w:val="14"/>
          <w:b w:val="1"/>
          <w:bCs w:val="1"/>
          <w:color w:val="auto"/>
        </w:rPr>
        <w:t>Gary D. Kain</w:t>
      </w:r>
    </w:p>
    <w:p>
      <w:pPr>
        <w:jc w:val="center"/>
        <w:ind w:left="5980"/>
        <w:spacing w:after="0" w:line="201" w:lineRule="auto"/>
        <w:rPr>
          <w:sz w:val="20"/>
          <w:szCs w:val="20"/>
          <w:color w:val="auto"/>
        </w:rPr>
      </w:pPr>
      <w:r>
        <w:rPr>
          <w:rFonts w:ascii="Arial" w:cs="Arial" w:eastAsia="Arial" w:hAnsi="Arial"/>
          <w:sz w:val="14"/>
          <w:szCs w:val="14"/>
          <w:b w:val="1"/>
          <w:bCs w:val="1"/>
          <w:color w:val="auto"/>
        </w:rPr>
        <w:t>Chief Executive Officer and</w:t>
      </w:r>
    </w:p>
    <w:p>
      <w:pPr>
        <w:jc w:val="center"/>
        <w:ind w:left="602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May 7, 2021</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4"/>
          <w:szCs w:val="14"/>
          <w:b w:val="1"/>
          <w:bCs w:val="1"/>
          <w:color w:val="auto"/>
        </w:rPr>
        <w:t>Bernice E. Bell</w:t>
      </w:r>
    </w:p>
    <w:p>
      <w:pPr>
        <w:ind w:left="7840"/>
        <w:spacing w:after="0" w:line="201" w:lineRule="auto"/>
        <w:rPr>
          <w:sz w:val="20"/>
          <w:szCs w:val="20"/>
          <w:color w:val="auto"/>
        </w:rPr>
      </w:pPr>
      <w:r>
        <w:rPr>
          <w:rFonts w:ascii="Arial" w:cs="Arial" w:eastAsia="Arial" w:hAnsi="Arial"/>
          <w:sz w:val="14"/>
          <w:szCs w:val="14"/>
          <w:b w:val="1"/>
          <w:bCs w:val="1"/>
          <w:color w:val="auto"/>
        </w:rPr>
        <w:t>Senior Vice President and</w:t>
      </w:r>
    </w:p>
    <w:p>
      <w:pPr>
        <w:ind w:left="6260"/>
        <w:spacing w:after="0" w:line="217" w:lineRule="auto"/>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00"/>
        <w:spacing w:after="0"/>
        <w:rPr>
          <w:sz w:val="20"/>
          <w:szCs w:val="20"/>
          <w:color w:val="auto"/>
        </w:rPr>
      </w:pPr>
      <w:r>
        <w:rPr>
          <w:rFonts w:ascii="Arial" w:cs="Arial" w:eastAsia="Arial" w:hAnsi="Arial"/>
          <w:sz w:val="14"/>
          <w:szCs w:val="14"/>
          <w:b w:val="1"/>
          <w:bCs w:val="1"/>
          <w:color w:val="auto"/>
        </w:rPr>
        <w:t>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May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891"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760" w:hanging="307"/>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5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7, 2021</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Gary D. Kain</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Executive Officer and Chief Investment</w:t>
      </w:r>
    </w:p>
    <w:p>
      <w:pPr>
        <w:ind w:left="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240"/>
          </w:cols>
          <w:pgMar w:left="320" w:top="89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78"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7, 2021</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Bernice E. Bell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ind w:left="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May 7, 2021</w:t>
            </w:r>
          </w:p>
        </w:tc>
        <w:tc>
          <w:tcPr>
            <w:tcW w:w="0" w:type="dxa"/>
            <w:vAlign w:val="bottom"/>
          </w:tcPr>
          <w:p>
            <w:pPr>
              <w:spacing w:after="0"/>
              <w:rPr>
                <w:sz w:val="1"/>
                <w:szCs w:val="1"/>
                <w:color w:val="auto"/>
              </w:rPr>
            </w:pPr>
          </w:p>
        </w:tc>
      </w:tr>
      <w:tr>
        <w:trPr>
          <w:trHeight w:val="486"/>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May 7, 2021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3"/>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84"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65" Type="http://schemas.openxmlformats.org/officeDocument/2006/relationships/hyperlink" Target="http://www.sec.gov/Archives/edgar/data/1423689/000142368920000042/agncexhibit313312010-q.htm" TargetMode="External"/><Relationship Id="rId66" Type="http://schemas.openxmlformats.org/officeDocument/2006/relationships/hyperlink" Target="http://www.sec.gov/Archives/edgar/data/1423689/000142368921000017/arbylaws-march2021vrevised.htm" TargetMode="External"/><Relationship Id="rId67" Type="http://schemas.openxmlformats.org/officeDocument/2006/relationships/hyperlink" Target="http://www.sec.gov/Archives/edgar/data/1423689/000142368917000044/ex35certificateofdesignati.htm" TargetMode="External"/><Relationship Id="rId69" Type="http://schemas.openxmlformats.org/officeDocument/2006/relationships/hyperlink" Target="http://www.sec.gov/Archives/edgar/data/1423689/000142368917000065/certificateofelimination.htm" TargetMode="External"/><Relationship Id="rId70" Type="http://schemas.openxmlformats.org/officeDocument/2006/relationships/hyperlink" Target="http://www.sec.gov/Archives/edgar/data/1423689/000142368919000019/certificateofdesignations.htm" TargetMode="External"/><Relationship Id="rId71" Type="http://schemas.openxmlformats.org/officeDocument/2006/relationships/hyperlink" Target="http://www.sec.gov/Archives/edgar/data/1423689/000142368919000064/certofdesignations.htm" TargetMode="External"/><Relationship Id="rId72" Type="http://schemas.openxmlformats.org/officeDocument/2006/relationships/hyperlink" Target="http://www.sec.gov/Archives/edgar/data/1423689/000142368919000078/certificateofeliminati.htm" TargetMode="External"/><Relationship Id="rId73" Type="http://schemas.openxmlformats.org/officeDocument/2006/relationships/hyperlink" Target="http://www.sec.gov/Archives/edgar/data/1423689/000142368920000012/certificateofdesignations-.htm" TargetMode="External"/><Relationship Id="rId74" Type="http://schemas.openxmlformats.org/officeDocument/2006/relationships/hyperlink" Target="http://www.sec.gov/Archives/edgar/data/1423689/000142368918000016/agncexhibit313311810-q.htm" TargetMode="External"/><Relationship Id="rId75" Type="http://schemas.openxmlformats.org/officeDocument/2006/relationships/hyperlink" Target="http://www.sec.gov/Archives/edgar/data/1423689/000142368916000104/agncexhibit329301610-qbyla.htm" TargetMode="External"/><Relationship Id="rId76" Type="http://schemas.openxmlformats.org/officeDocument/2006/relationships/hyperlink" Target="http://www.sec.gov/Archives/edgar/data/1423689/000142368916000104/agncexhibit43.htm" TargetMode="External"/><Relationship Id="rId77" Type="http://schemas.openxmlformats.org/officeDocument/2006/relationships/hyperlink" Target="http://www.sec.gov/Archives/edgar/data/1423689/000142368917000044/exhibit41.htm" TargetMode="External"/><Relationship Id="rId78" Type="http://schemas.openxmlformats.org/officeDocument/2006/relationships/hyperlink" Target="http://www.sec.gov/Archives/edgar/data/1423689/000142368919000019/stockcertificateb98.htm" TargetMode="External"/><Relationship Id="rId79" Type="http://schemas.openxmlformats.org/officeDocument/2006/relationships/hyperlink" Target="http://www.sec.gov/Archives/edgar/data/1423689/000142368919000064/stockcertificate.htm" TargetMode="External"/><Relationship Id="rId80" Type="http://schemas.openxmlformats.org/officeDocument/2006/relationships/hyperlink" Target="http://www.sec.gov/Archives/edgar/data/1423689/000142368920000012/stockcertificate.htm" TargetMode="External"/><Relationship Id="rId81" Type="http://schemas.openxmlformats.org/officeDocument/2006/relationships/hyperlink" Target="http://www.sec.gov/Archives/edgar/data/1423689/000142368917000049/depositagreement.htm" TargetMode="External"/><Relationship Id="rId82" Type="http://schemas.openxmlformats.org/officeDocument/2006/relationships/hyperlink" Target="http://www.sec.gov/Archives/edgar/data/1423689/000142368919000021/prefddepositagmt.htm" TargetMode="External"/><Relationship Id="rId83" Type="http://schemas.openxmlformats.org/officeDocument/2006/relationships/hyperlink" Target="http://www.sec.gov/Archives/edgar/data/1423689/000142368919000068/depositagmt-prefe.htm" TargetMode="External"/><Relationship Id="rId85" Type="http://schemas.openxmlformats.org/officeDocument/2006/relationships/hyperlink" Target="http://www.sec.gov/Archives/edgar/data/1423689/000142368920000014/depositaryagmt-seri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2021-05-07T16:16:10Z</dcterms:created>
  <dcterms:modified xsi:type="dcterms:W3CDTF">2021-05-07T16:16:10Z</dcterms:modified>
</cp:coreProperties>
</file>