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-220345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44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38"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2017</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63"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1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001-34057</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109855</wp:posOffset>
            </wp:positionV>
            <wp:extent cx="245237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AGNC INVESTMENT CORP.</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ectPr>
          <w:pgSz w:w="11900" w:h="16838" w:orient="portrait"/>
          <w:cols w:equalWidth="0" w:num="1">
            <w:col w:w="11400"/>
          </w:cols>
          <w:pgMar w:left="240" w:top="497" w:right="259" w:bottom="1440" w:gutter="0" w:footer="0" w:header="0"/>
        </w:sectPr>
      </w:pPr>
    </w:p>
    <w:p>
      <w:pPr>
        <w:spacing w:after="0" w:line="15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26-1701984</w:t>
      </w:r>
    </w:p>
    <w:p>
      <w:pPr>
        <w:spacing w:after="0" w:line="61" w:lineRule="exact"/>
        <w:rPr>
          <w:sz w:val="24"/>
          <w:szCs w:val="24"/>
          <w:color w:val="auto"/>
        </w:rPr>
      </w:pPr>
    </w:p>
    <w:p>
      <w:pPr>
        <w:sectPr>
          <w:pgSz w:w="11900" w:h="16838" w:orient="portrait"/>
          <w:cols w:equalWidth="0" w:num="2">
            <w:col w:w="7640" w:space="720"/>
            <w:col w:w="3040"/>
          </w:cols>
          <w:pgMar w:left="240" w:top="497" w:right="25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3" w:lineRule="exact"/>
        <w:rPr>
          <w:sz w:val="24"/>
          <w:szCs w:val="24"/>
          <w:color w:val="auto"/>
        </w:rPr>
      </w:pPr>
    </w:p>
    <w:p>
      <w:pPr>
        <w:sectPr>
          <w:pgSz w:w="11900" w:h="16838" w:orient="portrait"/>
          <w:cols w:equalWidth="0" w:num="2">
            <w:col w:w="7520" w:space="720"/>
            <w:col w:w="3160"/>
          </w:cols>
          <w:pgMar w:left="240" w:top="497"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 Bethesda Metro Center, 12th Floor</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Bethesda, Maryland 20814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(301) 968-9315</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ectPr>
          <w:pgSz w:w="11900" w:h="16838" w:orient="portrait"/>
          <w:cols w:equalWidth="0" w:num="1">
            <w:col w:w="11400"/>
          </w:cols>
          <w:pgMar w:left="240" w:top="497" w:right="25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to be filed by Section 13 or 15(d) of the Securities Exchange Act of 1934 during the</w:t>
      </w:r>
    </w:p>
    <w:p>
      <w:pPr>
        <w:spacing w:after="0" w:line="25" w:lineRule="exact"/>
        <w:rPr>
          <w:sz w:val="24"/>
          <w:szCs w:val="24"/>
          <w:color w:val="auto"/>
        </w:rPr>
      </w:pPr>
    </w:p>
    <w:p>
      <w:pPr>
        <w:spacing w:after="0" w:line="212" w:lineRule="exact"/>
        <w:rPr>
          <w:sz w:val="20"/>
          <w:szCs w:val="20"/>
          <w:color w:val="auto"/>
        </w:rPr>
      </w:pPr>
      <w:r>
        <w:rPr>
          <w:rFonts w:ascii="Times New Roman" w:cs="Times New Roman" w:eastAsia="Times New Roman" w:hAnsi="Times New Roman"/>
          <w:sz w:val="17"/>
          <w:szCs w:val="17"/>
          <w:color w:val="auto"/>
        </w:rPr>
        <w:t xml:space="preserve">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80" w:firstLine="432"/>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 w:lineRule="exact"/>
        <w:rPr>
          <w:sz w:val="24"/>
          <w:szCs w:val="24"/>
          <w:color w:val="auto"/>
        </w:rPr>
      </w:pPr>
    </w:p>
    <w:p>
      <w:pPr>
        <w:ind w:right="540" w:firstLine="432"/>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620" w:type="dxa"/>
            <w:vAlign w:val="bottom"/>
          </w:tcPr>
          <w:p>
            <w:pPr>
              <w:ind w:left="4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tc>
        <w:tc>
          <w:tcPr>
            <w:tcW w:w="33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43" w:lineRule="exact"/>
        <w:rPr>
          <w:sz w:val="24"/>
          <w:szCs w:val="24"/>
          <w:color w:val="auto"/>
        </w:rPr>
      </w:pPr>
    </w:p>
    <w:p>
      <w:pPr>
        <w:ind w:right="520" w:firstLine="432"/>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40" w:right="1920" w:firstLine="108"/>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issuer's common stock, $0.01 par value, outstanding as of April 30, 2017 was 331,046,077.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173355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87630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00"/>
          </w:cols>
          <w:pgMar w:left="240" w:top="497" w:right="259" w:bottom="1440" w:gutter="0" w:footer="0" w:header="0"/>
          <w:type w:val="continuous"/>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6"/>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PART I.</w:t>
              </w:r>
            </w:hyperlink>
          </w:p>
        </w:tc>
        <w:tc>
          <w:tcPr>
            <w:tcW w:w="7660" w:type="dxa"/>
            <w:vAlign w:val="bottom"/>
            <w:gridSpan w:val="13"/>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61"/>
        </w:trPr>
        <w:tc>
          <w:tcPr>
            <w:tcW w:w="460" w:type="dxa"/>
            <w:vAlign w:val="bottom"/>
            <w:tcBorders>
              <w:top w:val="single" w:sz="8" w:color="0000EE"/>
            </w:tcBorders>
          </w:tcPr>
          <w:p>
            <w:pPr>
              <w:spacing w:after="0"/>
              <w:rPr>
                <w:rFonts w:ascii="Times New Roman" w:cs="Times New Roman" w:eastAsia="Times New Roman" w:hAnsi="Times New Roman"/>
                <w:sz w:val="16"/>
                <w:szCs w:val="16"/>
                <w:color w:val="0000EE"/>
                <w:w w:val="92"/>
              </w:rPr>
            </w:pPr>
            <w:hyperlink w:anchor="page3">
              <w:r>
                <w:rPr>
                  <w:rFonts w:ascii="Times New Roman" w:cs="Times New Roman" w:eastAsia="Times New Roman" w:hAnsi="Times New Roman"/>
                  <w:sz w:val="16"/>
                  <w:szCs w:val="16"/>
                  <w:color w:val="0000EE"/>
                  <w:w w:val="92"/>
                </w:rPr>
                <w:t>Item 1.</w:t>
              </w:r>
            </w:hyperlink>
          </w:p>
        </w:tc>
        <w:tc>
          <w:tcPr>
            <w:tcW w:w="100" w:type="dxa"/>
            <w:vAlign w:val="bottom"/>
            <w:tcBorders>
              <w:top w:val="single" w:sz="8" w:color="0000EE"/>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2140" w:type="dxa"/>
            <w:vAlign w:val="bottom"/>
            <w:tcBorders>
              <w:top w:val="single" w:sz="8" w:color="0000EE"/>
            </w:tcBorders>
            <w:gridSpan w:val="9"/>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Financial Statements</w:t>
              </w:r>
            </w:hyperlink>
          </w:p>
        </w:tc>
        <w:tc>
          <w:tcPr>
            <w:tcW w:w="5520" w:type="dxa"/>
            <w:vAlign w:val="bottom"/>
            <w:gridSpan w:val="4"/>
          </w:tcPr>
          <w:p>
            <w:pPr>
              <w:spacing w:after="0"/>
              <w:rPr>
                <w:sz w:val="24"/>
                <w:szCs w:val="24"/>
                <w:color w:val="auto"/>
              </w:rPr>
            </w:pPr>
          </w:p>
        </w:tc>
        <w:tc>
          <w:tcPr>
            <w:tcW w:w="2020" w:type="dxa"/>
            <w:vAlign w:val="bottom"/>
            <w:gridSpan w:val="3"/>
          </w:tcPr>
          <w:p>
            <w:pPr>
              <w:jc w:val="center"/>
              <w:ind w:left="1777"/>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28">
              <w:r>
                <w:rPr>
                  <w:rFonts w:ascii="Times New Roman" w:cs="Times New Roman" w:eastAsia="Times New Roman" w:hAnsi="Times New Roman"/>
                  <w:sz w:val="16"/>
                  <w:szCs w:val="16"/>
                  <w:color w:val="0000EE"/>
                  <w:w w:val="92"/>
                </w:rPr>
                <w:t>Item 2.</w:t>
              </w:r>
            </w:hyperlink>
          </w:p>
        </w:tc>
        <w:tc>
          <w:tcPr>
            <w:tcW w:w="580" w:type="dxa"/>
            <w:vAlign w:val="bottom"/>
            <w:gridSpan w:val="5"/>
          </w:tcPr>
          <w:p>
            <w:pPr>
              <w:spacing w:after="0"/>
              <w:rPr>
                <w:sz w:val="20"/>
                <w:szCs w:val="20"/>
                <w:color w:val="auto"/>
              </w:rPr>
            </w:pPr>
          </w:p>
        </w:tc>
        <w:tc>
          <w:tcPr>
            <w:tcW w:w="580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28">
              <w:r>
                <w:rPr>
                  <w:rFonts w:ascii="Times New Roman" w:cs="Times New Roman" w:eastAsia="Times New Roman" w:hAnsi="Times New Roman"/>
                  <w:sz w:val="16"/>
                  <w:szCs w:val="16"/>
                  <w:color w:val="0000EE"/>
                  <w:w w:val="74"/>
                </w:rPr>
                <w:t>27</w:t>
              </w:r>
            </w:hyperlink>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3.</w:t>
              </w:r>
            </w:hyperlink>
          </w:p>
        </w:tc>
        <w:tc>
          <w:tcPr>
            <w:tcW w:w="580" w:type="dxa"/>
            <w:vAlign w:val="bottom"/>
            <w:gridSpan w:val="5"/>
          </w:tcPr>
          <w:p>
            <w:pPr>
              <w:spacing w:after="0"/>
              <w:rPr>
                <w:sz w:val="20"/>
                <w:szCs w:val="20"/>
                <w:color w:val="auto"/>
              </w:rPr>
            </w:pPr>
          </w:p>
        </w:tc>
        <w:tc>
          <w:tcPr>
            <w:tcW w:w="394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w:anchor="page48">
              <w:r>
                <w:rPr>
                  <w:rFonts w:ascii="Times New Roman" w:cs="Times New Roman" w:eastAsia="Times New Roman" w:hAnsi="Times New Roman"/>
                  <w:sz w:val="16"/>
                  <w:szCs w:val="16"/>
                  <w:color w:val="0000EE"/>
                </w:rPr>
                <w:t>Quantitative and Qualitative Disclosures About Market Risk</w:t>
              </w:r>
            </w:hyperlink>
          </w:p>
        </w:tc>
        <w:tc>
          <w:tcPr>
            <w:tcW w:w="372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48">
              <w:r>
                <w:rPr>
                  <w:rFonts w:ascii="Times New Roman" w:cs="Times New Roman" w:eastAsia="Times New Roman" w:hAnsi="Times New Roman"/>
                  <w:sz w:val="16"/>
                  <w:szCs w:val="16"/>
                  <w:color w:val="0000EE"/>
                  <w:w w:val="74"/>
                </w:rPr>
                <w:t>47</w:t>
              </w:r>
            </w:hyperlink>
          </w:p>
        </w:tc>
      </w:tr>
      <w:tr>
        <w:trPr>
          <w:trHeight w:val="237"/>
        </w:trPr>
        <w:tc>
          <w:tcPr>
            <w:tcW w:w="460" w:type="dxa"/>
            <w:vAlign w:val="bottom"/>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4.</w:t>
              </w:r>
            </w:hyperlink>
          </w:p>
        </w:tc>
        <w:tc>
          <w:tcPr>
            <w:tcW w:w="580" w:type="dxa"/>
            <w:vAlign w:val="bottom"/>
            <w:gridSpan w:val="5"/>
          </w:tcPr>
          <w:p>
            <w:pPr>
              <w:spacing w:after="0"/>
              <w:rPr>
                <w:sz w:val="20"/>
                <w:szCs w:val="20"/>
                <w:color w:val="auto"/>
              </w:rPr>
            </w:pPr>
          </w:p>
        </w:tc>
        <w:tc>
          <w:tcPr>
            <w:tcW w:w="7660" w:type="dxa"/>
            <w:vAlign w:val="bottom"/>
            <w:gridSpan w:val="13"/>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Controls and Procedures</w:t>
              </w:r>
            </w:hyperlink>
          </w:p>
        </w:tc>
        <w:tc>
          <w:tcPr>
            <w:tcW w:w="2020" w:type="dxa"/>
            <w:vAlign w:val="bottom"/>
            <w:gridSpan w:val="3"/>
          </w:tcPr>
          <w:p>
            <w:pPr>
              <w:jc w:val="center"/>
              <w:ind w:left="1777"/>
              <w:spacing w:after="0"/>
              <w:rPr>
                <w:rFonts w:ascii="Times New Roman" w:cs="Times New Roman" w:eastAsia="Times New Roman" w:hAnsi="Times New Roman"/>
                <w:sz w:val="16"/>
                <w:szCs w:val="16"/>
                <w:color w:val="0000EE"/>
                <w:w w:val="99"/>
              </w:rPr>
            </w:pPr>
            <w:hyperlink w:anchor="page52">
              <w:r>
                <w:rPr>
                  <w:rFonts w:ascii="Times New Roman" w:cs="Times New Roman" w:eastAsia="Times New Roman" w:hAnsi="Times New Roman"/>
                  <w:sz w:val="16"/>
                  <w:szCs w:val="16"/>
                  <w:color w:val="0000EE"/>
                  <w:w w:val="99"/>
                </w:rPr>
                <w:t>51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47"/>
        </w:trPr>
        <w:tc>
          <w:tcPr>
            <w:tcW w:w="1040" w:type="dxa"/>
            <w:vAlign w:val="bottom"/>
            <w:gridSpan w:val="6"/>
          </w:tcPr>
          <w:p>
            <w:pPr>
              <w:spacing w:after="0"/>
              <w:rPr>
                <w:rFonts w:ascii="Times New Roman" w:cs="Times New Roman" w:eastAsia="Times New Roman" w:hAnsi="Times New Roman"/>
                <w:sz w:val="16"/>
                <w:szCs w:val="16"/>
                <w:b w:val="1"/>
                <w:bCs w:val="1"/>
                <w:color w:val="0000EE"/>
              </w:rPr>
            </w:pPr>
            <w:hyperlink w:anchor="page52">
              <w:r>
                <w:rPr>
                  <w:rFonts w:ascii="Times New Roman" w:cs="Times New Roman" w:eastAsia="Times New Roman" w:hAnsi="Times New Roman"/>
                  <w:sz w:val="16"/>
                  <w:szCs w:val="16"/>
                  <w:b w:val="1"/>
                  <w:bCs w:val="1"/>
                  <w:color w:val="0000EE"/>
                </w:rPr>
                <w:t>PART II.</w:t>
              </w:r>
            </w:hyperlink>
          </w:p>
        </w:tc>
        <w:tc>
          <w:tcPr>
            <w:tcW w:w="7660" w:type="dxa"/>
            <w:vAlign w:val="bottom"/>
            <w:gridSpan w:val="13"/>
          </w:tcPr>
          <w:p>
            <w:pPr>
              <w:spacing w:after="0"/>
              <w:rPr>
                <w:rFonts w:ascii="Times New Roman" w:cs="Times New Roman" w:eastAsia="Times New Roman" w:hAnsi="Times New Roman"/>
                <w:sz w:val="16"/>
                <w:szCs w:val="16"/>
                <w:b w:val="1"/>
                <w:bCs w:val="1"/>
                <w:color w:val="0000EE"/>
              </w:rPr>
            </w:pPr>
            <w:hyperlink w:anchor="page52">
              <w:r>
                <w:rPr>
                  <w:rFonts w:ascii="Times New Roman" w:cs="Times New Roman" w:eastAsia="Times New Roman" w:hAnsi="Times New Roman"/>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6"/>
        </w:trPr>
        <w:tc>
          <w:tcPr>
            <w:tcW w:w="46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1.</w:t>
              </w:r>
            </w:hyperlink>
          </w:p>
        </w:tc>
        <w:tc>
          <w:tcPr>
            <w:tcW w:w="160" w:type="dxa"/>
            <w:vAlign w:val="bottom"/>
            <w:tcBorders>
              <w:top w:val="single" w:sz="8" w:color="0000EE"/>
            </w:tcBorders>
            <w:gridSpan w:val="3"/>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w w:val="99"/>
              </w:rPr>
            </w:pPr>
            <w:hyperlink w:anchor="page52">
              <w:r>
                <w:rPr>
                  <w:rFonts w:ascii="Times New Roman" w:cs="Times New Roman" w:eastAsia="Times New Roman" w:hAnsi="Times New Roman"/>
                  <w:sz w:val="16"/>
                  <w:szCs w:val="16"/>
                  <w:color w:val="0000EE"/>
                  <w:w w:val="99"/>
                </w:rPr>
                <w:t>Legal Proceedings</w:t>
              </w:r>
            </w:hyperlink>
          </w:p>
        </w:tc>
        <w:tc>
          <w:tcPr>
            <w:tcW w:w="620" w:type="dxa"/>
            <w:vAlign w:val="bottom"/>
            <w:tcBorders>
              <w:top w:val="single" w:sz="8" w:color="0000EE"/>
            </w:tcBorders>
            <w:gridSpan w:val="3"/>
          </w:tcPr>
          <w:p>
            <w:pPr>
              <w:spacing w:after="0"/>
              <w:rPr>
                <w:sz w:val="24"/>
                <w:szCs w:val="24"/>
                <w:color w:val="auto"/>
              </w:rPr>
            </w:pPr>
          </w:p>
        </w:tc>
        <w:tc>
          <w:tcPr>
            <w:tcW w:w="5840" w:type="dxa"/>
            <w:vAlign w:val="bottom"/>
            <w:gridSpan w:val="6"/>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2">
              <w:r>
                <w:rPr>
                  <w:rFonts w:ascii="Times New Roman" w:cs="Times New Roman" w:eastAsia="Times New Roman" w:hAnsi="Times New Roman"/>
                  <w:sz w:val="16"/>
                  <w:szCs w:val="16"/>
                  <w:color w:val="0000EE"/>
                  <w:w w:val="74"/>
                </w:rPr>
                <w:t>51</w:t>
              </w:r>
            </w:hyperlink>
          </w:p>
        </w:tc>
      </w:tr>
      <w:tr>
        <w:trPr>
          <w:trHeight w:val="237"/>
        </w:trPr>
        <w:tc>
          <w:tcPr>
            <w:tcW w:w="580" w:type="dxa"/>
            <w:vAlign w:val="bottom"/>
            <w:gridSpan w:val="3"/>
          </w:tcPr>
          <w:p>
            <w:pPr>
              <w:spacing w:after="0"/>
              <w:rPr>
                <w:rFonts w:ascii="Times New Roman" w:cs="Times New Roman" w:eastAsia="Times New Roman" w:hAnsi="Times New Roman"/>
                <w:sz w:val="16"/>
                <w:szCs w:val="16"/>
                <w:color w:val="0000EE"/>
                <w:w w:val="98"/>
              </w:rPr>
            </w:pPr>
            <w:hyperlink w:anchor="page52">
              <w:r>
                <w:rPr>
                  <w:rFonts w:ascii="Times New Roman" w:cs="Times New Roman" w:eastAsia="Times New Roman" w:hAnsi="Times New Roman"/>
                  <w:sz w:val="16"/>
                  <w:szCs w:val="16"/>
                  <w:color w:val="0000EE"/>
                  <w:w w:val="98"/>
                </w:rPr>
                <w:t>Item 1A.</w:t>
              </w:r>
            </w:hyperlink>
          </w:p>
        </w:tc>
        <w:tc>
          <w:tcPr>
            <w:tcW w:w="460" w:type="dxa"/>
            <w:vAlign w:val="bottom"/>
            <w:gridSpan w:val="3"/>
          </w:tcPr>
          <w:p>
            <w:pPr>
              <w:spacing w:after="0"/>
              <w:rPr>
                <w:sz w:val="20"/>
                <w:szCs w:val="20"/>
                <w:color w:val="auto"/>
              </w:rPr>
            </w:pPr>
          </w:p>
        </w:tc>
        <w:tc>
          <w:tcPr>
            <w:tcW w:w="7660" w:type="dxa"/>
            <w:vAlign w:val="bottom"/>
            <w:gridSpan w:val="13"/>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Risk Factors</w:t>
              </w:r>
            </w:hyperlink>
          </w:p>
        </w:tc>
        <w:tc>
          <w:tcPr>
            <w:tcW w:w="2020" w:type="dxa"/>
            <w:vAlign w:val="bottom"/>
            <w:gridSpan w:val="3"/>
          </w:tcPr>
          <w:p>
            <w:pPr>
              <w:jc w:val="center"/>
              <w:ind w:left="1777"/>
              <w:spacing w:after="0"/>
              <w:rPr>
                <w:rFonts w:ascii="Times New Roman" w:cs="Times New Roman" w:eastAsia="Times New Roman" w:hAnsi="Times New Roman"/>
                <w:sz w:val="16"/>
                <w:szCs w:val="16"/>
                <w:color w:val="0000EE"/>
                <w:w w:val="99"/>
              </w:rPr>
            </w:pPr>
            <w:hyperlink w:anchor="page52">
              <w:r>
                <w:rPr>
                  <w:rFonts w:ascii="Times New Roman" w:cs="Times New Roman" w:eastAsia="Times New Roman" w:hAnsi="Times New Roman"/>
                  <w:sz w:val="16"/>
                  <w:szCs w:val="16"/>
                  <w:color w:val="0000EE"/>
                  <w:w w:val="99"/>
                </w:rPr>
                <w:t>51</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2.</w:t>
              </w:r>
            </w:hyperlink>
          </w:p>
        </w:tc>
        <w:tc>
          <w:tcPr>
            <w:tcW w:w="120" w:type="dxa"/>
            <w:vAlign w:val="bottom"/>
            <w:gridSpan w:val="2"/>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Unregistered Sales of Equity Securities and Use of Proceeds</w:t>
              </w:r>
            </w:hyperlink>
          </w:p>
        </w:tc>
        <w:tc>
          <w:tcPr>
            <w:tcW w:w="3740" w:type="dxa"/>
            <w:vAlign w:val="bottom"/>
            <w:gridSpan w:val="3"/>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2">
              <w:r>
                <w:rPr>
                  <w:rFonts w:ascii="Times New Roman" w:cs="Times New Roman" w:eastAsia="Times New Roman" w:hAnsi="Times New Roman"/>
                  <w:sz w:val="16"/>
                  <w:szCs w:val="16"/>
                  <w:color w:val="0000EE"/>
                  <w:w w:val="74"/>
                </w:rPr>
                <w:t>51</w:t>
              </w:r>
            </w:hyperlink>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3.</w:t>
              </w:r>
            </w:hyperlink>
          </w:p>
        </w:tc>
        <w:tc>
          <w:tcPr>
            <w:tcW w:w="580" w:type="dxa"/>
            <w:vAlign w:val="bottom"/>
            <w:gridSpan w:val="5"/>
          </w:tcPr>
          <w:p>
            <w:pPr>
              <w:spacing w:after="0"/>
              <w:rPr>
                <w:sz w:val="20"/>
                <w:szCs w:val="20"/>
                <w:color w:val="auto"/>
              </w:rPr>
            </w:pPr>
          </w:p>
        </w:tc>
        <w:tc>
          <w:tcPr>
            <w:tcW w:w="206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Defaults upon Senior Securities</w:t>
              </w:r>
            </w:hyperlink>
          </w:p>
        </w:tc>
        <w:tc>
          <w:tcPr>
            <w:tcW w:w="5600" w:type="dxa"/>
            <w:vAlign w:val="bottom"/>
            <w:gridSpan w:val="5"/>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2">
              <w:r>
                <w:rPr>
                  <w:rFonts w:ascii="Times New Roman" w:cs="Times New Roman" w:eastAsia="Times New Roman" w:hAnsi="Times New Roman"/>
                  <w:sz w:val="16"/>
                  <w:szCs w:val="16"/>
                  <w:color w:val="0000EE"/>
                  <w:w w:val="74"/>
                </w:rPr>
                <w:t>51</w:t>
              </w:r>
            </w:hyperlink>
          </w:p>
        </w:tc>
      </w:tr>
      <w:tr>
        <w:trPr>
          <w:trHeight w:val="237"/>
        </w:trPr>
        <w:tc>
          <w:tcPr>
            <w:tcW w:w="460" w:type="dxa"/>
            <w:vAlign w:val="bottom"/>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4.</w:t>
              </w:r>
            </w:hyperlink>
          </w:p>
        </w:tc>
        <w:tc>
          <w:tcPr>
            <w:tcW w:w="580" w:type="dxa"/>
            <w:vAlign w:val="bottom"/>
            <w:gridSpan w:val="5"/>
          </w:tcPr>
          <w:p>
            <w:pPr>
              <w:spacing w:after="0"/>
              <w:rPr>
                <w:sz w:val="20"/>
                <w:szCs w:val="20"/>
                <w:color w:val="auto"/>
              </w:rPr>
            </w:pPr>
          </w:p>
        </w:tc>
        <w:tc>
          <w:tcPr>
            <w:tcW w:w="7660" w:type="dxa"/>
            <w:vAlign w:val="bottom"/>
            <w:gridSpan w:val="13"/>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Mine Safety Disclosures</w:t>
              </w:r>
            </w:hyperlink>
          </w:p>
        </w:tc>
        <w:tc>
          <w:tcPr>
            <w:tcW w:w="2020" w:type="dxa"/>
            <w:vAlign w:val="bottom"/>
            <w:gridSpan w:val="3"/>
          </w:tcPr>
          <w:p>
            <w:pPr>
              <w:jc w:val="center"/>
              <w:ind w:left="1777"/>
              <w:spacing w:after="0"/>
              <w:rPr>
                <w:rFonts w:ascii="Times New Roman" w:cs="Times New Roman" w:eastAsia="Times New Roman" w:hAnsi="Times New Roman"/>
                <w:sz w:val="16"/>
                <w:szCs w:val="16"/>
                <w:color w:val="0000EE"/>
                <w:w w:val="99"/>
              </w:rPr>
            </w:pPr>
            <w:hyperlink w:anchor="page52">
              <w:r>
                <w:rPr>
                  <w:rFonts w:ascii="Times New Roman" w:cs="Times New Roman" w:eastAsia="Times New Roman" w:hAnsi="Times New Roman"/>
                  <w:sz w:val="16"/>
                  <w:szCs w:val="16"/>
                  <w:color w:val="0000EE"/>
                  <w:w w:val="99"/>
                </w:rPr>
                <w:t>51</w:t>
              </w:r>
            </w:hyperlink>
          </w:p>
        </w:tc>
      </w:tr>
      <w:tr>
        <w:trPr>
          <w:trHeight w:val="237"/>
        </w:trPr>
        <w:tc>
          <w:tcPr>
            <w:tcW w:w="46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5.</w:t>
              </w:r>
            </w:hyperlink>
          </w:p>
        </w:tc>
        <w:tc>
          <w:tcPr>
            <w:tcW w:w="580" w:type="dxa"/>
            <w:vAlign w:val="bottom"/>
            <w:gridSpan w:val="5"/>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Other Information</w:t>
            </w:r>
          </w:p>
        </w:tc>
        <w:tc>
          <w:tcPr>
            <w:tcW w:w="400" w:type="dxa"/>
            <w:vAlign w:val="bottom"/>
            <w:tcBorders>
              <w:top w:val="single" w:sz="8" w:color="0000EE"/>
            </w:tcBorders>
            <w:gridSpan w:val="3"/>
          </w:tcPr>
          <w:p>
            <w:pPr>
              <w:spacing w:after="0"/>
              <w:rPr>
                <w:sz w:val="20"/>
                <w:szCs w:val="20"/>
                <w:color w:val="auto"/>
              </w:rPr>
            </w:pPr>
          </w:p>
        </w:tc>
        <w:tc>
          <w:tcPr>
            <w:tcW w:w="6080" w:type="dxa"/>
            <w:vAlign w:val="bottom"/>
            <w:gridSpan w:val="7"/>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2">
              <w:r>
                <w:rPr>
                  <w:rFonts w:ascii="Times New Roman" w:cs="Times New Roman" w:eastAsia="Times New Roman" w:hAnsi="Times New Roman"/>
                  <w:sz w:val="16"/>
                  <w:szCs w:val="16"/>
                  <w:color w:val="0000EE"/>
                  <w:w w:val="74"/>
                </w:rPr>
                <w:t>51</w:t>
              </w:r>
            </w:hyperlink>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2">
              <w:r>
                <w:rPr>
                  <w:rFonts w:ascii="Times New Roman" w:cs="Times New Roman" w:eastAsia="Times New Roman" w:hAnsi="Times New Roman"/>
                  <w:sz w:val="16"/>
                  <w:szCs w:val="16"/>
                  <w:color w:val="0000EE"/>
                  <w:w w:val="92"/>
                </w:rPr>
                <w:t>Item 6.</w:t>
              </w:r>
            </w:hyperlink>
          </w:p>
        </w:tc>
        <w:tc>
          <w:tcPr>
            <w:tcW w:w="580" w:type="dxa"/>
            <w:vAlign w:val="bottom"/>
            <w:gridSpan w:val="5"/>
          </w:tcPr>
          <w:p>
            <w:pPr>
              <w:spacing w:after="0"/>
              <w:rPr>
                <w:sz w:val="20"/>
                <w:szCs w:val="20"/>
                <w:color w:val="auto"/>
              </w:rPr>
            </w:pPr>
          </w:p>
        </w:tc>
        <w:tc>
          <w:tcPr>
            <w:tcW w:w="540" w:type="dxa"/>
            <w:vAlign w:val="bottom"/>
            <w:tcBorders>
              <w:bottom w:val="single" w:sz="8" w:color="0000EE"/>
            </w:tcBorders>
          </w:tcPr>
          <w:p>
            <w:pPr>
              <w:spacing w:after="0"/>
              <w:rPr>
                <w:rFonts w:ascii="Times New Roman" w:cs="Times New Roman" w:eastAsia="Times New Roman" w:hAnsi="Times New Roman"/>
                <w:sz w:val="16"/>
                <w:szCs w:val="16"/>
                <w:color w:val="0000EE"/>
                <w:w w:val="97"/>
              </w:rPr>
            </w:pPr>
            <w:hyperlink w:anchor="page52">
              <w:r>
                <w:rPr>
                  <w:rFonts w:ascii="Times New Roman" w:cs="Times New Roman" w:eastAsia="Times New Roman" w:hAnsi="Times New Roman"/>
                  <w:sz w:val="16"/>
                  <w:szCs w:val="16"/>
                  <w:color w:val="0000EE"/>
                  <w:w w:val="97"/>
                </w:rPr>
                <w:t>Exhibits</w:t>
              </w:r>
            </w:hyperlink>
          </w:p>
        </w:tc>
        <w:tc>
          <w:tcPr>
            <w:tcW w:w="7120" w:type="dxa"/>
            <w:vAlign w:val="bottom"/>
            <w:gridSpan w:val="1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2">
              <w:r>
                <w:rPr>
                  <w:rFonts w:ascii="Times New Roman" w:cs="Times New Roman" w:eastAsia="Times New Roman" w:hAnsi="Times New Roman"/>
                  <w:sz w:val="16"/>
                  <w:szCs w:val="16"/>
                  <w:color w:val="0000EE"/>
                  <w:w w:val="74"/>
                </w:rPr>
                <w:t>51</w:t>
              </w:r>
            </w:hyperlink>
          </w:p>
        </w:tc>
      </w:tr>
      <w:tr>
        <w:trPr>
          <w:trHeight w:val="534"/>
        </w:trPr>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5">
              <w:r>
                <w:rPr>
                  <w:rFonts w:ascii="Times New Roman" w:cs="Times New Roman" w:eastAsia="Times New Roman" w:hAnsi="Times New Roman"/>
                  <w:sz w:val="16"/>
                  <w:szCs w:val="16"/>
                  <w:color w:val="0000EE"/>
                  <w:w w:val="74"/>
                </w:rPr>
                <w:t>54</w:t>
              </w:r>
            </w:hyperlink>
          </w:p>
        </w:tc>
      </w:tr>
    </w:tbl>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280" w:top="576"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36"/>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$41,587 and $43,943, respectively)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43,856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45,393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818</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Non-Agency securities, at fair value (including pledged securities of $0 and $90, respectively)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Credit risk transfer securities,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$0 and $173, respectively)</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1,208</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Receivable for securities sold (including pledged securities of $537 and $21, respectively)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7,716</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r>
      <w:tr>
        <w:trPr>
          <w:trHeight w:val="284"/>
        </w:trPr>
        <w:tc>
          <w:tcPr>
            <w:tcW w:w="79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56,838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56,880</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agreements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37,858</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3,037</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0"/>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w:t>
            </w:r>
          </w:p>
        </w:tc>
        <w:tc>
          <w:tcPr>
            <w:tcW w:w="24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7,636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r>
      <w:tr>
        <w:trPr>
          <w:trHeight w:val="21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49,546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49,524</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 $0.01 par value; 10.0 shares authorized:</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7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Redeemable Preferred Stock; $0.01 par value; 6.9 shares issued and outstanding (aggregate liquidation</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3"/>
        </w:trPr>
        <w:tc>
          <w:tcPr>
            <w:tcW w:w="7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preference of $348)</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 $0.01 par value; 600 shares authorized;</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331.0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9,932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Retained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7,356</w:t>
            </w:r>
          </w:p>
        </w:tc>
      </w:tr>
      <w:tr>
        <w:trPr>
          <w:trHeight w:val="244"/>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56,838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56,880</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7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7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 securities measured at fair value through net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derivative instruments and other securities,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7"/>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fee income</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loss, net:</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7"/>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fee expense</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5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7"/>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9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311"/>
        </w:trPr>
        <w:tc>
          <w:tcPr>
            <w:tcW w:w="7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7"/>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 securities,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w:t>
            </w:r>
          </w:p>
        </w:tc>
      </w:tr>
      <w:tr>
        <w:trPr>
          <w:trHeight w:val="27"/>
        </w:trPr>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 instruments, net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7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r>
      <w:tr>
        <w:trPr>
          <w:trHeight w:val="27"/>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available to common stockholders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334.4</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334.4</w:t>
            </w:r>
          </w:p>
        </w:tc>
      </w:tr>
      <w:tr>
        <w:trPr>
          <w:trHeight w:val="251"/>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 basic and diluted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880"/>
          </w:cols>
          <w:pgMar w:left="1020" w:top="576" w:right="9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2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vMerge w:val="restart"/>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net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dividends declared</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2016</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7,356</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net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2017</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60" w:right="2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33"/>
        </w:trPr>
        <w:tc>
          <w:tcPr>
            <w:tcW w:w="8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premiums and discounts on mortgage-backed securities, net</w:t>
            </w:r>
          </w:p>
        </w:tc>
        <w:tc>
          <w:tcPr>
            <w:tcW w:w="1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accumulated other comprehensive loss on interest rate swaps de-designated as qualifying</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hedges</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 securities measured at fair value through net income, net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derivative instruments and other securities, net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944</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other assets</w:t>
            </w:r>
          </w:p>
        </w:tc>
        <w:tc>
          <w:tcPr>
            <w:tcW w:w="1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 in accounts payable and other accrued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3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362</w:t>
            </w:r>
          </w:p>
        </w:tc>
      </w:tr>
      <w:tr>
        <w:trPr>
          <w:trHeight w:val="29"/>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Agency mortgage-backed securities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credit risk transfer and non-Agency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Agency mortgage-backed securities</w:t>
            </w:r>
          </w:p>
        </w:tc>
        <w:tc>
          <w:tcPr>
            <w:tcW w:w="1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3,513</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credit risk transfer and non-Agency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collections on Agency mortgage-backed securities</w:t>
            </w:r>
          </w:p>
        </w:tc>
        <w:tc>
          <w:tcPr>
            <w:tcW w:w="1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1,601</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Principal collections on credit risk transfer and non-Agency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U.S. Treasury securities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2,164</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payments on reverse repurchase agreements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payments on derivative instruments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investing cash flows, net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r>
      <w:tr>
        <w:trPr>
          <w:trHeight w:val="29"/>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3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repurchase arrangements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62,155</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repurchase agreements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(58,614)</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Federal Home Loan Bank advances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2,098</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Federal Home Loan Bank advances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on debt of consolidated variable interest entities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1"/>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common stock repurchases</w:t>
            </w: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9"/>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paid</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2,470</w:t>
            </w:r>
          </w:p>
        </w:tc>
      </w:tr>
      <w:tr>
        <w:trPr>
          <w:trHeight w:val="29"/>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1,110</w:t>
            </w:r>
          </w:p>
        </w:tc>
      </w:tr>
      <w:tr>
        <w:trPr>
          <w:trHeight w:val="29"/>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1,109</w:t>
            </w:r>
          </w:p>
        </w:tc>
      </w:tr>
      <w:tr>
        <w:trPr>
          <w:trHeight w:val="20"/>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560"/>
          </w:cols>
          <w:pgMar w:left="680" w:top="576" w:right="65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680" w:top="576" w:right="6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Organization</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our annual taxable net income to our stockholders on a timely basis. It is our intention to distribute 100% of our taxable net income, after application of available tax attributes, within the limits prescribed by the Internal Revenue Code, which may extend into the subsequent taxable year.</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earn income primarily from investing in Agency residential mortgage-backed securities ("Agency RMBS") on a leveraged basis. These investments consist of residential pass-through mortgage securities for which the principal and interest payments are guaranteed by a U.S. Government-sponsored enterprise or a U.S. Government agency.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U.S. Government-sponsored enterprise or U.S. Government agency (see Note 3 for further details).</w:t>
      </w:r>
    </w:p>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principal objective is to provide our stockholders with attractive risk-adjusted returns through a combination of monthly dividends and net asset value (also referred to as "net book value," "NAV" and "stockholders' equity")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Prior to July 1, 2016, we were externally managed by AGNC Management, LLC (our "Manager"). On July 1, 2016, we completed the acquisition of all of the outstanding membership interests of AGNC Mortgage Management, LLC ("AMM"), the parent company of our Manager, from American Capital Asset Management, LLC ("ACAM"), a wholly owned portfolio company of American Capital, Ltd. ("ACAS"). AMM is also the parent company of MTGE Management, LLC, the external manager of MTGE Investment Corp. ("MTGE") (NASDAQ: MTGE). Following the closing of the acquisition of AMM, we became internally managed and are no longer affiliated with ACAS.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primarily invest in Agency RMBS. Agency RMBS consist of residential mortgage pass-through securities and collateralized mortgage obligations ("CMOs") for which the principal and interest payments are guaranteed by a U.S. Government-sponsored enterprise, such as the Federal National Mortgage Association ("Fannie Mae") and the Federal Home Loan Mortgage Corporation ("Freddie Mac"), or by a U.S. Government agency, such as the Government National Mortgage Association ("Ginnie Mae") (collectively referred to as "GSEs"). Interest-only and inverse interest-only securities (together referred to as "interest-only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securities") represent the right to receive a specified proportion of the contractual interest flows of specific Agency CMO securities. Principal-only securities represent the right to receive the contractual principal flows of specific Agency CMO securities.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 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are able to offset credit losses on the related loans.</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Mortgage-related securities may also include investments in the common stock of other publicly traded mortgage REITs, including MTGE, which invest in Agency and non-Agency securities and/or other real estate related assets.</w:t>
      </w:r>
    </w:p>
    <w:p>
      <w:pPr>
        <w:spacing w:after="0" w:line="10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such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All of our securities are reported at fair value as they have either been designated as available-for-sale or trading or we have elected the fair value option of accounting. Unrealized gains and losses on securities classified as available-for-sale are reported in accumulated other comprehensive income (loss) ("OCI"). Unrealized gains and losses on securities classified as trading or for which we elected the fair value option are reflected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3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elected the fair value option to account for CRT, CMBS and Agency interest and principal-only securities and, effective January 1, 2017, for all Agency and non-Agency securities acquired on or after January 1, 2017. In our view, this election simplifies the accounting for such securities and more appropriately reflects the results of our operations for a particular reporting period, as the fair value changes for these assets are be presented in a manner consistent with the presentation and timing of the fair value changes of our hedging instruments. We are not permitted to change the designation of available-for-sale securities acquired prior to January 1, 2017, accordingly, such securities will continue to be classified as available-for-sale securities until such time as we receive full repayment or we dispose of the security.</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estimate the fair value of Agency RMBS, non-Agency MBS and CRT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Refer to Note 8 for further discussion of fair value measurements.</w:t>
      </w:r>
    </w:p>
    <w:p>
      <w:pPr>
        <w:spacing w:after="0" w:line="13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spacing w:after="0" w:line="2" w:lineRule="exact"/>
        <w:rPr>
          <w:sz w:val="20"/>
          <w:szCs w:val="20"/>
          <w:color w:val="auto"/>
        </w:rPr>
      </w:pPr>
    </w:p>
    <w:p>
      <w:pPr>
        <w:jc w:val="both"/>
        <w:ind w:firstLine="8"/>
        <w:spacing w:after="0" w:line="254"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42" w:right="239" w:bottom="1440" w:gutter="0" w:footer="0" w:header="0"/>
        </w:sectPr>
      </w:pPr>
    </w:p>
    <w:bookmarkStart w:id="8" w:name="page9"/>
    <w:bookmarkEnd w:id="8"/>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estimate long-term prepayment speeds of our mortgage securities using a third-party service and market data.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about interest rates, prepayment rates, the timing and amount of credit losses, and other factors. Any resulting changes in effective yield are recognized prospectively based on the current amortized cost of the investment as adjusted for credit impairment,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transactions under master repurchase agreements.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we account for repurchase transactions as collateralized financing transactions, which are carried at their contractual amounts (cost), plus accrued interest, as specified in the respective transactions. Our repurchase agreements typically have maturities of less than one year, but may extend up to five years or more. Interest rates under our repurchase agreements generally correspond to one, three or six month LIBOR plus or minus a fixed spread. The fair value of our repurchase agreements is assumed to equal cost as the interest rates are considered to be at market.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from time-to-time borrow securities to cover short sales of U.S. Treasury securities through reverse repurchase transactions under our master repurchase agreements (see </w:t>
      </w:r>
      <w:r>
        <w:rPr>
          <w:rFonts w:ascii="Times New Roman" w:cs="Times New Roman" w:eastAsia="Times New Roman" w:hAnsi="Times New Roman"/>
          <w:sz w:val="18"/>
          <w:szCs w:val="18"/>
          <w:i w:val="1"/>
          <w:iCs w:val="1"/>
          <w:color w:val="auto"/>
        </w:rPr>
        <w:t>Derivatives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generally mature daily. The fair value of our reverse repurchase agreements is assumed to equal cost as the interest rates are generally reset daily.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U.S. Treasury securities and U.S. Treasury futures contracts, primarily through short sales, and forward contracts for the purchase or sale of Agency RMBS securities on a generic pool basis in the "to-be-announced" market ("TBA securities") and on a specified pool basis. We may also purchase or write put or call options on TBA securities and utilize other types of derivative instruments to hedge a portion of our risk.</w:t>
      </w:r>
    </w:p>
    <w:p>
      <w:pPr>
        <w:spacing w:after="0" w:line="1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also enter into TBA contracts as a means of investing in and financing Agency securities (thereby increasing our "at risk" leverage) or as a means of disposing of or reducing our exposure to Agency securities (thereby reducing our "at risk" leverage). Under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30"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42" w:right="239" w:bottom="1440" w:gutter="0" w:footer="0" w:header="0"/>
        </w:sectPr>
      </w:pPr>
    </w:p>
    <w:bookmarkStart w:id="9" w:name="page10"/>
    <w:bookmarkEnd w:id="9"/>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use of derivative instruments creates exposure to credit risk relating to potential losses that could be recognized in the event that the counterparties to these instruments fail to perform their obligations under the contracts. Our derivative agreements require that we post or receive collateral on such agreements to such risk. We also attempt to minimize our risk of loss by limiting our counterparties to major financial institutions with acceptable credit ratings, monitoring positions with individual counterparties and adjusting posted collateral as required.</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Discontinuation of hedge accounting for interest rate swap agreements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was reclassified from accumulated OCI into interest expense on a straight-line basis over the remaining term of each interest rate swap through December 2016.</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7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Swap agreements entered into subsequent to May 2013 are centrally cleared through the Chicago Mercantile Exchange ("CME"), a registered commodities exchange.</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centrally cleared swaps require that we post an “initial margin” to our counterparties for an amount determined by the CME, which is generally intended to be set at a level sufficient to protect the CME from the maximum estimated single-day price movement in that market participant’s contracts. We also exchange cash “variation margin” with our counterparties on our centrally cleared swaps based upon daily changes in the fair value as measured by the CME. Beginning in the first quarter of 2017, as a result of a CME amendment to its rule book governing its central clearing activities, the daily exchange of variation margin associated with a CME centrally cleared derivative instrument is legally characterized as the daily settlement of the derivative instrument itself, as opposed to a pledge of collateral. Accordingly, beginning in 2017, we account for the daily receipt or payment of variation margin associated with our centrally cleared interest rate swaps as a direct reduction to the carrying value of the interest rate swap derivative asset or liability, respectively; and the carrying amount of centrally cleared interest rate swaps reflected in our consolidated balance sheets is equal to the unsettled fair value of such instruments.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7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pay-fixed rate interest rate swap, which we refer as "payer swaptions." We may also enter into swaption agreements that provide us the option to enter into a receive-fixed interest rate swap, which we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42" w:right="2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7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TBA security is a forward contract for the purchase ("long position") or sale ("short position") of Agency RMBS at a predetermined price, face amount, issuer, coupon and stated maturity on an agreed-upon future date. The specific Agency RMBS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utilize TBA dollar roll transactions to finance Agency RMBS purchases.</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estimate the fair value of TBA securities based on similar methods used to value our Agency RMBS securities.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Treasury securities</w:t>
      </w:r>
    </w:p>
    <w:p>
      <w:pPr>
        <w:spacing w:after="0" w:line="17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purchase and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evaluate the existence of any pending or threatened litigation or other potential claims against the Company in accordance with ASC Topic 450,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which requires that we assess the likelihood and range of potential outcomes of any such matters. We are the defendant in two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lawsuits alleging that certain of our current and former directors and officers breached fiduciary duties and wasted corporate assets in connection with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March 31, 2017, we did not accrue a loss contingency related to these matters.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2014-09, Revenue from Contracts with Customers (Topic 606): </w:t>
      </w:r>
      <w:r>
        <w:rPr>
          <w:rFonts w:ascii="Times New Roman" w:cs="Times New Roman" w:eastAsia="Times New Roman" w:hAnsi="Times New Roman"/>
          <w:sz w:val="18"/>
          <w:szCs w:val="18"/>
          <w:color w:val="auto"/>
        </w:rPr>
        <w:t>ASU 2014-09 is a comprehensive revenue recognition standard that supersedes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virtually all existing revenue guidance under U.S. GAAP. The standard’s core principle is that an entity will recognize revenue when it transfers promised goods or services to customers in an amount that reflects the consideration to which the entity expects to be entitled in exchange for those goods and services. Revenue recognition with respect to financial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42"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instruments is not within the scope of ASU 2014-09 and, therefore, it is not expected to have a significant impact on our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2014-09 is effective on January 1, 2018.</w:t>
      </w:r>
    </w:p>
    <w:p>
      <w:pPr>
        <w:spacing w:after="0" w:line="15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ASU 2016-13, Financial Instruments - Credit Losses (Topic 606): </w:t>
      </w:r>
      <w:r>
        <w:rPr>
          <w:rFonts w:ascii="Times New Roman" w:cs="Times New Roman" w:eastAsia="Times New Roman" w:hAnsi="Times New Roman"/>
          <w:sz w:val="18"/>
          <w:szCs w:val="18"/>
          <w:color w:val="auto"/>
        </w:rPr>
        <w:t>ASU 2016-13 changes the impairment model for most financial assets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2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ASU 2016-18, Statement of Cash Flows (Topic 230) - Restricted Cash: </w:t>
      </w:r>
      <w:r>
        <w:rPr>
          <w:rFonts w:ascii="Times New Roman" w:cs="Times New Roman" w:eastAsia="Times New Roman" w:hAnsi="Times New Roman"/>
          <w:sz w:val="18"/>
          <w:szCs w:val="18"/>
          <w:color w:val="auto"/>
        </w:rPr>
        <w:t>ASU 2016-18 requires that a statement of cash flows explain the change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will be effective on January 1, 2018 and is not expected to have a significant impact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Securities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March 31, 2017 and December 31, 2016, our investment portfolio consisted of $45.0 billion and $46.5 billion of investment securities, at fair value, respectively, summarized in the tables below, and $14.4 billion and $11.2 billion of net TBA securities, at fair value, respectively. Our TBA position is reported at its net carrying value of $70 million and $(147) million as of March 31, 2017 and December 31, 2016,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6 for further details of our net TBA position as of March 31, 2017 and December 31, 2016).</w:t>
      </w:r>
    </w:p>
    <w:p>
      <w:pPr>
        <w:spacing w:after="0" w:line="13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our investment securities had a net unamortized premium balance of $2.1 billion, including interest and principal-only securities.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investment securities as of March 31, 2017 and December 31, 2016 (dollars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1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43,585</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43,232</w:t>
            </w:r>
          </w:p>
        </w:tc>
        <w:tc>
          <w:tcPr>
            <w:tcW w:w="120" w:type="dxa"/>
            <w:vAlign w:val="bottom"/>
          </w:tcPr>
          <w:p>
            <w:pPr>
              <w:spacing w:after="0"/>
              <w:rPr>
                <w:sz w:val="23"/>
                <w:szCs w:val="2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45,145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44,736</w:t>
            </w:r>
          </w:p>
        </w:tc>
        <w:tc>
          <w:tcPr>
            <w:tcW w:w="0" w:type="dxa"/>
            <w:vAlign w:val="bottom"/>
          </w:tcPr>
          <w:p>
            <w:pPr>
              <w:spacing w:after="0"/>
              <w:rPr>
                <w:sz w:val="1"/>
                <w:szCs w:val="1"/>
                <w:color w:val="auto"/>
              </w:rPr>
            </w:pPr>
          </w:p>
        </w:tc>
      </w:tr>
      <w:tr>
        <w:trPr>
          <w:trHeight w:val="275"/>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Adjustable rate</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65"/>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CMO</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25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Agency RMBS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44,948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44,633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46,211</w:t>
            </w:r>
          </w:p>
        </w:tc>
        <w:tc>
          <w:tcPr>
            <w:tcW w:w="0" w:type="dxa"/>
            <w:vAlign w:val="bottom"/>
          </w:tcPr>
          <w:p>
            <w:pPr>
              <w:spacing w:after="0"/>
              <w:rPr>
                <w:sz w:val="1"/>
                <w:szCs w:val="1"/>
                <w:color w:val="auto"/>
              </w:rPr>
            </w:pPr>
          </w:p>
        </w:tc>
      </w:tr>
      <w:tr>
        <w:trPr>
          <w:trHeight w:val="275"/>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6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CRT securities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45,354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45,047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46,866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46,499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4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120" w:type="dxa"/>
            <w:vAlign w:val="bottom"/>
            <w:vMerge w:val="restart"/>
          </w:tcPr>
          <w:p>
            <w:pPr>
              <w:spacing w:after="0"/>
              <w:rPr>
                <w:sz w:val="12"/>
                <w:szCs w:val="12"/>
                <w:color w:val="auto"/>
              </w:rPr>
            </w:pPr>
          </w:p>
        </w:tc>
        <w:tc>
          <w:tcPr>
            <w:tcW w:w="9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Ginnie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28,651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8,986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37,686</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1,815</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29,949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39,471</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(557)</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29,712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9,357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39,120</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5,198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5,612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5,444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5,882</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5,479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5,927</w:t>
            </w: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35,191</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9,399</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45,047</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Weighted average coupon as of March 31, 2017</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247"/>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Weighted average yield as of March 31, 2017 </w:t>
            </w:r>
            <w:r>
              <w:rPr>
                <w:rFonts w:ascii="Times New Roman" w:cs="Times New Roman" w:eastAsia="Times New Roman" w:hAnsi="Times New Roman"/>
                <w:sz w:val="8"/>
                <w:szCs w:val="8"/>
                <w:color w:val="auto"/>
              </w:rPr>
              <w:t>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178"/>
        </w:trPr>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________________________</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 amount excludes the underlying unamortized principal balance ("UPB") of interest-only securities of $0.9 billion as of March 31, 2017.</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8% based on forward rates as of March 31, 2017.</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34,244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44,397</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2,063</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46,414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35,453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10,418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46,017</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xml:space="preserve">Par value </w:t>
            </w:r>
            <w:r>
              <w:rPr>
                <w:rFonts w:ascii="Times New Roman" w:cs="Times New Roman" w:eastAsia="Times New Roman" w:hAnsi="Times New Roman"/>
                <w:sz w:val="8"/>
                <w:szCs w:val="8"/>
                <w:color w:val="auto"/>
              </w:rPr>
              <w:t>1</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482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35,732</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10,434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46,499</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coupon as of December 31, 2016</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24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2016 </w:t>
            </w:r>
            <w:r>
              <w:rPr>
                <w:rFonts w:ascii="Times New Roman" w:cs="Times New Roman" w:eastAsia="Times New Roman" w:hAnsi="Times New Roman"/>
                <w:sz w:val="8"/>
                <w:szCs w:val="8"/>
                <w:color w:val="auto"/>
              </w:rPr>
              <w:t>2</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7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 value amount excludes the UPB of interest-only securities of $0.9 billion as of December 31, 2016.</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8% based on forward rates as of December 31, 2016.</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885" w:right="2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t>As of March 31, 2017 and December 31, 2016, our investments in non-Agency securities had the following credit ratings: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Non-Agency Security Credit Ratings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BBB</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BB</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and Fitch credit ratings, stated in terms of the S&amp;P equivalent rating as of each date.</w:t>
      </w:r>
    </w:p>
    <w:p>
      <w:pPr>
        <w:spacing w:after="0" w:line="15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 As of March 31, 2017, our CRT securities had floating rate coupons ranging from 4.3% to 7.3%, referenced to loans originated between 2012 and 2016 with weighted average coupons ranging from 3.6% to 4.2%. As of December 31, 2016, our CRT securities had floating rate coupons ranging from 4.6% to 7.1%, referenced to loans originated between 2015 and 2016 with weighted average coupons ranging from 4.0% to 4.2%.</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March 31, 2017 and December 31, 2016, the weighted average expected constant prepayment rate ("CPR") over the remaining life of our aggregate investment portfolio was 8%. Our estimates differ materially for different types of securities and thus individual holdings have a wide range of projected CPRs.</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investments classified as available-for-sale as of March 31, 2017 and December 31, 2016 according to their estimated weighted average life classification (dollars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5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&gt; 3 years and ≤ 5 years</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11,628</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3.30%</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13,449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&gt; 5 years and ≤10 years</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26,130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26,579</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30,713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6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&gt; 10 years</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3.08%</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3.06%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42"/>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39,471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46,414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our available-for-sale securities by length of time that such securities have been in a continuous unrealized loss position as of March 31, 2017 and December 31, 2016 (in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31, 2017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25,759</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60"/>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2016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28,397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30,116</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did not recognize any OTTI charges on our investment securities for the three months ended March 31, 2017 and 2016.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months ended March 31, 2017 and 2016 by investment classification of accounting (see Note 3)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0"/>
              <w:spacing w:after="0" w:line="141" w:lineRule="exact"/>
              <w:rPr>
                <w:sz w:val="20"/>
                <w:szCs w:val="20"/>
                <w:color w:val="auto"/>
              </w:rPr>
            </w:pPr>
            <w:r>
              <w:rPr>
                <w:rFonts w:ascii="Times New Roman" w:cs="Times New Roman" w:eastAsia="Times New Roman" w:hAnsi="Times New Roman"/>
                <w:sz w:val="13"/>
                <w:szCs w:val="13"/>
                <w:b w:val="1"/>
                <w:bCs w:val="1"/>
                <w:color w:val="auto"/>
                <w:w w:val="92"/>
              </w:rPr>
              <w:t>Available-for-Sale</w:t>
            </w:r>
          </w:p>
        </w:tc>
        <w:tc>
          <w:tcPr>
            <w:tcW w:w="11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Fair Value Option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Available-for-Sale</w:t>
            </w: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 xml:space="preserve">Securities </w:t>
            </w:r>
            <w:r>
              <w:rPr>
                <w:rFonts w:ascii="Times New Roman" w:cs="Times New Roman" w:eastAsia="Times New Roman" w:hAnsi="Times New Roman"/>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 xml:space="preserve">Securities </w:t>
            </w:r>
            <w:r>
              <w:rPr>
                <w:rFonts w:ascii="Times New Roman" w:cs="Times New Roman" w:eastAsia="Times New Roman" w:hAnsi="Times New Roman"/>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5,065</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3,513</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3,513</w:t>
            </w: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for a summary of changes in accumulated OCI.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Securitizations and Variable Interest Entities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March 31, 2017 and December 31, 2016,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3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our consolidated CMO trusts, we recognized Agency securities with a total fair value of $0.8 billion as of March 31, 2017 and December 31, 2016 and debt with a total fair value of $434 million and $460 million, respectively, in our accompanying consolidated balance sheets. As of March 31, 2017 and December 31, 2016, the Agency securities had an aggregate unpaid principal balance of $0.7 billion and $0.8 billion, respectively, and the debt had an aggregate unpaid principal balance of $425 million and $452 million, respectively. We re-measure our consolidated debt at fair value through earnings in gain (loss) on derivative instruments and other securities, net in our consolidated statements of comprehensive income. For the three months ended March 31, 2017 and 2016, we recorded a loss of $1 million and $5 million, respectively,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5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March 31, 2017 and December 31, 2016, the fair value of our CMO securities and interest and principal-only securities was $1.0 billion and $1.1 billion, respectively, excluding the consolidated CMO trusts discussed above, or $1.4 billion and $1.5 billion, respectively, including the net asset value of our consolidated CMO trusts. Our maximum exposure to loss related to our CMO securities and interest and principal-only securities, including our consolidated CMO trusts, was $167 million and $182 million as of March 31, 2017 and December 31,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Repurchase Agreements and Other Secured Borrowings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pledge certain of our securities as collateral under our borrowing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2017, we had met all margin call requirements. For additional information regarding our pledged assets, please refer to Note 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819"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2017 and December 31, 2016, we had $39.4 billion and $37.9 billion, respectively, of repurchase agreements outstanding. The terms and conditions of our repurchase agreements are typically negotiated on a transaction-by-transaction basis. Our repurchase agreements with original maturities greater than 90 days have floating interest rates based on an index plus or minus a fixed spread. Substantially all of our repurchase agreements were used to fund purchases of Agency securities ("Agency repo"). The remainder of our repurchase agreements were used to fund temporary holdings of U.S. Treasury securities ("U.S. Treasury repo").</w:t>
      </w:r>
    </w:p>
    <w:p>
      <w:pPr>
        <w:spacing w:after="0" w:line="13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borrowings under repurchase agreements by their remaining maturities as of March 31, 2017 and December 31, 2016 (dollars in millions):</w:t>
      </w: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0" w:type="dxa"/>
            <w:vAlign w:val="bottom"/>
          </w:tcPr>
          <w:p>
            <w:pPr>
              <w:spacing w:after="0"/>
              <w:rPr>
                <w:sz w:val="1"/>
                <w:szCs w:val="1"/>
                <w:color w:val="auto"/>
              </w:rPr>
            </w:pPr>
          </w:p>
        </w:tc>
      </w:tr>
      <w:tr>
        <w:trPr>
          <w:trHeight w:val="195"/>
        </w:trPr>
        <w:tc>
          <w:tcPr>
            <w:tcW w:w="24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4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1 month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18,574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17,481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8,728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3 to ≤ 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9 to ≤ 12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24 to ≤ 36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961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48 to &lt; 60 months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39,375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31"/>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4"/>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39,375</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176</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37,858</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0.98 %</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2016, we had $3.0 billion of outstanding secured Federal Home Loan Bank ("FHLB") advances, with a weighted average borrowing rate of 0.73%. Our FHLB advances matured in February 2017, coinciding with the termination of our wholly-owned captive insurance subsidiary's FHLB membership in February 2017 pursuant to the Federal Housing Finance Agency's ("FHFA") final rule on FHLB membership released in January 2016. As a result, we had no outstanding secured FHLB advances as of March 31,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of Consolidated Variable Interest Entities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March 31, 2017 and December 31, 2016, debt of consolidated VIEs, at fair value, was $434 million and $460 million, respectively, and had a weighted average interest rate of LIBOR plus 37 and 36 basis points, respectively, and a principal balance of $425 million and $452 million, respectively. The actual maturities of our debt of consolidated VIEs are generally shorter than the stated contractual maturities. The actual maturities are affected by the contractual lives of the underlying Agency RMBS securitizing the debt of our consolidated VIEs and periodic principal prepayments of such underlying securities. The estimated weighted average life of the debt of our consolidated VIEs as of March 31, 2017 and December 31, 2016 was 5.8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a function of our risk management strategy, we hedge a portion of our interest rate risk by entering into derivative and other hedging instrument contracts. The principal instruments that we use are interest rate swaps and interest rate swaptions and U.S. Treasury securities and U.S. Treasury futures contracts, primarily through short sales. We may also utilize TBA securities, purchase or write put or call options on TBA securities and other types of derivative instruments to hedge a portion of our risk. We also enter into TBA contracts as a means of investing in and financing Agency securities (thereby increasing our "at risk" leverage) or as a means of disposing of or reducing our exposure to Agency securities (thereby reducing our "at risk" leverage).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38" w:right="2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Our risk management strategy attempts to manage the overall risk of the portfolio, reduce fluctuations in our net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March 31,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TBA securities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characteristics of our interest rate swap agreements outstanding as of March 31, 2017 and December 31, 2016 (dollars in millions):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Payer 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3</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19,825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19,775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13.8</w:t>
            </w:r>
          </w:p>
        </w:tc>
        <w:tc>
          <w:tcPr>
            <w:tcW w:w="0" w:type="dxa"/>
            <w:vAlign w:val="bottom"/>
          </w:tcPr>
          <w:p>
            <w:pPr>
              <w:spacing w:after="0"/>
              <w:rPr>
                <w:sz w:val="1"/>
                <w:szCs w:val="1"/>
                <w:color w:val="auto"/>
              </w:rPr>
            </w:pPr>
          </w:p>
        </w:tc>
      </w:tr>
      <w:tr>
        <w:trPr>
          <w:trHeight w:val="24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35,775</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37,175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2017 and December 31, 2016, notional amount includes forward starting swaps of $0.3 billion and $0.6 billion, respectively, with an average forward start date of 2.0 and 1.2 years, respectively, and an average maturity of 12.0 and 10.7 years, respectively.</w:t>
      </w:r>
    </w:p>
    <w:p>
      <w:pPr>
        <w:ind w:left="660" w:hanging="328"/>
        <w:spacing w:after="0" w:line="24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fixed pay rate includes forward starting swaps. Excluding forward starting swaps, the average fixed pay rate was 1.50% and 1.46% as of March 31, 2017 and December 31, 2016, respectively.</w:t>
      </w: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receive rate excludes forward starting swaps.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42" w:right="239" w:bottom="1440" w:gutter="0" w:footer="0" w:header="0"/>
        </w:sectPr>
      </w:pPr>
    </w:p>
    <w:bookmarkStart w:id="17" w:name="page18"/>
    <w:bookmarkEnd w:id="17"/>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interest rate payer swaption agreements, U.S. Treasury securities and U.S. Treasury futures outstanding as of March 31, 2017 and December 31, 2016 (dollars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Payer Swaptions</w:t>
            </w: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Years to Expiration</w:t>
            </w:r>
          </w:p>
        </w:tc>
        <w:tc>
          <w:tcPr>
            <w:tcW w:w="120" w:type="dxa"/>
            <w:vAlign w:val="bottom"/>
            <w:vMerge w:val="restart"/>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Pay</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(LIBOR)</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March 31, 2017</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 1 year</w:t>
            </w:r>
          </w:p>
        </w:tc>
        <w:tc>
          <w:tcPr>
            <w:tcW w:w="120" w:type="dxa"/>
            <w:vAlign w:val="bottom"/>
          </w:tcPr>
          <w:p>
            <w:pPr>
              <w:spacing w:after="0"/>
              <w:rPr>
                <w:sz w:val="24"/>
                <w:szCs w:val="24"/>
                <w:color w:val="auto"/>
              </w:rPr>
            </w:pPr>
          </w:p>
        </w:tc>
        <w:tc>
          <w:tcPr>
            <w:tcW w:w="104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w w:val="96"/>
              </w:rPr>
              <w:t>3.09%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w w:val="98"/>
              </w:rPr>
              <w:t>3M</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7"/>
        </w:trPr>
        <w:tc>
          <w:tcPr>
            <w:tcW w:w="2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 1 year</w:t>
            </w:r>
          </w:p>
        </w:tc>
        <w:tc>
          <w:tcPr>
            <w:tcW w:w="120" w:type="dxa"/>
            <w:vAlign w:val="bottom"/>
          </w:tcPr>
          <w:p>
            <w:pPr>
              <w:spacing w:after="0"/>
              <w:rPr>
                <w:sz w:val="21"/>
                <w:szCs w:val="21"/>
                <w:color w:val="auto"/>
              </w:rPr>
            </w:pPr>
          </w:p>
        </w:tc>
        <w:tc>
          <w:tcPr>
            <w:tcW w:w="104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w w:val="96"/>
              </w:rPr>
              <w:t>3.06%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w w:val="98"/>
              </w:rPr>
              <w:t>3M</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 Securities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Face Amount 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6"/>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7"/>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Face Amount Net</w:t>
            </w:r>
          </w:p>
        </w:tc>
        <w:tc>
          <w:tcPr>
            <w:tcW w:w="1180" w:type="dxa"/>
            <w:vAlign w:val="bottom"/>
            <w:gridSpan w:val="6"/>
            <w:vMerge w:val="restart"/>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44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Long / (Short)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Long / (Short)</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 years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(4,829)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(4,416)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0" w:type="dxa"/>
            <w:vAlign w:val="bottom"/>
          </w:tcPr>
          <w:p>
            <w:pPr>
              <w:spacing w:after="0"/>
              <w:rPr>
                <w:sz w:val="1"/>
                <w:szCs w:val="1"/>
                <w:color w:val="auto"/>
              </w:rPr>
            </w:pPr>
          </w:p>
        </w:tc>
      </w:tr>
      <w:tr>
        <w:trPr>
          <w:trHeight w:val="244"/>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U.S. Treasury securities, net</w:t>
            </w:r>
          </w:p>
        </w:tc>
        <w:tc>
          <w:tcPr>
            <w:tcW w:w="1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(9,169)</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(8,935)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gridSpan w:val="10"/>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380"/>
              <w:spacing w:after="0" w:line="141"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3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 Long</w:t>
            </w:r>
          </w:p>
        </w:tc>
        <w:tc>
          <w:tcPr>
            <w:tcW w:w="12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4"/>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6"/>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center"/>
              <w:ind w:right="3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 Long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1"/>
                <w:szCs w:val="11"/>
                <w:color w:val="auto"/>
              </w:rPr>
            </w:pPr>
          </w:p>
        </w:tc>
        <w:tc>
          <w:tcPr>
            <w:tcW w:w="760" w:type="dxa"/>
            <w:vAlign w:val="bottom"/>
            <w:gridSpan w:val="5"/>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Basis </w:t>
            </w:r>
            <w:r>
              <w:rPr>
                <w:rFonts w:ascii="Times New Roman" w:cs="Times New Roman" w:eastAsia="Times New Roman" w:hAnsi="Times New Roman"/>
                <w:sz w:val="8"/>
                <w:szCs w:val="8"/>
                <w:b w:val="1"/>
                <w:bCs w:val="1"/>
                <w:color w:val="auto"/>
                <w:w w:val="99"/>
              </w:rPr>
              <w:t>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8"/>
                <w:szCs w:val="8"/>
                <w:b w:val="1"/>
                <w:bCs w:val="1"/>
                <w:color w:val="auto"/>
                <w:w w:val="95"/>
              </w:rPr>
              <w:t>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(730)</w:t>
            </w:r>
          </w:p>
        </w:tc>
        <w:tc>
          <w:tcPr>
            <w:tcW w:w="52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2"/>
                <w:szCs w:val="22"/>
                <w:color w:val="auto"/>
              </w:rPr>
            </w:pP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(859)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10 years</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(1,341)</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(1,345)</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(1,342)</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2"/>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(1,810)</w:t>
            </w:r>
          </w:p>
        </w:tc>
        <w:tc>
          <w:tcPr>
            <w:tcW w:w="52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(2,199)</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Treasury futures notional amount represents the par value (or principal balance) of the underlying U.S. Treasury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Treasury futures cost basis represents the forward price to be paid/(received) for the underlying U.S. Treasury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Treasury futures market value represents the current market value of U.S. Treasury futures as of period-end.</w:t>
      </w:r>
    </w:p>
    <w:p>
      <w:pPr>
        <w:spacing w:after="0" w:line="1" w:lineRule="exact"/>
        <w:rPr>
          <w:rFonts w:ascii="Times New Roman" w:cs="Times New Roman" w:eastAsia="Times New Roman" w:hAnsi="Times New Roman"/>
          <w:sz w:val="14"/>
          <w:szCs w:val="14"/>
          <w:color w:val="auto"/>
        </w:rPr>
      </w:pPr>
    </w:p>
    <w:p>
      <w:pPr>
        <w:ind w:left="660" w:right="20" w:hanging="328"/>
        <w:spacing w:after="0" w:line="258"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value and the cost basis of U.S. Treasury futures as of period-end and is reported in derivative assets/(liabilities), at fair value in our consolidated balance sheets.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904" w:right="23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TBA securities as of March 31, 2017 and December 31, 2016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r>
      <w:tr>
        <w:trPr>
          <w:trHeight w:val="176"/>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1,980</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1,973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1,978</w:t>
            </w:r>
          </w:p>
        </w:tc>
        <w:tc>
          <w:tcPr>
            <w:tcW w:w="120" w:type="dxa"/>
            <w:vAlign w:val="bottom"/>
          </w:tcPr>
          <w:p>
            <w:pPr>
              <w:spacing w:after="0"/>
              <w:rPr>
                <w:sz w:val="23"/>
                <w:szCs w:val="23"/>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75"/>
        </w:trPr>
        <w:tc>
          <w:tcPr>
            <w:tcW w:w="230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2,151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2,150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2,155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59"/>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230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3,686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3,648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3,295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75"/>
        </w:trPr>
        <w:tc>
          <w:tcPr>
            <w:tcW w:w="230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5,310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12,019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12,227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12,292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8,756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9,124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42"/>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14,170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14,377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14,447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10,916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11,312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11,165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176"/>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TBA Securities by Issuer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52"/>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Fannie Mae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12,529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12,720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12,787</w:t>
            </w:r>
          </w:p>
        </w:tc>
        <w:tc>
          <w:tcPr>
            <w:tcW w:w="120" w:type="dxa"/>
            <w:vAlign w:val="bottom"/>
          </w:tcPr>
          <w:p>
            <w:pPr>
              <w:spacing w:after="0"/>
              <w:rPr>
                <w:sz w:val="21"/>
                <w:szCs w:val="21"/>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9,881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10,251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10,118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Freddie Mac</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5"/>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Ginnie Mae</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TBA securities,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14,377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14,447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11,312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amount represents the par value (or principal balance) of the underlying Agency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basis represents the forward price to be paid/(received) for the underlying Agency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represents the current market value of the TBA contract (or of the underlying Agency security) as of period-end.</w:t>
      </w:r>
    </w:p>
    <w:p>
      <w:pPr>
        <w:spacing w:after="0" w:line="1" w:lineRule="exact"/>
        <w:rPr>
          <w:rFonts w:ascii="Times New Roman" w:cs="Times New Roman" w:eastAsia="Times New Roman" w:hAnsi="Times New Roman"/>
          <w:sz w:val="14"/>
          <w:szCs w:val="14"/>
          <w:color w:val="auto"/>
        </w:rPr>
      </w:pPr>
    </w:p>
    <w:p>
      <w:pPr>
        <w:ind w:left="660" w:hanging="328"/>
        <w:spacing w:after="0" w:line="258"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market value and the cost basis of the TBA contract as of period-end and is reported in derivative assets/(liabilities), at fair value in our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tables below summarize changes in our derivative and other hedge portfolio and their effect on our consolidated statements of comprehensive income for the three months ended March 31, 2017 and 2016 (in millions):</w:t>
      </w: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March 31, 2017</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4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40" w:type="dxa"/>
            <w:vAlign w:val="bottom"/>
          </w:tcPr>
          <w:p>
            <w:pPr>
              <w:spacing w:after="0"/>
              <w:rPr>
                <w:sz w:val="12"/>
                <w:szCs w:val="12"/>
                <w:color w:val="auto"/>
              </w:rPr>
            </w:pPr>
          </w:p>
        </w:tc>
        <w:tc>
          <w:tcPr>
            <w:tcW w:w="10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0" w:type="dxa"/>
            <w:vAlign w:val="bottom"/>
          </w:tcPr>
          <w:p>
            <w:pPr>
              <w:spacing w:after="0"/>
              <w:rPr>
                <w:sz w:val="1"/>
                <w:szCs w:val="1"/>
                <w:color w:val="auto"/>
              </w:rPr>
            </w:pPr>
          </w:p>
        </w:tc>
      </w:tr>
      <w:tr>
        <w:trPr>
          <w:trHeight w:val="195"/>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 xml:space="preserve">Derivatives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10,916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36,096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14,170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37,175</w:t>
            </w:r>
          </w:p>
        </w:tc>
        <w:tc>
          <w:tcPr>
            <w:tcW w:w="12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35,775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(9,169)</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8" w:lineRule="auto"/>
        <w:tabs>
          <w:tab w:leader="none" w:pos="6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net loss of $1 million from debt of consolidated VIEs recognized in gain (loss) on derivative instruments and other securities, net in our consolidated statements of comprehensive income.</w:t>
      </w:r>
    </w:p>
    <w:p>
      <w:pPr>
        <w:sectPr>
          <w:pgSz w:w="11900" w:h="16838" w:orient="portrait"/>
          <w:cols w:equalWidth="0" w:num="1">
            <w:col w:w="11420"/>
          </w:cols>
          <w:pgMar w:left="240" w:top="74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42"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4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4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 xml:space="preserve">Derivatives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7,295</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17,959</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5,813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40,525</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38,175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net loss of $5 million from debt of consolidated VIEs and other miscellaneous net gains of $12 million recognized in gain (loss) on derivative instruments and other securities, net in our consolidated statements of comprehensive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Pledged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under our interest rate swap agreements and TBA contracts. Our prime brokerage agreements, pursuant to which we receive custody and settlement services, and the clearing organizations utilized by Bethesda Securities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March 31, 2017,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March 31, 2017 and December 31, 2016, our maximum amount at risk with any counterparty related to our repurchase agreements was 5.2% and 5.5%, respectively, of our stockholders' equity and our maximum amount at risk with any counterparty related to our interest rate swap and swaption agreements, excluding centrally cleared swaps, was less than 1% of our stockholders' equity. The following table summarizes certain characteristics of our repurchase agreements outstanding with counterparties representing amounts at risk greater than or equal to 5% of our stockholders' equity as of March 31, 2017 and December 31, 2016 (dollars in millions).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80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2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Counterparty</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Counterparty</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Exposure </w:t>
            </w:r>
            <w:r>
              <w:rPr>
                <w:rFonts w:ascii="Times New Roman" w:cs="Times New Roman" w:eastAsia="Times New Roman" w:hAnsi="Times New Roman"/>
                <w:sz w:val="8"/>
                <w:szCs w:val="8"/>
                <w:b w:val="1"/>
                <w:bCs w:val="1"/>
                <w:color w:val="auto"/>
              </w:rPr>
              <w:t>1</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Exposure </w:t>
            </w:r>
            <w:r>
              <w:rPr>
                <w:rFonts w:ascii="Times New Roman" w:cs="Times New Roman" w:eastAsia="Times New Roman" w:hAnsi="Times New Roman"/>
                <w:sz w:val="8"/>
                <w:szCs w:val="8"/>
                <w:b w:val="1"/>
                <w:bCs w:val="1"/>
                <w:color w:val="auto"/>
              </w:rPr>
              <w:t>1</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42"/>
        </w:trPr>
        <w:tc>
          <w:tcPr>
            <w:tcW w:w="2200" w:type="dxa"/>
            <w:vAlign w:val="bottom"/>
            <w:tcBorders>
              <w:top w:val="single" w:sz="8" w:color="CCEEFF"/>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4"/>
                <w:szCs w:val="14"/>
                <w:color w:val="auto"/>
              </w:rPr>
              <w:t>J.P. Morgan Securities, LLC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200" w:type="dxa"/>
            <w:vAlign w:val="bottom"/>
            <w:vMerge w:val="restart"/>
          </w:tcPr>
          <w:p>
            <w:pPr>
              <w:jc w:val="right"/>
              <w:ind w:right="733"/>
              <w:spacing w:after="0"/>
              <w:rPr>
                <w:sz w:val="20"/>
                <w:szCs w:val="20"/>
                <w:color w:val="auto"/>
              </w:rPr>
            </w:pPr>
            <w:r>
              <w:rPr>
                <w:rFonts w:ascii="Times New Roman" w:cs="Times New Roman" w:eastAsia="Times New Roman" w:hAnsi="Times New Roman"/>
                <w:sz w:val="13"/>
                <w:szCs w:val="13"/>
                <w:color w:val="auto"/>
                <w:w w:val="96"/>
              </w:rPr>
              <w:t>______________________</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carrying value of the securities pledged under repurchase agreements, including accrued interest plus any cash or assets on deposit to secure the repurchase obligation, less the amount of the repurchase liability, including accrued interest.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prime broker agreements by type, including securities pledged related to securities sold but not yet settled, as of March 31, 2017 and December 31, 2016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 Agreements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41,463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43,101</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Non-Agency RMBS - fair value</w:t>
            </w: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100" w:type="dxa"/>
            <w:vAlign w:val="bottom"/>
          </w:tcPr>
          <w:p>
            <w:pPr>
              <w:spacing w:after="0"/>
              <w:rPr>
                <w:sz w:val="23"/>
                <w:szCs w:val="23"/>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42"/>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41,599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43,442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 Agreements</w:t>
            </w:r>
          </w:p>
        </w:tc>
        <w:tc>
          <w:tcPr>
            <w:tcW w:w="15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Debt of Consolidated</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Prime Broker</w:t>
            </w: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 xml:space="preserve">and FHLB Advances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43,005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44,963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Non-Agency RMBS - fair value</w:t>
            </w:r>
          </w:p>
        </w:tc>
        <w:tc>
          <w:tcPr>
            <w:tcW w:w="100" w:type="dxa"/>
            <w:vAlign w:val="bottom"/>
          </w:tcPr>
          <w:p>
            <w:pPr>
              <w:spacing w:after="0"/>
              <w:rPr>
                <w:sz w:val="23"/>
                <w:szCs w:val="23"/>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100" w:type="dxa"/>
            <w:vAlign w:val="bottom"/>
          </w:tcPr>
          <w:p>
            <w:pPr>
              <w:spacing w:after="0"/>
              <w:rPr>
                <w:sz w:val="23"/>
                <w:szCs w:val="23"/>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42"/>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43,450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45,428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 million and $181 million of retained interests in our consolidated VIEs pledged as collateral under repurchase agreements as of March 31, 2017 and December 31, 2016, respectively.</w:t>
      </w:r>
    </w:p>
    <w:p>
      <w:pPr>
        <w:ind w:left="660" w:hanging="328"/>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margin for TBAs cleared through prime broker and other clearing deposits.</w:t>
      </w:r>
    </w:p>
    <w:p>
      <w:pPr>
        <w:spacing w:after="0" w:line="1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we held $126 million of membership and activity-based stock in the FHLB of Des Moines, which was redeemed in February 2017 with the termination of our captive insurance subsidiary's FHLB membership such that we held no such stock as of March 31, 2017. FHLB stock is reported at cost, which equals par value, in other assets on our accompanying consolidated balance sheets.</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and FHLB advances by the remaining maturity of our borrowings, including securities pledged related to sold but not yet settled securities, as of March 31, 2017 and December 31, 2016 (in millions). For the corresponding borrowings associated with the following amounts and the interest rates thereon, refer to Note 5</w:t>
      </w:r>
      <w:r>
        <w:rPr>
          <w:rFonts w:ascii="Times New Roman" w:cs="Times New Roman" w:eastAsia="Times New Roman" w:hAnsi="Times New Roman"/>
          <w:sz w:val="18"/>
          <w:szCs w:val="18"/>
          <w:i w:val="1"/>
          <w:i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96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69"/>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RMBS: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30 days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19,299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19,863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13,448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41,463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41,794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43,471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&gt; 1 day ≤ 30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41,463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41,794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43,644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60" w:right="200" w:hanging="328"/>
        <w:spacing w:after="0" w:line="282"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 million and $181 million of retained interests in our consolidated VIEs pledged as collateral under repurchase agreements as of March 31, 2017 and December 31, 2016, respectively.</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2017 and December 31, 2016, none of our borrowings backed by RMBS were due on demand or mature overnight.</w:t>
      </w:r>
    </w:p>
    <w:p>
      <w:pPr>
        <w:spacing w:after="0" w:line="1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4 and 5 for additional information regarding our consolidated VIEs.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we had assets pledged to us from counterparties as collateral under our reverse repurchase, repurchase and derivative agreements summarized in the tables below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MBS -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65"/>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0" w:type="dxa"/>
            <w:vAlign w:val="bottom"/>
          </w:tcPr>
          <w:p>
            <w:pPr>
              <w:spacing w:after="0"/>
              <w:rPr>
                <w:sz w:val="1"/>
                <w:szCs w:val="1"/>
                <w:color w:val="auto"/>
              </w:rPr>
            </w:pPr>
          </w:p>
        </w:tc>
      </w:tr>
      <w:tr>
        <w:trPr>
          <w:trHeight w:val="275"/>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32"/>
        </w:trPr>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7,757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2017 and December 31, 2016 (in millions):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96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2"/>
                <w:szCs w:val="12"/>
                <w:color w:val="auto"/>
              </w:rPr>
            </w:pPr>
          </w:p>
        </w:tc>
        <w:tc>
          <w:tcPr>
            <w:tcW w:w="2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8"/>
                <w:szCs w:val="8"/>
                <w:color w:val="auto"/>
              </w:rPr>
              <w:t>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8,908</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8,908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8"/>
                <w:szCs w:val="8"/>
                <w:color w:val="auto"/>
              </w:rPr>
              <w:t>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2"/>
                <w:szCs w:val="12"/>
                <w:color w:val="auto"/>
              </w:rPr>
            </w:pPr>
          </w:p>
        </w:tc>
        <w:tc>
          <w:tcPr>
            <w:tcW w:w="2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xml:space="preserve">Pledged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agreements, at fair value </w:t>
            </w:r>
            <w:r>
              <w:rPr>
                <w:rFonts w:ascii="Times New Roman" w:cs="Times New Roman" w:eastAsia="Times New Roman" w:hAnsi="Times New Roman"/>
                <w:sz w:val="8"/>
                <w:szCs w:val="8"/>
                <w:color w:val="auto"/>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39,375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39,375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39,439</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agreements, at fair value </w:t>
            </w:r>
            <w:r>
              <w:rPr>
                <w:rFonts w:ascii="Times New Roman" w:cs="Times New Roman" w:eastAsia="Times New Roman" w:hAnsi="Times New Roman"/>
                <w:sz w:val="8"/>
                <w:szCs w:val="8"/>
                <w:color w:val="auto"/>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Repurchase agreements and FHLB advances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41,151</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20" w:hanging="328"/>
        <w:spacing w:after="0" w:line="241"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assets/liabilities, at fair value in the accompanying consolidated balance sheets. Refer to Note 6 for a reconciliation of derivative assets/liabilities, at fair value to their sub-components.</w:t>
      </w:r>
    </w:p>
    <w:p>
      <w:pPr>
        <w:ind w:left="660" w:right="320" w:hanging="328"/>
        <w:spacing w:after="0" w:line="258"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pledged/received as collateral, at fair value. Amounts presented are limited to collateral pledged sufficient to reduce the net amount to zero for individual counterparties, as applicable.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85"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2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valuation hierarchy levels during the three months ended March 31, 2017. The three levels of valuation hierarchy are defined as follows:</w:t>
      </w:r>
    </w:p>
    <w:p>
      <w:pPr>
        <w:spacing w:after="0" w:line="130"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March 31,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69"/>
        </w:trPr>
        <w:tc>
          <w:tcPr>
            <w:tcW w:w="45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Agency securities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43,856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45,393</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Non-Agency securities</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Swaptions</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TBA securities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U.S. Treasury futures</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45,252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46,846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458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8,792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TBA securities</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8,797</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difference between the fair value of the RMBS transferred to consolidated VIEs and the fair value of our retained interests, each of which is based on valuations obtained from third-party pricing services and non-binding dealer quotes derived from common market pricing methods using "Level 2" inputs, and are more observable than using inputs to estimate the fair value of the consolidated debt on a stand-alone basis.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1" or "Level 2"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Income (Loss) Per Common Share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income (loss) per common share includes no dilution and is computed by dividing net income or (loss) applicable to common stock by the weighted-average number of common shares outstanding for the respective period. Diluted earnings per common share includes the impact of dilutive securities such as unvested restricted stock units and performance share units granted under our long-term incentive program to employees and non-employee Board of Directors. The following table presents the computations of basic and diluted income (loss) per common share for the periods indicated (shares and dollars in millions):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42" w:right="239" w:bottom="1440" w:gutter="0" w:footer="0" w:header="0"/>
        </w:sectPr>
      </w:pPr>
    </w:p>
    <w:bookmarkStart w:id="25" w:name="page26"/>
    <w:bookmarkEnd w:id="25"/>
    <w:tbl>
      <w:tblPr>
        <w:tblLayout w:type="fixed"/>
        <w:tblInd w:w="162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55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8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331.0</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334.4</w:t>
            </w:r>
          </w:p>
        </w:tc>
      </w:tr>
      <w:tr>
        <w:trPr>
          <w:trHeight w:val="26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and performance share units</w:t>
            </w: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8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r>
      <w:tr>
        <w:trPr>
          <w:trHeight w:val="20"/>
        </w:trPr>
        <w:tc>
          <w:tcPr>
            <w:tcW w:w="5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8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 and diluted</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0.21</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20"/>
        </w:trPr>
        <w:tc>
          <w:tcPr>
            <w:tcW w:w="5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March 31, 2017 and December 31, 2016, we had 6.9 million shares of Series A Preferred Stock outstanding and 7.0 million depositary shares outstanding. Each depositary share represents a 1/1,000th interest in a share of our Series B Preferred Stock. As of March 31, 2017 and December 31, 2016,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March 31, 2017, we had declared all required quarterly dividends on our Series A and Series B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2017, we entered into sales agreements with sales agents to publicly offer and sell shares of our common stock in privately negotiated and/or at-the-market transactions from time-to-time up to an aggregate amount of $750 million of shares of our common stock. During the three months ended March 31, 2017, we did not sell any shares of our common stock under the sales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October 2012, our Board of Directors adopted a program that provided for stock repurchases, which, as amended, authorized repurchases of our common stock up to $2 billion through December 31, 2016. In October 2016, our Board of Directors terminated the existing stock repurchase program and replaced it with a new stock repurchase authorization. Under the new stock repurchase program, we are authorized to repurchase up to $1 billion of our outstanding shares of common stock through December 31, 2017.</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we repurchased 6.5 million shares of our common stock at an average repurchase price of $17.89, including expenses, totaling $116 million. We did not repurchase shares of our common stock during the three months ended March 31, 2017. As of March 31, 2017, the total remaining amount authorized for repurchases of our common stock was $1 billion.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85"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months ended March 31, 2017 and 2016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40" w:type="dxa"/>
            <w:vAlign w:val="bottom"/>
          </w:tcPr>
          <w:p>
            <w:pPr>
              <w:spacing w:after="0"/>
              <w:rPr>
                <w:sz w:val="12"/>
                <w:szCs w:val="12"/>
                <w:color w:val="auto"/>
              </w:rPr>
            </w:pPr>
          </w:p>
        </w:tc>
        <w:tc>
          <w:tcPr>
            <w:tcW w:w="1000" w:type="dxa"/>
            <w:vAlign w:val="bottom"/>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rPr>
              <w:t>OCI</w:t>
            </w:r>
          </w:p>
        </w:tc>
        <w:tc>
          <w:tcPr>
            <w:tcW w:w="0" w:type="dxa"/>
            <w:vAlign w:val="bottom"/>
          </w:tcPr>
          <w:p>
            <w:pPr>
              <w:spacing w:after="0"/>
              <w:rPr>
                <w:sz w:val="1"/>
                <w:szCs w:val="1"/>
                <w:color w:val="auto"/>
              </w:rPr>
            </w:pPr>
          </w:p>
        </w:tc>
      </w:tr>
      <w:tr>
        <w:trPr>
          <w:trHeight w:val="195"/>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5"/>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reclassifications out of accumulated OCI for the three months ended March 31, 2017 and 2016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20" w:type="dxa"/>
            <w:vAlign w:val="bottom"/>
          </w:tcPr>
          <w:p>
            <w:pPr>
              <w:spacing w:after="0"/>
              <w:rPr>
                <w:sz w:val="13"/>
                <w:szCs w:val="13"/>
                <w:color w:val="auto"/>
              </w:rPr>
            </w:pP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 in the Consolidated</w:t>
            </w: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63"/>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Where Net Income is Presented</w:t>
            </w: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loss amounts reclassified from accumulated OCI for available-for-sale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MBS upon realization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 (loss) on sale of investment securities, net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Periodic interest costs of interest rate swaps previously designated as hedges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under GAAP,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reclassifications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April 13, 2017, our Board of Directors declared a monthly dividend of $0.18 per common share, payable on May 8, 2017 to common stockholders of record as of April 28, 2017.</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5, 2017, we completed a follow-on public offering of 24.5 million shares of our common stock for proceeds of $503 million, or $20.53 per common share, net of offering costs. In connection with the offering, we granted the underwriters an option for 30 days to purchase up to an additional 3,675,000 shares of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3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2017. Our MD&amp;A is presented in six sections:</w:t>
      </w:r>
    </w:p>
    <w:p>
      <w:pPr>
        <w:spacing w:after="0" w:line="4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AGNC Investment Corp. ("AGNC," the "Company," "we," "us" and "our") is an internally managed Real Estate Investment Trust ("REIT") that was organized on January 7, 2008 and commenced operations on May 20, 2008 following the completion of our initial public offering. Our common stock is traded on The NASDAQ Global Select Market ("NASDAQ") under the symbol "AGNC."</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so as to qualify to be taxed as a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in a timely manner. It is our intention to distribute 100% of our taxable net income, after application of available tax attributes, within the limits prescribed by the Internal Revenue Code, which may extend into the subsequent taxable year.</w:t>
      </w:r>
    </w:p>
    <w:p>
      <w:pPr>
        <w:spacing w:after="0" w:line="130"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earn income primarily from investing in Agency residential mortgage-backed securities ("Agency RMBS") on a leveraged basis.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principal objective is to provide our stockholders with attractive risk-adjusted returns through a combination of monthly dividends and net asset value (also referred to as "net book value," "NAV" and "stockholders' equity")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 ("repo").</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Prior to July 1, 2016, we were externally managed by AGNC Management, LLC (our "Manager"). On July 1, 2016, we completed the acquisition of all of the outstanding membership interests of AGNC Mortgage Management, LLC ("AMM"), the parent company of our Manager, from American Capital Asset Management, LLC, a wholly owned portfolio company of American Capital, Ltd. ("ACAS"). AMM is also the parent company of MTGE Management, LLC, the external manager of MTGE Investment Corp. ("MTGE") (NASDAQ: MTGE). Following the closing of the acquisition of AMM, we became internally managed and are no longer affiliated with ACAS.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Strategy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investment strategy is designed to:</w:t>
      </w:r>
    </w:p>
    <w:p>
      <w:pPr>
        <w:spacing w:after="0" w:line="117" w:lineRule="exact"/>
        <w:rPr>
          <w:sz w:val="20"/>
          <w:szCs w:val="20"/>
          <w:color w:val="auto"/>
        </w:rPr>
      </w:pPr>
    </w:p>
    <w:p>
      <w:pPr>
        <w:ind w:left="760" w:hanging="347"/>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attractive risk-adjusted returns for our stockholders comprised of monthly dividend distributions and NAV accretion;</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 investment portfolio consisting primarily of Agency securities;</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a subset of the portfolio in mortgage credit risk oriented assets;</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discrepancies in the relative valuations in the Agency and non-Agency securities market;</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financing, interest rate, prepayment, extension and credit risks;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8" w:right="239" w:bottom="1440" w:gutter="0" w:footer="0" w:header="0"/>
        </w:sectPr>
      </w:pPr>
    </w:p>
    <w:bookmarkStart w:id="28" w:name="page29"/>
    <w:bookmarkEnd w:id="28"/>
    <w:p>
      <w:pPr>
        <w:ind w:left="760" w:hanging="347"/>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qualify as a REIT; and</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exempt from the requirements of the Investment Company Act of 1940 (the "Investment Company Act").</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size and composition of our investment portfolio depends on investment strategies we implement,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and evolving regulations or legal settlements that impact servicing practices or other mortgage related activities.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Risk Management Strategy</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strategies to reduce our exposure to market risks, including interest rate, prepayment, extension, liquidity and credit risks. Our investment strategies take into account our assessment of these risks, the cost of the hedging transactions and our intention to qualify as a REIT. Our hedging strategies are generally not designed to protect our net asset value from "spread risk" (also referred to as "basis risk"), which is the risk that the yield differential between our investments and our hedges fluctuates. In addition, while we use interest rate swaps and other supplemental hedges to attempt to protect our net asset value against moves in interest rates, we may not hedge certain interest rate, prepayment, extension or other market risks if we believe that bearing such risks enhances our return profile, or if the hedging transaction would negatively impact our REIT status.</w:t>
      </w:r>
    </w:p>
    <w:p>
      <w:pPr>
        <w:spacing w:after="0" w:line="13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also be no certainty that our projections of our exposures to interest rates, prepayments, extension or other risks will be accurate or that our hedging activities will be effective and, therefore, actual results could differ materially. Furthermore, since our hedging strategies are generally not designed to protect our net book value from spread risk, wider spreads between the market yield on our investment securities and benchmark interests underlying our interest rate hedges will typically cause our net book value to decline and can occur independent of changes in benchmark interest rates. For further discussion of our market risks and risk management strategy, please refer to "Quantitative and Qualitative Disclosures about Market Risk" under Item 3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3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fixed income markets were relatively stable during the first quarter of 2017, especially when compared to the significant interest rate movements experienced during the fourth quarter of 2016. Investors continued to favor higher risk assets during the first quarter as evidenced by the strong performance of U.S. equities and the further tightening in spreads associated with a wide range of credit-sensitive fixed income assets. Conversely, Agency RMBS underperformed slightly versus our interest rate hedges, which led to a small decline in our net asset value per common share for the quarter.</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performance of Agency RMBS during the first quarter was likely negatively impacted by growing concerns related to the Federal Reserve’s (the “Fed”) potential tapering of its Agency RMBS and U.S Treasury reinvestment program. We believe the price of Agency RMBS now largely reflects the market’s consensus expectation that the Fed will begin to gradually reduce the size of its balance sheet sometime in late 2017 or early 2018. Although Agency RMBS spreads could move wider in anticipation of the Fed’s actual reinvestment announcement, putting downward pressure on our net book value, wider spreads could provide an attractive investment opportunity and we would consider operating with somewhat higher leverage in that scenario.</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our tangible net book value per common share declined $0.19 per common share, or 1%, to $19.31 as of March 31, 2017 from $19.50 per common share as of December 31, 2016. Taking into account $0.54 of quarterly dividends, AGNC generated an economic return of 1.8% on tangible common equity for the quarter.</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Funding dynamics remained favorable during the first quarter. Our repurchase agreement funding cost increased during the quarter in anticipation of the Federal Funds rate increase in March but was largely offset by a corresponding increase in the variable rate received on our interest rate swaps and improved implied funding levels in the TBA dollar roll market. We also expanded our use of our captive broker-dealer subsidiary (“Bethesda Securities”) during the quarter, increasing our repurchase agreement funding through Bethesda Securities to $7.6 billion, or approximately 20% of our repurchase agreement funding as of March 31, 2017, from $4.7 billion as of December 31, 2016, providing us greater funding diversity at favorable terms relative to traditional bilateral repurchase agreement funding. As of March 31, 2017, our “at risk” leverage was 8.0x our tangible equity, up slightly from 7.7x as of December 31, 2016.</w:t>
      </w:r>
    </w:p>
    <w:p>
      <w:pPr>
        <w:spacing w:after="0" w:line="13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our interest rate hedges equaled 90% of our funding liabilities and net TBA position, largely unchanged from December 31, 2016. Our net “duration gap,” which is a measure of the risk due to mismatches that can occur between interest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0" w:right="2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rate sensitivity of our assets and liabilities, inclusive of hedges, caused by an instantaneous parallel shift in interest rates, was 1.1 years as of March 31, 2017, compared to 1.3 years as of December 31, 2016. Given the likelihood of further Fed Funds rate increases, we expect to maintain a high interest rate hedge ratio over the near to intermediate term; however, the mix of our hedge instruments may change, which could impact our adjusted net interest expense and net spread and dollar roll income (non-GAAP measures) as these measures include net interest paid or received on our current pay interest rate swaps, but exclude the impact of other supplemental hedges, such as our short U.S. Treasury and futures position, fees paid or received for terminated swaps and forward starting swaps. Please refer to Results of Operations for further discussion of non-GAAP measures.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interest rates and prices of generic fixed rate Agency RMBS as of each date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 31, 2017</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8"/>
                <w:szCs w:val="8"/>
                <w:b w:val="1"/>
                <w:bCs w:val="1"/>
                <w:color w:val="auto"/>
              </w:rPr>
              <w:t>1</w:t>
            </w:r>
          </w:p>
        </w:tc>
        <w:tc>
          <w:tcPr>
            <w:tcW w:w="10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0" w:type="dxa"/>
            <w:vAlign w:val="bottom"/>
          </w:tcPr>
          <w:p>
            <w:pPr>
              <w:spacing w:after="0"/>
              <w:rPr>
                <w:sz w:val="1"/>
                <w:szCs w:val="1"/>
                <w:color w:val="auto"/>
              </w:rPr>
            </w:pPr>
          </w:p>
        </w:tc>
      </w:tr>
      <w:tr>
        <w:trPr>
          <w:trHeight w:val="269"/>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1-Month</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0.44%</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0.53%</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0.77%</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0.98%</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3-Month</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0.63%</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0.85%</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6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6-Month</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0.90%</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1.24%</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0.73%</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0.76%</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0.87%</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10-Year U.S. Treasury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1.61%</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-0.04 bps</w:t>
            </w: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30-Year U.S. Treasury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2.33%</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23"/>
                <w:szCs w:val="23"/>
                <w:color w:val="auto"/>
              </w:rPr>
            </w:pPr>
          </w:p>
        </w:tc>
        <w:tc>
          <w:tcPr>
            <w:tcW w:w="13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-0.03 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Swap Rate:</w:t>
            </w: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0.85%</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6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1.18%</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10-Year Swap</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1.46%</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6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30-Year Swap</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1.78%</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$102.59</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$103.95</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$99.38</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$99.15</w:t>
            </w:r>
          </w:p>
        </w:tc>
        <w:tc>
          <w:tcPr>
            <w:tcW w:w="100" w:type="dxa"/>
            <w:vAlign w:val="bottom"/>
          </w:tcPr>
          <w:p>
            <w:pPr>
              <w:spacing w:after="0"/>
              <w:rPr>
                <w:sz w:val="23"/>
                <w:szCs w:val="2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5"/>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$104.86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$105.53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$102.50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$102.29</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26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$106.86</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$107.23</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$107.41</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$105.13</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$104.90</w:t>
            </w:r>
          </w:p>
        </w:tc>
        <w:tc>
          <w:tcPr>
            <w:tcW w:w="100" w:type="dxa"/>
            <w:vAlign w:val="bottom"/>
          </w:tcPr>
          <w:p>
            <w:pPr>
              <w:spacing w:after="0"/>
              <w:rPr>
                <w:sz w:val="23"/>
                <w:szCs w:val="2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5"/>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$108.82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$109.17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$109.52</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$107.51</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$107.24</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65"/>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$102.66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$103.48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$103.56</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$100.20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$100.03</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6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$104.47</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$104.84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$104.99</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$102.62</w:t>
            </w:r>
          </w:p>
        </w:tc>
        <w:tc>
          <w:tcPr>
            <w:tcW w:w="12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$102.51</w:t>
            </w:r>
          </w:p>
        </w:tc>
        <w:tc>
          <w:tcPr>
            <w:tcW w:w="100" w:type="dxa"/>
            <w:vAlign w:val="bottom"/>
          </w:tcPr>
          <w:p>
            <w:pPr>
              <w:spacing w:after="0"/>
              <w:rPr>
                <w:sz w:val="23"/>
                <w:szCs w:val="2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275"/>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$105.59</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$105.97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$105.41</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$104.17</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$104.06</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252"/>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$104.31</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$103.81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$103.73</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$102.69</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$103.29</w:t>
            </w:r>
          </w:p>
        </w:tc>
        <w:tc>
          <w:tcPr>
            <w:tcW w:w="10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22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2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monthly weighted average actual one-month annualized constant prepayment rates on our investment portfolio during the three months ended March 31, 2017.</w:t>
      </w:r>
    </w:p>
    <w:p>
      <w:pPr>
        <w:spacing w:after="0" w:line="251"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Annualized Monthly Constant Prepayment Rates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3"/>
                <w:szCs w:val="13"/>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Mar.</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AGNC portfolio</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-164465</wp:posOffset>
            </wp:positionV>
            <wp:extent cx="3576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actual one-month annualized CPR released at the beginning of the month based on securities held/outstanding as of the preceding month-end.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March 31, 2017 and December 31, 2016, our investment portfolio consisted of $45.0 billion and $46.5 billion of investment securities, at fair value, respectively, and a $14.4 billion and $11.2 billion net long TBA position, at fair value, respectively. The following table is a summary of our investment portfolio as of March 31, 2017 and December 31, 2016 (dollars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Portfolio (Includes TBAs)</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10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vMerge w:val="restart"/>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15-year:</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11,425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12,794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12,867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65"/>
        </w:trPr>
        <w:tc>
          <w:tcPr>
            <w:tcW w:w="36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15-year TBA securities</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2,155</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2,188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2,172</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55"/>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13,580</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15,039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6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20-year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30-year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31,476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31,023</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31,052</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12,227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12,292</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9,124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8,993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43,703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43,315</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40,045</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5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57,962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57,679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56,460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55,901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65"/>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CMO Agency RMBS: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CMO</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Interest-only strips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Principal-only strips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Agency RMBS and TBA securities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59,080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57,895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57,376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Non-Agency RMBS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59,731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59,494</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58,181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57,664</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TBA positions are recorded as derivative instruments in our accompanying consolidated financial statements, with the TBA dollar roll transactions representing a form of off-balance sheet financing. As of March 31, 2017 and December 31, 2016, our TBA positions had a net carrying value of $70 million and $(147)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38" w:right="239" w:bottom="1440" w:gutter="0" w:footer="0" w:header="0"/>
        </w:sectPr>
      </w:pPr>
    </w:p>
    <w:bookmarkStart w:id="31" w:name="page32"/>
    <w:bookmarkEnd w:id="31"/>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our Agency RMBS fixed rate portfolio, inclusive of our net TBA position, as of March 31, 2017 and December 31, 2016 (dollars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Loan Balance</w:t>
            </w:r>
          </w:p>
        </w:tc>
        <w:tc>
          <w:tcPr>
            <w:tcW w:w="220" w:type="dxa"/>
            <w:vAlign w:val="bottom"/>
          </w:tcPr>
          <w:p>
            <w:pPr>
              <w:spacing w:after="0"/>
              <w:rPr>
                <w:sz w:val="4"/>
                <w:szCs w:val="4"/>
                <w:color w:val="auto"/>
              </w:rPr>
            </w:pPr>
          </w:p>
        </w:tc>
        <w:tc>
          <w:tcPr>
            <w:tcW w:w="1120" w:type="dxa"/>
            <w:vAlign w:val="bottom"/>
            <w:gridSpan w:val="2"/>
            <w:vMerge w:val="restart"/>
          </w:tcPr>
          <w:p>
            <w:pPr>
              <w:jc w:val="right"/>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63"/>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WAC </w:t>
            </w:r>
            <w:r>
              <w:rPr>
                <w:rFonts w:ascii="Times New Roman" w:cs="Times New Roman" w:eastAsia="Times New Roman" w:hAnsi="Times New Roman"/>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&amp; HARP </w:t>
            </w:r>
            <w:r>
              <w:rPr>
                <w:rFonts w:ascii="Times New Roman" w:cs="Times New Roman" w:eastAsia="Times New Roman" w:hAnsi="Times New Roman"/>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CPR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4,138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6.64%</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55"/>
        </w:trPr>
        <w:tc>
          <w:tcPr>
            <w:tcW w:w="2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13,490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13,580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59"/>
        </w:trPr>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4.06%</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4.89%</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9"/>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7,156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3.58%</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17,304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4.51%</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5.45%</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41,911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43,703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43,315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2"/>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55,819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57,962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57,679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loan balance securities represent pools backed by an original loan balance of ≤ $150,000. Our lower loan balance securities had a weighted average original loan balance of $97,000 and $101,000 for 15-year and 30-year securities, respectively, as of March 31, 2017.</w:t>
      </w:r>
    </w:p>
    <w:p>
      <w:pPr>
        <w:jc w:val="both"/>
        <w:ind w:left="660" w:hanging="328"/>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HARP securities are defined as pools backed by 100% refinance loans with LTV ≥ 80%. Our HARP securities had a weighted average LTV of 114% and 135% for 15-year and 30-year securities, respectively, as of March 31, 2017. Includes $0.7 billion and $4.9 billion of 15-year and 30-year securities, respectively, with &gt;105 LTV pools, which are not deliverable into TBA securities.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assumption based on forward rate assumptions as of March 31, 2017.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63"/>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WAC </w:t>
            </w:r>
            <w:r>
              <w:rPr>
                <w:rFonts w:ascii="Times New Roman" w:cs="Times New Roman" w:eastAsia="Times New Roman" w:hAnsi="Times New Roman"/>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&amp; HARP </w:t>
            </w:r>
            <w:r>
              <w:rPr>
                <w:rFonts w:ascii="Times New Roman" w:cs="Times New Roman" w:eastAsia="Times New Roman" w:hAnsi="Times New Roman"/>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CPR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4,912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55"/>
        </w:trPr>
        <w:tc>
          <w:tcPr>
            <w:tcW w:w="2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15,039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59"/>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9"/>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7,357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14,224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38,704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40,045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2"/>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54,065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55,901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loan balance securities represent pools backed by an original loan balance of ≤ $150,000. Our lower loan balance securities had a weighted average original loan balance of $97,000 and $100,000 for 15-year and 30-year securities, respectively, as of December 31, 2016.</w:t>
      </w:r>
    </w:p>
    <w:p>
      <w:pPr>
        <w:ind w:left="980" w:hanging="648"/>
        <w:spacing w:after="0" w:line="241" w:lineRule="auto"/>
        <w:tabs>
          <w:tab w:leader="none" w:pos="6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HARP securities are defined as pools backed by 100% refinance loans with LTVs ≥ 80%. Our HARP securities had a weighted average LTV of 113% and 135% for 15-year and 30-year securities, respectively, as of December 31, 2016. Includes $0.8 billion and $5.1 billion of 15-year and 30-year securities, respectively, with &gt;105 LTV pools which are not deliverable into TBA securities.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assumption based on forward rate assumptions as of December 31, 2016.</w:t>
      </w:r>
    </w:p>
    <w:p>
      <w:pPr>
        <w:spacing w:after="0" w:line="1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the combined weighted average yield on our investment securities (excluding TBAs) was 2.83% and 2.77%, respectively.</w:t>
      </w:r>
    </w:p>
    <w:p>
      <w:pPr>
        <w:spacing w:after="0" w:line="10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Our pass-through Agency RMBS collateralized by adjustable rate mortgage loans, or ARMs, have coupons linked to various indices. As of March 31, 2017 and December 31, 2016, our ARM securities had a weighted average next reset date of 36 months and 39 months, respectively.</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2017 and December 31, 2016, our investments in non-Agency securities had the following credit ratings:</w:t>
      </w:r>
    </w:p>
    <w:p>
      <w:pPr>
        <w:spacing w:after="0" w:line="31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Non-Agency Security Credit Ratings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CMBS</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CRT</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CMBS</w:t>
            </w:r>
          </w:p>
        </w:tc>
      </w:tr>
      <w:tr>
        <w:trPr>
          <w:trHeight w:val="25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24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23</w:t>
            </w:r>
          </w:p>
        </w:tc>
      </w:tr>
      <w:tr>
        <w:trPr>
          <w:trHeight w:val="27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2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 Rated</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966" w:right="239"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and Fitch credit ratings, stated in terms of the S&amp;P equivalent rating as of each date.</w:t>
      </w:r>
    </w:p>
    <w:p>
      <w:pPr>
        <w:spacing w:after="0" w:line="1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 As of March 31, 2017 our CRT securities had floating rate coupons ranging from 4.3% to 7.3%, with weighted average coupons of underlying collateral ranging from 3.6% to 4.2%. The loans underlying our CRT securities were originated between 2012 and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"adjusted net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rate spread."</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"Adjusted net interest expense" is measured as interest expense (GAAP measure) adjusted to include other interest rate swap periodic costs. "Net spread and dollar roll income" is measured as (i) net interest income (GAAP measure) adjusted to include other interest rate swap periodic costs, TBA dollar roll income, management fee income and dividends on REIT equity securities (referred to as "adjusted net interest and dollar roll income") less (ii) total operating expenses (GAAP measure) adjusted to exclude non-recurring transaction costs (referred to as "adjusted operating expenses"). "Net spread and dollar roll income, excluding 'catch-up' premium amortization," further excludes retrospective "catch-up" adjustments to premium amortization cost or benefit due to changes in projected CPR estimates.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statement of operations, are economically equivalent to holding and financing generic Agency RMBS using short-term repurchase agreements. Similarly, we believe that the inclusion of periodic interest rate swap settlements in such measure and in "adjusted net interest expense," which are recognized under GAAP in other gain (loss), is meaningful as interest rate swaps are the primary instrument we use to economically hedge against fluctuations in our borrowing costs and inclusion of all periodic interest rate swap settlement costs is more indicative of our total cost of funds than interest expense alone. In the case of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non-recurring transactions costs reported in general, administrative and other expense under GAAP is meaningful as they represent non-recurring transaction costs associated with our acquisition of AMM and are not representative of ongoing operating costs. In the case of estimated taxable income, we believe it is meaningful information because it directly relates to the amount of dividends we are required to distribute in order to maintain our REIT qualification status.</w:t>
      </w:r>
    </w:p>
    <w:p>
      <w:pPr>
        <w:spacing w:after="0" w:line="19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6. Selected Financial Data</w:t>
      </w:r>
    </w:p>
    <w:p>
      <w:pPr>
        <w:spacing w:after="0" w:line="22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is derived from our audited financial statements for the five fiscal years ended March 31, 2017. The selected financial data should be read in conjunction with the more detailed information contained in the Financial Statements and Notes thereto and "Management's Discussion and Analysis of Financial Condition and Results of Operations" included elsewhere in this Annual Report on Form 10-K.</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76" w:right="2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90"/>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75"/>
        </w:trPr>
        <w:tc>
          <w:tcPr>
            <w:tcW w:w="6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40" w:type="dxa"/>
            <w:vAlign w:val="bottom"/>
          </w:tcPr>
          <w:p>
            <w:pPr>
              <w:spacing w:after="0"/>
              <w:rPr>
                <w:sz w:val="23"/>
                <w:szCs w:val="23"/>
                <w:color w:val="auto"/>
              </w:rPr>
            </w:pPr>
          </w:p>
        </w:tc>
      </w:tr>
      <w:tr>
        <w:trPr>
          <w:trHeight w:val="222"/>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Investment securities,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45,047</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46,499</w:t>
            </w:r>
          </w:p>
        </w:tc>
        <w:tc>
          <w:tcPr>
            <w:tcW w:w="40" w:type="dxa"/>
            <w:vAlign w:val="bottom"/>
          </w:tcPr>
          <w:p>
            <w:pPr>
              <w:spacing w:after="0"/>
              <w:rPr>
                <w:sz w:val="19"/>
                <w:szCs w:val="19"/>
                <w:color w:val="auto"/>
              </w:rPr>
            </w:pPr>
          </w:p>
        </w:tc>
      </w:tr>
      <w:tr>
        <w:trPr>
          <w:trHeight w:val="3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56,838</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56,880</w:t>
            </w:r>
          </w:p>
        </w:tc>
        <w:tc>
          <w:tcPr>
            <w:tcW w:w="40" w:type="dxa"/>
            <w:vAlign w:val="bottom"/>
          </w:tcPr>
          <w:p>
            <w:pPr>
              <w:spacing w:after="0"/>
              <w:rPr>
                <w:sz w:val="21"/>
                <w:szCs w:val="21"/>
                <w:color w:val="auto"/>
              </w:rPr>
            </w:pPr>
          </w:p>
        </w:tc>
      </w:tr>
      <w:tr>
        <w:trPr>
          <w:trHeight w:val="23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Repurchase agreements, Federal Home Loan Bank advances and other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39,809</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41,355</w:t>
            </w:r>
          </w:p>
        </w:tc>
        <w:tc>
          <w:tcPr>
            <w:tcW w:w="40" w:type="dxa"/>
            <w:vAlign w:val="bottom"/>
          </w:tcPr>
          <w:p>
            <w:pPr>
              <w:spacing w:after="0"/>
              <w:rPr>
                <w:sz w:val="20"/>
                <w:szCs w:val="20"/>
                <w:color w:val="auto"/>
              </w:rPr>
            </w:pPr>
          </w:p>
        </w:tc>
      </w:tr>
      <w:tr>
        <w:trPr>
          <w:trHeight w:val="3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49,546</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49,524</w:t>
            </w:r>
          </w:p>
        </w:tc>
        <w:tc>
          <w:tcPr>
            <w:tcW w:w="40" w:type="dxa"/>
            <w:vAlign w:val="bottom"/>
          </w:tcPr>
          <w:p>
            <w:pPr>
              <w:spacing w:after="0"/>
              <w:rPr>
                <w:sz w:val="21"/>
                <w:szCs w:val="21"/>
                <w:color w:val="auto"/>
              </w:rPr>
            </w:pPr>
          </w:p>
        </w:tc>
      </w:tr>
      <w:tr>
        <w:trPr>
          <w:trHeight w:val="23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40" w:type="dxa"/>
            <w:vAlign w:val="bottom"/>
          </w:tcPr>
          <w:p>
            <w:pPr>
              <w:spacing w:after="0"/>
              <w:rPr>
                <w:sz w:val="20"/>
                <w:szCs w:val="20"/>
                <w:color w:val="auto"/>
              </w:rPr>
            </w:pPr>
          </w:p>
        </w:tc>
      </w:tr>
      <w:tr>
        <w:trPr>
          <w:trHeight w:val="3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6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Net asset value per common share as of period end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4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40" w:type="dxa"/>
            <w:vAlign w:val="bottom"/>
          </w:tcPr>
          <w:p>
            <w:pPr>
              <w:spacing w:after="0"/>
              <w:rPr>
                <w:sz w:val="23"/>
                <w:szCs w:val="23"/>
                <w:color w:val="auto"/>
              </w:rPr>
            </w:pPr>
          </w:p>
        </w:tc>
      </w:tr>
      <w:tr>
        <w:trPr>
          <w:trHeight w:val="311"/>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Tangible net asset value per common share as of period end </w:t>
            </w:r>
            <w:r>
              <w:rPr>
                <w:rFonts w:ascii="Times New Roman" w:cs="Times New Roman" w:eastAsia="Times New Roman" w:hAnsi="Times New Roman"/>
                <w:sz w:val="21"/>
                <w:szCs w:val="2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42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40" w:type="dxa"/>
            <w:vAlign w:val="bottom"/>
          </w:tcPr>
          <w:p>
            <w:pPr>
              <w:spacing w:after="0"/>
              <w:rPr>
                <w:sz w:val="24"/>
                <w:szCs w:val="24"/>
                <w:color w:val="auto"/>
              </w:rPr>
            </w:pPr>
          </w:p>
        </w:tc>
      </w:tr>
      <w:tr>
        <w:trPr>
          <w:trHeight w:val="245"/>
        </w:trPr>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40" w:type="dxa"/>
            <w:vAlign w:val="bottom"/>
          </w:tcPr>
          <w:p>
            <w:pPr>
              <w:spacing w:after="0"/>
              <w:rPr>
                <w:sz w:val="21"/>
                <w:szCs w:val="21"/>
                <w:color w:val="auto"/>
              </w:rPr>
            </w:pPr>
          </w:p>
        </w:tc>
      </w:tr>
      <w:tr>
        <w:trPr>
          <w:trHeight w:val="195"/>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w:t>
            </w: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r>
      <w:tr>
        <w:trPr>
          <w:trHeight w:val="255"/>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shd w:val="clear" w:color="auto" w:fill="CCEEFF"/>
          </w:tcPr>
          <w:p>
            <w:pPr>
              <w:spacing w:after="0"/>
              <w:rPr>
                <w:sz w:val="22"/>
                <w:szCs w:val="22"/>
                <w:color w:val="auto"/>
              </w:rPr>
            </w:pPr>
          </w:p>
        </w:tc>
      </w:tr>
      <w:tr>
        <w:trPr>
          <w:trHeight w:val="265"/>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8"/>
                <w:szCs w:val="8"/>
                <w:color w:val="auto"/>
              </w:rPr>
              <w:t>3</w:t>
            </w:r>
          </w:p>
        </w:tc>
        <w:tc>
          <w:tcPr>
            <w:tcW w:w="14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tcBorders>
              <w:bottom w:val="single" w:sz="8" w:color="auto"/>
            </w:tcBorders>
          </w:tcPr>
          <w:p>
            <w:pPr>
              <w:spacing w:after="0"/>
              <w:rPr>
                <w:sz w:val="23"/>
                <w:szCs w:val="23"/>
                <w:color w:val="auto"/>
              </w:rPr>
            </w:pPr>
          </w:p>
        </w:tc>
      </w:tr>
      <w:tr>
        <w:trPr>
          <w:trHeight w:val="25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40" w:type="dxa"/>
            <w:vAlign w:val="bottom"/>
            <w:tcBorders>
              <w:bottom w:val="single" w:sz="8" w:color="auto"/>
            </w:tcBorders>
            <w:shd w:val="clear" w:color="auto" w:fill="CCEEFF"/>
          </w:tcPr>
          <w:p>
            <w:pPr>
              <w:spacing w:after="0"/>
              <w:rPr>
                <w:sz w:val="21"/>
                <w:szCs w:val="21"/>
                <w:color w:val="auto"/>
              </w:rPr>
            </w:pPr>
          </w:p>
        </w:tc>
      </w:tr>
      <w:tr>
        <w:trPr>
          <w:trHeight w:val="25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Other loss, net </w:t>
            </w:r>
            <w:r>
              <w:rPr>
                <w:rFonts w:ascii="Times New Roman" w:cs="Times New Roman" w:eastAsia="Times New Roman" w:hAnsi="Times New Roman"/>
                <w:sz w:val="8"/>
                <w:szCs w:val="8"/>
                <w:color w:val="auto"/>
              </w:rPr>
              <w:t>3</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40" w:type="dxa"/>
            <w:vAlign w:val="bottom"/>
          </w:tcPr>
          <w:p>
            <w:pPr>
              <w:spacing w:after="0"/>
              <w:rPr>
                <w:sz w:val="21"/>
                <w:szCs w:val="21"/>
                <w:color w:val="auto"/>
              </w:rPr>
            </w:pPr>
          </w:p>
        </w:tc>
      </w:tr>
      <w:tr>
        <w:trPr>
          <w:trHeight w:val="27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bottom w:val="single" w:sz="8" w:color="auto"/>
            </w:tcBorders>
            <w:shd w:val="clear" w:color="auto" w:fill="CCEEFF"/>
          </w:tcPr>
          <w:p>
            <w:pPr>
              <w:spacing w:after="0"/>
              <w:rPr>
                <w:sz w:val="23"/>
                <w:szCs w:val="23"/>
                <w:color w:val="auto"/>
              </w:rPr>
            </w:pPr>
          </w:p>
        </w:tc>
      </w:tr>
      <w:tr>
        <w:trPr>
          <w:trHeight w:val="25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40" w:type="dxa"/>
            <w:vAlign w:val="bottom"/>
          </w:tcPr>
          <w:p>
            <w:pPr>
              <w:spacing w:after="0"/>
              <w:rPr>
                <w:sz w:val="21"/>
                <w:szCs w:val="21"/>
                <w:color w:val="auto"/>
              </w:rPr>
            </w:pPr>
          </w:p>
        </w:tc>
      </w:tr>
      <w:tr>
        <w:trPr>
          <w:trHeight w:val="27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bottom w:val="single" w:sz="8" w:color="auto"/>
            </w:tcBorders>
            <w:shd w:val="clear" w:color="auto" w:fill="CCEEFF"/>
          </w:tcPr>
          <w:p>
            <w:pPr>
              <w:spacing w:after="0"/>
              <w:rPr>
                <w:sz w:val="23"/>
                <w:szCs w:val="23"/>
                <w:color w:val="auto"/>
              </w:rPr>
            </w:pPr>
          </w:p>
        </w:tc>
      </w:tr>
      <w:tr>
        <w:trPr>
          <w:trHeight w:val="29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140" w:type="dxa"/>
            <w:vAlign w:val="bottom"/>
          </w:tcPr>
          <w:p>
            <w:pPr>
              <w:spacing w:after="0"/>
              <w:rPr>
                <w:sz w:val="24"/>
                <w:szCs w:val="24"/>
                <w:color w:val="auto"/>
              </w:rPr>
            </w:pPr>
          </w:p>
        </w:tc>
        <w:tc>
          <w:tcPr>
            <w:tcW w:w="1040" w:type="dxa"/>
            <w:vAlign w:val="bottom"/>
            <w:gridSpan w:val="3"/>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40" w:type="dxa"/>
            <w:vAlign w:val="bottom"/>
          </w:tcPr>
          <w:p>
            <w:pPr>
              <w:spacing w:after="0"/>
              <w:rPr>
                <w:sz w:val="24"/>
                <w:szCs w:val="24"/>
                <w:color w:val="auto"/>
              </w:rPr>
            </w:pPr>
          </w:p>
        </w:tc>
      </w:tr>
      <w:tr>
        <w:trPr>
          <w:trHeight w:val="278"/>
        </w:trPr>
        <w:tc>
          <w:tcPr>
            <w:tcW w:w="62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r>
      <w:tr>
        <w:trPr>
          <w:trHeight w:val="26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23"/>
                <w:szCs w:val="23"/>
                <w:color w:val="auto"/>
              </w:rPr>
            </w:pPr>
          </w:p>
        </w:tc>
        <w:tc>
          <w:tcPr>
            <w:tcW w:w="1040" w:type="dxa"/>
            <w:vAlign w:val="bottom"/>
            <w:gridSpan w:val="3"/>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40" w:type="dxa"/>
            <w:vAlign w:val="bottom"/>
          </w:tcPr>
          <w:p>
            <w:pPr>
              <w:spacing w:after="0"/>
              <w:rPr>
                <w:sz w:val="23"/>
                <w:szCs w:val="23"/>
                <w:color w:val="auto"/>
              </w:rPr>
            </w:pPr>
          </w:p>
        </w:tc>
      </w:tr>
      <w:tr>
        <w:trPr>
          <w:trHeight w:val="27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comprehensive income </w:t>
            </w:r>
            <w:r>
              <w:rPr>
                <w:rFonts w:ascii="Times New Roman" w:cs="Times New Roman" w:eastAsia="Times New Roman" w:hAnsi="Times New Roman"/>
                <w:sz w:val="8"/>
                <w:szCs w:val="8"/>
                <w:color w:val="auto"/>
              </w:rPr>
              <w:t>3</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40" w:type="dxa"/>
            <w:vAlign w:val="bottom"/>
            <w:tcBorders>
              <w:bottom w:val="single" w:sz="8" w:color="auto"/>
            </w:tcBorders>
            <w:shd w:val="clear" w:color="auto" w:fill="CCEEFF"/>
          </w:tcPr>
          <w:p>
            <w:pPr>
              <w:spacing w:after="0"/>
              <w:rPr>
                <w:sz w:val="23"/>
                <w:szCs w:val="23"/>
                <w:color w:val="auto"/>
              </w:rPr>
            </w:pPr>
          </w:p>
        </w:tc>
      </w:tr>
      <w:tr>
        <w:trPr>
          <w:trHeight w:val="25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available to common stockholders</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21"/>
                <w:szCs w:val="21"/>
                <w:color w:val="auto"/>
              </w:rPr>
            </w:pPr>
          </w:p>
        </w:tc>
      </w:tr>
      <w:tr>
        <w:trPr>
          <w:trHeight w:val="27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bottom w:val="single" w:sz="8" w:color="auto"/>
            </w:tcBorders>
            <w:shd w:val="clear" w:color="auto" w:fill="CCEEFF"/>
          </w:tcPr>
          <w:p>
            <w:pPr>
              <w:spacing w:after="0"/>
              <w:rPr>
                <w:sz w:val="23"/>
                <w:szCs w:val="23"/>
                <w:color w:val="auto"/>
              </w:rPr>
            </w:pPr>
          </w:p>
        </w:tc>
      </w:tr>
      <w:tr>
        <w:trPr>
          <w:trHeight w:val="29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available to common stockholders</w:t>
            </w:r>
          </w:p>
        </w:tc>
        <w:tc>
          <w:tcPr>
            <w:tcW w:w="140" w:type="dxa"/>
            <w:vAlign w:val="bottom"/>
          </w:tcPr>
          <w:p>
            <w:pPr>
              <w:spacing w:after="0"/>
              <w:rPr>
                <w:sz w:val="24"/>
                <w:szCs w:val="24"/>
                <w:color w:val="auto"/>
              </w:rPr>
            </w:pPr>
          </w:p>
        </w:tc>
        <w:tc>
          <w:tcPr>
            <w:tcW w:w="1040" w:type="dxa"/>
            <w:vAlign w:val="bottom"/>
            <w:gridSpan w:val="3"/>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24"/>
                <w:szCs w:val="24"/>
                <w:color w:val="auto"/>
              </w:rPr>
            </w:pPr>
          </w:p>
        </w:tc>
      </w:tr>
      <w:tr>
        <w:trPr>
          <w:trHeight w:val="278"/>
        </w:trPr>
        <w:tc>
          <w:tcPr>
            <w:tcW w:w="62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r>
      <w:tr>
        <w:trPr>
          <w:trHeight w:val="297"/>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331.0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40" w:type="dxa"/>
            <w:vAlign w:val="bottom"/>
            <w:tcBorders>
              <w:bottom w:val="single" w:sz="8" w:color="auto"/>
            </w:tcBorders>
          </w:tcPr>
          <w:p>
            <w:pPr>
              <w:spacing w:after="0"/>
              <w:rPr>
                <w:sz w:val="24"/>
                <w:szCs w:val="24"/>
                <w:color w:val="auto"/>
              </w:rPr>
            </w:pPr>
          </w:p>
        </w:tc>
      </w:tr>
      <w:tr>
        <w:trPr>
          <w:trHeight w:val="237"/>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331.1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6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77"/>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 and diluted</w:t>
            </w: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gridSpan w:val="2"/>
          </w:tcPr>
          <w:p>
            <w:pPr>
              <w:spacing w:after="0"/>
              <w:rPr>
                <w:sz w:val="24"/>
                <w:szCs w:val="24"/>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0" w:type="dxa"/>
            <w:vAlign w:val="bottom"/>
            <w:tcBorders>
              <w:bottom w:val="single" w:sz="8" w:color="auto"/>
            </w:tcBorders>
          </w:tcPr>
          <w:p>
            <w:pPr>
              <w:spacing w:after="0"/>
              <w:rPr>
                <w:sz w:val="24"/>
                <w:szCs w:val="24"/>
                <w:color w:val="auto"/>
              </w:rPr>
            </w:pPr>
          </w:p>
        </w:tc>
      </w:tr>
      <w:tr>
        <w:trPr>
          <w:trHeight w:val="237"/>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per common share - basic and diluted</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6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140" w:type="dxa"/>
            <w:vAlign w:val="bottom"/>
          </w:tcPr>
          <w:p>
            <w:pPr>
              <w:spacing w:after="0"/>
              <w:rPr>
                <w:sz w:val="20"/>
                <w:szCs w:val="20"/>
                <w:color w:val="auto"/>
              </w:rPr>
            </w:pPr>
          </w:p>
        </w:tc>
        <w:tc>
          <w:tcPr>
            <w:tcW w:w="1040" w:type="dxa"/>
            <w:vAlign w:val="bottom"/>
            <w:gridSpan w:val="3"/>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3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4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40"/>
          </w:cols>
          <w:pgMar w:left="1440" w:top="804" w:right="1419" w:bottom="1440" w:gutter="0" w:footer="0" w:header="0"/>
        </w:sectPr>
      </w:pPr>
    </w:p>
    <w:bookmarkStart w:id="35" w:name="page36"/>
    <w:bookmarkEnd w:id="35"/>
    <w:p>
      <w:pP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24765</wp:posOffset>
            </wp:positionV>
            <wp:extent cx="1337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804" w:right="239" w:bottom="1440" w:gutter="0" w:footer="0" w:header="0"/>
        </w:sectPr>
      </w:pPr>
    </w:p>
    <w:p>
      <w:pPr>
        <w:spacing w:after="0" w:line="1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Other Data (unaudited)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24765</wp:posOffset>
            </wp:positionV>
            <wp:extent cx="57283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Average investment securities - at par</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Average investment securities -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Average net TBA portfolio - at cost</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Average total assets -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mortgage borrowings outstanding </w:t>
      </w:r>
      <w:r>
        <w:rPr>
          <w:rFonts w:ascii="Times New Roman" w:cs="Times New Roman" w:eastAsia="Times New Roman" w:hAnsi="Times New Roman"/>
          <w:sz w:val="8"/>
          <w:szCs w:val="8"/>
          <w:color w:val="auto"/>
        </w:rPr>
        <w:t>4</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8"/>
          <w:szCs w:val="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coupon </w:t>
      </w:r>
      <w:r>
        <w:rPr>
          <w:rFonts w:ascii="Times New Roman" w:cs="Times New Roman" w:eastAsia="Times New Roman" w:hAnsi="Times New Roman"/>
          <w:sz w:val="8"/>
          <w:szCs w:val="8"/>
          <w:color w:val="auto"/>
        </w:rPr>
        <w:t>6</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asset yield </w:t>
      </w:r>
      <w:r>
        <w:rPr>
          <w:rFonts w:ascii="Times New Roman" w:cs="Times New Roman" w:eastAsia="Times New Roman" w:hAnsi="Times New Roman"/>
          <w:sz w:val="8"/>
          <w:szCs w:val="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cost of funds </w:t>
      </w:r>
      <w:r>
        <w:rPr>
          <w:rFonts w:ascii="Times New Roman" w:cs="Times New Roman" w:eastAsia="Times New Roman" w:hAnsi="Times New Roman"/>
          <w:sz w:val="8"/>
          <w:szCs w:val="8"/>
          <w:color w:val="auto"/>
        </w:rPr>
        <w:t>8</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Average net interest rate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net interest rate spread, including TBA dollar roll income </w:t>
      </w:r>
      <w:r>
        <w:rPr>
          <w:rFonts w:ascii="Times New Roman" w:cs="Times New Roman" w:eastAsia="Times New Roman" w:hAnsi="Times New Roman"/>
          <w:sz w:val="8"/>
          <w:szCs w:val="8"/>
          <w:color w:val="auto"/>
        </w:rPr>
        <w:t>9</w:t>
      </w: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coupon </w:t>
      </w:r>
      <w:r>
        <w:rPr>
          <w:rFonts w:ascii="Times New Roman" w:cs="Times New Roman" w:eastAsia="Times New Roman" w:hAnsi="Times New Roman"/>
          <w:sz w:val="14"/>
          <w:szCs w:val="14"/>
          <w:i w:val="1"/>
          <w:iCs w:val="1"/>
          <w:color w:val="auto"/>
        </w:rPr>
        <w:t>(as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24765</wp:posOffset>
            </wp:positionV>
            <wp:extent cx="572833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asset yield </w:t>
      </w:r>
      <w:r>
        <w:rPr>
          <w:rFonts w:ascii="Times New Roman" w:cs="Times New Roman" w:eastAsia="Times New Roman" w:hAnsi="Times New Roman"/>
          <w:sz w:val="14"/>
          <w:szCs w:val="14"/>
          <w:i w:val="1"/>
          <w:iCs w:val="1"/>
          <w:color w:val="auto"/>
        </w:rPr>
        <w:t>(as of period end)</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cost of funds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24765</wp:posOffset>
            </wp:positionV>
            <wp:extent cx="57283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net interest rate spread </w:t>
      </w:r>
      <w:r>
        <w:rPr>
          <w:rFonts w:ascii="Times New Roman" w:cs="Times New Roman" w:eastAsia="Times New Roman" w:hAnsi="Times New Roman"/>
          <w:sz w:val="14"/>
          <w:szCs w:val="14"/>
          <w:i w:val="1"/>
          <w:iCs w:val="1"/>
          <w:color w:val="auto"/>
        </w:rPr>
        <w:t>(as of period end)</w:t>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Economic return on common equity - unannualized </w:t>
      </w:r>
      <w:r>
        <w:rPr>
          <w:rFonts w:ascii="Times New Roman" w:cs="Times New Roman" w:eastAsia="Times New Roman" w:hAnsi="Times New Roman"/>
          <w:sz w:val="8"/>
          <w:szCs w:val="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 unannualized </w:t>
      </w:r>
      <w:r>
        <w:rPr>
          <w:rFonts w:ascii="Times New Roman" w:cs="Times New Roman" w:eastAsia="Times New Roman" w:hAnsi="Times New Roman"/>
          <w:sz w:val="8"/>
          <w:szCs w:val="8"/>
          <w:color w:val="auto"/>
        </w:rPr>
        <w:t>12</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"at risk" leverage </w:t>
      </w:r>
      <w:r>
        <w:rPr>
          <w:rFonts w:ascii="Times New Roman" w:cs="Times New Roman" w:eastAsia="Times New Roman" w:hAnsi="Times New Roman"/>
          <w:sz w:val="8"/>
          <w:szCs w:val="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8"/>
          <w:szCs w:val="8"/>
          <w:color w:val="auto"/>
        </w:rPr>
        <w:t>15</w:t>
      </w: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24765</wp:posOffset>
            </wp:positionV>
            <wp:extent cx="57283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15</w:t>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Expenses % of average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28335" cy="171450"/>
                    </a:xfrm>
                    <a:prstGeom prst="rect">
                      <a:avLst/>
                    </a:prstGeom>
                    <a:noFill/>
                  </pic:spPr>
                </pic:pic>
              </a:graphicData>
            </a:graphic>
          </wp:anchor>
        </w:drawing>
      </w:r>
    </w:p>
    <w:p>
      <w:pPr>
        <w:spacing w:after="0" w:line="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Expenses % of average stockholders' equity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22"/>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$42,218</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$48,687</w:t>
            </w:r>
          </w:p>
        </w:tc>
      </w:tr>
      <w:tr>
        <w:trPr>
          <w:trHeight w:val="270"/>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$44,215</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$50,897</w:t>
            </w:r>
          </w:p>
        </w:tc>
      </w:tr>
      <w:tr>
        <w:trPr>
          <w:trHeight w:val="270"/>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$13,460</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$8,144</w:t>
            </w:r>
          </w:p>
        </w:tc>
      </w:tr>
      <w:tr>
        <w:trPr>
          <w:trHeight w:val="270"/>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$55,029</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$56,763</w:t>
            </w:r>
          </w:p>
        </w:tc>
      </w:tr>
      <w:tr>
        <w:trPr>
          <w:trHeight w:val="270"/>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$39,203</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$45,926</w:t>
            </w:r>
          </w:p>
        </w:tc>
      </w:tr>
      <w:tr>
        <w:trPr>
          <w:trHeight w:val="270"/>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$7,310</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$7,776</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23"/>
                <w:szCs w:val="23"/>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r>
      <w:tr>
        <w:trPr>
          <w:trHeight w:val="270"/>
        </w:trPr>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3"/>
                <w:szCs w:val="23"/>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7.0:1</w:t>
            </w:r>
          </w:p>
        </w:tc>
      </w:tr>
      <w:tr>
        <w:trPr>
          <w:trHeight w:val="270"/>
        </w:trPr>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Pr>
          <w:p>
            <w:pPr>
              <w:spacing w:after="0"/>
              <w:rPr>
                <w:sz w:val="23"/>
                <w:szCs w:val="23"/>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r>
      <w:tr>
        <w:trPr>
          <w:trHeight w:val="270"/>
        </w:trPr>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23"/>
                <w:szCs w:val="23"/>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7.3:1</w:t>
            </w:r>
          </w:p>
        </w:tc>
      </w:tr>
      <w:tr>
        <w:trPr>
          <w:trHeight w:val="270"/>
        </w:trPr>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23"/>
                <w:szCs w:val="23"/>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0.20 %</w:t>
            </w:r>
          </w:p>
        </w:tc>
      </w:tr>
      <w:tr>
        <w:trPr>
          <w:trHeight w:val="270"/>
        </w:trPr>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0.93 %</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r>
    </w:tbl>
    <w:p>
      <w:pPr>
        <w:spacing w:after="0" w:line="64" w:lineRule="exact"/>
        <w:rPr>
          <w:sz w:val="20"/>
          <w:szCs w:val="20"/>
          <w:color w:val="auto"/>
        </w:rPr>
      </w:pPr>
    </w:p>
    <w:p>
      <w:pPr>
        <w:sectPr>
          <w:pgSz w:w="11900" w:h="16838" w:orient="portrait"/>
          <w:cols w:equalWidth="0" w:num="2">
            <w:col w:w="7400" w:space="720"/>
            <w:col w:w="3300"/>
          </w:cols>
          <w:pgMar w:left="240" w:top="80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7" w:lineRule="exact"/>
        <w:rPr>
          <w:sz w:val="20"/>
          <w:szCs w:val="20"/>
          <w:color w:val="auto"/>
        </w:rPr>
      </w:pPr>
    </w:p>
    <w:p>
      <w:pPr>
        <w:ind w:left="340" w:right="1360" w:hanging="8"/>
        <w:spacing w:after="0" w:line="258" w:lineRule="auto"/>
        <w:tabs>
          <w:tab w:leader="none" w:pos="44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noted below, average numbers for each period are weighted based on days on our books and records. All percentages are annualized, unless otherwise noted. N/A - Not applicable</w:t>
      </w:r>
    </w:p>
    <w:p>
      <w:pPr>
        <w:spacing w:after="0" w:line="124" w:lineRule="exact"/>
        <w:rPr>
          <w:sz w:val="20"/>
          <w:szCs w:val="20"/>
          <w:color w:val="auto"/>
        </w:rPr>
      </w:pPr>
    </w:p>
    <w:p>
      <w:pPr>
        <w:ind w:left="980" w:hanging="648"/>
        <w:spacing w:after="0" w:line="253"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asset value per common share excludes goodwill and other intangible assets, net.</w:t>
      </w:r>
    </w:p>
    <w:p>
      <w:pPr>
        <w:spacing w:after="0" w:line="1" w:lineRule="exact"/>
        <w:rPr>
          <w:rFonts w:ascii="Times New Roman" w:cs="Times New Roman" w:eastAsia="Times New Roman" w:hAnsi="Times New Roman"/>
          <w:sz w:val="14"/>
          <w:szCs w:val="14"/>
          <w:color w:val="auto"/>
        </w:rPr>
      </w:pPr>
    </w:p>
    <w:p>
      <w:pPr>
        <w:ind w:left="980" w:right="2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voluntarily discontinued hedge accounting for our interest rate swaps as of September 30, 2011. Please refer to our </w:t>
      </w:r>
      <w:r>
        <w:rPr>
          <w:rFonts w:ascii="Times New Roman" w:cs="Times New Roman" w:eastAsia="Times New Roman" w:hAnsi="Times New Roman"/>
          <w:sz w:val="14"/>
          <w:szCs w:val="14"/>
          <w:i w:val="1"/>
          <w:iCs w:val="1"/>
          <w:color w:val="auto"/>
        </w:rPr>
        <w:t>Interest Expense and Cost of Funds</w:t>
      </w:r>
      <w:r>
        <w:rPr>
          <w:rFonts w:ascii="Times New Roman" w:cs="Times New Roman" w:eastAsia="Times New Roman" w:hAnsi="Times New Roman"/>
          <w:sz w:val="14"/>
          <w:szCs w:val="14"/>
          <w:color w:val="auto"/>
        </w:rPr>
        <w:t xml:space="preserve"> discussion in </w:t>
      </w:r>
      <w:r>
        <w:rPr>
          <w:rFonts w:ascii="Times New Roman" w:cs="Times New Roman" w:eastAsia="Times New Roman" w:hAnsi="Times New Roman"/>
          <w:sz w:val="14"/>
          <w:szCs w:val="14"/>
          <w:i w:val="1"/>
          <w:iCs w:val="1"/>
          <w:color w:val="auto"/>
        </w:rPr>
        <w:t>Management's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Discussion and Analysis of Financial Condition and Results of Operations </w:t>
      </w:r>
      <w:r>
        <w:rPr>
          <w:rFonts w:ascii="Times New Roman" w:cs="Times New Roman" w:eastAsia="Times New Roman" w:hAnsi="Times New Roman"/>
          <w:sz w:val="14"/>
          <w:szCs w:val="14"/>
          <w:color w:val="auto"/>
        </w:rPr>
        <w:t>and Notes 3 of our</w:t>
      </w:r>
      <w:r>
        <w:rPr>
          <w:rFonts w:ascii="Times New Roman" w:cs="Times New Roman" w:eastAsia="Times New Roman" w:hAnsi="Times New Roman"/>
          <w:sz w:val="14"/>
          <w:szCs w:val="14"/>
          <w:i w:val="1"/>
          <w:iCs w:val="1"/>
          <w:color w:val="auto"/>
        </w:rPr>
        <w:t xml:space="preserve"> Consolidated Financial Statements </w:t>
      </w:r>
      <w:r>
        <w:rPr>
          <w:rFonts w:ascii="Times New Roman" w:cs="Times New Roman" w:eastAsia="Times New Roman" w:hAnsi="Times New Roman"/>
          <w:sz w:val="14"/>
          <w:szCs w:val="14"/>
          <w:color w:val="auto"/>
        </w:rPr>
        <w:t>in this Form 10-Q for additional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regarding our discontinuance of hedge accounting.</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mortgage borrowings include repurchase agreements used to fund Agency securities ("Agency repo"), FHLB advances and debt of consolidated VIEs. Amount excludes U.S. Treasury repo agreements and TBA contracts.</w:t>
      </w: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our average month-end stockholders' equity during the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coupon for the period was calculated by dividing our total coupon (or cash) interest income on investment securities by our average investment securities held at par.</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dollar roll income/(loss) is net of short TBAs used for hedging purposes and is recognized in gain (loss) on derivative instruments and other securities, net.</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funds as of period end includes mortgage borrowings outstanding and interest rate swap hedges. Amount excludes costs associated with other supplemental hedges such as swaptions, U.S. Treasuries and TBA positions.</w:t>
      </w: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our tangible net asset value per common share and our dividends declared on common stock during the period over our beginning tangible net asset value per common share.</w:t>
      </w:r>
    </w:p>
    <w:p>
      <w:pPr>
        <w:ind w:left="980" w:hanging="648"/>
        <w:spacing w:after="0" w:line="253"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"at risk" leverage is calculated by dividing the sum of our daily weighted average mortgage borrowings outstanding and our weighted average net TBA dollar position (at cost) for the period by the sum of our average stockholders' equity less our average investment in REIT equity securities for the period. Leverage excludes U.S. Treasury repurchase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804" w:right="239" w:bottom="1440" w:gutter="0" w:footer="0" w:header="0"/>
          <w:type w:val="continuous"/>
        </w:sectPr>
      </w:pPr>
    </w:p>
    <w:bookmarkStart w:id="36" w:name="page37"/>
    <w:bookmarkEnd w:id="36"/>
    <w:p>
      <w:pPr>
        <w:ind w:left="980" w:hanging="648"/>
        <w:spacing w:after="0" w:line="249" w:lineRule="auto"/>
        <w:tabs>
          <w:tab w:leader="none" w:pos="6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risk" leverage as of period end is calculated by dividing the sum of our mortgage borrowings outstanding, our receivable/payable for unsettled investment securities and our net TBA dollar roll position outstanding as of period end (at cost) by the sum of our total stockholders' equity less the fair value of investments in REIT equity securities at period end.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includes the components of "at risk" leverage, with stockholders' equity adjusted to exclude goodwill and other intangible assets,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Asset Yield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interest income for the three months ended March 31, 2017 and 2016 (dollars in millions):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20" w:type="dxa"/>
            <w:vAlign w:val="bottom"/>
            <w:tcBorders>
              <w:bottom w:val="single" w:sz="8" w:color="auto"/>
            </w:tcBorders>
          </w:tcPr>
          <w:p>
            <w:pPr>
              <w:spacing w:after="0"/>
              <w:rPr>
                <w:sz w:val="22"/>
                <w:szCs w:val="22"/>
                <w:color w:val="auto"/>
              </w:rPr>
            </w:pPr>
          </w:p>
        </w:tc>
      </w:tr>
      <w:tr>
        <w:trPr>
          <w:trHeight w:val="264"/>
        </w:trPr>
        <w:tc>
          <w:tcPr>
            <w:tcW w:w="5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40" w:type="dxa"/>
            <w:vAlign w:val="bottom"/>
          </w:tcPr>
          <w:p>
            <w:pPr>
              <w:spacing w:after="0"/>
              <w:rPr>
                <w:sz w:val="22"/>
                <w:szCs w:val="22"/>
                <w:color w:val="auto"/>
              </w:rPr>
            </w:pPr>
          </w:p>
        </w:tc>
        <w:tc>
          <w:tcPr>
            <w:tcW w:w="14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25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3.63 %</w:t>
            </w:r>
          </w:p>
        </w:tc>
      </w:tr>
      <w:tr>
        <w:trPr>
          <w:trHeight w:val="265"/>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premium amortization</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4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actual portfolio CPR for securities held during the period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projected CPR for the remaining life of securities held as of period end</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30-year fixed rate mortgage rate as of period end </w:t>
            </w:r>
            <w:r>
              <w:rPr>
                <w:rFonts w:ascii="Times New Roman" w:cs="Times New Roman" w:eastAsia="Times New Roman" w:hAnsi="Times New Roman"/>
                <w:sz w:val="8"/>
                <w:szCs w:val="8"/>
                <w:color w:val="auto"/>
              </w:rPr>
              <w:t>1</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10-year U.S. Treasury rate as of period end</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0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_______________________</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5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   Source: Freddie Mac Primary Fixed Mortgage Rate Mortgage Market Survey</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2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principal elements impacting our interest income are the size of our average investment portfolio and the yield on our investments. The following is a summary of the estimated impact of each of these elements on the increase in interest income for the three months ended March 31, 2017 compared to the prior year period (in millions):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24765</wp:posOffset>
            </wp:positionV>
            <wp:extent cx="6920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March 31, 2017 vs.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24765</wp:posOffset>
            </wp:positionV>
            <wp:extent cx="6920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1"/>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760" w:type="dxa"/>
            <w:vAlign w:val="bottom"/>
          </w:tcPr>
          <w:p>
            <w:pPr>
              <w:spacing w:after="0"/>
              <w:rPr>
                <w:sz w:val="13"/>
                <w:szCs w:val="13"/>
                <w:color w:val="auto"/>
              </w:rPr>
            </w:pPr>
          </w:p>
        </w:tc>
        <w:tc>
          <w:tcPr>
            <w:tcW w:w="10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Asset</w:t>
            </w:r>
          </w:p>
        </w:tc>
      </w:tr>
      <w:tr>
        <w:trPr>
          <w:trHeight w:val="195"/>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7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255"/>
        </w:trPr>
        <w:tc>
          <w:tcPr>
            <w:tcW w:w="5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r>
    </w:tbl>
    <w:p>
      <w:pPr>
        <w:spacing w:after="0" w:line="27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size of our average investment portfolio decreased in par value, compared to the prior year period, by 13% for the three months ended March 31, 2017. The decline was largely due to a relative shift from investments recognized as securities on our consolidated financial statements to investments in TBA contracts recognized as derivative assets/(liabilities) on our consolidated financial statements and a decline in our stockholders' equity largely due to share repurchase activity during the prior year period.</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average asset yield increased to 2.68% for the three months ended March 31, 2017, compared to 2.32% for the prior year period, mostly due to differences in "catch-up" premium amortization recognized due to changes in projected CPR estimates. Excluding "catch-up" premium amortization cost of $9 million and $55 million, our average asset yield was 2.76% and 2.75% for the three months ended March 31, 2017 and 2016,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Tangible net book value "at risk" leverage is measured as the sum of our mortgage borrowings (consisting of repurchase agreements used to fund our investment securities ("Agency repo"), FHLB advances and debt of consolidated VIEs), net TBA position (at cost) and our net receivable/payable for unsettled investment securities divided by the sum of our total stockholders' equity adjusted to exclude goodwill and other intangible assets related to our acquisition of AMM on July 1, 2016.</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include our net TBA position in our measure of leverage because a long TBA position carries similar risks as if we had purchased the underlying Agency RMBS and funded the purchases with on-balance sheet funding liabilities. Similarly, a short TBA position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for further discussion of TBA dollar roll positions). Repurchase agreements used to fund short-term investments in U.S. Treasury securities ("U.S. Treasury repo") are excluded from our measure of leverage due to the temporary and highly liquid nature of these investments.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6" w:right="239" w:bottom="1440" w:gutter="0" w:footer="0" w:header="0"/>
        </w:sectPr>
      </w:pPr>
    </w:p>
    <w:bookmarkStart w:id="37" w:name="page38"/>
    <w:bookmarkEnd w:id="37"/>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tangible net book value "at risk" leverage was 8.0x and 7.7x as of March 31, 2017 and December 31, 2016, respectively. The table below presents our average and quarter-end mortgage borrowings, net TBA position and leverage ratios for each of the three month periods listed below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Net TBA Position</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Tangible Net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6"/>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Mortgage Borrowings </w:t>
            </w:r>
            <w:r>
              <w:rPr>
                <w:rFonts w:ascii="Times New Roman" w:cs="Times New Roman" w:eastAsia="Times New Roman" w:hAnsi="Times New Roman"/>
                <w:sz w:val="8"/>
                <w:szCs w:val="8"/>
                <w:b w:val="1"/>
                <w:bCs w:val="1"/>
                <w:color w:val="auto"/>
              </w:rPr>
              <w:t>1</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right"/>
              <w:ind w:right="372"/>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Long/(Short) </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Book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Tangible Net</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w w:val="95"/>
              </w:rPr>
              <w:t>"At Risk"</w:t>
            </w:r>
          </w:p>
        </w:tc>
        <w:tc>
          <w:tcPr>
            <w:tcW w:w="1140" w:type="dxa"/>
            <w:vAlign w:val="bottom"/>
            <w:gridSpan w:val="2"/>
            <w:vMerge w:val="restart"/>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w w:val="93"/>
              </w:rPr>
              <w:t>Average Total</w:t>
            </w:r>
          </w:p>
        </w:tc>
        <w:tc>
          <w:tcPr>
            <w:tcW w:w="900" w:type="dxa"/>
            <w:vAlign w:val="bottom"/>
            <w:gridSpan w:val="2"/>
            <w:vMerge w:val="restart"/>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w w:val="95"/>
              </w:rPr>
              <w:t>"At Risk"</w:t>
            </w:r>
          </w:p>
        </w:tc>
        <w:tc>
          <w:tcPr>
            <w:tcW w:w="90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Book Value "At</w:t>
            </w:r>
          </w:p>
        </w:tc>
        <w:tc>
          <w:tcPr>
            <w:tcW w:w="0" w:type="dxa"/>
            <w:vAlign w:val="bottom"/>
          </w:tcPr>
          <w:p>
            <w:pPr>
              <w:spacing w:after="0"/>
              <w:rPr>
                <w:sz w:val="1"/>
                <w:szCs w:val="1"/>
                <w:color w:val="auto"/>
              </w:rPr>
            </w:pPr>
          </w:p>
        </w:tc>
      </w:tr>
      <w:tr>
        <w:trPr>
          <w:trHeight w:val="41"/>
        </w:trPr>
        <w:tc>
          <w:tcPr>
            <w:tcW w:w="2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"At Risk"</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Risk" Leverage</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Ending</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Daily</w:t>
            </w:r>
          </w:p>
        </w:tc>
        <w:tc>
          <w:tcPr>
            <w:tcW w:w="140" w:type="dxa"/>
            <w:vAlign w:val="bottom"/>
          </w:tcPr>
          <w:p>
            <w:pPr>
              <w:spacing w:after="0"/>
              <w:rPr>
                <w:sz w:val="11"/>
                <w:szCs w:val="11"/>
                <w:color w:val="auto"/>
              </w:rPr>
            </w:pPr>
          </w:p>
        </w:tc>
        <w:tc>
          <w:tcPr>
            <w:tcW w:w="640" w:type="dxa"/>
            <w:vAlign w:val="bottom"/>
          </w:tcPr>
          <w:p>
            <w:pPr>
              <w:jc w:val="right"/>
              <w:ind w:right="132"/>
              <w:spacing w:after="0" w:line="135" w:lineRule="exact"/>
              <w:rPr>
                <w:sz w:val="20"/>
                <w:szCs w:val="20"/>
                <w:color w:val="auto"/>
              </w:rPr>
            </w:pPr>
            <w:r>
              <w:rPr>
                <w:rFonts w:ascii="Times New Roman" w:cs="Times New Roman" w:eastAsia="Times New Roman" w:hAnsi="Times New Roman"/>
                <w:sz w:val="13"/>
                <w:szCs w:val="13"/>
                <w:b w:val="1"/>
                <w:bCs w:val="1"/>
                <w:color w:val="auto"/>
              </w:rPr>
              <w:t>Ending</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during the</w:t>
            </w: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 during</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as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6"/>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xml:space="preserve">Period </w:t>
            </w:r>
            <w:r>
              <w:rPr>
                <w:rFonts w:ascii="Times New Roman" w:cs="Times New Roman" w:eastAsia="Times New Roman" w:hAnsi="Times New Roman"/>
                <w:sz w:val="8"/>
                <w:szCs w:val="8"/>
                <w:b w:val="1"/>
                <w:bCs w:val="1"/>
                <w:color w:val="auto"/>
                <w:w w:val="95"/>
              </w:rPr>
              <w:t>3</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xml:space="preserve">the Period </w:t>
            </w:r>
            <w:r>
              <w:rPr>
                <w:rFonts w:ascii="Times New Roman" w:cs="Times New Roman" w:eastAsia="Times New Roman" w:hAnsi="Times New Roman"/>
                <w:sz w:val="8"/>
                <w:szCs w:val="8"/>
                <w:b w:val="1"/>
                <w:bCs w:val="1"/>
                <w:color w:val="auto"/>
                <w:w w:val="95"/>
              </w:rPr>
              <w:t>4</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Period End </w:t>
            </w:r>
            <w:r>
              <w:rPr>
                <w:rFonts w:ascii="Times New Roman" w:cs="Times New Roman" w:eastAsia="Times New Roman" w:hAnsi="Times New Roman"/>
                <w:sz w:val="8"/>
                <w:szCs w:val="8"/>
                <w:b w:val="1"/>
                <w:bCs w:val="1"/>
                <w:color w:val="auto"/>
                <w:w w:val="99"/>
              </w:rPr>
              <w:t>5</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Period End </w:t>
            </w:r>
            <w:r>
              <w:rPr>
                <w:rFonts w:ascii="Times New Roman" w:cs="Times New Roman" w:eastAsia="Times New Roman" w:hAnsi="Times New Roman"/>
                <w:sz w:val="8"/>
                <w:szCs w:val="8"/>
                <w:b w:val="1"/>
                <w:bCs w:val="1"/>
                <w:color w:val="auto"/>
                <w:w w:val="99"/>
              </w:rPr>
              <w:t>4</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31, 2017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39,203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41,221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39,809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13,460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14,377</w:t>
            </w:r>
          </w:p>
        </w:tc>
        <w:tc>
          <w:tcPr>
            <w:tcW w:w="9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265"/>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2016</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41,031</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42,157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41,183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14,141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11,312</w:t>
            </w:r>
          </w:p>
        </w:tc>
        <w:tc>
          <w:tcPr>
            <w:tcW w:w="9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275"/>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31, 2016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45,926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49,767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48,875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8,144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5,983</w:t>
            </w:r>
          </w:p>
        </w:tc>
        <w:tc>
          <w:tcPr>
            <w:tcW w:w="9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0"/>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borrowings includes Agency repo, FHLB advances and debt of consolidated VIEs. Amounts exclude U.S. Treasury repo agreements.</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"at risk" leverage during the period was calculated by dividing the sum of our daily weighted average mortgage borrowings outstanding and our daily weighted average net TBA position (at cost) during the period by the sum of our average month-end stockholders' equity less our average investment in REIT equity securities for the period.</w:t>
      </w: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includes the components of "at risk" leverage with stockholders' equity adjusted to exclude goodwill and other intangible assets, net.</w:t>
      </w:r>
    </w:p>
    <w:p>
      <w:pPr>
        <w:spacing w:after="0" w:line="1" w:lineRule="exact"/>
        <w:rPr>
          <w:rFonts w:ascii="Times New Roman" w:cs="Times New Roman" w:eastAsia="Times New Roman" w:hAnsi="Times New Roman"/>
          <w:sz w:val="14"/>
          <w:szCs w:val="14"/>
          <w:color w:val="auto"/>
        </w:rPr>
      </w:pPr>
    </w:p>
    <w:p>
      <w:pPr>
        <w:ind w:left="660" w:hanging="328"/>
        <w:spacing w:after="0" w:line="258"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risk" leverage as of period end was calculated by dividing the sum of the amount of mortgage borrowings outstanding, net payables and receivables for unsettled investment securities and the cost basis (or contract price) of our net TBA position by the sum of our total stockholders' equity less the fair value of our investment in REIT equity securities at period end.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Cost of Funds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interest expense is comprised of interest expense on our mortgage borrowings (primarily Agency repo). Prior to fiscal year 2017, interest expense also includes the reclassification of accumulated OCI into interest expense related to previously de-designated interest rate swaps. Upon our election to discontinue hedge accounting under GAAP in September 2011, the net deferred loss related to our de-designated interest rate swaps remained in accumulated OCI and was reclassified from accumulated OCI into interest expense on a straight-line basis over the remaining term of each interest rate swap, which extended through fiscal year 2016.</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"adjusted net interest expense," also referred to as our "cost of funds" when stated as a percentage of our mortgage borrowings outstanding, includes periodic interest costs on our interest rate swaps reported in gain/loss on derivative instruments and other securities, net in our consolidated statements of comprehensive income. Our cost of funds does not include swap termination fees paid or received, forward starting swaps or the impact of other supplemental hedges, such as swaptions and U.S. Treasury positions. Our cost of funds also does not include the implied financing cost of our net TBA dollar roll position, although it includes interest rate swap hedge costs related to our TBA dollar roll funded assets. Consequently, our cost of funds measured as a percentage of our outstanding mortgage borrowings is higher than if we allocated a portion of our swap hedge costs to our TBA dollar roll funded assets.</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average cost of funds declined to 1.48% of our average mortgage borrowings for the three months ended March 31, 2017, compared to 1.64% for the prior year period. The table below presents a reconciliation of our interest expense (the most comparable GAAP financial measure) to our adjusted net interest expense and cost of funds (non-GAAP financial measures) for the three months ended March 31, 2017 and 2016 (dollars in millions):</w:t>
      </w:r>
    </w:p>
    <w:p>
      <w:pPr>
        <w:spacing w:after="0" w:line="264"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Interest Expense and Cost of Funds</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33"/>
              <w:spacing w:after="0" w:line="269"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 xml:space="preserve"> 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33"/>
              <w:spacing w:after="0" w:line="269"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 xml:space="preserve"> 1</w:t>
            </w:r>
          </w:p>
        </w:tc>
        <w:tc>
          <w:tcPr>
            <w:tcW w:w="0" w:type="dxa"/>
            <w:vAlign w:val="bottom"/>
          </w:tcPr>
          <w:p>
            <w:pPr>
              <w:spacing w:after="0"/>
              <w:rPr>
                <w:sz w:val="1"/>
                <w:szCs w:val="1"/>
                <w:color w:val="auto"/>
              </w:rPr>
            </w:pPr>
          </w:p>
        </w:tc>
      </w:tr>
      <w:tr>
        <w:trPr>
          <w:trHeight w:val="25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 on mortgage borrowings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53"/>
        </w:trPr>
        <w:tc>
          <w:tcPr>
            <w:tcW w:w="4800" w:type="dxa"/>
            <w:vAlign w:val="bottom"/>
            <w:gridSpan w:val="2"/>
          </w:tcPr>
          <w:p>
            <w:pPr>
              <w:ind w:left="340"/>
              <w:spacing w:after="0" w:line="153" w:lineRule="exact"/>
              <w:rPr>
                <w:sz w:val="20"/>
                <w:szCs w:val="20"/>
                <w:color w:val="auto"/>
              </w:rPr>
            </w:pPr>
            <w:r>
              <w:rPr>
                <w:rFonts w:ascii="Times New Roman" w:cs="Times New Roman" w:eastAsia="Times New Roman" w:hAnsi="Times New Roman"/>
                <w:sz w:val="14"/>
                <w:szCs w:val="14"/>
                <w:color w:val="auto"/>
              </w:rPr>
              <w:t>Periodic interest costs of interest rate swaps previously designated as</w:t>
            </w:r>
          </w:p>
        </w:tc>
        <w:tc>
          <w:tcPr>
            <w:tcW w:w="180" w:type="dxa"/>
            <w:vAlign w:val="bottom"/>
          </w:tcPr>
          <w:p>
            <w:pPr>
              <w:spacing w:after="0"/>
              <w:rPr>
                <w:sz w:val="13"/>
                <w:szCs w:val="13"/>
                <w:color w:val="auto"/>
              </w:rPr>
            </w:pPr>
          </w:p>
        </w:tc>
        <w:tc>
          <w:tcPr>
            <w:tcW w:w="120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93"/>
        </w:trPr>
        <w:tc>
          <w:tcPr>
            <w:tcW w:w="4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hedges under GAAP, net</w:t>
            </w: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0" w:type="dxa"/>
            <w:vAlign w:val="bottom"/>
          </w:tcPr>
          <w:p>
            <w:pPr>
              <w:spacing w:after="0"/>
              <w:rPr>
                <w:sz w:val="1"/>
                <w:szCs w:val="1"/>
                <w:color w:val="auto"/>
              </w:rPr>
            </w:pPr>
          </w:p>
        </w:tc>
      </w:tr>
      <w:tr>
        <w:trPr>
          <w:trHeight w:val="265"/>
        </w:trPr>
        <w:tc>
          <w:tcPr>
            <w:tcW w:w="4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Other periodic interest costs of interest rate swaps, net</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0" w:type="dxa"/>
            <w:vAlign w:val="bottom"/>
          </w:tcPr>
          <w:p>
            <w:pPr>
              <w:spacing w:after="0"/>
              <w:rPr>
                <w:sz w:val="1"/>
                <w:szCs w:val="1"/>
                <w:color w:val="auto"/>
              </w:rPr>
            </w:pPr>
          </w:p>
        </w:tc>
      </w:tr>
      <w:tr>
        <w:trPr>
          <w:trHeight w:val="242"/>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adjusted net interest expense and cost of funds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-79375</wp:posOffset>
            </wp:positionV>
            <wp:extent cx="2787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of our average mortgage borrowings outstanding for the period annualized.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42" w:right="239" w:bottom="1440" w:gutter="0" w:footer="0" w:header="0"/>
        </w:sectPr>
      </w:pPr>
    </w:p>
    <w:bookmarkStart w:id="38" w:name="page39"/>
    <w:bookmarkEnd w:id="38"/>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principal elements impacting our adjusted net interest expense are the size of our average mortgage borrowings outstanding during the period, the size of our average interest rate swap balance outstanding (excluding forward starting swaps), the average interest rate on our borrowings and the average net interest rate paid or received on our pay-fixed receive-floating interest rate swaps. The following is a summary of the estimated impact of each of these elements impacting the decrease in our adjusted net interest expense for the three months ended March 31, 2017, compared to the prior year period (in millions):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24765</wp:posOffset>
            </wp:positionV>
            <wp:extent cx="6903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2017 vs.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24765</wp:posOffset>
            </wp:positionV>
            <wp:extent cx="6903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4"/>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400" w:type="dxa"/>
            <w:vAlign w:val="bottom"/>
            <w:tcBorders>
              <w:bottom w:val="single" w:sz="8" w:color="auto"/>
            </w:tcBorders>
          </w:tcPr>
          <w:p>
            <w:pPr>
              <w:spacing w:after="0"/>
              <w:rPr>
                <w:sz w:val="16"/>
                <w:szCs w:val="16"/>
                <w:color w:val="auto"/>
              </w:rPr>
            </w:pPr>
          </w:p>
        </w:tc>
      </w:tr>
      <w:tr>
        <w:trPr>
          <w:trHeight w:val="151"/>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80" w:type="dxa"/>
            <w:vAlign w:val="bottom"/>
            <w:gridSpan w:val="2"/>
          </w:tcPr>
          <w:p>
            <w:pPr>
              <w:jc w:val="right"/>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r>
      <w:tr>
        <w:trPr>
          <w:trHeight w:val="195"/>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0" w:type="dxa"/>
            <w:vAlign w:val="bottom"/>
          </w:tcPr>
          <w:p>
            <w:pPr>
              <w:spacing w:after="0"/>
              <w:rPr>
                <w:sz w:val="16"/>
                <w:szCs w:val="16"/>
                <w:color w:val="auto"/>
              </w:rPr>
            </w:pPr>
          </w:p>
        </w:tc>
      </w:tr>
      <w:tr>
        <w:trPr>
          <w:trHeight w:val="255"/>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mortgage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r>
      <w:tr>
        <w:trPr>
          <w:trHeight w:val="26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Periodic interest rate swap costs </w:t>
            </w:r>
            <w:r>
              <w:rPr>
                <w:rFonts w:ascii="Times New Roman" w:cs="Times New Roman" w:eastAsia="Times New Roman" w:hAnsi="Times New Roman"/>
                <w:sz w:val="8"/>
                <w:szCs w:val="8"/>
                <w:color w:val="auto"/>
              </w:rPr>
              <w:t>1</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42"/>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adjusted net interest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 w:lineRule="exact"/>
        <w:rPr>
          <w:sz w:val="20"/>
          <w:szCs w:val="20"/>
          <w:color w:val="auto"/>
        </w:rPr>
      </w:pPr>
    </w:p>
    <w:p>
      <w:pPr>
        <w:ind w:left="660" w:hanging="328"/>
        <w:spacing w:after="0" w:line="258"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2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increase in the average interest rate on our borrowings for the three months ended March 31, 2017 was largely due to Fed Funds rate increases in December 2016 and March 2017. The size of our average borrowings outstanding decreased 15%, compared to the prior year period, largely due to a relative shift from Agency RMBS to TBA holdings and a decline in our average shareholders' equity. The decrease in our periodic swap cost was due to both a decline in the average rate paid and an increase in the floating rate received on our pay-fixed rate receive-floating interest rate swaps. The size of our interest rate swap portfolio increased relative to our mortgage borrowings, but was largely unchanged in absolute dollar terms.</w:t>
      </w:r>
    </w:p>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our average mortgage borrowings and our average interest rates swaps outstanding, excluding forward starting swaps, for the three months ended March 31, 2017 and 2016 (dollars in millions):</w:t>
      </w:r>
    </w:p>
    <w:p>
      <w:pPr>
        <w:spacing w:after="0" w:line="331" w:lineRule="exact"/>
        <w:rPr>
          <w:sz w:val="20"/>
          <w:szCs w:val="20"/>
          <w:color w:val="auto"/>
        </w:rPr>
      </w:pPr>
    </w:p>
    <w:tbl>
      <w:tblPr>
        <w:tblLayout w:type="fixed"/>
        <w:tblInd w:w="920" w:type="dxa"/>
        <w:tblCellMar>
          <w:top w:w="0" w:type="dxa"/>
          <w:left w:w="0" w:type="dxa"/>
          <w:bottom w:w="0" w:type="dxa"/>
          <w:right w:w="0" w:type="dxa"/>
        </w:tblCellMar>
      </w:tblPr>
      <w:tr>
        <w:trPr>
          <w:trHeight w:val="194"/>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37"/>
        </w:trPr>
        <w:tc>
          <w:tcPr>
            <w:tcW w:w="71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Average Ratio of Interest Rate Swaps Outstanding (Excluding Forward Starting Swaps) to Mortgage Borrowings</w:t>
            </w:r>
          </w:p>
        </w:tc>
        <w:tc>
          <w:tcPr>
            <w:tcW w:w="160" w:type="dxa"/>
            <w:vAlign w:val="bottom"/>
          </w:tcPr>
          <w:p>
            <w:pPr>
              <w:spacing w:after="0"/>
              <w:rPr>
                <w:sz w:val="11"/>
                <w:szCs w:val="11"/>
                <w:color w:val="auto"/>
              </w:rPr>
            </w:pPr>
          </w:p>
        </w:tc>
        <w:tc>
          <w:tcPr>
            <w:tcW w:w="9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mortgage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39,203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45,926</w:t>
            </w:r>
          </w:p>
        </w:tc>
        <w:tc>
          <w:tcPr>
            <w:tcW w:w="0" w:type="dxa"/>
            <w:vAlign w:val="bottom"/>
          </w:tcPr>
          <w:p>
            <w:pPr>
              <w:spacing w:after="0"/>
              <w:rPr>
                <w:sz w:val="1"/>
                <w:szCs w:val="1"/>
                <w:color w:val="auto"/>
              </w:rPr>
            </w:pPr>
          </w:p>
        </w:tc>
      </w:tr>
      <w:tr>
        <w:trPr>
          <w:trHeight w:val="265"/>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Average notional amount of interest rate swaps (excluding forward starting swaps)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35,769</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-8255</wp:posOffset>
            </wp:positionV>
            <wp:extent cx="60801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0125" cy="171450"/>
                    </a:xfrm>
                    <a:prstGeom prst="rect">
                      <a:avLst/>
                    </a:prstGeom>
                    <a:noFill/>
                  </pic:spPr>
                </pic:pic>
              </a:graphicData>
            </a:graphic>
          </wp:anchor>
        </w:drawing>
      </w:r>
    </w:p>
    <w:p>
      <w:pPr>
        <w:spacing w:after="0" w:line="25" w:lineRule="exact"/>
        <w:rPr>
          <w:sz w:val="20"/>
          <w:szCs w:val="20"/>
          <w:color w:val="auto"/>
        </w:rPr>
      </w:pPr>
    </w:p>
    <w:tbl>
      <w:tblPr>
        <w:tblLayout w:type="fixed"/>
        <w:tblInd w:w="920" w:type="dxa"/>
        <w:tblCellMar>
          <w:top w:w="0" w:type="dxa"/>
          <w:left w:w="0" w:type="dxa"/>
          <w:bottom w:w="0" w:type="dxa"/>
          <w:right w:w="0" w:type="dxa"/>
        </w:tblCellMar>
      </w:tblPr>
      <w:tr>
        <w:trPr>
          <w:trHeight w:val="198"/>
        </w:trPr>
        <w:tc>
          <w:tcPr>
            <w:tcW w:w="7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Average ratio of interest rate swaps to mortgage borrowings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8"/>
        </w:trPr>
        <w:tc>
          <w:tcPr>
            <w:tcW w:w="7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pay rate on interest rate swaps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r>
      <w:tr>
        <w:trPr>
          <w:trHeight w:val="265"/>
        </w:trPr>
        <w:tc>
          <w:tcPr>
            <w:tcW w:w="7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Weighted average receive rate on interest rate swaps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(0.54)%</w:t>
            </w:r>
          </w:p>
        </w:tc>
      </w:tr>
      <w:tr>
        <w:trPr>
          <w:trHeight w:val="242"/>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net pay rate on interest rate swaps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left="60"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2017 and 2016, we had an average forward starting swap balance of $0.6 billion and $4.0 billion, respectively. Forward starting interest rate swaps do not impact our adjusted net interest expense and cost of funds until they commence accruing net interest settlements on their forward start dates. Including forward starting swaps and our net TBA position, our average ratio of interest rate swaps outstanding to our average mortgage borrowings and net TBA position (at cost) was 69% for the three months ended March 31, 2017, compared to 74% for the three months ended 2016.</w:t>
      </w:r>
    </w:p>
    <w:p>
      <w:pPr>
        <w:spacing w:after="0" w:line="272" w:lineRule="exact"/>
        <w:rPr>
          <w:sz w:val="20"/>
          <w:szCs w:val="20"/>
          <w:color w:val="auto"/>
        </w:rPr>
      </w:pPr>
    </w:p>
    <w:tbl>
      <w:tblPr>
        <w:tblLayout w:type="fixed"/>
        <w:tblInd w:w="920" w:type="dxa"/>
        <w:tblCellMar>
          <w:top w:w="0" w:type="dxa"/>
          <w:left w:w="0" w:type="dxa"/>
          <w:bottom w:w="0" w:type="dxa"/>
          <w:right w:w="0" w:type="dxa"/>
        </w:tblCellMar>
      </w:tblPr>
      <w:tr>
        <w:trPr>
          <w:trHeight w:val="194"/>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37"/>
        </w:trPr>
        <w:tc>
          <w:tcPr>
            <w:tcW w:w="726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Average Ratio of Interest Rate Swaps Outstanding (Including Forward Starting Swaps) to Mortgage Borrowings</w:t>
            </w:r>
          </w:p>
        </w:tc>
        <w:tc>
          <w:tcPr>
            <w:tcW w:w="140" w:type="dxa"/>
            <w:vAlign w:val="bottom"/>
          </w:tcPr>
          <w:p>
            <w:pPr>
              <w:spacing w:after="0"/>
              <w:rPr>
                <w:sz w:val="11"/>
                <w:szCs w:val="11"/>
                <w:color w:val="auto"/>
              </w:rPr>
            </w:pPr>
          </w:p>
        </w:tc>
        <w:tc>
          <w:tcPr>
            <w:tcW w:w="9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7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and Net TBA Position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mortgage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39,203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45,926</w:t>
            </w:r>
          </w:p>
        </w:tc>
        <w:tc>
          <w:tcPr>
            <w:tcW w:w="0" w:type="dxa"/>
            <w:vAlign w:val="bottom"/>
          </w:tcPr>
          <w:p>
            <w:pPr>
              <w:spacing w:after="0"/>
              <w:rPr>
                <w:sz w:val="1"/>
                <w:szCs w:val="1"/>
                <w:color w:val="auto"/>
              </w:rPr>
            </w:pPr>
          </w:p>
        </w:tc>
      </w:tr>
      <w:tr>
        <w:trPr>
          <w:trHeight w:val="265"/>
        </w:trPr>
        <w:tc>
          <w:tcPr>
            <w:tcW w:w="7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Average net TBA position - at cost</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13,460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8,144</w:t>
            </w:r>
          </w:p>
        </w:tc>
        <w:tc>
          <w:tcPr>
            <w:tcW w:w="0" w:type="dxa"/>
            <w:vAlign w:val="bottom"/>
          </w:tcPr>
          <w:p>
            <w:pPr>
              <w:spacing w:after="0"/>
              <w:rPr>
                <w:sz w:val="1"/>
                <w:szCs w:val="1"/>
                <w:color w:val="auto"/>
              </w:rPr>
            </w:pPr>
          </w:p>
        </w:tc>
      </w:tr>
      <w:tr>
        <w:trPr>
          <w:trHeight w:val="255"/>
        </w:trPr>
        <w:tc>
          <w:tcPr>
            <w:tcW w:w="7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average mortgage borrowings and net TBA position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52,663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54,070</w:t>
            </w:r>
          </w:p>
        </w:tc>
        <w:tc>
          <w:tcPr>
            <w:tcW w:w="0" w:type="dxa"/>
            <w:vAlign w:val="bottom"/>
          </w:tcPr>
          <w:p>
            <w:pPr>
              <w:spacing w:after="0"/>
              <w:rPr>
                <w:sz w:val="1"/>
                <w:szCs w:val="1"/>
                <w:color w:val="auto"/>
              </w:rPr>
            </w:pPr>
          </w:p>
        </w:tc>
      </w:tr>
      <w:tr>
        <w:trPr>
          <w:trHeight w:val="265"/>
        </w:trPr>
        <w:tc>
          <w:tcPr>
            <w:tcW w:w="7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Average notional amount of interest rate swaps (including of forward starting swaps)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36,320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39,767</w:t>
            </w:r>
          </w:p>
        </w:tc>
        <w:tc>
          <w:tcPr>
            <w:tcW w:w="0" w:type="dxa"/>
            <w:vAlign w:val="bottom"/>
          </w:tcPr>
          <w:p>
            <w:pPr>
              <w:spacing w:after="0"/>
              <w:rPr>
                <w:sz w:val="1"/>
                <w:szCs w:val="1"/>
                <w:color w:val="auto"/>
              </w:rPr>
            </w:pPr>
          </w:p>
        </w:tc>
      </w:tr>
      <w:tr>
        <w:trPr>
          <w:trHeight w:val="242"/>
        </w:trPr>
        <w:tc>
          <w:tcPr>
            <w:tcW w:w="7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ratio of interest rate swaps to mortgage borrowings and net TBA position</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months ended March 31, 2017 and 2016 (dollars in millions):</w:t>
      </w:r>
    </w:p>
    <w:p>
      <w:pPr>
        <w:spacing w:after="0" w:line="197"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13335</wp:posOffset>
            </wp:positionV>
            <wp:extent cx="10636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5"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5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65"/>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Periodic interest costs of interest rate swaps, net </w:t>
            </w:r>
            <w:r>
              <w:rPr>
                <w:rFonts w:ascii="Times New Roman" w:cs="Times New Roman" w:eastAsia="Times New Roman" w:hAnsi="Times New Roman"/>
                <w:sz w:val="8"/>
                <w:szCs w:val="8"/>
                <w:color w:val="auto"/>
              </w:rPr>
              <w:t>1</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75"/>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TBA dollar roll income </w:t>
            </w:r>
            <w:r>
              <w:rPr>
                <w:rFonts w:ascii="Times New Roman" w:cs="Times New Roman" w:eastAsia="Times New Roman" w:hAnsi="Times New Roman"/>
                <w:sz w:val="8"/>
                <w:szCs w:val="8"/>
                <w:color w:val="auto"/>
              </w:rPr>
              <w:t>1</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65"/>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Management fee income</w:t>
            </w:r>
          </w:p>
        </w:tc>
        <w:tc>
          <w:tcPr>
            <w:tcW w:w="16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Dividend from REIT equity securities </w:t>
            </w:r>
            <w:r>
              <w:rPr>
                <w:rFonts w:ascii="Times New Roman" w:cs="Times New Roman" w:eastAsia="Times New Roman" w:hAnsi="Times New Roman"/>
                <w:sz w:val="8"/>
                <w:szCs w:val="8"/>
                <w:color w:val="auto"/>
              </w:rPr>
              <w:t>1</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interest and dollar roll income</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7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5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65"/>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5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65"/>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38"/>
        </w:trPr>
        <w:tc>
          <w:tcPr>
            <w:tcW w:w="59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stockholders</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334.4</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 and diluted</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line="147" w:lineRule="exact"/>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per common share -</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940" w:type="dxa"/>
            <w:vAlign w:val="bottom"/>
            <w:vMerge w:val="continue"/>
          </w:tcPr>
          <w:p>
            <w:pPr>
              <w:spacing w:after="0"/>
              <w:rPr>
                <w:sz w:val="9"/>
                <w:szCs w:val="9"/>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188"/>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-1270</wp:posOffset>
            </wp:positionV>
            <wp:extent cx="1063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-97155</wp:posOffset>
            </wp:positionV>
            <wp:extent cx="10636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spread and dollar roll income, excluding "catch-up" premium amortization adjustments, for the three months ended March 31, 2017 was $0.64 per common share compared to $0.52 per common share for the prior year period. The increase in net spread and dollar roll income, excluding "catch-up" premium amortization adjustments, was due to the combination of lower operating costs as a function of our management internalization during the third quarter of 2016, lower total cost of funds and higher TBA dollar roll income.</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average net interest rate spread and dollar roll income (i.e., the difference between the average yield on our assets and our average cost of funds inclusive of TBAs), excluding "catch-up" premium amortization cost, was 1.51% for the three months ended March 31, 2017, compared to 1.31% for the prior year period. Including catch-up premium amortization adjustments, our net interest rate spread and dollar roll income was 1.44% for the three months ended March 31, 2017, compared to 0.94%,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Investment Securities, Net</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on sale of investment securities for the three months ended March 31, 2017 and 2016 (in millions):</w:t>
      </w:r>
    </w:p>
    <w:p>
      <w:pPr>
        <w:spacing w:after="0" w:line="250" w:lineRule="exact"/>
        <w:rPr>
          <w:sz w:val="20"/>
          <w:szCs w:val="20"/>
          <w:color w:val="auto"/>
        </w:rPr>
      </w:pPr>
    </w:p>
    <w:tbl>
      <w:tblPr>
        <w:tblLayout w:type="fixed"/>
        <w:tblInd w:w="238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3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r>
      <w:tr>
        <w:trPr>
          <w:trHeight w:val="265"/>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sale </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3,513</w:t>
            </w:r>
          </w:p>
        </w:tc>
      </w:tr>
      <w:tr>
        <w:trPr>
          <w:trHeight w:val="24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4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r>
      <w:tr>
        <w:trPr>
          <w:trHeight w:val="265"/>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38" w:right="239"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the three months ended March 31,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(in millions):</w:t>
      </w:r>
    </w:p>
    <w:p>
      <w:pPr>
        <w:spacing w:after="0" w:line="295"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234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2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Periodic interest costs of interest rate swaps, net</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59"/>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 on derivative instruments and other securities, net:</w:t>
            </w: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TBA securities - dollar roll income, net</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r>
      <w:tr>
        <w:trPr>
          <w:trHeight w:val="265"/>
        </w:trPr>
        <w:tc>
          <w:tcPr>
            <w:tcW w:w="6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TBA securities - mark-to-market net gain (loss)</w:t>
            </w:r>
          </w:p>
        </w:tc>
        <w:tc>
          <w:tcPr>
            <w:tcW w:w="7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Payer swaptions</w:t>
            </w:r>
          </w:p>
        </w:tc>
        <w:tc>
          <w:tcPr>
            <w:tcW w:w="7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6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740" w:type="dxa"/>
            <w:vAlign w:val="bottom"/>
          </w:tcPr>
          <w:p>
            <w:pPr>
              <w:spacing w:after="0"/>
              <w:rPr>
                <w:sz w:val="23"/>
                <w:szCs w:val="23"/>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65"/>
        </w:trPr>
        <w:tc>
          <w:tcPr>
            <w:tcW w:w="6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U.S. Treasury futures - short position</w:t>
            </w:r>
          </w:p>
        </w:tc>
        <w:tc>
          <w:tcPr>
            <w:tcW w:w="740" w:type="dxa"/>
            <w:vAlign w:val="bottom"/>
          </w:tcPr>
          <w:p>
            <w:pPr>
              <w:spacing w:after="0"/>
              <w:rPr>
                <w:sz w:val="23"/>
                <w:szCs w:val="23"/>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Interest rate swaps - termination fees and CME variation margin settlements, net</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65"/>
        </w:trPr>
        <w:tc>
          <w:tcPr>
            <w:tcW w:w="62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r>
      <w:tr>
        <w:trPr>
          <w:trHeight w:val="25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realized gain (loss) on derivative instruments and other securities, net</w:t>
            </w:r>
          </w:p>
        </w:tc>
        <w:tc>
          <w:tcPr>
            <w:tcW w:w="7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9"/>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derivative instruments and other securities, net:</w:t>
            </w: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TBA securities - mark-to-market net gain (loss)</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r>
      <w:tr>
        <w:trPr>
          <w:trHeight w:val="265"/>
        </w:trPr>
        <w:tc>
          <w:tcPr>
            <w:tcW w:w="6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Interest rate swaps</w:t>
            </w:r>
          </w:p>
        </w:tc>
        <w:tc>
          <w:tcPr>
            <w:tcW w:w="7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Payer swaptions</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7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U.S. Treasury futures - short position</w:t>
            </w: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65"/>
        </w:trPr>
        <w:tc>
          <w:tcPr>
            <w:tcW w:w="62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7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75"/>
        </w:trPr>
        <w:tc>
          <w:tcPr>
            <w:tcW w:w="62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REIT equity securities</w:t>
            </w:r>
          </w:p>
        </w:tc>
        <w:tc>
          <w:tcPr>
            <w:tcW w:w="7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r>
      <w:tr>
        <w:trPr>
          <w:trHeight w:val="265"/>
        </w:trPr>
        <w:tc>
          <w:tcPr>
            <w:tcW w:w="62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unrealized loss on derivative instruments and other securities, net</w:t>
            </w:r>
          </w:p>
        </w:tc>
        <w:tc>
          <w:tcPr>
            <w:tcW w:w="7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42"/>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loss on derivative instruments and other securities, net</w:t>
            </w:r>
          </w:p>
        </w:tc>
        <w:tc>
          <w:tcPr>
            <w:tcW w:w="7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20"/>
        </w:trPr>
        <w:tc>
          <w:tcPr>
            <w:tcW w:w="6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3 and 6 of our Consolidated Financial Statements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Prior to our acquisition of AMM and related management internalization on July 1, 2016, we paid our Manager a management fee payable monthly in arrears in an amount equal to one-twelfth of 1.25% of our month-end stockholders' equity, adjusted to exclude the effect of any unrealized gains or losses included in either retained earnings or accumulated OCI. Following our management internalization, we no longer incur a management fee, but we incur expenses associated with an internally managed organization, including compensation expense previously borne by our Manager. For the three months ended March 31, 2016, we incurred management fees of $27 million. For the three months ended March 31, 2017, we incurred compensation and benefits expense of $10 million, consisting primarily of base salary, annual bonus accrual, legacy AMM employee retention bonus accrual and benefits expense.</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2017 and 2016, we incurred other operating expenses of $7 million and $6 million, respectively, which primarily consisted of prime broker fees, information technology costs, accounting fees, legal fees, Board of Director fees, insurance expense and general overhead expenses. Other operating expenses for the three months ended March 31, 2017 also included approximately $1 million of amortization expense of intangible assets associated with our acquisition of AMM.</w:t>
      </w:r>
    </w:p>
    <w:p>
      <w:pPr>
        <w:spacing w:after="0" w:line="12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Our total annualized operating expense as a percentage of our average stockholders' equity was 0.93% and 1.70% for the three months ended March 31, 2017 and 2016,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Income Taxes</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2017 and 2016, we had estimated taxable income available to common stockholders of $30 million and $74 million (or $0.09 and $0.22 per common share), respectively. Income as determined under GAAP differs from income as determined under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months ended March 31, 2017 and 2016 (dollars in millions, except per share amounts):</w:t>
      </w:r>
    </w:p>
    <w:p>
      <w:pPr>
        <w:spacing w:after="0" w:line="274" w:lineRule="exact"/>
        <w:rPr>
          <w:sz w:val="20"/>
          <w:szCs w:val="20"/>
          <w:color w:val="auto"/>
        </w:rPr>
      </w:pPr>
    </w:p>
    <w:tbl>
      <w:tblPr>
        <w:tblLayout w:type="fixed"/>
        <w:tblInd w:w="142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2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265"/>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book to tax differences:</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Premium amortization, net</w:t>
            </w: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r>
      <w:tr>
        <w:trPr>
          <w:trHeight w:val="265"/>
        </w:trPr>
        <w:tc>
          <w:tcPr>
            <w:tcW w:w="6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Realized gain/loss, net</w:t>
            </w:r>
          </w:p>
        </w:tc>
        <w:tc>
          <w:tcPr>
            <w:tcW w:w="7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r>
      <w:tr>
        <w:trPr>
          <w:trHeight w:val="275"/>
        </w:trPr>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capital loss/(utilization of net capital loss carryforward)</w:t>
            </w: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65"/>
        </w:trPr>
        <w:tc>
          <w:tcPr>
            <w:tcW w:w="6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gain/loss, net</w:t>
            </w:r>
          </w:p>
        </w:tc>
        <w:tc>
          <w:tcPr>
            <w:tcW w:w="72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804</w:t>
            </w:r>
          </w:p>
        </w:tc>
      </w:tr>
      <w:tr>
        <w:trPr>
          <w:trHeight w:val="270"/>
        </w:trPr>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22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4"/>
                <w:szCs w:val="14"/>
                <w:color w:val="auto"/>
              </w:rPr>
              <w:t>Total book to tax differences</w:t>
            </w: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r>
      <w:tr>
        <w:trPr>
          <w:trHeight w:val="25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w:t>
            </w:r>
          </w:p>
        </w:tc>
        <w:tc>
          <w:tcPr>
            <w:tcW w:w="7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r>
      <w:tr>
        <w:trPr>
          <w:trHeight w:val="265"/>
        </w:trPr>
        <w:tc>
          <w:tcPr>
            <w:tcW w:w="62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r>
      <w:tr>
        <w:trPr>
          <w:trHeight w:val="24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 available to common stockholders</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6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334.4</w:t>
            </w:r>
          </w:p>
        </w:tc>
      </w:tr>
      <w:tr>
        <w:trPr>
          <w:trHeight w:val="21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334.4</w:t>
            </w:r>
          </w:p>
        </w:tc>
      </w:tr>
      <w:tr>
        <w:trPr>
          <w:trHeight w:val="20"/>
        </w:trPr>
        <w:tc>
          <w:tcPr>
            <w:tcW w:w="6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 per common share - basic and diluted</w:t>
            </w:r>
          </w:p>
        </w:tc>
        <w:tc>
          <w:tcPr>
            <w:tcW w:w="7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0.22</w:t>
            </w:r>
          </w:p>
        </w:tc>
      </w:tr>
      <w:tr>
        <w:trPr>
          <w:trHeight w:val="264"/>
        </w:trPr>
        <w:tc>
          <w:tcPr>
            <w:tcW w:w="6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5"/>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cumulative non-deductible net capital loss</w:t>
            </w: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684</w:t>
            </w:r>
          </w:p>
        </w:tc>
      </w:tr>
      <w:tr>
        <w:trPr>
          <w:trHeight w:val="2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capital loss / (Utilization of net capital loss carryforward)</w:t>
            </w:r>
          </w:p>
        </w:tc>
        <w:tc>
          <w:tcPr>
            <w:tcW w:w="7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5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Ending cumulative non-deductible net capital loss</w:t>
            </w:r>
          </w:p>
        </w:tc>
        <w:tc>
          <w:tcPr>
            <w:tcW w:w="7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585</w:t>
            </w:r>
          </w:p>
        </w:tc>
      </w:tr>
      <w:tr>
        <w:trPr>
          <w:trHeight w:val="24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cumulative non-deductible net capital loss per ending common share</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r>
      <w:tr>
        <w:trPr>
          <w:trHeight w:val="20"/>
        </w:trPr>
        <w:tc>
          <w:tcPr>
            <w:tcW w:w="6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2017, we had $0.7 billion (or $2.20 per common share) of net capital loss carryforwards, which expire beginning in fiscal year 2019.</w:t>
      </w:r>
    </w:p>
    <w:p>
      <w:pPr>
        <w:spacing w:after="0" w:line="171"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dividends declared on our Series A Preferred Stock, depositary shares underlying our Series B Preferred Stock and common stock during the three months ended March 31, 2017 and 2016:</w:t>
      </w:r>
    </w:p>
    <w:p>
      <w:pPr>
        <w:spacing w:after="0" w:line="205"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3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31, 2016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3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comprehensive income (loss) primarily consists of unrealized gains and losses on our securities designated as "available-for-sale" (see Note 3 to our Consolidated Financial Statements in this Form 10-Q). The following table summarizes the components of our other comprehensive income (loss) for the three months ended March 31, 2017 and 2016 (in millions):</w:t>
      </w:r>
    </w:p>
    <w:p>
      <w:pPr>
        <w:spacing w:after="0" w:line="197"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200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195"/>
        </w:trPr>
        <w:tc>
          <w:tcPr>
            <w:tcW w:w="80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5"/>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(loss), net</w:t>
            </w: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(38)</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763</w:t>
            </w:r>
          </w:p>
        </w:tc>
      </w:tr>
      <w:tr>
        <w:trPr>
          <w:trHeight w:val="270"/>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Reversal of prior period unrealized loss, net, upon realization</w:t>
            </w:r>
          </w:p>
        </w:tc>
        <w:tc>
          <w:tcPr>
            <w:tcW w:w="6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r>
      <w:tr>
        <w:trPr>
          <w:trHeight w:val="25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 net:</w:t>
            </w: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r>
      <w:tr>
        <w:trPr>
          <w:trHeight w:val="26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interest rate swaps designated as cash flow hedges:</w:t>
            </w: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5"/>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Reversal of prior period unrealized loss on interest rate swaps, net, upon reclassification to interest expense</w:t>
            </w:r>
          </w:p>
        </w:tc>
        <w:tc>
          <w:tcPr>
            <w:tcW w:w="60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r>
      <w:tr>
        <w:trPr>
          <w:trHeight w:val="242"/>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r>
      <w:tr>
        <w:trPr>
          <w:trHeight w:val="20"/>
        </w:trPr>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3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primary sources of funds are borrowings under master repurchase agreements, asset sales, receipts of monthly principal and interest payments on our investment portfolio and equity offerings. We also enter into TBA contracts as a means of acquiring or disposing of Agency securities and utilize TBA dollar roll transactions to finance Agency RMBS purchases. Because the level of our borrowings can be adjusted on a daily basis,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eleven times the amount of our tangible stockholders' equity. However, under certain market conditions, we may operate at leverage levels outside of this range for extended periods of time.</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Capital</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2017 and December 31, 2016, our mortgage borrowings and net TBA position consisted of the following ($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Mortgage Funding</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55"/>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Repurchase agreements used to fund Agency RMBS </w:t>
            </w:r>
            <w:r>
              <w:rPr>
                <w:rFonts w:ascii="Times New Roman" w:cs="Times New Roman" w:eastAsia="Times New Roman" w:hAnsi="Times New Roman"/>
                <w:sz w:val="8"/>
                <w:szCs w:val="8"/>
                <w:b w:val="1"/>
                <w:bCs w:val="1"/>
                <w:color w:val="auto"/>
              </w:rPr>
              <w:t>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39,375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37,686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65"/>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FHLB advances</w:t>
            </w:r>
          </w:p>
        </w:tc>
        <w:tc>
          <w:tcPr>
            <w:tcW w:w="240" w:type="dxa"/>
            <w:vAlign w:val="bottom"/>
          </w:tcPr>
          <w:p>
            <w:pPr>
              <w:spacing w:after="0"/>
              <w:rPr>
                <w:sz w:val="23"/>
                <w:szCs w:val="23"/>
                <w:color w:val="auto"/>
              </w:rPr>
            </w:pP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0"/>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41,183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TBA position, at cost</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14,377</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11,312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42"/>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mortgage funding</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54,186</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52,495</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______________________</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9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1. Excludes repurchase agreements used to fund U.S. Treasury securities of $0 million and $172 million as of March 31, 2017 and December 31, 2016, respectively.</w:t>
      </w:r>
    </w:p>
    <w:p>
      <w:pPr>
        <w:spacing w:after="0" w:line="1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tangible net book value "at risk" leverage was 8.0x and 7.7x as of March 31, 2017 and December 31, 2016, measured as the sum of our total mortgage borrowings, net TBA position (at cost) and net payable for unsettled investment securities divided by the sum of our total stockholders' equity adjusted to exclude adjusted to exclude goodwill and other intangible assets.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Repurchase Agreements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March 31, 2017, we had $39.4 billion of repurchase agreements outstanding used to fund acquisitions of investment securities with a weighted average cost of funds of 1.05% and a weighted average remaining days-to-maturity of 176 days, compared $37.7 billion, 0.98% and 187 days, respectively, as of December 31, 2016.</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To limit our exposure to counterparty credit risk, we diversify our funding across multiple counterparties and by counterparty region. Our wholly-owned captive broker-dealer ("Bethesda Securities") also has direct access to bilateral and triparty funding, including the General Collateral Finance Repo service offered by the FICC, which provides us greater depth and diversity of funding at favorable terms relative to traditional bilateral repurchase agreement funding. As of March 31, 2017, $7.6 billion of our repurchase agreement funding was accessed through Bethesda Securities.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March 31, 2017, we had master repurchase agreements with 38 financial institutions located throughout North America, Europe and Asia, including counterparties accessed through Bethesda Securities. As of March 31, 2017, our maximum amount at risk with any counterparty related to our repurchase agreements was 5.2% of our stockholders' equity, and our top five repo counterparties represented less than 13% of our stockholders' equity. The table below includes a summary of our repurchase agreement funding by number of repo counterparties and counterparty region as of March 31, 2017. For further details regarding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38" w:right="2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our borrowings under repurchase agreements and concentration of credit risk as of March 31, 2017, please refer to Notes 5 and 7 to our Consolidated Financial Statements in this Form 10-Q.</w:t>
      </w:r>
    </w:p>
    <w:p>
      <w:pPr>
        <w:spacing w:after="0" w:line="250" w:lineRule="exact"/>
        <w:rPr>
          <w:sz w:val="20"/>
          <w:szCs w:val="20"/>
          <w:color w:val="auto"/>
        </w:rPr>
      </w:pPr>
    </w:p>
    <w:tbl>
      <w:tblPr>
        <w:tblLayout w:type="fixed"/>
        <w:tblInd w:w="272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Counter-</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95"/>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 Funding</w:t>
            </w:r>
          </w:p>
        </w:tc>
        <w:tc>
          <w:tcPr>
            <w:tcW w:w="0" w:type="dxa"/>
            <w:vAlign w:val="bottom"/>
          </w:tcPr>
          <w:p>
            <w:pPr>
              <w:spacing w:after="0"/>
              <w:rPr>
                <w:sz w:val="1"/>
                <w:szCs w:val="1"/>
                <w:color w:val="auto"/>
              </w:rPr>
            </w:pPr>
          </w:p>
        </w:tc>
      </w:tr>
      <w:tr>
        <w:trPr>
          <w:trHeight w:val="25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6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three months ended March 31, 2017, haircuts on our pledged collateral remained stable and, as of March 31, 2017, our weighted average haircut was less than 5% of the value of our collateral, inclusive of collateral funded through Bethesda Securities.</w:t>
      </w:r>
    </w:p>
    <w:p>
      <w:pPr>
        <w:spacing w:after="0" w:line="13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securities securing our repurchase agreements and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3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March 31, 2017, we had met all of our margin requirements and we had unrestricted cash and cash equivalents of $1.1 billion and unpledged securities of approximately $2.3 billion, including securities pledged to us and unpledged interests in our consolidated VIEs, available to meet margin calls on our repurchase agreements and other funding liabilities, derivative instruments and for other corporate purposes.</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U.S. Treasury securities, U.S. Treasury futures contracts, TBA securities and other instruments. Please refer to Notes 3 and 6 to our Consolidated Financial Statements in this Form 10-Q for further details regarding our use of derivative instruments.</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derivative agreements typically require that we pledge/receive collateral on such agreements to/from our counterparties in a similar manner as we are required to under our repurchase agreements. Our counterparties, or the central clearing agency,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Similar to repurchase agreements, our use of derivatives exposes us to counterparty credit risk relating to potential losses that could be recognized in the event that our counterparties to these instruments fail to perform their obligations under the contracts. We minimize this risk by limiting our counterparties to major financial institutions with acceptable credit ratings and by monitoring positions with individual counterparties. Excluding centrally cleared interest rate swaps, as of March 31, 2017, our amount at risk with any counterparty related to our interest rate swap and swaption agreements was less than 1% of our stockholders' equity. 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Dollar Roll Transactions</w:t>
      </w:r>
    </w:p>
    <w:p>
      <w:pPr>
        <w:spacing w:after="0" w:line="17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Form 10-Q).</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March 31, 2017, we had a net long TBA position with a total market value and a total cost basis of $14.4 billion and a net carrying value of $70 million recognized in derivative assets/(liabilities), at fair value, on our Consolidated Balance Sheets in this Form 10-Q.</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Home Loan Bank Advances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2017, our wholly-owned captive insurance subsidiary's membership to the FHLB of Des Moines was terminated pursuant to the FHFA's final rule on changes to regulations concerning FHLB membership criteria released in January 2016. All of our outstanding FHLB advances were repaid prior to termination.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Bethesda Securities Regulatory Capital Requirements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Bethesda Securities is subject to regulations of the securities business that include but are not limited to trade practices, capital structure, recordkeeping and conduct of directors, officers and employees. As a self-clearing registered broker-dealer, Bethesda Securities is required to maintain minimum net regulatory capital as defined by SEC Rule 15c3-1 (the "Rule"). As of March 31, 2017, the minimum net capital required was $0.3 million and Bethesda Securities had excess net capital of $198.4 million. Regulatory capital in excess of the minimum required by the Rule is held to meet levels required by clearing organizations, the clearing bank and other repo counterparties.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 and TBA Eligible Securities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maintain a portfolio of highly liquid mortgage-backed securities. We may sell our Agency securities through the TBA market by delivering them into TBA contracts, subject to "good delivery" provisions promulgated by the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March 31, 2017, approximately 86% of our fixed rate Agency RMBS portfolio was eligible for TBA delivery.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Capital</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To the extent we raise additional equity capital through our at-the-market equity issuance program ("ATM Program") or follow-on equity offerings, or under our dividend reinvestment and direct stock purchase plan, we may use cash proceeds from such transactions to purchase additional investment securities, to make scheduled payments of principal and interest on our funding liabilities and for other general corporate purposes.</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May 5, 2017, we completed a follow-on public offering of 24.5 million shares of our common stock for proceeds of $503 million, or $20.53 per common share, net of offering costs. Our Board of Directors has also authorized us to from time-to-time publicly offer and sell shares of our common stock under our ATM Program in an aggregate amount of up to $750 million of shares of our common stock, subject to U.S. Federal securities laws. As of March 31, 2017, $750 million remained available for issuance under our ATM Program. There can be no assurance, however, that we will be able to raise additional equity capital at any particular time or on any particular terms. Furthermore, when the trading price of our common stock is significantly less than our estimate of our current tangible net asset value per common share, among other conditions, we may repurchase shares of our common stock, subject to the provisions of our stock repurchase program (see Note 10 to our Consolidated Financial Statements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March 31, 2017,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Furthermore, as of March 31, 2017, we had not guaranteed any obligations of unconsolidated entities or entered into any commitment or intent to provide funding to any such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3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utilize a variety of strategies to limit the effects of changes in interest rates on our operations. The principal instruments that we use are interest rate swaps and swaptions. We also utilize U.S. Treasury securities and U.S. Treasury futures contracts, primarily through short sales, as well as TBA contracts. We may also purchase or write put or call options on TBA securities and utilize other types of derivative instruments.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estimate the duration and convexity of our portfolio using both a third-party risk management system and market data. We review the duration estimates from the third-party model and may make adjustments based on our judgment. These adjustments are intended to better reflect the unique characteristics and market trading conventions associated with certain types of securities.</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net asset value as of March 31, 2017 and December 31, 2016 should interest rates go up or down by 50 and 100 basis points, assuming instantaneous parallel shifts in the yield curve and including the impact of both duration and convexity.</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All changes in income and value in the table below are measured as percentage changes from the base interest rate scenario. The base interest rate scenario assumes interest rates and prepayment projections as of March 31, 2017 and December 31, 2016.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38"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24765</wp:posOffset>
            </wp:positionV>
            <wp:extent cx="4493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Percentage Change in Projected</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3,4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8"/>
              </w:rPr>
              <w:t>3,5</w:t>
            </w: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 w:lineRule="exact"/>
        <w:rPr>
          <w:sz w:val="20"/>
          <w:szCs w:val="20"/>
          <w:color w:val="auto"/>
        </w:rPr>
      </w:pPr>
    </w:p>
    <w:p>
      <w:pPr>
        <w:ind w:left="660" w:right="20" w:hanging="328"/>
        <w:spacing w:after="0" w:line="241" w:lineRule="auto"/>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41" w:lineRule="auto"/>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8% as of March 31, 2017 and December 31, 2016. As of March 31, 2017, rate shock scenarios assume a forecasted CPR of 11%, 9%, 8% and 7% for the -100, -50, +50 and +100 basis points scenarios, respectively. As of December 31, 2016, rate shock scenarios assume a forecasted CPR of 10%, 9%, 7%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investment portfolio value expressed as a percent of the total fair value of our investment portfolio as of such date.</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portfolio value expressed as a percent of stockholders' equity, net of the Series A and Series B Preferred Stock liquidation preference, as of such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When the market spread between the yield on our investment securities and benchmark interest rates widens,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817" w:right="2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net asset value as of March 31, 2017 and December 31, 2016 should spreads widen or tighten by 10 and 25 basis points. The estimated impact of changes in spreads is in addition to our interest rate shock sensitivity included in the interest rate shock table above. The table below assumes a spread duration of 5.4 years as of March 31, 2017 and December 31, 2016, based on interest rates and RMBS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Spread Sensitivity of Agency RMBS Portfolio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24765</wp:posOffset>
            </wp:positionV>
            <wp:extent cx="3730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Percentage Change in Projected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2,4</w:t>
            </w:r>
          </w:p>
        </w:tc>
        <w:tc>
          <w:tcPr>
            <w:tcW w:w="0" w:type="dxa"/>
            <w:vAlign w:val="bottom"/>
          </w:tcPr>
          <w:p>
            <w:pPr>
              <w:spacing w:after="0"/>
              <w:rPr>
                <w:sz w:val="1"/>
                <w:szCs w:val="1"/>
                <w:color w:val="auto"/>
              </w:rPr>
            </w:pPr>
          </w:p>
        </w:tc>
      </w:tr>
      <w:tr>
        <w:trPr>
          <w:trHeight w:val="26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6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7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6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-164465</wp:posOffset>
            </wp:positionV>
            <wp:extent cx="37306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4" w:lineRule="exact"/>
        <w:rPr>
          <w:sz w:val="20"/>
          <w:szCs w:val="20"/>
          <w:color w:val="auto"/>
        </w:rPr>
      </w:pPr>
    </w:p>
    <w:p>
      <w:pPr>
        <w:ind w:left="660" w:hanging="328"/>
        <w:spacing w:after="0" w:line="241"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investment portfolio value expressed as a percent of the total fair value of our investment portfolio as of such date.</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portfolio value expressed as a percent of stockholders' equity, net of the Series A and Series B Preferred Stock liquidation preference, as of such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primary liquidity risk for us arises from financing long-term assets with shorter-term borrowings through repurchase agreements and other short-term funding agreements. As of March 31, 2017, we had unrestricted cash and cash equivalents of $1.1 billion and unpledged securities of approximately $2.3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we often utilize TBA dollar roll transactions as a means of investing in and financing Agency RMBS.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Risk</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projected weighted-average life and estimated duration, or interest rate sensitivity, of our investments is based on our assumptions regarding the rate at which the borrowers will prepay the underlying mortgage loans. In general, we use interest 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42" w:right="2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are exposed to credit risk related to our CRT and non-Agency investments, certain derivative transactions, and our collateral held by funding and derivative counterparties. We accept credit exposure at levels we deem prudent as an integral part of our investment and hedging strategy. We seek to manage this risk through prudent asset selection, pre-acquisition due diligence, post-acquisition performance monitoring, sale of assets where we have identified negative credit trends and the use of various types of credit enhancements. We may also use non-recourse financing, which limits our exposure to credit losses to the specific pool of mortgages subject to the non-recourse financing. Our overall management of credit exposure may also include the use of credit default swaps or other financial derivatives that we believe are appropriate. Additionally, we may vary the percentage mix of our investments or our duration gap, when we believe credit performance is inversely correlated with changes in interest rates, in an effort to actively adjust our credit exposure and to improve the risk/return profile of our investment portfolio.</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credit risk related to certain derivative transactions is largely mitigated through daily adjustments to collateral pledged based on changes in market value and we limit our counterparties to major financial institutions with acceptable credit ratings. There is no guarantee that our efforts to manage credit risk will be successful and we could suffer losses if credit performance is worse than our expectations or if economic conditions worsen.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March 31, 2017. Based on the foregoing, our Chief Executive Officer and Chief Financial Officer concluded that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 As previously disclosed, we completed the acquisition of AMM on July 1, 2016. Where appropriate, we are reviewing related internal controls and making changes to align and integrate AMM into our financial control environment. This initiative is being done as a part of our integration plan and is not in response to any identified deficiency or weakness in the Company’s or AMM’s internal control over financial reporting.</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Neither we, nor any of our consolidated subsidiaries, are currently subject to any material litigation nor, to our knowledge, is any litigation threatened against us or any consolidated subsidiary, in each case, that is expected to have a material adverse effect on our business, financial condition or operations. See also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xml:space="preserve"> in Note 3 to our Consolidated Financial Statements included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jc w:val="center"/>
        <w:ind w:right="9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Exhibit Index</w:t>
      </w:r>
    </w:p>
    <w:p>
      <w:pPr>
        <w:spacing w:after="0" w:line="16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70" w:lineRule="exact"/>
        <w:rPr>
          <w:sz w:val="20"/>
          <w:szCs w:val="20"/>
          <w:color w:val="auto"/>
        </w:rPr>
      </w:pPr>
    </w:p>
    <w:p>
      <w:pPr>
        <w:ind w:left="1300" w:right="180" w:hanging="449"/>
        <w:spacing w:after="0" w:line="282" w:lineRule="auto"/>
        <w:rPr>
          <w:sz w:val="20"/>
          <w:szCs w:val="20"/>
          <w:color w:val="auto"/>
        </w:rPr>
      </w:pPr>
      <w:r>
        <w:rPr>
          <w:rFonts w:ascii="Times New Roman" w:cs="Times New Roman" w:eastAsia="Times New Roman" w:hAnsi="Times New Roman"/>
          <w:sz w:val="18"/>
          <w:szCs w:val="18"/>
          <w:color w:val="auto"/>
        </w:rPr>
        <w:t>*3.1 AGNC Investment Corp. Amended and Restated Certificate of Incorporation, as amended, incorporated herein by reference to Exhibit 3.1 of Form 10-Q for the quarter ended September 30, 2016 (File No. 001-34057), filed November 7, 2016.</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76" w:right="239" w:bottom="1440" w:gutter="0" w:footer="0" w:header="0"/>
        </w:sectPr>
      </w:pPr>
    </w:p>
    <w:bookmarkStart w:id="52" w:name="page53"/>
    <w:bookmarkEnd w:id="52"/>
    <w:p>
      <w:pPr>
        <w:ind w:left="1300" w:right="60" w:hanging="449"/>
        <w:spacing w:after="0" w:line="282" w:lineRule="auto"/>
        <w:rPr>
          <w:sz w:val="20"/>
          <w:szCs w:val="20"/>
          <w:color w:val="auto"/>
        </w:rPr>
      </w:pPr>
      <w:r>
        <w:rPr>
          <w:rFonts w:ascii="Times New Roman" w:cs="Times New Roman" w:eastAsia="Times New Roman" w:hAnsi="Times New Roman"/>
          <w:sz w:val="18"/>
          <w:szCs w:val="18"/>
          <w:color w:val="auto"/>
        </w:rPr>
        <w:t>*3.2 AGNC Investment Corp. Third Amended and Restated Bylaws, as amended, incorporated herein by reference to Exhibit 3.2 of Form 10-Q for the quarter ended September 30, 2016 (File No. 001-34057), filed November 7, 2016.</w:t>
      </w:r>
    </w:p>
    <w:p>
      <w:pPr>
        <w:spacing w:after="0" w:line="121" w:lineRule="exact"/>
        <w:rPr>
          <w:sz w:val="20"/>
          <w:szCs w:val="20"/>
          <w:color w:val="auto"/>
        </w:rPr>
      </w:pPr>
    </w:p>
    <w:p>
      <w:pPr>
        <w:ind w:left="1300" w:hanging="449"/>
        <w:spacing w:after="0" w:line="282" w:lineRule="auto"/>
        <w:rPr>
          <w:sz w:val="20"/>
          <w:szCs w:val="20"/>
          <w:color w:val="auto"/>
        </w:rPr>
      </w:pPr>
      <w:r>
        <w:rPr>
          <w:rFonts w:ascii="Times New Roman" w:cs="Times New Roman" w:eastAsia="Times New Roman" w:hAnsi="Times New Roman"/>
          <w:sz w:val="18"/>
          <w:szCs w:val="18"/>
          <w:color w:val="auto"/>
        </w:rPr>
        <w:t>*3.3 Certificate of Designations of 8.000% Series A Cumulative Redeemable Preferred Stock, incorporated herein by reference to Exhibit 3.1 of Form 8-K (File No 001-34057), filed April 3, 2012.</w:t>
      </w:r>
    </w:p>
    <w:p>
      <w:pPr>
        <w:spacing w:after="0" w:line="121" w:lineRule="exact"/>
        <w:rPr>
          <w:sz w:val="20"/>
          <w:szCs w:val="20"/>
          <w:color w:val="auto"/>
        </w:rPr>
      </w:pPr>
    </w:p>
    <w:p>
      <w:pPr>
        <w:ind w:left="1300" w:right="20" w:hanging="449"/>
        <w:spacing w:after="0" w:line="282" w:lineRule="auto"/>
        <w:rPr>
          <w:sz w:val="20"/>
          <w:szCs w:val="20"/>
          <w:color w:val="auto"/>
        </w:rPr>
      </w:pPr>
      <w:r>
        <w:rPr>
          <w:rFonts w:ascii="Times New Roman" w:cs="Times New Roman" w:eastAsia="Times New Roman" w:hAnsi="Times New Roman"/>
          <w:sz w:val="18"/>
          <w:szCs w:val="18"/>
          <w:color w:val="auto"/>
        </w:rPr>
        <w:t>*3.4 Certificate of Designations of 7.750% Series B Cumulative Redeemable Preferred Stock, incorporated herein by reference to Exhibit 3.3 of Form 8-A (File No. 001-34057), filed May 7, 2014.</w:t>
      </w:r>
    </w:p>
    <w:p>
      <w:pPr>
        <w:spacing w:after="0" w:line="121" w:lineRule="exact"/>
        <w:rPr>
          <w:sz w:val="20"/>
          <w:szCs w:val="20"/>
          <w:color w:val="auto"/>
        </w:rPr>
      </w:pPr>
    </w:p>
    <w:p>
      <w:pPr>
        <w:ind w:left="1300" w:right="280" w:hanging="449"/>
        <w:spacing w:after="0" w:line="266" w:lineRule="auto"/>
        <w:rPr>
          <w:sz w:val="20"/>
          <w:szCs w:val="20"/>
          <w:color w:val="auto"/>
        </w:rPr>
      </w:pPr>
      <w:r>
        <w:rPr>
          <w:rFonts w:ascii="Times New Roman" w:cs="Times New Roman" w:eastAsia="Times New Roman" w:hAnsi="Times New Roman"/>
          <w:sz w:val="18"/>
          <w:szCs w:val="18"/>
          <w:color w:val="auto"/>
        </w:rPr>
        <w:t>*4.1 Instruments defining the rights of holders of securities: See Article IV of our Amended and Restated Certificate of Incorporation, as amended, incorporated herein by reference to Exhibit 3.1 of Form 10-Q for the quarter ended September 30, 2016 (File No. 001-34057) filed November 7, 2016.</w:t>
      </w:r>
    </w:p>
    <w:p>
      <w:pPr>
        <w:spacing w:after="0" w:line="136" w:lineRule="exact"/>
        <w:rPr>
          <w:sz w:val="20"/>
          <w:szCs w:val="20"/>
          <w:color w:val="auto"/>
        </w:rPr>
      </w:pPr>
    </w:p>
    <w:p>
      <w:pPr>
        <w:ind w:left="1300" w:right="640" w:hanging="449"/>
        <w:spacing w:after="0" w:line="266" w:lineRule="auto"/>
        <w:rPr>
          <w:sz w:val="20"/>
          <w:szCs w:val="20"/>
          <w:color w:val="auto"/>
        </w:rPr>
      </w:pPr>
      <w:r>
        <w:rPr>
          <w:rFonts w:ascii="Times New Roman" w:cs="Times New Roman" w:eastAsia="Times New Roman" w:hAnsi="Times New Roman"/>
          <w:sz w:val="18"/>
          <w:szCs w:val="18"/>
          <w:color w:val="auto"/>
        </w:rPr>
        <w:t>*4.2 Instruments defining the rights of holders of securities: See Article VI of our Third Amended and Restated Bylaws, as amended, incorporated herein by reference to Exhibit 3.2 of Form 10-Q for the quarter ended September 30, 2016 (File No. 001-34057) filed November 7, 2016.</w:t>
      </w:r>
    </w:p>
    <w:p>
      <w:pPr>
        <w:spacing w:after="0" w:line="1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*4.3  Form of Certificate for Common Stock, incorporated herein by reference to Exhibit 4.3 of Form 10-Q for the quarter ended September 30,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2016 (File No. 001-34057), filed November 7, 2016.</w:t>
      </w:r>
    </w:p>
    <w:p>
      <w:pPr>
        <w:spacing w:after="0" w:line="166" w:lineRule="exact"/>
        <w:rPr>
          <w:sz w:val="20"/>
          <w:szCs w:val="20"/>
          <w:color w:val="auto"/>
        </w:rPr>
      </w:pPr>
    </w:p>
    <w:p>
      <w:pPr>
        <w:ind w:left="1300" w:hanging="449"/>
        <w:spacing w:after="0" w:line="282" w:lineRule="auto"/>
        <w:rPr>
          <w:sz w:val="20"/>
          <w:szCs w:val="20"/>
          <w:color w:val="auto"/>
        </w:rPr>
      </w:pPr>
      <w:r>
        <w:rPr>
          <w:rFonts w:ascii="Times New Roman" w:cs="Times New Roman" w:eastAsia="Times New Roman" w:hAnsi="Times New Roman"/>
          <w:sz w:val="18"/>
          <w:szCs w:val="18"/>
          <w:color w:val="auto"/>
        </w:rPr>
        <w:t>*4.4 Specimen 8.000% Series A Cumulative Redeemable Preferred Stock Certificate, incorporated herein by reference to Exhibit 4.1 of Form 8-K (File No. 001-34057), filed April 3, 2012.</w:t>
      </w:r>
    </w:p>
    <w:p>
      <w:pPr>
        <w:spacing w:after="0" w:line="121" w:lineRule="exact"/>
        <w:rPr>
          <w:sz w:val="20"/>
          <w:szCs w:val="20"/>
          <w:color w:val="auto"/>
        </w:rPr>
      </w:pPr>
    </w:p>
    <w:p>
      <w:pPr>
        <w:ind w:left="1300" w:hanging="449"/>
        <w:spacing w:after="0" w:line="282" w:lineRule="auto"/>
        <w:rPr>
          <w:sz w:val="20"/>
          <w:szCs w:val="20"/>
          <w:color w:val="auto"/>
        </w:rPr>
      </w:pPr>
      <w:r>
        <w:rPr>
          <w:rFonts w:ascii="Times New Roman" w:cs="Times New Roman" w:eastAsia="Times New Roman" w:hAnsi="Times New Roman"/>
          <w:sz w:val="18"/>
          <w:szCs w:val="18"/>
          <w:color w:val="auto"/>
        </w:rPr>
        <w:t>*4.5 Specimen 7.750% Series B Cumulative Redeemable Preferred Stock Certificate, incorporated herein by reference to Exhibit 4.1 of Form 8-A (File No. 001-34057), filed May 7, 2014.</w:t>
      </w:r>
    </w:p>
    <w:p>
      <w:pPr>
        <w:spacing w:after="0" w:line="121" w:lineRule="exact"/>
        <w:rPr>
          <w:sz w:val="20"/>
          <w:szCs w:val="20"/>
          <w:color w:val="auto"/>
        </w:rPr>
      </w:pPr>
    </w:p>
    <w:p>
      <w:pPr>
        <w:ind w:left="1300" w:right="100" w:hanging="449"/>
        <w:spacing w:after="0" w:line="282" w:lineRule="auto"/>
        <w:rPr>
          <w:sz w:val="20"/>
          <w:szCs w:val="20"/>
          <w:color w:val="auto"/>
        </w:rPr>
      </w:pPr>
      <w:r>
        <w:rPr>
          <w:rFonts w:ascii="Times New Roman" w:cs="Times New Roman" w:eastAsia="Times New Roman" w:hAnsi="Times New Roman"/>
          <w:sz w:val="18"/>
          <w:szCs w:val="18"/>
          <w:color w:val="auto"/>
        </w:rPr>
        <w:t>*4.6 Deposit Agreement, dated May 8, 2014, among American Capital Agency Corp., Computershare Inc. and Computershare Trust Company, N.A., jointly as depositary, incorporated herein by reference to Exhibit 4.2 of Form 8-K (File No. 001-34067), filed May 8, 2014.</w:t>
      </w:r>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*4.7  Form of Depositary Receipt, incorporated herein by reference to Exhibit 4.3 of Form 8-K (File No. 001-34067), filed May 8, 2014.</w:t>
      </w:r>
    </w:p>
    <w:p>
      <w:pPr>
        <w:spacing w:after="0" w:line="185" w:lineRule="exact"/>
        <w:rPr>
          <w:sz w:val="20"/>
          <w:szCs w:val="20"/>
          <w:color w:val="auto"/>
        </w:rPr>
      </w:pPr>
    </w:p>
    <w:p>
      <w:pPr>
        <w:ind w:left="1300" w:right="140" w:hanging="449"/>
        <w:spacing w:after="0" w:line="282" w:lineRule="auto"/>
        <w:rPr>
          <w:sz w:val="20"/>
          <w:szCs w:val="20"/>
          <w:color w:val="auto"/>
        </w:rPr>
      </w:pPr>
      <w:r>
        <w:rPr>
          <w:rFonts w:ascii="Times New Roman" w:cs="Times New Roman" w:eastAsia="Times New Roman" w:hAnsi="Times New Roman"/>
          <w:sz w:val="18"/>
          <w:szCs w:val="18"/>
          <w:color w:val="auto"/>
        </w:rPr>
        <w:t>10.1 Retention Bonus Grant Letter, dated July 1, 2016, by and between American Capital Mortgage Management, LLC and Aaron J. Pas, filed herewith.</w:t>
      </w:r>
    </w:p>
    <w:p>
      <w:pPr>
        <w:spacing w:after="0" w:line="12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10.2  Letter agreement, dated February 23, 2017, by and between AGNC Mortgage Management, LLC and Kenneth L. Pollack, filed herewith.</w:t>
      </w:r>
    </w:p>
    <w:p>
      <w:pPr>
        <w:spacing w:after="0" w:line="185" w:lineRule="exact"/>
        <w:rPr>
          <w:sz w:val="20"/>
          <w:szCs w:val="20"/>
          <w:color w:val="auto"/>
        </w:rPr>
      </w:pPr>
    </w:p>
    <w:p>
      <w:pPr>
        <w:ind w:left="1300" w:right="60" w:hanging="539"/>
        <w:spacing w:after="0" w:line="282" w:lineRule="auto"/>
        <w:rPr>
          <w:sz w:val="20"/>
          <w:szCs w:val="20"/>
          <w:color w:val="auto"/>
        </w:rPr>
      </w:pPr>
      <w:r>
        <w:rPr>
          <w:rFonts w:ascii="Times New Roman" w:cs="Times New Roman" w:eastAsia="Times New Roman" w:hAnsi="Times New Roman"/>
          <w:sz w:val="18"/>
          <w:szCs w:val="18"/>
          <w:color w:val="auto"/>
        </w:rPr>
        <w:t>*10.3 AGNC Mortgage Management, LLC Performance Incentive Plan - MTGE, effective January 24, 2017, incorporated herein by reference to Exhibit 10.1 of Form 8-K (File No. 001-34057), filed January 27, 2017.</w:t>
      </w:r>
    </w:p>
    <w:p>
      <w:pPr>
        <w:spacing w:after="0" w:line="121" w:lineRule="exact"/>
        <w:rPr>
          <w:sz w:val="20"/>
          <w:szCs w:val="20"/>
          <w:color w:val="auto"/>
        </w:rPr>
      </w:pPr>
    </w:p>
    <w:p>
      <w:pPr>
        <w:ind w:left="1300" w:right="40" w:hanging="539"/>
        <w:spacing w:after="0" w:line="282" w:lineRule="auto"/>
        <w:rPr>
          <w:sz w:val="20"/>
          <w:szCs w:val="20"/>
          <w:color w:val="auto"/>
        </w:rPr>
      </w:pPr>
      <w:r>
        <w:rPr>
          <w:rFonts w:ascii="Times New Roman" w:cs="Times New Roman" w:eastAsia="Times New Roman" w:hAnsi="Times New Roman"/>
          <w:sz w:val="18"/>
          <w:szCs w:val="18"/>
          <w:color w:val="auto"/>
        </w:rPr>
        <w:t>*10.4 Sales Agreement between AGNC Investment Corp. and Cantor Fitzgerald &amp; Co., dated February 1, 2017, incorporated herein by reference to Exhibit 1.1 of Form 8-K (File No. 001-34057), filed February 1, 2017.</w:t>
      </w:r>
    </w:p>
    <w:p>
      <w:pPr>
        <w:spacing w:after="0" w:line="121" w:lineRule="exact"/>
        <w:rPr>
          <w:sz w:val="20"/>
          <w:szCs w:val="20"/>
          <w:color w:val="auto"/>
        </w:rPr>
      </w:pPr>
    </w:p>
    <w:p>
      <w:pPr>
        <w:ind w:left="1300" w:right="440" w:hanging="539"/>
        <w:spacing w:after="0" w:line="282" w:lineRule="auto"/>
        <w:rPr>
          <w:sz w:val="20"/>
          <w:szCs w:val="20"/>
          <w:color w:val="auto"/>
        </w:rPr>
      </w:pPr>
      <w:r>
        <w:rPr>
          <w:rFonts w:ascii="Times New Roman" w:cs="Times New Roman" w:eastAsia="Times New Roman" w:hAnsi="Times New Roman"/>
          <w:sz w:val="18"/>
          <w:szCs w:val="18"/>
          <w:color w:val="auto"/>
        </w:rPr>
        <w:t>*10.5 Sales Agreement between AGNC Investment Corp. and Wells Fargo Securities, LLC, dated February 1, 2017, incorporated herein by reference to Exhibit 1.2 of Form 8-K (File No. 001-34057), filed February 1, 2017.</w:t>
      </w:r>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ectPr>
          <w:pgSz w:w="11900" w:h="16838" w:orient="portrait"/>
          <w:cols w:equalWidth="0" w:num="1">
            <w:col w:w="11340"/>
          </w:cols>
          <w:pgMar w:left="240" w:top="742"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240" w:top="742" w:right="319" w:bottom="1440" w:gutter="0" w:footer="0" w:header="0"/>
          <w:type w:val="continuous"/>
        </w:sectPr>
      </w:pPr>
    </w:p>
    <w:bookmarkStart w:id="53" w:name="page54"/>
    <w:bookmarkEnd w:id="53"/>
    <w:p>
      <w:pPr>
        <w:ind w:left="467" w:hanging="467"/>
        <w:spacing w:after="0"/>
        <w:tabs>
          <w:tab w:leader="none" w:pos="4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exhibits filed herewith.</w:t>
      </w:r>
    </w:p>
    <w:p>
      <w:pPr>
        <w:spacing w:after="0" w:line="206" w:lineRule="exact"/>
        <w:rPr>
          <w:rFonts w:ascii="Times New Roman" w:cs="Times New Roman" w:eastAsia="Times New Roman" w:hAnsi="Times New Roman"/>
          <w:sz w:val="18"/>
          <w:szCs w:val="18"/>
          <w:color w:val="auto"/>
        </w:rPr>
      </w:pPr>
    </w:p>
    <w:p>
      <w:pPr>
        <w:ind w:left="467" w:right="6419" w:hanging="467"/>
        <w:spacing w:after="0" w:line="282" w:lineRule="auto"/>
        <w:tabs>
          <w:tab w:leader="none" w:pos="4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1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806"/>
          </w:cols>
          <w:pgMar w:left="653" w:top="580" w:right="1440"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640"/>
        <w:spacing w:after="0"/>
        <w:tabs>
          <w:tab w:leader="none" w:pos="8180" w:val="left"/>
          <w:tab w:leader="none" w:pos="8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Gary Kain</w:t>
      </w:r>
    </w:p>
    <w:p>
      <w:pPr>
        <w:jc w:val="center"/>
        <w:ind w:left="6140"/>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 President and</w:t>
      </w:r>
    </w:p>
    <w:p>
      <w:pPr>
        <w:spacing w:after="0" w:line="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Chief Investment Officer (Principal Executive Officer)</w:t>
      </w:r>
    </w:p>
    <w:p>
      <w:pPr>
        <w:spacing w:after="0" w:line="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8, 2017</w:t>
      </w:r>
    </w:p>
    <w:p>
      <w:pPr>
        <w:spacing w:after="0" w:line="306" w:lineRule="exact"/>
        <w:rPr>
          <w:sz w:val="20"/>
          <w:szCs w:val="20"/>
          <w:color w:val="auto"/>
        </w:rPr>
      </w:pPr>
    </w:p>
    <w:p>
      <w:pPr>
        <w:ind w:left="8020"/>
        <w:spacing w:after="0"/>
        <w:tabs>
          <w:tab w:leader="none" w:pos="83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0"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Peter Federico</w:t>
      </w:r>
    </w:p>
    <w:p>
      <w:pPr>
        <w:jc w:val="center"/>
        <w:ind w:left="618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 and</w:t>
      </w:r>
    </w:p>
    <w:p>
      <w:pPr>
        <w:spacing w:after="0" w:line="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Executive Vice President (Principal Financial Officer)</w:t>
      </w:r>
    </w:p>
    <w:p>
      <w:pPr>
        <w:spacing w:after="0" w:line="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576" w:right="2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July 1, 2016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PERSONAL AND CONFIDENTIAL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Aaron Pas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Redacted]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Aaron:</w:t>
      </w:r>
    </w:p>
    <w:p>
      <w:pPr>
        <w:spacing w:after="0" w:line="229"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Purchase and Sale Agreement, dated as of May 23, 2016, by and among American Capital Asset Management, LLC, American Capital Mortgage Management,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American Capital, Ltd. and American Capital Agency Corp., the Company has approved the payment of two retention bonuses to you. This letter agreement sets forth the terms and conditions of these two retention bonuses, including the requirements that you must meet in order to receive each of them.</w:t>
      </w:r>
    </w:p>
    <w:p>
      <w:pPr>
        <w:spacing w:after="0" w:line="180"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Amount and Payment</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40" w:right="60" w:hanging="484"/>
        <w:spacing w:after="0" w:line="241" w:lineRule="auto"/>
        <w:tabs>
          <w:tab w:leader="none" w:pos="11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you remain continuously employed with the Company or any of its subsidiaries or affiliates from the date hereof until March 1, 2017 (the “</w:t>
      </w:r>
      <w:r>
        <w:rPr>
          <w:rFonts w:ascii="Times New Roman" w:cs="Times New Roman" w:eastAsia="Times New Roman" w:hAnsi="Times New Roman"/>
          <w:sz w:val="20"/>
          <w:szCs w:val="20"/>
          <w:u w:val="single" w:color="auto"/>
          <w:color w:val="auto"/>
        </w:rPr>
        <w:t>First Vesting Date</w:t>
      </w:r>
      <w:r>
        <w:rPr>
          <w:rFonts w:ascii="Times New Roman" w:cs="Times New Roman" w:eastAsia="Times New Roman" w:hAnsi="Times New Roman"/>
          <w:sz w:val="20"/>
          <w:szCs w:val="20"/>
          <w:color w:val="auto"/>
        </w:rPr>
        <w:t>”), you will be entitled to receive a bonus in an amount equal to $398,437.50 (the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Retention Bonus</w:t>
      </w:r>
      <w:r>
        <w:rPr>
          <w:rFonts w:ascii="Times New Roman" w:cs="Times New Roman" w:eastAsia="Times New Roman" w:hAnsi="Times New Roman"/>
          <w:sz w:val="20"/>
          <w:szCs w:val="20"/>
          <w:color w:val="auto"/>
        </w:rPr>
        <w:t>”), which will be paid to you in a lump sum in cash within thirty (30) days following the First Vesting Date. Except as described in Section 1(b), if your employment terminates for any reason prior to the First Vesting Date, you will not be entitled to receive the First Retention Bonus.</w:t>
      </w:r>
    </w:p>
    <w:p>
      <w:pPr>
        <w:spacing w:after="0" w:line="187" w:lineRule="exact"/>
        <w:rPr>
          <w:rFonts w:ascii="Times New Roman" w:cs="Times New Roman" w:eastAsia="Times New Roman" w:hAnsi="Times New Roman"/>
          <w:sz w:val="20"/>
          <w:szCs w:val="20"/>
          <w:color w:val="auto"/>
        </w:rPr>
      </w:pPr>
    </w:p>
    <w:p>
      <w:pPr>
        <w:ind w:left="1140" w:right="140" w:firstLine="651"/>
        <w:spacing w:after="0" w:line="247" w:lineRule="auto"/>
        <w:tabs>
          <w:tab w:leader="none" w:pos="208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remain continuously employed with the Company or any of its subsidiaries or affiliates from the date hereof until March 1, 2018 (the “</w:t>
      </w:r>
      <w:r>
        <w:rPr>
          <w:rFonts w:ascii="Times New Roman" w:cs="Times New Roman" w:eastAsia="Times New Roman" w:hAnsi="Times New Roman"/>
          <w:sz w:val="20"/>
          <w:szCs w:val="20"/>
          <w:u w:val="single" w:color="auto"/>
          <w:color w:val="auto"/>
        </w:rPr>
        <w:t>Second Vesting Date</w:t>
      </w:r>
      <w:r>
        <w:rPr>
          <w:rFonts w:ascii="Times New Roman" w:cs="Times New Roman" w:eastAsia="Times New Roman" w:hAnsi="Times New Roman"/>
          <w:sz w:val="20"/>
          <w:szCs w:val="20"/>
          <w:color w:val="auto"/>
        </w:rPr>
        <w:t>”), you will be entitled to receive a bonus in an amount equal to $398,437.50 (the “</w:t>
      </w:r>
      <w:r>
        <w:rPr>
          <w:rFonts w:ascii="Times New Roman" w:cs="Times New Roman" w:eastAsia="Times New Roman" w:hAnsi="Times New Roman"/>
          <w:sz w:val="20"/>
          <w:szCs w:val="20"/>
          <w:u w:val="single" w:color="auto"/>
          <w:color w:val="auto"/>
        </w:rPr>
        <w:t>Second Retention Bonus</w:t>
      </w:r>
      <w:r>
        <w:rPr>
          <w:rFonts w:ascii="Times New Roman" w:cs="Times New Roman" w:eastAsia="Times New Roman" w:hAnsi="Times New Roman"/>
          <w:sz w:val="20"/>
          <w:szCs w:val="20"/>
          <w:color w:val="auto"/>
        </w:rPr>
        <w:t>”), which will be paid to you in a lump sum in cash within thirty (30) days following the Second Vesting Date. Except as described in Section 1(b), if your employment terminates for any reason prior to the Second Vesting Date, you will not be entitled to receive the Second Retention Bonus.</w:t>
      </w:r>
    </w:p>
    <w:p>
      <w:pPr>
        <w:spacing w:after="0" w:line="180" w:lineRule="exact"/>
        <w:rPr>
          <w:rFonts w:ascii="Times New Roman" w:cs="Times New Roman" w:eastAsia="Times New Roman" w:hAnsi="Times New Roman"/>
          <w:sz w:val="20"/>
          <w:szCs w:val="20"/>
          <w:color w:val="auto"/>
        </w:rPr>
      </w:pPr>
    </w:p>
    <w:p>
      <w:pPr>
        <w:ind w:left="1140" w:hanging="484"/>
        <w:spacing w:after="0" w:line="242" w:lineRule="auto"/>
        <w:tabs>
          <w:tab w:leader="none" w:pos="11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Sections 1(a)(i) and 1(a)(ii), if (i) your employment with the Company or any of its subsidiaries or affiliates terminates after the date hereof but prior to the Second Vesting Date as a result of a Termination Without Cause (as defined below) and (ii) prior to the sixtieth (60th) day following such Termination Without Cause you execute a general release of claims, in a form to be provided to you by the Company within fifteen (15) days following such Termination Without Cause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any applicable revocation period expires during such sixty (60) day period without you revoking the Release, you will be entitled to receive the First Retention Bonus (to the extent not already paid pursuant to Section 1(a)(i)) and the Second Retention Bonus, which will be paid to you in an aggregate lump sum cash payment on the first payroll date following the date on which the Release becomes irrevocable. If you do not execute the Release in accordance with the preceding sentence, or, if permitted, you revoke the Release after executing it, you will not be entitled to receive the First Retention Bonus or the Second Retention Bonus pursuant to this Section 1(b).</w:t>
      </w:r>
    </w:p>
    <w:p>
      <w:pPr>
        <w:spacing w:after="0" w:line="193" w:lineRule="exact"/>
        <w:rPr>
          <w:rFonts w:ascii="Times New Roman" w:cs="Times New Roman" w:eastAsia="Times New Roman" w:hAnsi="Times New Roman"/>
          <w:sz w:val="20"/>
          <w:szCs w:val="20"/>
          <w:color w:val="auto"/>
        </w:rPr>
      </w:pPr>
    </w:p>
    <w:p>
      <w:pPr>
        <w:ind w:left="660" w:right="120" w:hanging="652"/>
        <w:spacing w:after="0" w:line="244"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w:t>
      </w:r>
      <w:r>
        <w:rPr>
          <w:rFonts w:ascii="Times New Roman" w:cs="Times New Roman" w:eastAsia="Times New Roman" w:hAnsi="Times New Roman"/>
          <w:sz w:val="20"/>
          <w:szCs w:val="20"/>
          <w:color w:val="auto"/>
        </w:rPr>
        <w:t xml:space="preserve">. For purposes of this letter agreement, “Termination Without Cause” means the termination by the Company or any of its subsidiaries or affiliates of your employment for any reason, other than as a result of your death or permanent disability (as determined by the Company) or (a) your commission of or engagement in an act of fraud, embezzlement, sexual harassment, dishonesty or theft in connection with your duties to the Company or any of its subsidiaries or affiliates, (b) your conviction of, or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with respect to, any act of criminal misconduct, involving any financial crime or act of moral turpitude, (c) your gross negligence or willful misconduct with respect to the Company or any of its subsidiaries or affiliates, (d) your insubordination or failure to follow the directions of the individual(s)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2" w:right="239" w:bottom="1440" w:gutter="0" w:footer="0" w:header="0"/>
        </w:sectPr>
      </w:pPr>
    </w:p>
    <w:bookmarkStart w:id="56" w:name="page57"/>
    <w:bookmarkEnd w:id="56"/>
    <w:p>
      <w:pPr>
        <w:ind w:left="652" w:right="680"/>
        <w:spacing w:after="0" w:line="268" w:lineRule="auto"/>
        <w:rPr>
          <w:sz w:val="20"/>
          <w:szCs w:val="20"/>
          <w:color w:val="auto"/>
        </w:rPr>
      </w:pPr>
      <w:r>
        <w:rPr>
          <w:rFonts w:ascii="Times New Roman" w:cs="Times New Roman" w:eastAsia="Times New Roman" w:hAnsi="Times New Roman"/>
          <w:sz w:val="20"/>
          <w:szCs w:val="20"/>
          <w:color w:val="auto"/>
        </w:rPr>
        <w:t>to whom you report, which is not cured within ten (10) days after written notice thereof to you or (e) your breach of a material employment policy of the Company or any of its subsidiaries or affiliates, including the Code of Ethics.</w:t>
      </w:r>
    </w:p>
    <w:p>
      <w:pPr>
        <w:spacing w:after="0" w:line="1" w:lineRule="exact"/>
        <w:rPr>
          <w:sz w:val="20"/>
          <w:szCs w:val="20"/>
          <w:color w:val="auto"/>
        </w:rPr>
      </w:pPr>
    </w:p>
    <w:p>
      <w:pPr>
        <w:ind w:left="652" w:right="40" w:hanging="652"/>
        <w:spacing w:after="0"/>
        <w:tabs>
          <w:tab w:leader="none" w:pos="65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any of its subsidiaries or affiliates may withhold from the First Retention Bonus or the Second Retention Bonus all federal, state, city or other taxes as the Company or such subsidiary or affiliate is required to withhold pursuant to any applicable law, regulation or ruling. Notwithstanding any other provision of this letter agreement, neither the Company nor any of its subsidiaries or affiliates shall be obligated to guarantee any particular tax result for you with respect to the First Retention Bonus or the Second Retention Bonus, and you shall be responsible for any taxes imposed on you with respect to any such payment.</w:t>
      </w:r>
    </w:p>
    <w:p>
      <w:pPr>
        <w:spacing w:after="0" w:line="4" w:lineRule="exact"/>
        <w:rPr>
          <w:rFonts w:ascii="Times New Roman" w:cs="Times New Roman" w:eastAsia="Times New Roman" w:hAnsi="Times New Roman"/>
          <w:sz w:val="20"/>
          <w:szCs w:val="20"/>
          <w:color w:val="auto"/>
        </w:rPr>
      </w:pPr>
    </w:p>
    <w:p>
      <w:pPr>
        <w:ind w:left="652" w:hanging="652"/>
        <w:spacing w:after="0" w:line="239" w:lineRule="auto"/>
        <w:tabs>
          <w:tab w:leader="none" w:pos="65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The provisions of this letter agreement are confidential. You shall not disclose, publicize or discuss any of the terms or conditions of the First Retention Bonus or the Second Retention Bonus with anyone except your spouse, if any, or your attorney, financial advisor and/or tax advisor to the extent necessary for such advisor to render appropriate legal, financial or tax advice. In the event you disclose any of the terms or conditions of the First Retention Bonus or the Second Retention Bonus to your spouse, attorney, financial advisor and/or tax advisor, it shall be your duty to advise such persons of the confidential nature of the First Retention Bonus or the Second Retention Bonus and to direct them not to disclose, publicize or discuss any of the terms or conditions of the First Retention Bonus or the Second Retention Bonus with any other person.</w:t>
      </w:r>
    </w:p>
    <w:p>
      <w:pPr>
        <w:spacing w:after="0" w:line="3" w:lineRule="exact"/>
        <w:rPr>
          <w:rFonts w:ascii="Times New Roman" w:cs="Times New Roman" w:eastAsia="Times New Roman" w:hAnsi="Times New Roman"/>
          <w:sz w:val="20"/>
          <w:szCs w:val="20"/>
          <w:color w:val="auto"/>
        </w:rPr>
      </w:pPr>
    </w:p>
    <w:p>
      <w:pPr>
        <w:jc w:val="both"/>
        <w:ind w:left="652" w:right="100" w:hanging="652"/>
        <w:spacing w:after="0" w:line="242" w:lineRule="auto"/>
        <w:tabs>
          <w:tab w:leader="none" w:pos="65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Complete Agreement</w:t>
      </w:r>
      <w:r>
        <w:rPr>
          <w:rFonts w:ascii="Times New Roman" w:cs="Times New Roman" w:eastAsia="Times New Roman" w:hAnsi="Times New Roman"/>
          <w:sz w:val="20"/>
          <w:szCs w:val="20"/>
          <w:color w:val="auto"/>
        </w:rPr>
        <w:t>. This letter agreement embodies the complete agreement and understanding between the parties with respect to the subject matter hereof and effective as of its date supersedes and preempts any prior understandings, agreements or representations by or between the parties, written or oral, which may have related to the subject matter hereof in any way.</w:t>
      </w:r>
    </w:p>
    <w:p>
      <w:pPr>
        <w:spacing w:after="0" w:line="21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32"/>
          </w:cols>
          <w:pgMar w:left="248" w:top="589" w:right="31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Please be aware that this letter agreement does not constitute an offer or guarantee of ongoing employment with the Company or any of its subsidiaries or affiliates for any period of time, and you will remain an at-will employee of the Company. Please indicate your agreement to the terms set forth herein by executing this letter agreement in the space provided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thank you for your contributions and look forward to our future endeavors together.</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AMERICAN CAPITAL MORTGAGE MANAGEMENT, LLC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w:t>
      </w:r>
      <w:r>
        <w:rPr>
          <w:rFonts w:ascii="Times New Roman" w:cs="Times New Roman" w:eastAsia="Times New Roman" w:hAnsi="Times New Roman"/>
          <w:sz w:val="20"/>
          <w:szCs w:val="20"/>
          <w:u w:val="single" w:color="auto"/>
          <w:color w:val="auto"/>
        </w:rPr>
        <w:t>/s/ Gary Kain</w:t>
      </w:r>
      <w:r>
        <w:rPr>
          <w:rFonts w:ascii="Times New Roman" w:cs="Times New Roman" w:eastAsia="Times New Roman" w:hAnsi="Times New Roman"/>
          <w:sz w:val="20"/>
          <w:szCs w:val="20"/>
          <w:color w:val="auto"/>
        </w:rPr>
        <w:t>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Gary Kain</w:t>
      </w:r>
    </w:p>
    <w:p>
      <w:pPr>
        <w:spacing w:after="0" w:line="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Chief Executive Officer, President &amp; Chief Investment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Aaron Pas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Aaron Pas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576" w:right="2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February 23, 2017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Kenneth Pollack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Ken:</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letter amends and restates your offer letter for the position of Senior Vice President, General Counsel, Chief Compliance Officer &amp; Secretary of AGNC Mortgage Management,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AMM</w:t>
      </w:r>
      <w:r>
        <w:rPr>
          <w:rFonts w:ascii="Times New Roman" w:cs="Times New Roman" w:eastAsia="Times New Roman" w:hAnsi="Times New Roman"/>
          <w:sz w:val="20"/>
          <w:szCs w:val="20"/>
          <w:color w:val="auto"/>
        </w:rPr>
        <w:t>”), reporting to Gary Kain, Chief Executive Officer, President &amp; Chief Investment Officer. In this role, you also serve as Senior Vice President, General Counsel, Chief Compliance Officer &amp; Secretary of AGNC Investment Corp. (“</w:t>
      </w:r>
      <w:r>
        <w:rPr>
          <w:rFonts w:ascii="Times New Roman" w:cs="Times New Roman" w:eastAsia="Times New Roman" w:hAnsi="Times New Roman"/>
          <w:sz w:val="20"/>
          <w:szCs w:val="20"/>
          <w:u w:val="single" w:color="auto"/>
          <w:color w:val="auto"/>
        </w:rPr>
        <w:t>AGNC</w:t>
      </w:r>
      <w:r>
        <w:rPr>
          <w:rFonts w:ascii="Times New Roman" w:cs="Times New Roman" w:eastAsia="Times New Roman" w:hAnsi="Times New Roman"/>
          <w:sz w:val="20"/>
          <w:szCs w:val="20"/>
          <w:color w:val="auto"/>
        </w:rPr>
        <w:t>”). You are also expected to continue to serve as Senior Vice President, Chief Compliance Officer and Secretary of MTGE Investment Corp. (“</w:t>
      </w:r>
      <w:r>
        <w:rPr>
          <w:rFonts w:ascii="Times New Roman" w:cs="Times New Roman" w:eastAsia="Times New Roman" w:hAnsi="Times New Roman"/>
          <w:sz w:val="20"/>
          <w:szCs w:val="20"/>
          <w:u w:val="single" w:color="auto"/>
          <w:color w:val="auto"/>
        </w:rPr>
        <w:t>MTGE</w:t>
      </w:r>
      <w:r>
        <w:rPr>
          <w:rFonts w:ascii="Times New Roman" w:cs="Times New Roman" w:eastAsia="Times New Roman" w:hAnsi="Times New Roman"/>
          <w:sz w:val="20"/>
          <w:szCs w:val="20"/>
          <w:color w:val="auto"/>
        </w:rPr>
        <w:t>”), which is managed by a subsidiary of the Company. This letter sets out the amended and restated terms of your employment with the Company to be effective March 1, 2017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will expire if not accepted in writing prior to the close of business on February 28, 2017.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competitive total rewards package is a cornerstone of our commitment to investing in your success and includes the following:</w:t>
      </w:r>
    </w:p>
    <w:p>
      <w:pPr>
        <w:spacing w:after="0" w:line="21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Semi-monthly salary of $17,708.34, which is equivalent to an annual salary of $425,000 (as in effect from time to time, “</w:t>
      </w: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7"/>
          <w:szCs w:val="17"/>
          <w:color w:val="auto"/>
        </w:rPr>
      </w:pPr>
    </w:p>
    <w:p>
      <w:pPr>
        <w:jc w:val="both"/>
        <w:ind w:left="660" w:hanging="328"/>
        <w:spacing w:after="0" w:line="24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Participation in the Company’s cash bonus program, which will allow you to earn a target annual bonus of 100% of your Base Salary (the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Any portion of the Target Bonus to which you become entitled for a calendar year would be paid by March 15 of the following year. Bonuses will be based on both the overall performance of the Company and your individual performance on a variety of measures, and remain subject to the complete discretion of Company management and the Board of Directors of AGNC or its designee.</w:t>
      </w:r>
    </w:p>
    <w:p>
      <w:pPr>
        <w:spacing w:after="0" w:line="180" w:lineRule="exact"/>
        <w:rPr>
          <w:rFonts w:ascii="Times New Roman" w:cs="Times New Roman" w:eastAsia="Times New Roman" w:hAnsi="Times New Roman"/>
          <w:sz w:val="18"/>
          <w:szCs w:val="18"/>
          <w:color w:val="auto"/>
        </w:rPr>
      </w:pPr>
    </w:p>
    <w:p>
      <w:pPr>
        <w:jc w:val="both"/>
        <w:ind w:left="66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the foregoing, you will be entitled to a bonus under the program attributable to calendar year 2017 (the “</w:t>
      </w:r>
      <w:r>
        <w:rPr>
          <w:rFonts w:ascii="Times New Roman" w:cs="Times New Roman" w:eastAsia="Times New Roman" w:hAnsi="Times New Roman"/>
          <w:sz w:val="20"/>
          <w:szCs w:val="20"/>
          <w:u w:val="single" w:color="auto"/>
          <w:color w:val="auto"/>
        </w:rPr>
        <w:t>Guaranteed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2017 Bonus</w:t>
      </w:r>
      <w:r>
        <w:rPr>
          <w:rFonts w:ascii="Times New Roman" w:cs="Times New Roman" w:eastAsia="Times New Roman" w:hAnsi="Times New Roman"/>
          <w:sz w:val="20"/>
          <w:szCs w:val="20"/>
          <w:color w:val="auto"/>
        </w:rPr>
        <w:t>”) of no less than 75% of your Base Salary actually earned from the Company in such calendar year; provided that in the event you voluntarily terminate your employment with the Company (other than for “Good Reason” meaning circumstances in which your title, role or duties are materially altered or diminished or your place of employment is relocated outside of the Washington D.C. Metropolitan Area and the Company has not cured such circumstances within 15 days after written notice from you and provided that you have given the Company written notice of such circumstances no later than 30 days after first becoming aware of them) or are terminated by the Company for cause prior to January 1, 2018 or if earlier, the payment of the annual cash bonus, or portion thereof, for calendar year 2017, you will not be entitled to the Guaranteed 2017 Bonus. You may be entitled to receive a bonus greater than the amounts set forth in this paragraph if awarded or payable by the Company in accordance with its criteria for such bonuses.</w:t>
      </w:r>
    </w:p>
    <w:p>
      <w:pPr>
        <w:spacing w:after="0" w:line="186" w:lineRule="exact"/>
        <w:rPr>
          <w:rFonts w:ascii="Times New Roman" w:cs="Times New Roman" w:eastAsia="Times New Roman" w:hAnsi="Times New Roman"/>
          <w:sz w:val="18"/>
          <w:szCs w:val="18"/>
          <w:color w:val="auto"/>
        </w:rPr>
      </w:pPr>
    </w:p>
    <w:p>
      <w:pPr>
        <w:jc w:val="both"/>
        <w:ind w:left="66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offer letter, “cause” shall be deemed to exist if you: (a) commit or engage in an act of fraud, embezzlement, sexual harassment, dishonesty or theft in connection with your duties for the Company; (b) are convicted of, or plead nolo contendere with respect to, an act of criminal misconduct, involving any financial crime or an act of moral turpitude; (c) engage in an act of gross negligence or willful failure to perform in any material respect your duties or responsibilities to the Company (other than as a result of ill health or disability); and/or (d) materially breach or violate the Company’s employment policies, including its Code of Ethics; provided, however, that prior to any termination for cause under clauses (c) or (d) of this paragraph, you will have been given written notice of such matter from the Company’s Chief Executive Officer and a 15 day period to correct any such matter.</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Participation in the Company’s equity-based awards program, in the form of Restricted Stock Units. You may also be eligible to participate in the Company’s Performance Incentive Plan (the “</w:t>
      </w:r>
      <w:r>
        <w:rPr>
          <w:rFonts w:ascii="Times New Roman" w:cs="Times New Roman" w:eastAsia="Times New Roman" w:hAnsi="Times New Roman"/>
          <w:sz w:val="20"/>
          <w:szCs w:val="20"/>
          <w:u w:val="single" w:color="auto"/>
          <w:color w:val="auto"/>
        </w:rPr>
        <w:t>PIP</w:t>
      </w:r>
      <w:r>
        <w:rPr>
          <w:rFonts w:ascii="Times New Roman" w:cs="Times New Roman" w:eastAsia="Times New Roman" w:hAnsi="Times New Roman"/>
          <w:sz w:val="20"/>
          <w:szCs w:val="20"/>
          <w:color w:val="auto"/>
        </w:rPr>
        <w:t>”). For equity awards authorized after the Effective Date, the value of your annual equity awards (including any awards under the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85" w:right="239" w:bottom="1440" w:gutter="0" w:footer="0" w:header="0"/>
        </w:sectPr>
      </w:pPr>
    </w:p>
    <w:bookmarkStart w:id="59" w:name="page60"/>
    <w:bookmarkEnd w:id="59"/>
    <w:p>
      <w:pPr>
        <w:jc w:val="both"/>
        <w:ind w:left="660"/>
        <w:spacing w:after="0" w:line="273" w:lineRule="auto"/>
        <w:rPr>
          <w:sz w:val="20"/>
          <w:szCs w:val="20"/>
          <w:color w:val="auto"/>
        </w:rPr>
      </w:pPr>
      <w:r>
        <w:rPr>
          <w:rFonts w:ascii="Times New Roman" w:cs="Times New Roman" w:eastAsia="Times New Roman" w:hAnsi="Times New Roman"/>
          <w:sz w:val="20"/>
          <w:szCs w:val="20"/>
          <w:color w:val="auto"/>
        </w:rPr>
        <w:t>PIP) will be targeted at 80% of your Base Salary. It is anticipated that time-based equity awards will vest annually and equally over three years, subject to your continued employment with the Company, and will be settled in shares of AGNC or MTGE, as the case may be. All equity awards will be subject to the terms and conditions of the applicable plan documents and award agreements thereunder and may include performance conditions, and in the event of any conflict between this letter and such plan documents and award agreements, the terms of the plan documents and award agreements will control. Without limiting the foregoing, all equity awards are subject to approval by the Board of Directors of AGNC or its designee.</w:t>
      </w:r>
    </w:p>
    <w:p>
      <w:pPr>
        <w:spacing w:after="0" w:line="173" w:lineRule="exact"/>
        <w:rPr>
          <w:sz w:val="20"/>
          <w:szCs w:val="20"/>
          <w:color w:val="auto"/>
        </w:rPr>
      </w:pPr>
    </w:p>
    <w:p>
      <w:pPr>
        <w:jc w:val="both"/>
        <w:ind w:left="660" w:hanging="328"/>
        <w:spacing w:after="0" w:line="25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Participation in the Company’s Benefits program. AMM currently pays 100% of the cost of medical, dental, and vision benefits for full-time employees and their dependents. The Company will credit you with your years of service at American Capital, Ltd. (“</w:t>
      </w:r>
      <w:r>
        <w:rPr>
          <w:rFonts w:ascii="Times New Roman" w:cs="Times New Roman" w:eastAsia="Times New Roman" w:hAnsi="Times New Roman"/>
          <w:sz w:val="20"/>
          <w:szCs w:val="20"/>
          <w:u w:val="single" w:color="auto"/>
          <w:color w:val="auto"/>
        </w:rPr>
        <w:t>ACAS</w:t>
      </w:r>
      <w:r>
        <w:rPr>
          <w:rFonts w:ascii="Times New Roman" w:cs="Times New Roman" w:eastAsia="Times New Roman" w:hAnsi="Times New Roman"/>
          <w:sz w:val="20"/>
          <w:szCs w:val="20"/>
          <w:color w:val="auto"/>
        </w:rPr>
        <w:t>”) for purposes of its Benefits program.</w:t>
      </w:r>
    </w:p>
    <w:p>
      <w:pPr>
        <w:spacing w:after="0" w:line="174" w:lineRule="exact"/>
        <w:rPr>
          <w:rFonts w:ascii="Times New Roman" w:cs="Times New Roman" w:eastAsia="Times New Roman" w:hAnsi="Times New Roman"/>
          <w:sz w:val="18"/>
          <w:szCs w:val="18"/>
          <w:color w:val="auto"/>
        </w:rPr>
      </w:pPr>
    </w:p>
    <w:p>
      <w:pPr>
        <w:ind w:left="660" w:hanging="328"/>
        <w:spacing w:after="0" w:line="269"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Terms and conditions of your vacation and sick leave will be subject to the Company’s policies as in effect from time to time. The Company will credit you with your years of service at ACAS for purposes of its vacation and sick leave policies.</w:t>
      </w:r>
    </w:p>
    <w:p>
      <w:pPr>
        <w:spacing w:after="0" w:line="267"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that your employment with the Company is involuntarily terminated by the Company without cause or by you with Good Reason on or before December 31, 2017, you will be entitled to a severance payment equal to the excess, if any, of $1,050,000 over the amount of salary and bonus paid (or that has become payable) to you during your employment with the Company (the “</w:t>
      </w: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payable in a lump sum as soon as practicable (and in no event more than seventy-five (75) days) following your termination date. Your receipt of the Severance Payment is contingent on your signing a general release of claims in a form reasonably satisfactory to the Company, which will be provided to you on or as soon as possible (and in no event later than seven days) after the date of termination of employment.</w:t>
      </w:r>
    </w:p>
    <w:p>
      <w:pPr>
        <w:spacing w:after="0" w:line="2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hope this general description helps you understand some of the important terms and conditions of your employment at the Company. This letter is not to be construed as an agreement of future employment, and your employment will be at will. Please note further that all amounts payable to you as an employee are subject to applicable withholding.</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Additionally, you will be subject to certain reporting requirements with regard to your personal investing activities and the Company’s Code of Ethics and Conduct.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03" w:right="239" w:bottom="1440" w:gutter="0" w:footer="0" w:header="0"/>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20"/>
          <w:szCs w:val="20"/>
          <w:color w:val="auto"/>
        </w:rPr>
        <w:t>By accepting the offer, you agree that during the one (1) year period beginning on your separation of employment with the Company, you will not, whether for your own benefit or for the benefit of any other person, directly or indirectly, communicate with any employee of the Company or any of its affiliates in an effort to solicit, induce, or attempt to solicit or induce such employee to terminate employment with the Company or accept employment elsewhere.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believe you have been an important addition to our team and we anticipate you will continue to make significant contributions to the Company. If you have any questions please feel free to call us at any time.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Best regards,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Gary Kain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Gary Kain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Chief Executive Officer, President &amp; Chief Investment Officer</w:t>
      </w:r>
    </w:p>
    <w:p>
      <w:pPr>
        <w:spacing w:after="0"/>
        <w:rPr>
          <w:sz w:val="20"/>
          <w:szCs w:val="20"/>
          <w:color w:val="auto"/>
        </w:rPr>
      </w:pPr>
      <w:r>
        <w:rPr>
          <w:rFonts w:ascii="Times New Roman" w:cs="Times New Roman" w:eastAsia="Times New Roman" w:hAnsi="Times New Roman"/>
          <w:sz w:val="20"/>
          <w:szCs w:val="20"/>
          <w:b w:val="1"/>
          <w:bCs w:val="1"/>
          <w:color w:val="auto"/>
        </w:rPr>
        <w:t>AGNC Mortgage Management,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and accepted this 28th day of February,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____/s/ Kenneth Pollack________________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Kenneth Pollack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9" w:right="239" w:bottom="1440" w:gutter="0" w:footer="0" w:header="0"/>
        </w:sectPr>
      </w:pPr>
    </w:p>
    <w:bookmarkStart w:id="61" w:name="page62"/>
    <w:bookmarkEnd w:id="61"/>
    <w:p>
      <w:pPr>
        <w:ind w:left="10520"/>
        <w:spacing w:after="0"/>
        <w:rPr>
          <w:sz w:val="20"/>
          <w:szCs w:val="20"/>
          <w:color w:val="auto"/>
        </w:rPr>
      </w:pPr>
      <w:r>
        <w:rPr>
          <w:rFonts w:ascii="Times New Roman" w:cs="Times New Roman" w:eastAsia="Times New Roman" w:hAnsi="Times New Roman"/>
          <w:sz w:val="17"/>
          <w:szCs w:val="17"/>
          <w:color w:val="auto"/>
        </w:rPr>
        <w:t>Exhibit 31.1</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Kain, certify that:</w:t>
      </w:r>
    </w:p>
    <w:p>
      <w:pPr>
        <w:spacing w:after="0" w:line="158" w:lineRule="exact"/>
        <w:rPr>
          <w:sz w:val="20"/>
          <w:szCs w:val="20"/>
          <w:color w:val="auto"/>
        </w:rPr>
      </w:pPr>
    </w:p>
    <w:p>
      <w:pPr>
        <w:ind w:left="860" w:hanging="467"/>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00" w:hanging="440"/>
        <w:spacing w:after="0" w:line="282" w:lineRule="auto"/>
        <w:tabs>
          <w:tab w:leader="none" w:pos="1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/s/</w:t>
        <w:tab/>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34290</wp:posOffset>
            </wp:positionV>
            <wp:extent cx="23755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Gary Kain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Executive Officer, President and Chief</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Investment Officer (Principal Executive Officer)</w:t>
      </w:r>
    </w:p>
    <w:p>
      <w:pPr>
        <w:sectPr>
          <w:pgSz w:w="11900" w:h="16838" w:orient="portrait"/>
          <w:cols w:equalWidth="0" w:num="1">
            <w:col w:w="11400"/>
          </w:cols>
          <w:pgMar w:left="260" w:top="580" w:right="239" w:bottom="1440" w:gutter="0" w:footer="0" w:header="0"/>
        </w:sectPr>
      </w:pPr>
    </w:p>
    <w:bookmarkStart w:id="62" w:name="page63"/>
    <w:bookmarkEnd w:id="62"/>
    <w:p>
      <w:pPr>
        <w:ind w:left="10520"/>
        <w:spacing w:after="0"/>
        <w:rPr>
          <w:sz w:val="20"/>
          <w:szCs w:val="20"/>
          <w:color w:val="auto"/>
        </w:rPr>
      </w:pPr>
      <w:r>
        <w:rPr>
          <w:rFonts w:ascii="Times New Roman" w:cs="Times New Roman" w:eastAsia="Times New Roman" w:hAnsi="Times New Roman"/>
          <w:sz w:val="17"/>
          <w:szCs w:val="17"/>
          <w:color w:val="auto"/>
        </w:rPr>
        <w:t>Exhibit 31.2</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Federico, certify that:</w:t>
      </w:r>
    </w:p>
    <w:p>
      <w:pPr>
        <w:spacing w:after="0" w:line="158" w:lineRule="exact"/>
        <w:rPr>
          <w:sz w:val="20"/>
          <w:szCs w:val="20"/>
          <w:color w:val="auto"/>
        </w:rPr>
      </w:pPr>
    </w:p>
    <w:p>
      <w:pPr>
        <w:ind w:left="860" w:hanging="467"/>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00" w:hanging="440"/>
        <w:spacing w:after="0" w:line="282" w:lineRule="auto"/>
        <w:tabs>
          <w:tab w:leader="none" w:pos="1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34290</wp:posOffset>
            </wp:positionV>
            <wp:extent cx="2375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Peter Federico</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Financial Officer and Executive Vice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ind w:right="480" w:firstLine="324"/>
        <w:spacing w:after="0" w:line="313" w:lineRule="auto"/>
        <w:rPr>
          <w:sz w:val="20"/>
          <w:szCs w:val="20"/>
          <w:color w:val="auto"/>
        </w:rPr>
      </w:pPr>
      <w:r>
        <w:rPr>
          <w:rFonts w:ascii="Times New Roman" w:cs="Times New Roman" w:eastAsia="Times New Roman" w:hAnsi="Times New Roman"/>
          <w:sz w:val="17"/>
          <w:szCs w:val="17"/>
          <w:color w:val="auto"/>
        </w:rPr>
        <w:t>We, Gary Kain, Chief Executive Officer, President and Chief Investment Officer, and Peter Federico, Executive Vice President and Chief Financial Officer of AGNC Investment Corp. (the “Company”), certify pursuant to Section 906 of the Sarbanes-Oxley Act of 2002, 18 U.S.C. Section 1350 that:</w:t>
      </w:r>
    </w:p>
    <w:p>
      <w:pPr>
        <w:spacing w:after="0" w:line="84" w:lineRule="exact"/>
        <w:rPr>
          <w:sz w:val="20"/>
          <w:szCs w:val="20"/>
          <w:color w:val="auto"/>
        </w:rPr>
      </w:pPr>
    </w:p>
    <w:p>
      <w:pPr>
        <w:ind w:left="660" w:right="2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2017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Kain</w:t>
            </w:r>
          </w:p>
        </w:tc>
        <w:tc>
          <w:tcPr>
            <w:tcW w:w="0" w:type="dxa"/>
            <w:vAlign w:val="bottom"/>
          </w:tcPr>
          <w:p>
            <w:pPr>
              <w:spacing w:after="0"/>
              <w:rPr>
                <w:sz w:val="1"/>
                <w:szCs w:val="1"/>
                <w:color w:val="auto"/>
              </w:rPr>
            </w:pPr>
          </w:p>
        </w:tc>
      </w:t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2017</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EDERICO</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Federico</w:t>
            </w:r>
          </w:p>
        </w:tc>
        <w:tc>
          <w:tcPr>
            <w:tcW w:w="0" w:type="dxa"/>
            <w:vAlign w:val="bottom"/>
          </w:tcPr>
          <w:p>
            <w:pPr>
              <w:spacing w:after="0"/>
              <w:rPr>
                <w:sz w:val="1"/>
                <w:szCs w:val="1"/>
                <w:color w:val="auto"/>
              </w:rPr>
            </w:pPr>
          </w:p>
        </w:tc>
      </w:t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Roman"/>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4"/>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32"/>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lowerLetter"/>
      <w:start w:val="2"/>
    </w:lvl>
  </w:abstractNum>
  <w:abstractNum w:abstractNumId="38">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9">
    <w:nsid w:val="6A2342EC"/>
    <w:multiLevelType w:val="hybridMultilevel"/>
    <w:lvl w:ilvl="0">
      <w:lvlJc w:val="left"/>
      <w:lvlText w:val="%1."/>
      <w:numFmt w:val="decimal"/>
      <w:start w:val="3"/>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4"/>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2019-12-29T05:45:16Z</dcterms:created>
  <dcterms:modified xsi:type="dcterms:W3CDTF">2019-12-29T05:45:16Z</dcterms:modified>
</cp:coreProperties>
</file>