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8"/>
          <w:szCs w:val="28"/>
          <w:b w:val="1"/>
          <w:bCs w:val="1"/>
          <w:color w:val="auto"/>
        </w:rPr>
        <w:drawing>
          <wp:anchor simplePos="0" relativeHeight="251657728" behindDoc="1" locked="0" layoutInCell="0" allowOverlap="1">
            <wp:simplePos x="0" y="0"/>
            <wp:positionH relativeFrom="page">
              <wp:posOffset>214630</wp:posOffset>
            </wp:positionH>
            <wp:positionV relativeFrom="page">
              <wp:posOffset>681355</wp:posOffset>
            </wp:positionV>
            <wp:extent cx="711898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8985" cy="8255"/>
                    </a:xfrm>
                    <a:prstGeom prst="rect">
                      <a:avLst/>
                    </a:prstGeom>
                    <a:noFill/>
                  </pic:spPr>
                </pic:pic>
              </a:graphicData>
            </a:graphic>
          </wp:anchor>
        </w:drawing>
        <w:drawing>
          <wp:anchor simplePos="0" relativeHeight="251657728" behindDoc="1" locked="0" layoutInCell="0" allowOverlap="1">
            <wp:simplePos x="0" y="0"/>
            <wp:positionH relativeFrom="page">
              <wp:posOffset>214630</wp:posOffset>
            </wp:positionH>
            <wp:positionV relativeFrom="page">
              <wp:posOffset>648335</wp:posOffset>
            </wp:positionV>
            <wp:extent cx="711898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8985" cy="8255"/>
                    </a:xfrm>
                    <a:prstGeom prst="rect">
                      <a:avLst/>
                    </a:prstGeom>
                    <a:noFill/>
                  </pic:spPr>
                </pic:pic>
              </a:graphicData>
            </a:graphic>
          </wp:anchor>
        </w:drawing>
        <w:t>UNITED STATES</w:t>
      </w:r>
    </w:p>
    <w:p>
      <w:pPr>
        <w:spacing w:after="0" w:line="39" w:lineRule="exact"/>
        <w:rPr>
          <w:sz w:val="24"/>
          <w:szCs w:val="24"/>
          <w:color w:val="auto"/>
        </w:rPr>
      </w:pPr>
    </w:p>
    <w:p>
      <w:pPr>
        <w:jc w:val="center"/>
        <w:ind w:right="-19"/>
        <w:spacing w:after="0"/>
        <w:rPr>
          <w:sz w:val="20"/>
          <w:szCs w:val="20"/>
          <w:color w:val="auto"/>
        </w:rPr>
      </w:pPr>
      <w:r>
        <w:rPr>
          <w:rFonts w:ascii="Arial" w:cs="Arial" w:eastAsia="Arial" w:hAnsi="Arial"/>
          <w:sz w:val="28"/>
          <w:szCs w:val="28"/>
          <w:b w:val="1"/>
          <w:bCs w:val="1"/>
          <w:color w:val="auto"/>
        </w:rPr>
        <w:t>SECURITIES AND EXCHANGE COMMISSION</w:t>
      </w:r>
    </w:p>
    <w:p>
      <w:pPr>
        <w:spacing w:after="0" w:line="6" w:lineRule="exact"/>
        <w:rPr>
          <w:sz w:val="24"/>
          <w:szCs w:val="24"/>
          <w:color w:val="auto"/>
        </w:rPr>
      </w:pPr>
    </w:p>
    <w:p>
      <w:pPr>
        <w:jc w:val="center"/>
        <w:ind w:right="-19"/>
        <w:spacing w:after="0"/>
        <w:rPr>
          <w:sz w:val="20"/>
          <w:szCs w:val="20"/>
          <w:color w:val="auto"/>
        </w:rPr>
      </w:pPr>
      <w:r>
        <w:rPr>
          <w:rFonts w:ascii="Arial" w:cs="Arial" w:eastAsia="Arial" w:hAnsi="Arial"/>
          <w:sz w:val="19"/>
          <w:szCs w:val="19"/>
          <w:b w:val="1"/>
          <w:bCs w:val="1"/>
          <w:color w:val="auto"/>
        </w:rPr>
        <w:t>Washington, D.C. 20549</w:t>
      </w:r>
    </w:p>
    <w:p>
      <w:pPr>
        <w:spacing w:after="0" w:line="11" w:lineRule="exact"/>
        <w:rPr>
          <w:sz w:val="24"/>
          <w:szCs w:val="24"/>
          <w:color w:val="auto"/>
        </w:rPr>
      </w:pPr>
    </w:p>
    <w:p>
      <w:pPr>
        <w:ind w:left="3640"/>
        <w:spacing w:after="0"/>
        <w:rPr>
          <w:sz w:val="20"/>
          <w:szCs w:val="20"/>
          <w:color w:val="auto"/>
        </w:rPr>
      </w:pPr>
      <w:r>
        <w:rPr>
          <w:rFonts w:ascii="Arial" w:cs="Arial" w:eastAsia="Arial" w:hAnsi="Arial"/>
          <w:sz w:val="16"/>
          <w:szCs w:val="16"/>
          <w:color w:val="auto"/>
        </w:rPr>
        <w:t>__________________________________________________</w:t>
      </w:r>
    </w:p>
    <w:p>
      <w:pPr>
        <w:spacing w:after="0" w:line="14" w:lineRule="exact"/>
        <w:rPr>
          <w:sz w:val="24"/>
          <w:szCs w:val="24"/>
          <w:color w:val="auto"/>
        </w:rPr>
      </w:pPr>
    </w:p>
    <w:p>
      <w:pPr>
        <w:jc w:val="center"/>
        <w:ind w:right="-19"/>
        <w:spacing w:after="0"/>
        <w:rPr>
          <w:sz w:val="20"/>
          <w:szCs w:val="20"/>
          <w:color w:val="auto"/>
        </w:rPr>
      </w:pPr>
      <w:r>
        <w:rPr>
          <w:rFonts w:ascii="Arial" w:cs="Arial" w:eastAsia="Arial" w:hAnsi="Arial"/>
          <w:sz w:val="28"/>
          <w:szCs w:val="28"/>
          <w:b w:val="1"/>
          <w:bCs w:val="1"/>
          <w:color w:val="auto"/>
        </w:rPr>
        <w:t>FORM 8-K</w:t>
      </w:r>
    </w:p>
    <w:p>
      <w:pPr>
        <w:spacing w:after="0" w:line="17" w:lineRule="exact"/>
        <w:rPr>
          <w:sz w:val="24"/>
          <w:szCs w:val="24"/>
          <w:color w:val="auto"/>
        </w:rPr>
      </w:pPr>
    </w:p>
    <w:p>
      <w:pPr>
        <w:ind w:left="3680"/>
        <w:spacing w:after="0"/>
        <w:rPr>
          <w:sz w:val="20"/>
          <w:szCs w:val="20"/>
          <w:color w:val="auto"/>
        </w:rPr>
      </w:pPr>
      <w:r>
        <w:rPr>
          <w:rFonts w:ascii="Arial" w:cs="Arial" w:eastAsia="Arial" w:hAnsi="Arial"/>
          <w:sz w:val="16"/>
          <w:szCs w:val="16"/>
          <w:color w:val="auto"/>
        </w:rPr>
        <w:t>__________________________________________________</w:t>
      </w:r>
    </w:p>
    <w:p>
      <w:pPr>
        <w:spacing w:after="0" w:line="35" w:lineRule="exact"/>
        <w:rPr>
          <w:sz w:val="24"/>
          <w:szCs w:val="24"/>
          <w:color w:val="auto"/>
        </w:rPr>
      </w:pPr>
    </w:p>
    <w:p>
      <w:pPr>
        <w:jc w:val="center"/>
        <w:ind w:right="-79"/>
        <w:spacing w:after="0"/>
        <w:rPr>
          <w:sz w:val="20"/>
          <w:szCs w:val="20"/>
          <w:color w:val="auto"/>
        </w:rPr>
      </w:pPr>
      <w:r>
        <w:rPr>
          <w:rFonts w:ascii="Arial" w:cs="Arial" w:eastAsia="Arial" w:hAnsi="Arial"/>
          <w:sz w:val="16"/>
          <w:szCs w:val="16"/>
          <w:b w:val="1"/>
          <w:bCs w:val="1"/>
          <w:color w:val="auto"/>
        </w:rPr>
        <w:t>CURRENT REPORT</w:t>
      </w:r>
    </w:p>
    <w:p>
      <w:pPr>
        <w:spacing w:after="0" w:line="17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158"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Date of Report (Date of earliest event reported): October 25, 2021</w:t>
      </w:r>
    </w:p>
    <w:p>
      <w:pPr>
        <w:spacing w:after="0" w:line="18" w:lineRule="exact"/>
        <w:rPr>
          <w:sz w:val="24"/>
          <w:szCs w:val="24"/>
          <w:color w:val="auto"/>
        </w:rPr>
      </w:pPr>
    </w:p>
    <w:p>
      <w:pPr>
        <w:ind w:left="3660"/>
        <w:spacing w:after="0"/>
        <w:rPr>
          <w:sz w:val="20"/>
          <w:szCs w:val="20"/>
          <w:color w:val="auto"/>
        </w:rPr>
      </w:pPr>
      <w:r>
        <w:rPr>
          <w:rFonts w:ascii="Arial" w:cs="Arial" w:eastAsia="Arial" w:hAnsi="Arial"/>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2682240</wp:posOffset>
            </wp:positionH>
            <wp:positionV relativeFrom="paragraph">
              <wp:posOffset>-1905</wp:posOffset>
            </wp:positionV>
            <wp:extent cx="1786255" cy="542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6255" cy="5422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6" w:lineRule="exact"/>
        <w:rPr>
          <w:sz w:val="24"/>
          <w:szCs w:val="24"/>
          <w:color w:val="auto"/>
        </w:rPr>
      </w:pPr>
    </w:p>
    <w:p>
      <w:pPr>
        <w:jc w:val="center"/>
        <w:ind w:right="-19"/>
        <w:spacing w:after="0"/>
        <w:rPr>
          <w:sz w:val="20"/>
          <w:szCs w:val="20"/>
          <w:color w:val="auto"/>
        </w:rPr>
      </w:pPr>
      <w:r>
        <w:rPr>
          <w:rFonts w:ascii="Arial" w:cs="Arial" w:eastAsia="Arial" w:hAnsi="Arial"/>
          <w:sz w:val="35"/>
          <w:szCs w:val="35"/>
          <w:b w:val="1"/>
          <w:bCs w:val="1"/>
          <w:color w:val="auto"/>
        </w:rPr>
        <w:t>AGNC INVESTMENT CORP.</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(Exact name of registrant as specified in its charter)</w:t>
      </w:r>
    </w:p>
    <w:p>
      <w:pPr>
        <w:ind w:left="3660"/>
        <w:spacing w:after="0"/>
        <w:rPr>
          <w:sz w:val="20"/>
          <w:szCs w:val="20"/>
          <w:color w:val="auto"/>
        </w:rPr>
      </w:pPr>
      <w:r>
        <w:rPr>
          <w:rFonts w:ascii="Arial" w:cs="Arial" w:eastAsia="Arial" w:hAnsi="Arial"/>
          <w:sz w:val="16"/>
          <w:szCs w:val="16"/>
          <w:color w:val="auto"/>
        </w:rPr>
        <w:t>__________________________________________________</w:t>
      </w:r>
    </w:p>
    <w:p>
      <w:pPr>
        <w:spacing w:after="0" w:line="21" w:lineRule="exact"/>
        <w:rPr>
          <w:sz w:val="24"/>
          <w:szCs w:val="24"/>
          <w:color w:val="auto"/>
        </w:rPr>
      </w:pPr>
    </w:p>
    <w:tbl>
      <w:tblPr>
        <w:tblLayout w:type="fixed"/>
        <w:tblInd w:w="0" w:type="dxa"/>
        <w:tblCellMar>
          <w:top w:w="0" w:type="dxa"/>
          <w:left w:w="0" w:type="dxa"/>
          <w:bottom w:w="0" w:type="dxa"/>
          <w:right w:w="0" w:type="dxa"/>
        </w:tblCellMar>
      </w:tblPr>
      <w:tr>
        <w:trPr>
          <w:trHeight w:val="205"/>
        </w:trPr>
        <w:tc>
          <w:tcPr>
            <w:tcW w:w="2700" w:type="dxa"/>
            <w:vAlign w:val="bottom"/>
          </w:tcPr>
          <w:p>
            <w:pPr>
              <w:jc w:val="center"/>
              <w:ind w:left="956"/>
              <w:spacing w:after="0"/>
              <w:rPr>
                <w:sz w:val="20"/>
                <w:szCs w:val="20"/>
                <w:color w:val="auto"/>
              </w:rPr>
            </w:pPr>
            <w:r>
              <w:rPr>
                <w:rFonts w:ascii="Arial" w:cs="Arial" w:eastAsia="Arial" w:hAnsi="Arial"/>
                <w:sz w:val="16"/>
                <w:szCs w:val="16"/>
                <w:b w:val="1"/>
                <w:bCs w:val="1"/>
                <w:color w:val="auto"/>
                <w:w w:val="91"/>
              </w:rPr>
              <w:t>Delaware</w:t>
            </w:r>
          </w:p>
        </w:tc>
        <w:tc>
          <w:tcPr>
            <w:tcW w:w="5860" w:type="dxa"/>
            <w:vAlign w:val="bottom"/>
          </w:tcPr>
          <w:p>
            <w:pPr>
              <w:ind w:left="2540"/>
              <w:spacing w:after="0"/>
              <w:rPr>
                <w:sz w:val="20"/>
                <w:szCs w:val="20"/>
                <w:color w:val="auto"/>
              </w:rPr>
            </w:pPr>
            <w:r>
              <w:rPr>
                <w:rFonts w:ascii="Arial" w:cs="Arial" w:eastAsia="Arial" w:hAnsi="Arial"/>
                <w:sz w:val="16"/>
                <w:szCs w:val="16"/>
                <w:b w:val="1"/>
                <w:bCs w:val="1"/>
                <w:color w:val="auto"/>
              </w:rPr>
              <w:t>001-34057</w:t>
            </w:r>
          </w:p>
        </w:tc>
        <w:tc>
          <w:tcPr>
            <w:tcW w:w="1240" w:type="dxa"/>
            <w:vAlign w:val="bottom"/>
          </w:tcPr>
          <w:p>
            <w:pPr>
              <w:jc w:val="center"/>
              <w:ind w:left="213"/>
              <w:spacing w:after="0"/>
              <w:rPr>
                <w:sz w:val="20"/>
                <w:szCs w:val="20"/>
                <w:color w:val="auto"/>
              </w:rPr>
            </w:pPr>
            <w:r>
              <w:rPr>
                <w:rFonts w:ascii="Arial" w:cs="Arial" w:eastAsia="Arial" w:hAnsi="Arial"/>
                <w:sz w:val="16"/>
                <w:szCs w:val="16"/>
                <w:b w:val="1"/>
                <w:bCs w:val="1"/>
                <w:color w:val="auto"/>
                <w:w w:val="88"/>
              </w:rPr>
              <w:t>26-1701984</w:t>
            </w:r>
          </w:p>
        </w:tc>
        <w:tc>
          <w:tcPr>
            <w:tcW w:w="0" w:type="dxa"/>
            <w:vAlign w:val="bottom"/>
          </w:tcPr>
          <w:p>
            <w:pPr>
              <w:spacing w:after="0"/>
              <w:rPr>
                <w:sz w:val="1"/>
                <w:szCs w:val="1"/>
                <w:color w:val="auto"/>
              </w:rPr>
            </w:pPr>
          </w:p>
        </w:tc>
      </w:tr>
      <w:tr>
        <w:trPr>
          <w:trHeight w:val="125"/>
        </w:trPr>
        <w:tc>
          <w:tcPr>
            <w:tcW w:w="2700" w:type="dxa"/>
            <w:vAlign w:val="bottom"/>
          </w:tcPr>
          <w:p>
            <w:pPr>
              <w:jc w:val="center"/>
              <w:ind w:left="976"/>
              <w:spacing w:after="0" w:line="125" w:lineRule="exact"/>
              <w:rPr>
                <w:sz w:val="20"/>
                <w:szCs w:val="20"/>
                <w:color w:val="auto"/>
              </w:rPr>
            </w:pPr>
            <w:r>
              <w:rPr>
                <w:rFonts w:ascii="Arial" w:cs="Arial" w:eastAsia="Arial" w:hAnsi="Arial"/>
                <w:sz w:val="12"/>
                <w:szCs w:val="12"/>
                <w:b w:val="1"/>
                <w:bCs w:val="1"/>
                <w:color w:val="auto"/>
                <w:w w:val="92"/>
              </w:rPr>
              <w:t>(State or Other Jurisdiction of</w:t>
            </w:r>
          </w:p>
        </w:tc>
        <w:tc>
          <w:tcPr>
            <w:tcW w:w="5860" w:type="dxa"/>
            <w:vAlign w:val="bottom"/>
            <w:vMerge w:val="restart"/>
          </w:tcPr>
          <w:p>
            <w:pPr>
              <w:ind w:left="2180"/>
              <w:spacing w:after="0"/>
              <w:rPr>
                <w:sz w:val="20"/>
                <w:szCs w:val="20"/>
                <w:color w:val="auto"/>
              </w:rPr>
            </w:pPr>
            <w:r>
              <w:rPr>
                <w:rFonts w:ascii="Arial" w:cs="Arial" w:eastAsia="Arial" w:hAnsi="Arial"/>
                <w:sz w:val="12"/>
                <w:szCs w:val="12"/>
                <w:b w:val="1"/>
                <w:bCs w:val="1"/>
                <w:color w:val="auto"/>
              </w:rPr>
              <w:t>(Commission File Number)</w:t>
            </w:r>
          </w:p>
        </w:tc>
        <w:tc>
          <w:tcPr>
            <w:tcW w:w="1240" w:type="dxa"/>
            <w:vAlign w:val="bottom"/>
          </w:tcPr>
          <w:p>
            <w:pPr>
              <w:jc w:val="center"/>
              <w:ind w:left="213"/>
              <w:spacing w:after="0" w:line="125" w:lineRule="exact"/>
              <w:rPr>
                <w:sz w:val="20"/>
                <w:szCs w:val="20"/>
                <w:color w:val="auto"/>
              </w:rPr>
            </w:pPr>
            <w:r>
              <w:rPr>
                <w:rFonts w:ascii="Arial" w:cs="Arial" w:eastAsia="Arial" w:hAnsi="Arial"/>
                <w:sz w:val="12"/>
                <w:szCs w:val="12"/>
                <w:b w:val="1"/>
                <w:bCs w:val="1"/>
                <w:color w:val="auto"/>
                <w:w w:val="95"/>
              </w:rPr>
              <w:t>(I.R.S. Employer</w:t>
            </w:r>
          </w:p>
        </w:tc>
        <w:tc>
          <w:tcPr>
            <w:tcW w:w="0" w:type="dxa"/>
            <w:vAlign w:val="bottom"/>
          </w:tcPr>
          <w:p>
            <w:pPr>
              <w:spacing w:after="0"/>
              <w:rPr>
                <w:sz w:val="1"/>
                <w:szCs w:val="1"/>
                <w:color w:val="auto"/>
              </w:rPr>
            </w:pPr>
          </w:p>
        </w:tc>
      </w:tr>
      <w:tr>
        <w:trPr>
          <w:trHeight w:val="159"/>
        </w:trPr>
        <w:tc>
          <w:tcPr>
            <w:tcW w:w="2700" w:type="dxa"/>
            <w:vAlign w:val="bottom"/>
          </w:tcPr>
          <w:p>
            <w:pPr>
              <w:jc w:val="center"/>
              <w:ind w:left="956"/>
              <w:spacing w:after="0"/>
              <w:rPr>
                <w:sz w:val="20"/>
                <w:szCs w:val="20"/>
                <w:color w:val="auto"/>
              </w:rPr>
            </w:pPr>
            <w:r>
              <w:rPr>
                <w:rFonts w:ascii="Arial" w:cs="Arial" w:eastAsia="Arial" w:hAnsi="Arial"/>
                <w:sz w:val="12"/>
                <w:szCs w:val="12"/>
                <w:b w:val="1"/>
                <w:bCs w:val="1"/>
                <w:color w:val="auto"/>
                <w:w w:val="94"/>
              </w:rPr>
              <w:t>Incorporation or Organization)</w:t>
            </w:r>
          </w:p>
        </w:tc>
        <w:tc>
          <w:tcPr>
            <w:tcW w:w="5860" w:type="dxa"/>
            <w:vAlign w:val="bottom"/>
            <w:vMerge w:val="continue"/>
          </w:tcPr>
          <w:p>
            <w:pPr>
              <w:spacing w:after="0"/>
              <w:rPr>
                <w:sz w:val="13"/>
                <w:szCs w:val="13"/>
                <w:color w:val="auto"/>
              </w:rPr>
            </w:pPr>
          </w:p>
        </w:tc>
        <w:tc>
          <w:tcPr>
            <w:tcW w:w="1240" w:type="dxa"/>
            <w:vAlign w:val="bottom"/>
          </w:tcPr>
          <w:p>
            <w:pPr>
              <w:jc w:val="center"/>
              <w:ind w:left="213"/>
              <w:spacing w:after="0"/>
              <w:rPr>
                <w:sz w:val="20"/>
                <w:szCs w:val="20"/>
                <w:color w:val="auto"/>
              </w:rPr>
            </w:pPr>
            <w:r>
              <w:rPr>
                <w:rFonts w:ascii="Arial" w:cs="Arial" w:eastAsia="Arial" w:hAnsi="Arial"/>
                <w:sz w:val="12"/>
                <w:szCs w:val="12"/>
                <w:b w:val="1"/>
                <w:bCs w:val="1"/>
                <w:color w:val="auto"/>
                <w:w w:val="94"/>
              </w:rPr>
              <w:t>Identification No.)</w:t>
            </w:r>
          </w:p>
        </w:tc>
        <w:tc>
          <w:tcPr>
            <w:tcW w:w="0" w:type="dxa"/>
            <w:vAlign w:val="bottom"/>
          </w:tcPr>
          <w:p>
            <w:pPr>
              <w:spacing w:after="0"/>
              <w:rPr>
                <w:sz w:val="1"/>
                <w:szCs w:val="1"/>
                <w:color w:val="auto"/>
              </w:rPr>
            </w:pPr>
          </w:p>
        </w:tc>
      </w:tr>
      <w:tr>
        <w:trPr>
          <w:trHeight w:val="287"/>
        </w:trPr>
        <w:tc>
          <w:tcPr>
            <w:tcW w:w="2700" w:type="dxa"/>
            <w:vAlign w:val="bottom"/>
          </w:tcPr>
          <w:p>
            <w:pPr>
              <w:spacing w:after="0"/>
              <w:rPr>
                <w:sz w:val="24"/>
                <w:szCs w:val="24"/>
                <w:color w:val="auto"/>
              </w:rPr>
            </w:pPr>
          </w:p>
        </w:tc>
        <w:tc>
          <w:tcPr>
            <w:tcW w:w="5860" w:type="dxa"/>
            <w:vAlign w:val="bottom"/>
          </w:tcPr>
          <w:p>
            <w:pPr>
              <w:jc w:val="center"/>
              <w:spacing w:after="0"/>
              <w:rPr>
                <w:sz w:val="20"/>
                <w:szCs w:val="20"/>
                <w:color w:val="auto"/>
              </w:rPr>
            </w:pPr>
            <w:r>
              <w:rPr>
                <w:rFonts w:ascii="Arial" w:cs="Arial" w:eastAsia="Arial" w:hAnsi="Arial"/>
                <w:sz w:val="16"/>
                <w:szCs w:val="16"/>
                <w:b w:val="1"/>
                <w:bCs w:val="1"/>
                <w:color w:val="auto"/>
                <w:w w:val="89"/>
              </w:rPr>
              <w:t>2 Bethesda Metro Center, 12th Floor</w:t>
            </w: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0"/>
        </w:trPr>
        <w:tc>
          <w:tcPr>
            <w:tcW w:w="2700" w:type="dxa"/>
            <w:vAlign w:val="bottom"/>
          </w:tcPr>
          <w:p>
            <w:pPr>
              <w:spacing w:after="0"/>
              <w:rPr>
                <w:sz w:val="15"/>
                <w:szCs w:val="15"/>
                <w:color w:val="auto"/>
              </w:rPr>
            </w:pPr>
          </w:p>
        </w:tc>
        <w:tc>
          <w:tcPr>
            <w:tcW w:w="5860" w:type="dxa"/>
            <w:vAlign w:val="bottom"/>
          </w:tcPr>
          <w:p>
            <w:pPr>
              <w:jc w:val="center"/>
              <w:spacing w:after="0" w:line="180" w:lineRule="exact"/>
              <w:rPr>
                <w:sz w:val="20"/>
                <w:szCs w:val="20"/>
                <w:color w:val="auto"/>
              </w:rPr>
            </w:pPr>
            <w:r>
              <w:rPr>
                <w:rFonts w:ascii="Arial" w:cs="Arial" w:eastAsia="Arial" w:hAnsi="Arial"/>
                <w:sz w:val="16"/>
                <w:szCs w:val="16"/>
                <w:b w:val="1"/>
                <w:bCs w:val="1"/>
                <w:color w:val="auto"/>
                <w:w w:val="89"/>
              </w:rPr>
              <w:t>Bethesda, Maryland 20814</w:t>
            </w:r>
          </w:p>
        </w:tc>
        <w:tc>
          <w:tcPr>
            <w:tcW w:w="1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9"/>
        </w:trPr>
        <w:tc>
          <w:tcPr>
            <w:tcW w:w="2700" w:type="dxa"/>
            <w:vAlign w:val="bottom"/>
          </w:tcPr>
          <w:p>
            <w:pPr>
              <w:spacing w:after="0"/>
              <w:rPr>
                <w:sz w:val="13"/>
                <w:szCs w:val="13"/>
                <w:color w:val="auto"/>
              </w:rPr>
            </w:pPr>
          </w:p>
        </w:tc>
        <w:tc>
          <w:tcPr>
            <w:tcW w:w="5860" w:type="dxa"/>
            <w:vAlign w:val="bottom"/>
          </w:tcPr>
          <w:p>
            <w:pPr>
              <w:jc w:val="center"/>
              <w:spacing w:after="0"/>
              <w:rPr>
                <w:sz w:val="20"/>
                <w:szCs w:val="20"/>
                <w:color w:val="auto"/>
              </w:rPr>
            </w:pPr>
            <w:r>
              <w:rPr>
                <w:rFonts w:ascii="Arial" w:cs="Arial" w:eastAsia="Arial" w:hAnsi="Arial"/>
                <w:sz w:val="12"/>
                <w:szCs w:val="12"/>
                <w:b w:val="1"/>
                <w:bCs w:val="1"/>
                <w:color w:val="auto"/>
                <w:w w:val="90"/>
              </w:rPr>
              <w:t>(Address of principal executive offices)</w:t>
            </w:r>
          </w:p>
        </w:tc>
        <w:tc>
          <w:tcPr>
            <w:tcW w:w="1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71"/>
        </w:trPr>
        <w:tc>
          <w:tcPr>
            <w:tcW w:w="2700" w:type="dxa"/>
            <w:vAlign w:val="bottom"/>
          </w:tcPr>
          <w:p>
            <w:pPr>
              <w:spacing w:after="0"/>
              <w:rPr>
                <w:sz w:val="24"/>
                <w:szCs w:val="24"/>
                <w:color w:val="auto"/>
              </w:rPr>
            </w:pPr>
          </w:p>
        </w:tc>
        <w:tc>
          <w:tcPr>
            <w:tcW w:w="5860" w:type="dxa"/>
            <w:vAlign w:val="bottom"/>
          </w:tcPr>
          <w:p>
            <w:pPr>
              <w:jc w:val="center"/>
              <w:spacing w:after="0"/>
              <w:rPr>
                <w:sz w:val="20"/>
                <w:szCs w:val="20"/>
                <w:color w:val="auto"/>
              </w:rPr>
            </w:pPr>
            <w:r>
              <w:rPr>
                <w:rFonts w:ascii="Arial" w:cs="Arial" w:eastAsia="Arial" w:hAnsi="Arial"/>
                <w:sz w:val="12"/>
                <w:szCs w:val="12"/>
                <w:b w:val="1"/>
                <w:bCs w:val="1"/>
                <w:color w:val="auto"/>
                <w:w w:val="90"/>
              </w:rPr>
              <w:t>Registrant’s telephone number, including area code:</w:t>
            </w: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2700" w:type="dxa"/>
            <w:vAlign w:val="bottom"/>
          </w:tcPr>
          <w:p>
            <w:pPr>
              <w:spacing w:after="0"/>
              <w:rPr>
                <w:sz w:val="17"/>
                <w:szCs w:val="17"/>
                <w:color w:val="auto"/>
              </w:rPr>
            </w:pPr>
          </w:p>
        </w:tc>
        <w:tc>
          <w:tcPr>
            <w:tcW w:w="5860" w:type="dxa"/>
            <w:vAlign w:val="bottom"/>
          </w:tcPr>
          <w:p>
            <w:pPr>
              <w:jc w:val="center"/>
              <w:spacing w:after="0"/>
              <w:rPr>
                <w:sz w:val="20"/>
                <w:szCs w:val="20"/>
                <w:color w:val="auto"/>
              </w:rPr>
            </w:pPr>
            <w:r>
              <w:rPr>
                <w:rFonts w:ascii="Arial" w:cs="Arial" w:eastAsia="Arial" w:hAnsi="Arial"/>
                <w:sz w:val="16"/>
                <w:szCs w:val="16"/>
                <w:b w:val="1"/>
                <w:bCs w:val="1"/>
                <w:color w:val="auto"/>
                <w:w w:val="89"/>
              </w:rPr>
              <w:t>(301) 968-9300</w:t>
            </w: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96"/>
        </w:trPr>
        <w:tc>
          <w:tcPr>
            <w:tcW w:w="2700" w:type="dxa"/>
            <w:vAlign w:val="bottom"/>
          </w:tcPr>
          <w:p>
            <w:pPr>
              <w:spacing w:after="0"/>
              <w:rPr>
                <w:sz w:val="24"/>
                <w:szCs w:val="24"/>
                <w:color w:val="auto"/>
              </w:rPr>
            </w:pPr>
          </w:p>
        </w:tc>
        <w:tc>
          <w:tcPr>
            <w:tcW w:w="5860" w:type="dxa"/>
            <w:vAlign w:val="bottom"/>
          </w:tcPr>
          <w:p>
            <w:pPr>
              <w:jc w:val="center"/>
              <w:spacing w:after="0"/>
              <w:rPr>
                <w:sz w:val="20"/>
                <w:szCs w:val="20"/>
                <w:color w:val="auto"/>
              </w:rPr>
            </w:pPr>
            <w:r>
              <w:rPr>
                <w:rFonts w:ascii="Arial" w:cs="Arial" w:eastAsia="Arial" w:hAnsi="Arial"/>
                <w:sz w:val="16"/>
                <w:szCs w:val="16"/>
                <w:b w:val="1"/>
                <w:bCs w:val="1"/>
                <w:color w:val="auto"/>
              </w:rPr>
              <w:t>N/A</w:t>
            </w: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0"/>
        </w:trPr>
        <w:tc>
          <w:tcPr>
            <w:tcW w:w="2700" w:type="dxa"/>
            <w:vAlign w:val="bottom"/>
          </w:tcPr>
          <w:p>
            <w:pPr>
              <w:spacing w:after="0"/>
              <w:rPr>
                <w:sz w:val="13"/>
                <w:szCs w:val="13"/>
                <w:color w:val="auto"/>
              </w:rPr>
            </w:pPr>
          </w:p>
        </w:tc>
        <w:tc>
          <w:tcPr>
            <w:tcW w:w="5860" w:type="dxa"/>
            <w:vAlign w:val="bottom"/>
          </w:tcPr>
          <w:p>
            <w:pPr>
              <w:jc w:val="center"/>
              <w:spacing w:after="0"/>
              <w:rPr>
                <w:sz w:val="20"/>
                <w:szCs w:val="20"/>
                <w:color w:val="auto"/>
              </w:rPr>
            </w:pPr>
            <w:r>
              <w:rPr>
                <w:rFonts w:ascii="Arial" w:cs="Arial" w:eastAsia="Arial" w:hAnsi="Arial"/>
                <w:sz w:val="12"/>
                <w:szCs w:val="12"/>
                <w:b w:val="1"/>
                <w:bCs w:val="1"/>
                <w:color w:val="auto"/>
                <w:w w:val="91"/>
              </w:rPr>
              <w:t>(Former name or former address, if changed since last report)</w:t>
            </w:r>
          </w:p>
        </w:tc>
        <w:tc>
          <w:tcPr>
            <w:tcW w:w="12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2700" w:type="dxa"/>
            <w:vAlign w:val="bottom"/>
          </w:tcPr>
          <w:p>
            <w:pPr>
              <w:spacing w:after="0"/>
              <w:rPr>
                <w:sz w:val="19"/>
                <w:szCs w:val="19"/>
                <w:color w:val="auto"/>
              </w:rPr>
            </w:pPr>
          </w:p>
        </w:tc>
        <w:tc>
          <w:tcPr>
            <w:tcW w:w="5860" w:type="dxa"/>
            <w:vAlign w:val="bottom"/>
          </w:tcPr>
          <w:p>
            <w:pPr>
              <w:ind w:left="760"/>
              <w:spacing w:after="0"/>
              <w:rPr>
                <w:sz w:val="20"/>
                <w:szCs w:val="20"/>
                <w:color w:val="auto"/>
              </w:rPr>
            </w:pPr>
            <w:r>
              <w:rPr>
                <w:rFonts w:ascii="Arial" w:cs="Arial" w:eastAsia="Arial" w:hAnsi="Arial"/>
                <w:sz w:val="18"/>
                <w:szCs w:val="18"/>
                <w:color w:val="auto"/>
              </w:rPr>
              <w:t>__________________________________________________</w:t>
            </w:r>
          </w:p>
        </w:tc>
        <w:tc>
          <w:tcPr>
            <w:tcW w:w="1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6"/>
        </w:trPr>
        <w:tc>
          <w:tcPr>
            <w:tcW w:w="8560" w:type="dxa"/>
            <w:vAlign w:val="bottom"/>
            <w:gridSpan w:val="2"/>
          </w:tcPr>
          <w:p>
            <w:pPr>
              <w:spacing w:after="0"/>
              <w:rPr>
                <w:sz w:val="20"/>
                <w:szCs w:val="20"/>
                <w:color w:val="auto"/>
              </w:rPr>
            </w:pPr>
            <w:r>
              <w:rPr>
                <w:rFonts w:ascii="Arial" w:cs="Arial" w:eastAsia="Arial" w:hAnsi="Arial"/>
                <w:sz w:val="12"/>
                <w:szCs w:val="12"/>
                <w:color w:val="auto"/>
                <w:w w:val="98"/>
              </w:rPr>
              <w:t>Check the appropriate box below if the Form 8-K filing is intended to simultaneously satisfy the filing obligation of the registrant under any of the following provisions:</w:t>
            </w: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7"/>
        </w:trPr>
        <w:tc>
          <w:tcPr>
            <w:tcW w:w="2700" w:type="dxa"/>
            <w:vAlign w:val="bottom"/>
          </w:tcPr>
          <w:p>
            <w:pPr>
              <w:ind w:left="180"/>
              <w:spacing w:after="0" w:line="121" w:lineRule="exact"/>
              <w:rPr>
                <w:sz w:val="20"/>
                <w:szCs w:val="20"/>
                <w:color w:val="auto"/>
              </w:rPr>
            </w:pPr>
            <w:r>
              <w:rPr>
                <w:rFonts w:ascii="MS PGothic" w:cs="MS PGothic" w:eastAsia="MS PGothic" w:hAnsi="MS PGothic"/>
                <w:sz w:val="12"/>
                <w:szCs w:val="12"/>
                <w:color w:val="auto"/>
              </w:rPr>
              <w:t>☐</w:t>
            </w:r>
          </w:p>
        </w:tc>
        <w:tc>
          <w:tcPr>
            <w:tcW w:w="5860" w:type="dxa"/>
            <w:vAlign w:val="bottom"/>
          </w:tcPr>
          <w:p>
            <w:pPr>
              <w:spacing w:after="0"/>
              <w:rPr>
                <w:sz w:val="20"/>
                <w:szCs w:val="20"/>
                <w:color w:val="auto"/>
              </w:rPr>
            </w:pPr>
            <w:r>
              <w:rPr>
                <w:rFonts w:ascii="Arial" w:cs="Arial" w:eastAsia="Arial" w:hAnsi="Arial"/>
                <w:sz w:val="12"/>
                <w:szCs w:val="12"/>
                <w:color w:val="auto"/>
              </w:rPr>
              <w:t>Written communications pursuant to Rule 425 under the Securities Act (17 CFR 230.425)</w:t>
            </w:r>
          </w:p>
        </w:tc>
        <w:tc>
          <w:tcPr>
            <w:tcW w:w="1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2700" w:type="dxa"/>
            <w:vAlign w:val="bottom"/>
          </w:tcPr>
          <w:p>
            <w:pPr>
              <w:ind w:left="180"/>
              <w:spacing w:after="0" w:line="121" w:lineRule="exact"/>
              <w:rPr>
                <w:sz w:val="20"/>
                <w:szCs w:val="20"/>
                <w:color w:val="auto"/>
              </w:rPr>
            </w:pPr>
            <w:r>
              <w:rPr>
                <w:rFonts w:ascii="MS PGothic" w:cs="MS PGothic" w:eastAsia="MS PGothic" w:hAnsi="MS PGothic"/>
                <w:sz w:val="12"/>
                <w:szCs w:val="12"/>
                <w:color w:val="auto"/>
              </w:rPr>
              <w:t>☐</w:t>
            </w:r>
          </w:p>
        </w:tc>
        <w:tc>
          <w:tcPr>
            <w:tcW w:w="5860" w:type="dxa"/>
            <w:vAlign w:val="bottom"/>
          </w:tcPr>
          <w:p>
            <w:pPr>
              <w:spacing w:after="0"/>
              <w:rPr>
                <w:sz w:val="20"/>
                <w:szCs w:val="20"/>
                <w:color w:val="auto"/>
              </w:rPr>
            </w:pPr>
            <w:r>
              <w:rPr>
                <w:rFonts w:ascii="Arial" w:cs="Arial" w:eastAsia="Arial" w:hAnsi="Arial"/>
                <w:sz w:val="12"/>
                <w:szCs w:val="12"/>
                <w:color w:val="auto"/>
              </w:rPr>
              <w:t>Soliciting material pursuant to Rule 14a-12 under the Exchange Act (17 CFR 240.14a-12)</w:t>
            </w: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700" w:type="dxa"/>
            <w:vAlign w:val="bottom"/>
          </w:tcPr>
          <w:p>
            <w:pPr>
              <w:ind w:left="180"/>
              <w:spacing w:after="0" w:line="121" w:lineRule="exact"/>
              <w:rPr>
                <w:sz w:val="20"/>
                <w:szCs w:val="20"/>
                <w:color w:val="auto"/>
              </w:rPr>
            </w:pPr>
            <w:r>
              <w:rPr>
                <w:rFonts w:ascii="MS PGothic" w:cs="MS PGothic" w:eastAsia="MS PGothic" w:hAnsi="MS PGothic"/>
                <w:sz w:val="12"/>
                <w:szCs w:val="12"/>
                <w:color w:val="auto"/>
              </w:rPr>
              <w:t>☐</w:t>
            </w:r>
          </w:p>
        </w:tc>
        <w:tc>
          <w:tcPr>
            <w:tcW w:w="5860" w:type="dxa"/>
            <w:vAlign w:val="bottom"/>
          </w:tcPr>
          <w:p>
            <w:pPr>
              <w:spacing w:after="0"/>
              <w:rPr>
                <w:sz w:val="20"/>
                <w:szCs w:val="20"/>
                <w:color w:val="auto"/>
              </w:rPr>
            </w:pPr>
            <w:r>
              <w:rPr>
                <w:rFonts w:ascii="Arial" w:cs="Arial" w:eastAsia="Arial" w:hAnsi="Arial"/>
                <w:sz w:val="12"/>
                <w:szCs w:val="12"/>
                <w:color w:val="auto"/>
                <w:w w:val="98"/>
              </w:rPr>
              <w:t xml:space="preserve">Pre-commencement communications pursuant to Rule 14d-2(b) under the Exchange Act </w:t>
            </w:r>
            <w:r>
              <w:rPr>
                <w:rFonts w:ascii="Arial" w:cs="Arial" w:eastAsia="Arial" w:hAnsi="Arial"/>
                <w:sz w:val="12"/>
                <w:szCs w:val="12"/>
                <w:i w:val="1"/>
                <w:iCs w:val="1"/>
                <w:color w:val="auto"/>
                <w:w w:val="98"/>
              </w:rPr>
              <w:t>(</w:t>
            </w:r>
            <w:r>
              <w:rPr>
                <w:rFonts w:ascii="Arial" w:cs="Arial" w:eastAsia="Arial" w:hAnsi="Arial"/>
                <w:sz w:val="12"/>
                <w:szCs w:val="12"/>
                <w:color w:val="auto"/>
                <w:w w:val="98"/>
              </w:rPr>
              <w:t>17 CFR 240.14d-2(b))</w:t>
            </w: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700" w:type="dxa"/>
            <w:vAlign w:val="bottom"/>
          </w:tcPr>
          <w:p>
            <w:pPr>
              <w:ind w:left="180"/>
              <w:spacing w:after="0" w:line="121" w:lineRule="exact"/>
              <w:rPr>
                <w:sz w:val="20"/>
                <w:szCs w:val="20"/>
                <w:color w:val="auto"/>
              </w:rPr>
            </w:pPr>
            <w:r>
              <w:rPr>
                <w:rFonts w:ascii="MS PGothic" w:cs="MS PGothic" w:eastAsia="MS PGothic" w:hAnsi="MS PGothic"/>
                <w:sz w:val="12"/>
                <w:szCs w:val="12"/>
                <w:color w:val="auto"/>
              </w:rPr>
              <w:t>☐</w:t>
            </w:r>
          </w:p>
        </w:tc>
        <w:tc>
          <w:tcPr>
            <w:tcW w:w="5860" w:type="dxa"/>
            <w:vAlign w:val="bottom"/>
          </w:tcPr>
          <w:p>
            <w:pPr>
              <w:spacing w:after="0"/>
              <w:rPr>
                <w:sz w:val="20"/>
                <w:szCs w:val="20"/>
                <w:color w:val="auto"/>
              </w:rPr>
            </w:pPr>
            <w:r>
              <w:rPr>
                <w:rFonts w:ascii="Arial" w:cs="Arial" w:eastAsia="Arial" w:hAnsi="Arial"/>
                <w:sz w:val="12"/>
                <w:szCs w:val="12"/>
                <w:color w:val="auto"/>
                <w:w w:val="98"/>
              </w:rPr>
              <w:t>Pre-commencement communications pursuant to Rule 13e-4(c) under the Exchange Act (17 CFR 240.13e-4(c))</w:t>
            </w:r>
          </w:p>
        </w:tc>
        <w:tc>
          <w:tcPr>
            <w:tcW w:w="124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133" w:lineRule="exact"/>
        <w:rPr>
          <w:sz w:val="24"/>
          <w:szCs w:val="24"/>
          <w:color w:val="auto"/>
        </w:rPr>
      </w:pPr>
    </w:p>
    <w:tbl>
      <w:tblPr>
        <w:tblLayout w:type="fixed"/>
        <w:tblInd w:w="0" w:type="dxa"/>
        <w:tblCellMar>
          <w:top w:w="0" w:type="dxa"/>
          <w:left w:w="0" w:type="dxa"/>
          <w:bottom w:w="0" w:type="dxa"/>
          <w:right w:w="0" w:type="dxa"/>
        </w:tblCellMar>
      </w:tblPr>
      <w:tr>
        <w:trPr>
          <w:trHeight w:val="155"/>
        </w:trPr>
        <w:tc>
          <w:tcPr>
            <w:tcW w:w="5280" w:type="dxa"/>
            <w:vAlign w:val="bottom"/>
            <w:gridSpan w:val="3"/>
          </w:tcPr>
          <w:p>
            <w:pPr>
              <w:spacing w:after="0"/>
              <w:rPr>
                <w:sz w:val="20"/>
                <w:szCs w:val="20"/>
                <w:color w:val="auto"/>
              </w:rPr>
            </w:pPr>
            <w:r>
              <w:rPr>
                <w:rFonts w:ascii="Arial" w:cs="Arial" w:eastAsia="Arial" w:hAnsi="Arial"/>
                <w:sz w:val="12"/>
                <w:szCs w:val="12"/>
                <w:color w:val="auto"/>
              </w:rPr>
              <w:t>Securities registered pursuant to Section 12(b) of the Act:</w:t>
            </w:r>
          </w:p>
        </w:tc>
        <w:tc>
          <w:tcPr>
            <w:tcW w:w="1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60" w:type="dxa"/>
            <w:vAlign w:val="bottom"/>
          </w:tcPr>
          <w:p>
            <w:pPr>
              <w:spacing w:after="0"/>
              <w:rPr>
                <w:sz w:val="13"/>
                <w:szCs w:val="13"/>
                <w:color w:val="auto"/>
              </w:rPr>
            </w:pPr>
          </w:p>
        </w:tc>
      </w:tr>
      <w:tr>
        <w:trPr>
          <w:trHeight w:val="194"/>
        </w:trPr>
        <w:tc>
          <w:tcPr>
            <w:tcW w:w="40" w:type="dxa"/>
            <w:vAlign w:val="bottom"/>
          </w:tcPr>
          <w:p>
            <w:pPr>
              <w:spacing w:after="0"/>
              <w:rPr>
                <w:sz w:val="16"/>
                <w:szCs w:val="16"/>
                <w:color w:val="auto"/>
              </w:rPr>
            </w:pPr>
          </w:p>
        </w:tc>
        <w:tc>
          <w:tcPr>
            <w:tcW w:w="5240" w:type="dxa"/>
            <w:vAlign w:val="bottom"/>
            <w:gridSpan w:val="2"/>
          </w:tcPr>
          <w:p>
            <w:pPr>
              <w:jc w:val="center"/>
              <w:ind w:right="140"/>
              <w:spacing w:after="0"/>
              <w:rPr>
                <w:sz w:val="20"/>
                <w:szCs w:val="20"/>
                <w:color w:val="auto"/>
              </w:rPr>
            </w:pPr>
            <w:r>
              <w:rPr>
                <w:rFonts w:ascii="Arial" w:cs="Arial" w:eastAsia="Arial" w:hAnsi="Arial"/>
                <w:sz w:val="12"/>
                <w:szCs w:val="12"/>
                <w:b w:val="1"/>
                <w:bCs w:val="1"/>
                <w:color w:val="auto"/>
                <w:w w:val="91"/>
              </w:rPr>
              <w:t>Title of Each Class</w:t>
            </w:r>
          </w:p>
        </w:tc>
        <w:tc>
          <w:tcPr>
            <w:tcW w:w="1680" w:type="dxa"/>
            <w:vAlign w:val="bottom"/>
            <w:gridSpan w:val="2"/>
          </w:tcPr>
          <w:p>
            <w:pPr>
              <w:jc w:val="center"/>
              <w:ind w:right="120"/>
              <w:spacing w:after="0"/>
              <w:rPr>
                <w:sz w:val="20"/>
                <w:szCs w:val="20"/>
                <w:color w:val="auto"/>
              </w:rPr>
            </w:pPr>
            <w:r>
              <w:rPr>
                <w:rFonts w:ascii="Arial" w:cs="Arial" w:eastAsia="Arial" w:hAnsi="Arial"/>
                <w:sz w:val="12"/>
                <w:szCs w:val="12"/>
                <w:b w:val="1"/>
                <w:bCs w:val="1"/>
                <w:color w:val="auto"/>
                <w:w w:val="91"/>
              </w:rPr>
              <w:t>Trading Symbol(s)</w:t>
            </w:r>
          </w:p>
        </w:tc>
        <w:tc>
          <w:tcPr>
            <w:tcW w:w="4260" w:type="dxa"/>
            <w:vAlign w:val="bottom"/>
          </w:tcPr>
          <w:p>
            <w:pPr>
              <w:jc w:val="center"/>
              <w:spacing w:after="0"/>
              <w:rPr>
                <w:sz w:val="20"/>
                <w:szCs w:val="20"/>
                <w:color w:val="auto"/>
              </w:rPr>
            </w:pPr>
            <w:r>
              <w:rPr>
                <w:rFonts w:ascii="Arial" w:cs="Arial" w:eastAsia="Arial" w:hAnsi="Arial"/>
                <w:sz w:val="12"/>
                <w:szCs w:val="12"/>
                <w:b w:val="1"/>
                <w:bCs w:val="1"/>
                <w:color w:val="auto"/>
                <w:w w:val="91"/>
              </w:rPr>
              <w:t>Name of Exchange on Which Registered</w:t>
            </w:r>
          </w:p>
        </w:tc>
      </w:tr>
      <w:tr>
        <w:trPr>
          <w:trHeight w:val="155"/>
        </w:trPr>
        <w:tc>
          <w:tcPr>
            <w:tcW w:w="40" w:type="dxa"/>
            <w:vAlign w:val="bottom"/>
          </w:tcPr>
          <w:p>
            <w:pPr>
              <w:spacing w:after="0"/>
              <w:rPr>
                <w:sz w:val="13"/>
                <w:szCs w:val="13"/>
                <w:color w:val="auto"/>
              </w:rPr>
            </w:pPr>
          </w:p>
        </w:tc>
        <w:tc>
          <w:tcPr>
            <w:tcW w:w="5140" w:type="dxa"/>
            <w:vAlign w:val="bottom"/>
            <w:tcBorders>
              <w:top w:val="single" w:sz="8" w:color="auto"/>
            </w:tcBorders>
          </w:tcPr>
          <w:p>
            <w:pPr>
              <w:jc w:val="center"/>
              <w:spacing w:after="0"/>
              <w:rPr>
                <w:sz w:val="20"/>
                <w:szCs w:val="20"/>
                <w:color w:val="auto"/>
              </w:rPr>
            </w:pPr>
            <w:r>
              <w:rPr>
                <w:rFonts w:ascii="Arial" w:cs="Arial" w:eastAsia="Arial" w:hAnsi="Arial"/>
                <w:sz w:val="12"/>
                <w:szCs w:val="12"/>
                <w:color w:val="auto"/>
                <w:w w:val="91"/>
              </w:rPr>
              <w:t>Common Stock, par value $0.01 per share</w:t>
            </w:r>
          </w:p>
        </w:tc>
        <w:tc>
          <w:tcPr>
            <w:tcW w:w="100" w:type="dxa"/>
            <w:vAlign w:val="bottom"/>
          </w:tcPr>
          <w:p>
            <w:pPr>
              <w:spacing w:after="0"/>
              <w:rPr>
                <w:sz w:val="13"/>
                <w:szCs w:val="13"/>
                <w:color w:val="auto"/>
              </w:rPr>
            </w:pPr>
          </w:p>
        </w:tc>
        <w:tc>
          <w:tcPr>
            <w:tcW w:w="1580" w:type="dxa"/>
            <w:vAlign w:val="bottom"/>
            <w:tcBorders>
              <w:top w:val="single" w:sz="8" w:color="auto"/>
            </w:tcBorders>
          </w:tcPr>
          <w:p>
            <w:pPr>
              <w:jc w:val="center"/>
              <w:spacing w:after="0"/>
              <w:rPr>
                <w:sz w:val="20"/>
                <w:szCs w:val="20"/>
                <w:color w:val="auto"/>
              </w:rPr>
            </w:pPr>
            <w:r>
              <w:rPr>
                <w:rFonts w:ascii="Arial" w:cs="Arial" w:eastAsia="Arial" w:hAnsi="Arial"/>
                <w:sz w:val="12"/>
                <w:szCs w:val="12"/>
                <w:color w:val="auto"/>
              </w:rPr>
              <w:t>AGNC</w:t>
            </w:r>
          </w:p>
        </w:tc>
        <w:tc>
          <w:tcPr>
            <w:tcW w:w="100" w:type="dxa"/>
            <w:vAlign w:val="bottom"/>
          </w:tcPr>
          <w:p>
            <w:pPr>
              <w:spacing w:after="0"/>
              <w:rPr>
                <w:sz w:val="13"/>
                <w:szCs w:val="13"/>
                <w:color w:val="auto"/>
              </w:rPr>
            </w:pPr>
          </w:p>
        </w:tc>
        <w:tc>
          <w:tcPr>
            <w:tcW w:w="4260" w:type="dxa"/>
            <w:vAlign w:val="bottom"/>
            <w:tcBorders>
              <w:top w:val="single" w:sz="8" w:color="auto"/>
            </w:tcBorders>
          </w:tcPr>
          <w:p>
            <w:pPr>
              <w:jc w:val="center"/>
              <w:spacing w:after="0"/>
              <w:rPr>
                <w:sz w:val="20"/>
                <w:szCs w:val="20"/>
                <w:color w:val="auto"/>
              </w:rPr>
            </w:pPr>
            <w:r>
              <w:rPr>
                <w:rFonts w:ascii="Arial" w:cs="Arial" w:eastAsia="Arial" w:hAnsi="Arial"/>
                <w:sz w:val="12"/>
                <w:szCs w:val="12"/>
                <w:color w:val="auto"/>
                <w:w w:val="92"/>
              </w:rPr>
              <w:t>The Nasdaq Global Select Market</w:t>
            </w:r>
          </w:p>
        </w:tc>
      </w:tr>
      <w:tr>
        <w:trPr>
          <w:trHeight w:val="170"/>
        </w:trPr>
        <w:tc>
          <w:tcPr>
            <w:tcW w:w="40" w:type="dxa"/>
            <w:vAlign w:val="bottom"/>
          </w:tcPr>
          <w:p>
            <w:pPr>
              <w:spacing w:after="0"/>
              <w:rPr>
                <w:sz w:val="14"/>
                <w:szCs w:val="14"/>
                <w:color w:val="auto"/>
              </w:rPr>
            </w:pPr>
          </w:p>
        </w:tc>
        <w:tc>
          <w:tcPr>
            <w:tcW w:w="5240" w:type="dxa"/>
            <w:vAlign w:val="bottom"/>
            <w:gridSpan w:val="2"/>
          </w:tcPr>
          <w:p>
            <w:pPr>
              <w:jc w:val="center"/>
              <w:ind w:right="120"/>
              <w:spacing w:after="0"/>
              <w:rPr>
                <w:sz w:val="20"/>
                <w:szCs w:val="20"/>
                <w:color w:val="auto"/>
              </w:rPr>
            </w:pPr>
            <w:r>
              <w:rPr>
                <w:rFonts w:ascii="Arial" w:cs="Arial" w:eastAsia="Arial" w:hAnsi="Arial"/>
                <w:sz w:val="12"/>
                <w:szCs w:val="12"/>
                <w:color w:val="auto"/>
                <w:w w:val="92"/>
              </w:rPr>
              <w:t>Depositary shares of 7.000% Series C Fixed-to-Floating Rate Cumulative Redeemable Preferred Stock</w:t>
            </w:r>
          </w:p>
        </w:tc>
        <w:tc>
          <w:tcPr>
            <w:tcW w:w="1680" w:type="dxa"/>
            <w:vAlign w:val="bottom"/>
            <w:gridSpan w:val="2"/>
          </w:tcPr>
          <w:p>
            <w:pPr>
              <w:jc w:val="center"/>
              <w:ind w:right="120"/>
              <w:spacing w:after="0"/>
              <w:rPr>
                <w:sz w:val="20"/>
                <w:szCs w:val="20"/>
                <w:color w:val="auto"/>
              </w:rPr>
            </w:pPr>
            <w:r>
              <w:rPr>
                <w:rFonts w:ascii="Arial" w:cs="Arial" w:eastAsia="Arial" w:hAnsi="Arial"/>
                <w:sz w:val="12"/>
                <w:szCs w:val="12"/>
                <w:color w:val="auto"/>
              </w:rPr>
              <w:t>AGNCN</w:t>
            </w:r>
          </w:p>
        </w:tc>
        <w:tc>
          <w:tcPr>
            <w:tcW w:w="4260" w:type="dxa"/>
            <w:vAlign w:val="bottom"/>
          </w:tcPr>
          <w:p>
            <w:pPr>
              <w:jc w:val="center"/>
              <w:spacing w:after="0"/>
              <w:rPr>
                <w:sz w:val="20"/>
                <w:szCs w:val="20"/>
                <w:color w:val="auto"/>
              </w:rPr>
            </w:pPr>
            <w:r>
              <w:rPr>
                <w:rFonts w:ascii="Arial" w:cs="Arial" w:eastAsia="Arial" w:hAnsi="Arial"/>
                <w:sz w:val="12"/>
                <w:szCs w:val="12"/>
                <w:color w:val="auto"/>
                <w:w w:val="92"/>
              </w:rPr>
              <w:t>The Nasdaq Global Select Market</w:t>
            </w:r>
          </w:p>
        </w:tc>
      </w:tr>
      <w:tr>
        <w:trPr>
          <w:trHeight w:val="171"/>
        </w:trPr>
        <w:tc>
          <w:tcPr>
            <w:tcW w:w="40" w:type="dxa"/>
            <w:vAlign w:val="bottom"/>
          </w:tcPr>
          <w:p>
            <w:pPr>
              <w:spacing w:after="0"/>
              <w:rPr>
                <w:sz w:val="14"/>
                <w:szCs w:val="14"/>
                <w:color w:val="auto"/>
              </w:rPr>
            </w:pPr>
          </w:p>
        </w:tc>
        <w:tc>
          <w:tcPr>
            <w:tcW w:w="5240" w:type="dxa"/>
            <w:vAlign w:val="bottom"/>
            <w:gridSpan w:val="2"/>
          </w:tcPr>
          <w:p>
            <w:pPr>
              <w:jc w:val="center"/>
              <w:ind w:right="140"/>
              <w:spacing w:after="0"/>
              <w:rPr>
                <w:sz w:val="20"/>
                <w:szCs w:val="20"/>
                <w:color w:val="auto"/>
              </w:rPr>
            </w:pPr>
            <w:r>
              <w:rPr>
                <w:rFonts w:ascii="Arial" w:cs="Arial" w:eastAsia="Arial" w:hAnsi="Arial"/>
                <w:sz w:val="12"/>
                <w:szCs w:val="12"/>
                <w:color w:val="auto"/>
                <w:w w:val="92"/>
              </w:rPr>
              <w:t>Depositary shares of 6.875% Series D Fixed-to-Floating Rate Cumulative Redeemable Preferred Stock</w:t>
            </w:r>
          </w:p>
        </w:tc>
        <w:tc>
          <w:tcPr>
            <w:tcW w:w="1680" w:type="dxa"/>
            <w:vAlign w:val="bottom"/>
            <w:gridSpan w:val="2"/>
          </w:tcPr>
          <w:p>
            <w:pPr>
              <w:jc w:val="center"/>
              <w:ind w:right="140"/>
              <w:spacing w:after="0"/>
              <w:rPr>
                <w:sz w:val="20"/>
                <w:szCs w:val="20"/>
                <w:color w:val="auto"/>
              </w:rPr>
            </w:pPr>
            <w:r>
              <w:rPr>
                <w:rFonts w:ascii="Arial" w:cs="Arial" w:eastAsia="Arial" w:hAnsi="Arial"/>
                <w:sz w:val="12"/>
                <w:szCs w:val="12"/>
                <w:color w:val="auto"/>
              </w:rPr>
              <w:t>AGNCM</w:t>
            </w:r>
          </w:p>
        </w:tc>
        <w:tc>
          <w:tcPr>
            <w:tcW w:w="4260" w:type="dxa"/>
            <w:vAlign w:val="bottom"/>
          </w:tcPr>
          <w:p>
            <w:pPr>
              <w:jc w:val="center"/>
              <w:spacing w:after="0"/>
              <w:rPr>
                <w:sz w:val="20"/>
                <w:szCs w:val="20"/>
                <w:color w:val="auto"/>
              </w:rPr>
            </w:pPr>
            <w:r>
              <w:rPr>
                <w:rFonts w:ascii="Arial" w:cs="Arial" w:eastAsia="Arial" w:hAnsi="Arial"/>
                <w:sz w:val="12"/>
                <w:szCs w:val="12"/>
                <w:color w:val="auto"/>
                <w:w w:val="92"/>
              </w:rPr>
              <w:t>The Nasdaq Global Select Market</w:t>
            </w:r>
          </w:p>
        </w:tc>
      </w:tr>
      <w:tr>
        <w:trPr>
          <w:trHeight w:val="171"/>
        </w:trPr>
        <w:tc>
          <w:tcPr>
            <w:tcW w:w="40" w:type="dxa"/>
            <w:vAlign w:val="bottom"/>
          </w:tcPr>
          <w:p>
            <w:pPr>
              <w:spacing w:after="0"/>
              <w:rPr>
                <w:sz w:val="14"/>
                <w:szCs w:val="14"/>
                <w:color w:val="auto"/>
              </w:rPr>
            </w:pPr>
          </w:p>
        </w:tc>
        <w:tc>
          <w:tcPr>
            <w:tcW w:w="5240" w:type="dxa"/>
            <w:vAlign w:val="bottom"/>
            <w:gridSpan w:val="2"/>
          </w:tcPr>
          <w:p>
            <w:pPr>
              <w:jc w:val="center"/>
              <w:ind w:right="140"/>
              <w:spacing w:after="0"/>
              <w:rPr>
                <w:sz w:val="20"/>
                <w:szCs w:val="20"/>
                <w:color w:val="auto"/>
              </w:rPr>
            </w:pPr>
            <w:r>
              <w:rPr>
                <w:rFonts w:ascii="Arial" w:cs="Arial" w:eastAsia="Arial" w:hAnsi="Arial"/>
                <w:sz w:val="12"/>
                <w:szCs w:val="12"/>
                <w:color w:val="auto"/>
                <w:w w:val="92"/>
              </w:rPr>
              <w:t>Depositary shares of 6.50% Series E Fixed-to-Floating Rate Cumulative Redeemable Preferred Stock</w:t>
            </w:r>
          </w:p>
        </w:tc>
        <w:tc>
          <w:tcPr>
            <w:tcW w:w="1680" w:type="dxa"/>
            <w:vAlign w:val="bottom"/>
            <w:gridSpan w:val="2"/>
          </w:tcPr>
          <w:p>
            <w:pPr>
              <w:jc w:val="center"/>
              <w:ind w:right="120"/>
              <w:spacing w:after="0"/>
              <w:rPr>
                <w:sz w:val="20"/>
                <w:szCs w:val="20"/>
                <w:color w:val="auto"/>
              </w:rPr>
            </w:pPr>
            <w:r>
              <w:rPr>
                <w:rFonts w:ascii="Arial" w:cs="Arial" w:eastAsia="Arial" w:hAnsi="Arial"/>
                <w:sz w:val="12"/>
                <w:szCs w:val="12"/>
                <w:color w:val="auto"/>
                <w:w w:val="99"/>
              </w:rPr>
              <w:t>AGNCO</w:t>
            </w:r>
          </w:p>
        </w:tc>
        <w:tc>
          <w:tcPr>
            <w:tcW w:w="4260" w:type="dxa"/>
            <w:vAlign w:val="bottom"/>
          </w:tcPr>
          <w:p>
            <w:pPr>
              <w:jc w:val="center"/>
              <w:spacing w:after="0"/>
              <w:rPr>
                <w:sz w:val="20"/>
                <w:szCs w:val="20"/>
                <w:color w:val="auto"/>
              </w:rPr>
            </w:pPr>
            <w:r>
              <w:rPr>
                <w:rFonts w:ascii="Arial" w:cs="Arial" w:eastAsia="Arial" w:hAnsi="Arial"/>
                <w:sz w:val="12"/>
                <w:szCs w:val="12"/>
                <w:color w:val="auto"/>
                <w:w w:val="92"/>
              </w:rPr>
              <w:t>The Nasdaq Global Select Market</w:t>
            </w:r>
          </w:p>
        </w:tc>
      </w:tr>
      <w:tr>
        <w:trPr>
          <w:trHeight w:val="171"/>
        </w:trPr>
        <w:tc>
          <w:tcPr>
            <w:tcW w:w="40" w:type="dxa"/>
            <w:vAlign w:val="bottom"/>
          </w:tcPr>
          <w:p>
            <w:pPr>
              <w:spacing w:after="0"/>
              <w:rPr>
                <w:sz w:val="14"/>
                <w:szCs w:val="14"/>
                <w:color w:val="auto"/>
              </w:rPr>
            </w:pPr>
          </w:p>
        </w:tc>
        <w:tc>
          <w:tcPr>
            <w:tcW w:w="5240" w:type="dxa"/>
            <w:vAlign w:val="bottom"/>
            <w:gridSpan w:val="2"/>
          </w:tcPr>
          <w:p>
            <w:pPr>
              <w:jc w:val="center"/>
              <w:ind w:right="120"/>
              <w:spacing w:after="0"/>
              <w:rPr>
                <w:sz w:val="20"/>
                <w:szCs w:val="20"/>
                <w:color w:val="auto"/>
              </w:rPr>
            </w:pPr>
            <w:r>
              <w:rPr>
                <w:rFonts w:ascii="Arial" w:cs="Arial" w:eastAsia="Arial" w:hAnsi="Arial"/>
                <w:sz w:val="12"/>
                <w:szCs w:val="12"/>
                <w:color w:val="auto"/>
                <w:w w:val="92"/>
              </w:rPr>
              <w:t>Depositary shares of 6.125% Series F Fixed-to-Floating Rate Cumulative Redeemable Preferred Stock</w:t>
            </w:r>
          </w:p>
        </w:tc>
        <w:tc>
          <w:tcPr>
            <w:tcW w:w="1680" w:type="dxa"/>
            <w:vAlign w:val="bottom"/>
            <w:gridSpan w:val="2"/>
          </w:tcPr>
          <w:p>
            <w:pPr>
              <w:jc w:val="center"/>
              <w:ind w:right="120"/>
              <w:spacing w:after="0"/>
              <w:rPr>
                <w:sz w:val="20"/>
                <w:szCs w:val="20"/>
                <w:color w:val="auto"/>
              </w:rPr>
            </w:pPr>
            <w:r>
              <w:rPr>
                <w:rFonts w:ascii="Arial" w:cs="Arial" w:eastAsia="Arial" w:hAnsi="Arial"/>
                <w:sz w:val="12"/>
                <w:szCs w:val="12"/>
                <w:color w:val="auto"/>
                <w:w w:val="93"/>
              </w:rPr>
              <w:t>AGNCP</w:t>
            </w:r>
          </w:p>
        </w:tc>
        <w:tc>
          <w:tcPr>
            <w:tcW w:w="4260" w:type="dxa"/>
            <w:vAlign w:val="bottom"/>
          </w:tcPr>
          <w:p>
            <w:pPr>
              <w:jc w:val="center"/>
              <w:spacing w:after="0"/>
              <w:rPr>
                <w:sz w:val="20"/>
                <w:szCs w:val="20"/>
                <w:color w:val="auto"/>
              </w:rPr>
            </w:pPr>
            <w:r>
              <w:rPr>
                <w:rFonts w:ascii="Arial" w:cs="Arial" w:eastAsia="Arial" w:hAnsi="Arial"/>
                <w:sz w:val="12"/>
                <w:szCs w:val="12"/>
                <w:color w:val="auto"/>
                <w:w w:val="92"/>
              </w:rPr>
              <w:t>The Nasdaq Global Select Market</w:t>
            </w:r>
          </w:p>
        </w:tc>
      </w:tr>
    </w:tbl>
    <w:p>
      <w:pPr>
        <w:spacing w:after="0" w:line="147" w:lineRule="exact"/>
        <w:rPr>
          <w:sz w:val="24"/>
          <w:szCs w:val="24"/>
          <w:color w:val="auto"/>
        </w:rPr>
      </w:pPr>
    </w:p>
    <w:p>
      <w:pPr>
        <w:ind w:left="20" w:right="2440"/>
        <w:spacing w:after="0" w:line="237" w:lineRule="auto"/>
        <w:rPr>
          <w:sz w:val="20"/>
          <w:szCs w:val="20"/>
          <w:color w:val="auto"/>
        </w:rPr>
      </w:pPr>
      <w:r>
        <w:rPr>
          <w:rFonts w:ascii="Arial" w:cs="Arial" w:eastAsia="Arial" w:hAnsi="Arial"/>
          <w:sz w:val="12"/>
          <w:szCs w:val="12"/>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99" w:lineRule="exact"/>
        <w:rPr>
          <w:sz w:val="24"/>
          <w:szCs w:val="24"/>
          <w:color w:val="auto"/>
        </w:rPr>
      </w:pPr>
    </w:p>
    <w:p>
      <w:pPr>
        <w:ind w:left="20"/>
        <w:spacing w:after="0" w:line="138" w:lineRule="exact"/>
        <w:tabs>
          <w:tab w:leader="none" w:pos="2180" w:val="left"/>
        </w:tabs>
        <w:rPr>
          <w:sz w:val="20"/>
          <w:szCs w:val="20"/>
          <w:color w:val="auto"/>
        </w:rPr>
      </w:pPr>
      <w:r>
        <w:rPr>
          <w:rFonts w:ascii="Arial" w:cs="Arial" w:eastAsia="Arial" w:hAnsi="Arial"/>
          <w:sz w:val="12"/>
          <w:szCs w:val="12"/>
          <w:color w:val="auto"/>
        </w:rPr>
        <w:t>Emerging Growth Company</w:t>
      </w:r>
      <w:r>
        <w:rPr>
          <w:sz w:val="20"/>
          <w:szCs w:val="20"/>
          <w:color w:val="auto"/>
        </w:rPr>
        <w:tab/>
      </w:r>
      <w:r>
        <w:rPr>
          <w:rFonts w:ascii="MS PGothic" w:cs="MS PGothic" w:eastAsia="MS PGothic" w:hAnsi="MS PGothic"/>
          <w:sz w:val="10"/>
          <w:szCs w:val="10"/>
          <w:color w:val="auto"/>
        </w:rPr>
        <w:t>☐</w:t>
      </w:r>
    </w:p>
    <w:p>
      <w:pPr>
        <w:spacing w:after="0" w:line="147" w:lineRule="exact"/>
        <w:rPr>
          <w:sz w:val="24"/>
          <w:szCs w:val="24"/>
          <w:color w:val="auto"/>
        </w:rPr>
      </w:pPr>
    </w:p>
    <w:p>
      <w:pPr>
        <w:ind w:right="200"/>
        <w:spacing w:after="0" w:line="281" w:lineRule="auto"/>
        <w:rPr>
          <w:sz w:val="20"/>
          <w:szCs w:val="20"/>
          <w:color w:val="auto"/>
        </w:rPr>
      </w:pPr>
      <w:r>
        <w:rPr>
          <w:rFonts w:ascii="Arial" w:cs="Arial" w:eastAsia="Arial" w:hAnsi="Arial"/>
          <w:sz w:val="12"/>
          <w:szCs w:val="12"/>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709295</wp:posOffset>
            </wp:positionV>
            <wp:extent cx="7161530" cy="419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61530" cy="41910"/>
                    </a:xfrm>
                    <a:prstGeom prst="rect">
                      <a:avLst/>
                    </a:prstGeom>
                    <a:noFill/>
                  </pic:spPr>
                </pic:pic>
              </a:graphicData>
            </a:graphic>
          </wp:anchor>
        </w:drawing>
        <w:drawing>
          <wp:anchor simplePos="0" relativeHeight="251657728" behindDoc="1" locked="0" layoutInCell="0" allowOverlap="1">
            <wp:simplePos x="0" y="0"/>
            <wp:positionH relativeFrom="column">
              <wp:posOffset>278765</wp:posOffset>
            </wp:positionH>
            <wp:positionV relativeFrom="paragraph">
              <wp:posOffset>104140</wp:posOffset>
            </wp:positionV>
            <wp:extent cx="69221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22135" cy="8255"/>
                    </a:xfrm>
                    <a:prstGeom prst="rect">
                      <a:avLst/>
                    </a:prstGeom>
                    <a:noFill/>
                  </pic:spPr>
                </pic:pic>
              </a:graphicData>
            </a:graphic>
          </wp:anchor>
        </w:drawing>
        <w:drawing>
          <wp:anchor simplePos="0" relativeHeight="251657728" behindDoc="1" locked="0" layoutInCell="0" allowOverlap="1">
            <wp:simplePos x="0" y="0"/>
            <wp:positionH relativeFrom="column">
              <wp:posOffset>278765</wp:posOffset>
            </wp:positionH>
            <wp:positionV relativeFrom="paragraph">
              <wp:posOffset>71120</wp:posOffset>
            </wp:positionV>
            <wp:extent cx="69221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22135" cy="8255"/>
                    </a:xfrm>
                    <a:prstGeom prst="rect">
                      <a:avLst/>
                    </a:prstGeom>
                    <a:noFill/>
                  </pic:spPr>
                </pic:pic>
              </a:graphicData>
            </a:graphic>
          </wp:anchor>
        </w:drawing>
      </w:r>
    </w:p>
    <w:p>
      <w:pPr>
        <w:sectPr>
          <w:pgSz w:w="11900" w:h="16838" w:orient="portrait"/>
          <w:cols w:equalWidth="0" w:num="1">
            <w:col w:w="11220"/>
          </w:cols>
          <w:pgMar w:left="320" w:top="1146" w:right="35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88" w:lineRule="exact"/>
        <w:rPr>
          <w:sz w:val="20"/>
          <w:szCs w:val="20"/>
          <w:color w:val="auto"/>
        </w:rPr>
      </w:pPr>
    </w:p>
    <w:p>
      <w:pPr>
        <w:ind w:right="80"/>
        <w:spacing w:after="0" w:line="286" w:lineRule="auto"/>
        <w:rPr>
          <w:sz w:val="20"/>
          <w:szCs w:val="20"/>
          <w:color w:val="auto"/>
        </w:rPr>
      </w:pPr>
      <w:r>
        <w:rPr>
          <w:rFonts w:ascii="Arial" w:cs="Arial" w:eastAsia="Arial" w:hAnsi="Arial"/>
          <w:sz w:val="16"/>
          <w:szCs w:val="16"/>
          <w:color w:val="auto"/>
        </w:rPr>
        <w:t>On October 25, 2021, AGNC Investment Corp. issued a press release announcing its financial results for the quarter ended September 30, 2021. The text of the press release is included as exhibit 99.1 to this Form 8-K. Pursuant to the rules and regulations of the Securities and Exchange Commission, such exhibit and the information set forth therein and herein shall not be deemed to be filed for purposes of Section 18 of the Securities Exchange Act of 1934, as amended (the "Exchange Act"), and shall not be deemed to be incorporated by reference in any filing under the Securities Act of 1933, as amended, or the Exchange Act, except as shall be expressly set forth by specific reference in such a filing.</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88" w:lineRule="exact"/>
        <w:rPr>
          <w:sz w:val="20"/>
          <w:szCs w:val="20"/>
          <w:color w:val="auto"/>
        </w:rPr>
      </w:pPr>
    </w:p>
    <w:p>
      <w:pPr>
        <w:ind w:left="240" w:hanging="235"/>
        <w:spacing w:after="0"/>
        <w:tabs>
          <w:tab w:leader="none" w:pos="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None.</w:t>
      </w:r>
    </w:p>
    <w:p>
      <w:pPr>
        <w:spacing w:after="0" w:line="161" w:lineRule="exact"/>
        <w:rPr>
          <w:rFonts w:ascii="Arial" w:cs="Arial" w:eastAsia="Arial" w:hAnsi="Arial"/>
          <w:sz w:val="18"/>
          <w:szCs w:val="18"/>
          <w:color w:val="auto"/>
        </w:rPr>
      </w:pPr>
    </w:p>
    <w:p>
      <w:pPr>
        <w:ind w:left="260" w:hanging="255"/>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None.</w:t>
      </w:r>
    </w:p>
    <w:p>
      <w:pPr>
        <w:spacing w:after="0" w:line="161" w:lineRule="exact"/>
        <w:rPr>
          <w:rFonts w:ascii="Arial" w:cs="Arial" w:eastAsia="Arial" w:hAnsi="Arial"/>
          <w:sz w:val="18"/>
          <w:szCs w:val="18"/>
          <w:color w:val="auto"/>
        </w:rPr>
      </w:pPr>
    </w:p>
    <w:p>
      <w:pPr>
        <w:ind w:left="240" w:hanging="235"/>
        <w:spacing w:after="0"/>
        <w:tabs>
          <w:tab w:leader="none" w:pos="240" w:val="left"/>
        </w:tabs>
        <w:numPr>
          <w:ilvl w:val="0"/>
          <w:numId w:val="1"/>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0" w:type="dxa"/>
            <w:vAlign w:val="bottom"/>
          </w:tcPr>
          <w:p>
            <w:pPr>
              <w:spacing w:after="0"/>
              <w:rPr>
                <w:sz w:val="19"/>
                <w:szCs w:val="19"/>
                <w:color w:val="auto"/>
              </w:rPr>
            </w:pPr>
          </w:p>
        </w:tc>
        <w:tc>
          <w:tcPr>
            <w:tcW w:w="1300" w:type="dxa"/>
            <w:vAlign w:val="bottom"/>
            <w:tcBorders>
              <w:bottom w:val="single" w:sz="8" w:color="auto"/>
            </w:tcBorders>
          </w:tcPr>
          <w:p>
            <w:pPr>
              <w:jc w:val="right"/>
              <w:ind w:right="352"/>
              <w:spacing w:after="0"/>
              <w:rPr>
                <w:sz w:val="20"/>
                <w:szCs w:val="20"/>
                <w:color w:val="auto"/>
              </w:rPr>
            </w:pPr>
            <w:r>
              <w:rPr>
                <w:rFonts w:ascii="Arial" w:cs="Arial" w:eastAsia="Arial" w:hAnsi="Arial"/>
                <w:sz w:val="18"/>
                <w:szCs w:val="18"/>
                <w:b w:val="1"/>
                <w:bCs w:val="1"/>
                <w:color w:val="auto"/>
                <w:w w:val="89"/>
              </w:rPr>
              <w:t>Exhibit No.</w:t>
            </w:r>
          </w:p>
        </w:tc>
        <w:tc>
          <w:tcPr>
            <w:tcW w:w="140" w:type="dxa"/>
            <w:vAlign w:val="bottom"/>
          </w:tcPr>
          <w:p>
            <w:pPr>
              <w:spacing w:after="0"/>
              <w:rPr>
                <w:sz w:val="19"/>
                <w:szCs w:val="19"/>
                <w:color w:val="auto"/>
              </w:rPr>
            </w:pPr>
          </w:p>
        </w:tc>
        <w:tc>
          <w:tcPr>
            <w:tcW w:w="94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Description</w:t>
            </w:r>
          </w:p>
        </w:tc>
        <w:tc>
          <w:tcPr>
            <w:tcW w:w="180" w:type="dxa"/>
            <w:vAlign w:val="bottom"/>
          </w:tcPr>
          <w:p>
            <w:pPr>
              <w:spacing w:after="0"/>
              <w:rPr>
                <w:sz w:val="19"/>
                <w:szCs w:val="19"/>
                <w:color w:val="auto"/>
              </w:rPr>
            </w:pPr>
          </w:p>
        </w:tc>
      </w:tr>
      <w:tr>
        <w:trPr>
          <w:trHeight w:val="216"/>
        </w:trPr>
        <w:tc>
          <w:tcPr>
            <w:tcW w:w="1500" w:type="dxa"/>
            <w:vAlign w:val="bottom"/>
            <w:gridSpan w:val="2"/>
          </w:tcPr>
          <w:p>
            <w:pPr>
              <w:jc w:val="right"/>
              <w:spacing w:after="0"/>
              <w:rPr>
                <w:rFonts w:ascii="Arial" w:cs="Arial" w:eastAsia="Arial" w:hAnsi="Arial"/>
                <w:sz w:val="18"/>
                <w:szCs w:val="18"/>
                <w:color w:val="auto"/>
              </w:rPr>
            </w:pPr>
            <w:hyperlink w:anchor="page4">
              <w:r>
                <w:rPr>
                  <w:rFonts w:ascii="Arial" w:cs="Arial" w:eastAsia="Arial" w:hAnsi="Arial"/>
                  <w:sz w:val="18"/>
                  <w:szCs w:val="18"/>
                  <w:color w:val="auto"/>
                </w:rPr>
                <w:t>99.1</w:t>
              </w:r>
            </w:hyperlink>
          </w:p>
        </w:tc>
        <w:tc>
          <w:tcPr>
            <w:tcW w:w="140" w:type="dxa"/>
            <w:vAlign w:val="bottom"/>
          </w:tcPr>
          <w:p>
            <w:pPr>
              <w:spacing w:after="0"/>
              <w:rPr>
                <w:sz w:val="18"/>
                <w:szCs w:val="18"/>
                <w:color w:val="auto"/>
              </w:rPr>
            </w:pPr>
          </w:p>
        </w:tc>
        <w:tc>
          <w:tcPr>
            <w:tcW w:w="9600" w:type="dxa"/>
            <w:vAlign w:val="bottom"/>
            <w:gridSpan w:val="2"/>
          </w:tcPr>
          <w:p>
            <w:pPr>
              <w:ind w:left="440"/>
              <w:spacing w:after="0"/>
              <w:rPr>
                <w:rFonts w:ascii="Arial" w:cs="Arial" w:eastAsia="Arial" w:hAnsi="Arial"/>
                <w:sz w:val="18"/>
                <w:szCs w:val="18"/>
                <w:color w:val="auto"/>
              </w:rPr>
            </w:pPr>
            <w:hyperlink w:anchor="page4">
              <w:r>
                <w:rPr>
                  <w:rFonts w:ascii="Arial" w:cs="Arial" w:eastAsia="Arial" w:hAnsi="Arial"/>
                  <w:sz w:val="18"/>
                  <w:szCs w:val="18"/>
                  <w:color w:val="auto"/>
                </w:rPr>
                <w:t xml:space="preserve">Press Release dated </w:t>
              </w:r>
            </w:hyperlink>
            <w:r>
              <w:rPr>
                <w:rFonts w:ascii="Arial" w:cs="Arial" w:eastAsia="Arial" w:hAnsi="Arial"/>
                <w:sz w:val="18"/>
                <w:szCs w:val="18"/>
                <w:color w:val="auto"/>
              </w:rPr>
              <w:t>October 25, 2021</w:t>
            </w:r>
          </w:p>
        </w:tc>
      </w:tr>
      <w:tr>
        <w:trPr>
          <w:trHeight w:val="1216"/>
        </w:trPr>
        <w:tc>
          <w:tcPr>
            <w:tcW w:w="200" w:type="dxa"/>
            <w:vAlign w:val="bottom"/>
            <w:tcBorders>
              <w:bottom w:val="single" w:sz="8" w:color="9A9A9A"/>
            </w:tcBorders>
          </w:tcPr>
          <w:p>
            <w:pPr>
              <w:spacing w:after="0"/>
              <w:rPr>
                <w:sz w:val="24"/>
                <w:szCs w:val="24"/>
                <w:color w:val="auto"/>
              </w:rPr>
            </w:pPr>
          </w:p>
        </w:tc>
        <w:tc>
          <w:tcPr>
            <w:tcW w:w="130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942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870"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46" w:lineRule="exact"/>
        <w:rPr>
          <w:sz w:val="20"/>
          <w:szCs w:val="20"/>
          <w:color w:val="auto"/>
        </w:rPr>
      </w:pPr>
    </w:p>
    <w:p>
      <w:pPr>
        <w:ind w:right="780" w:firstLine="434"/>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46" w:lineRule="exact"/>
        <w:rPr>
          <w:sz w:val="20"/>
          <w:szCs w:val="20"/>
          <w:color w:val="auto"/>
        </w:rPr>
      </w:pPr>
    </w:p>
    <w:tbl>
      <w:tblPr>
        <w:tblLayout w:type="fixed"/>
        <w:tblInd w:w="40" w:type="dxa"/>
        <w:tblCellMar>
          <w:top w:w="0" w:type="dxa"/>
          <w:left w:w="0" w:type="dxa"/>
          <w:bottom w:w="0" w:type="dxa"/>
          <w:right w:w="0" w:type="dxa"/>
        </w:tblCellMar>
      </w:tblPr>
      <w:tr>
        <w:trPr>
          <w:trHeight w:val="228"/>
        </w:trPr>
        <w:tc>
          <w:tcPr>
            <w:tcW w:w="80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160" w:type="dxa"/>
            <w:vAlign w:val="bottom"/>
          </w:tcPr>
          <w:p>
            <w:pPr>
              <w:spacing w:after="0"/>
              <w:rPr>
                <w:sz w:val="20"/>
                <w:szCs w:val="20"/>
                <w:color w:val="auto"/>
              </w:rPr>
            </w:pPr>
            <w:r>
              <w:rPr>
                <w:rFonts w:ascii="Arial" w:cs="Arial" w:eastAsia="Arial" w:hAnsi="Arial"/>
                <w:sz w:val="18"/>
                <w:szCs w:val="18"/>
                <w:b w:val="1"/>
                <w:bCs w:val="1"/>
                <w:color w:val="auto"/>
              </w:rPr>
              <w:t>AGNC I</w:t>
            </w:r>
            <w:r>
              <w:rPr>
                <w:rFonts w:ascii="Arial" w:cs="Arial" w:eastAsia="Arial" w:hAnsi="Arial"/>
                <w:sz w:val="15"/>
                <w:szCs w:val="15"/>
                <w:b w:val="1"/>
                <w:bCs w:val="1"/>
                <w:color w:val="auto"/>
              </w:rPr>
              <w:t>NVESTMENT</w:t>
            </w:r>
            <w:r>
              <w:rPr>
                <w:rFonts w:ascii="Arial" w:cs="Arial" w:eastAsia="Arial" w:hAnsi="Arial"/>
                <w:sz w:val="18"/>
                <w:szCs w:val="18"/>
                <w:b w:val="1"/>
                <w:bCs w:val="1"/>
                <w:color w:val="auto"/>
              </w:rPr>
              <w:t xml:space="preserve"> C</w:t>
            </w:r>
            <w:r>
              <w:rPr>
                <w:rFonts w:ascii="Arial" w:cs="Arial" w:eastAsia="Arial" w:hAnsi="Arial"/>
                <w:sz w:val="15"/>
                <w:szCs w:val="15"/>
                <w:b w:val="1"/>
                <w:bCs w:val="1"/>
                <w:color w:val="auto"/>
              </w:rPr>
              <w:t>ORP</w:t>
            </w:r>
            <w:r>
              <w:rPr>
                <w:rFonts w:ascii="Arial" w:cs="Arial" w:eastAsia="Arial" w:hAnsi="Arial"/>
                <w:sz w:val="18"/>
                <w:szCs w:val="18"/>
                <w:b w:val="1"/>
                <w:bCs w:val="1"/>
                <w:color w:val="auto"/>
              </w:rPr>
              <w:t>.</w:t>
            </w:r>
          </w:p>
        </w:tc>
      </w:tr>
      <w:tr>
        <w:trPr>
          <w:trHeight w:val="276"/>
        </w:trPr>
        <w:tc>
          <w:tcPr>
            <w:tcW w:w="800" w:type="dxa"/>
            <w:vAlign w:val="bottom"/>
          </w:tcPr>
          <w:p>
            <w:pPr>
              <w:spacing w:after="0"/>
              <w:rPr>
                <w:sz w:val="20"/>
                <w:szCs w:val="20"/>
                <w:color w:val="auto"/>
              </w:rPr>
            </w:pPr>
            <w:r>
              <w:rPr>
                <w:rFonts w:ascii="Arial" w:cs="Arial" w:eastAsia="Arial" w:hAnsi="Arial"/>
                <w:sz w:val="18"/>
                <w:szCs w:val="18"/>
                <w:color w:val="auto"/>
              </w:rPr>
              <w:t>Dated:</w:t>
            </w:r>
          </w:p>
        </w:tc>
        <w:tc>
          <w:tcPr>
            <w:tcW w:w="3760" w:type="dxa"/>
            <w:vAlign w:val="bottom"/>
          </w:tcPr>
          <w:p>
            <w:pPr>
              <w:ind w:left="20"/>
              <w:spacing w:after="0"/>
              <w:rPr>
                <w:sz w:val="20"/>
                <w:szCs w:val="20"/>
                <w:color w:val="auto"/>
              </w:rPr>
            </w:pPr>
            <w:r>
              <w:rPr>
                <w:rFonts w:ascii="Arial" w:cs="Arial" w:eastAsia="Arial" w:hAnsi="Arial"/>
                <w:sz w:val="18"/>
                <w:szCs w:val="18"/>
                <w:color w:val="auto"/>
              </w:rPr>
              <w:t>October 25, 2021</w:t>
            </w:r>
          </w:p>
        </w:tc>
        <w:tc>
          <w:tcPr>
            <w:tcW w:w="6620" w:type="dxa"/>
            <w:vAlign w:val="bottom"/>
            <w:gridSpan w:val="2"/>
          </w:tcPr>
          <w:p>
            <w:pPr>
              <w:spacing w:after="0"/>
              <w:rPr>
                <w:sz w:val="20"/>
                <w:szCs w:val="20"/>
                <w:color w:val="auto"/>
              </w:rPr>
            </w:pPr>
            <w:r>
              <w:rPr>
                <w:rFonts w:ascii="Arial" w:cs="Arial" w:eastAsia="Arial" w:hAnsi="Arial"/>
                <w:sz w:val="18"/>
                <w:szCs w:val="18"/>
                <w:color w:val="auto"/>
              </w:rPr>
              <w:t>By:   /s/ B</w:t>
            </w:r>
            <w:r>
              <w:rPr>
                <w:rFonts w:ascii="Arial" w:cs="Arial" w:eastAsia="Arial" w:hAnsi="Arial"/>
                <w:sz w:val="14"/>
                <w:szCs w:val="14"/>
                <w:color w:val="auto"/>
              </w:rPr>
              <w:t>ERNICE</w:t>
            </w:r>
            <w:r>
              <w:rPr>
                <w:rFonts w:ascii="Arial" w:cs="Arial" w:eastAsia="Arial" w:hAnsi="Arial"/>
                <w:sz w:val="18"/>
                <w:szCs w:val="18"/>
                <w:color w:val="auto"/>
              </w:rPr>
              <w:t xml:space="preserve"> E. B</w:t>
            </w:r>
            <w:r>
              <w:rPr>
                <w:rFonts w:ascii="Arial" w:cs="Arial" w:eastAsia="Arial" w:hAnsi="Arial"/>
                <w:sz w:val="14"/>
                <w:szCs w:val="14"/>
                <w:color w:val="auto"/>
              </w:rPr>
              <w:t>ELL</w:t>
            </w:r>
          </w:p>
        </w:tc>
      </w:tr>
      <w:tr>
        <w:trPr>
          <w:trHeight w:val="216"/>
        </w:trPr>
        <w:tc>
          <w:tcPr>
            <w:tcW w:w="800" w:type="dxa"/>
            <w:vAlign w:val="bottom"/>
          </w:tcPr>
          <w:p>
            <w:pPr>
              <w:spacing w:after="0"/>
              <w:rPr>
                <w:sz w:val="18"/>
                <w:szCs w:val="18"/>
                <w:color w:val="auto"/>
              </w:rPr>
            </w:pPr>
          </w:p>
        </w:tc>
        <w:tc>
          <w:tcPr>
            <w:tcW w:w="3760" w:type="dxa"/>
            <w:vAlign w:val="bottom"/>
            <w:tcBorders>
              <w:top w:val="single" w:sz="8" w:color="auto"/>
            </w:tcBorders>
          </w:tcPr>
          <w:p>
            <w:pPr>
              <w:spacing w:after="0"/>
              <w:rPr>
                <w:sz w:val="18"/>
                <w:szCs w:val="18"/>
                <w:color w:val="auto"/>
              </w:rPr>
            </w:pPr>
          </w:p>
        </w:tc>
        <w:tc>
          <w:tcPr>
            <w:tcW w:w="460" w:type="dxa"/>
            <w:vAlign w:val="bottom"/>
          </w:tcPr>
          <w:p>
            <w:pPr>
              <w:spacing w:after="0"/>
              <w:rPr>
                <w:sz w:val="18"/>
                <w:szCs w:val="18"/>
                <w:color w:val="auto"/>
              </w:rPr>
            </w:pPr>
          </w:p>
        </w:tc>
        <w:tc>
          <w:tcPr>
            <w:tcW w:w="61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Bernice E. Bell</w:t>
            </w:r>
          </w:p>
        </w:tc>
      </w:tr>
      <w:tr>
        <w:trPr>
          <w:trHeight w:val="223"/>
        </w:trPr>
        <w:tc>
          <w:tcPr>
            <w:tcW w:w="80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16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r>
    </w:tbl>
    <w:p>
      <w:pPr>
        <w:sectPr>
          <w:pgSz w:w="11900" w:h="16838" w:orient="portrait"/>
          <w:cols w:equalWidth="0" w:num="1">
            <w:col w:w="11220"/>
          </w:cols>
          <w:pgMar w:left="320" w:top="870" w:right="359" w:bottom="1440" w:gutter="0" w:footer="0" w:header="0"/>
        </w:sectPr>
      </w:pPr>
    </w:p>
    <w:bookmarkStart w:id="3" w:name="page4"/>
    <w:bookmarkEnd w:id="3"/>
    <w:p>
      <w:pPr>
        <w:jc w:val="right"/>
        <w:spacing w:after="0"/>
        <w:rPr>
          <w:sz w:val="20"/>
          <w:szCs w:val="20"/>
          <w:color w:val="auto"/>
        </w:rPr>
      </w:pPr>
      <w:r>
        <w:rPr>
          <w:rFonts w:ascii="Arial" w:cs="Arial" w:eastAsia="Arial" w:hAnsi="Arial"/>
          <w:sz w:val="19"/>
          <w:szCs w:val="19"/>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5080</wp:posOffset>
            </wp:positionV>
            <wp:extent cx="2386965" cy="7346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386965" cy="7346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Arial" w:cs="Arial" w:eastAsia="Arial" w:hAnsi="Arial"/>
          <w:sz w:val="21"/>
          <w:szCs w:val="21"/>
          <w:color w:val="auto"/>
        </w:rPr>
        <w:t>FOR IMMEDIATE RELEASE</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245" w:lineRule="exact"/>
        <w:rPr>
          <w:sz w:val="20"/>
          <w:szCs w:val="20"/>
          <w:color w:val="auto"/>
        </w:rPr>
      </w:pPr>
    </w:p>
    <w:p>
      <w:pPr>
        <w:spacing w:after="0"/>
        <w:rPr>
          <w:sz w:val="20"/>
          <w:szCs w:val="20"/>
          <w:color w:val="auto"/>
        </w:rPr>
      </w:pPr>
      <w:r>
        <w:rPr>
          <w:rFonts w:ascii="Arial" w:cs="Arial" w:eastAsia="Arial" w:hAnsi="Arial"/>
          <w:sz w:val="21"/>
          <w:szCs w:val="21"/>
          <w:color w:val="auto"/>
        </w:rPr>
        <w:t>CONTACT:</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u w:val="single" w:color="auto"/>
          <w:color w:val="auto"/>
        </w:rPr>
        <w:t>Investors</w:t>
      </w:r>
      <w:r>
        <w:rPr>
          <w:rFonts w:ascii="Arial" w:cs="Arial" w:eastAsia="Arial" w:hAnsi="Arial"/>
          <w:sz w:val="21"/>
          <w:szCs w:val="21"/>
          <w:color w:val="auto"/>
        </w:rPr>
        <w:t xml:space="preserve"> - (301) 968-9300</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u w:val="single" w:color="auto"/>
          <w:color w:val="auto"/>
        </w:rPr>
        <w:t>Media</w:t>
      </w:r>
      <w:r>
        <w:rPr>
          <w:rFonts w:ascii="Arial" w:cs="Arial" w:eastAsia="Arial" w:hAnsi="Arial"/>
          <w:sz w:val="21"/>
          <w:szCs w:val="21"/>
          <w:color w:val="auto"/>
        </w:rPr>
        <w:t xml:space="preserve"> - (301) 968-9303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AGNC INVESTMENT CORP.</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ANNOUNCES THIRD QUARTER 2021 FINANCIAL RESULTS</w:t>
      </w:r>
    </w:p>
    <w:p>
      <w:pPr>
        <w:spacing w:after="0" w:line="245" w:lineRule="exact"/>
        <w:rPr>
          <w:sz w:val="20"/>
          <w:szCs w:val="20"/>
          <w:color w:val="auto"/>
        </w:rPr>
      </w:pPr>
    </w:p>
    <w:p>
      <w:pPr>
        <w:spacing w:after="0" w:line="258" w:lineRule="auto"/>
        <w:rPr>
          <w:sz w:val="20"/>
          <w:szCs w:val="20"/>
          <w:color w:val="auto"/>
        </w:rPr>
      </w:pPr>
      <w:r>
        <w:rPr>
          <w:rFonts w:ascii="Arial" w:cs="Arial" w:eastAsia="Arial" w:hAnsi="Arial"/>
          <w:sz w:val="21"/>
          <w:szCs w:val="21"/>
          <w:color w:val="auto"/>
        </w:rPr>
        <w:t>Bethesda, MD - October 25, 2021 - AGNC Investment Corp. (“AGNC” or the “Company”) (Nasdaq: AGNC) today announced financial results for the quarter ended September 30, 2021.</w:t>
      </w:r>
    </w:p>
    <w:p>
      <w:pPr>
        <w:spacing w:after="0" w:line="19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THIRD QUARTER 2021 FINANCIAL HIGHLIGHTS</w:t>
      </w:r>
    </w:p>
    <w:p>
      <w:pPr>
        <w:spacing w:after="0" w:line="192" w:lineRule="exact"/>
        <w:rPr>
          <w:sz w:val="20"/>
          <w:szCs w:val="20"/>
          <w:color w:val="auto"/>
        </w:rPr>
      </w:pPr>
    </w:p>
    <w:p>
      <w:pPr>
        <w:spacing w:after="0"/>
        <w:rPr>
          <w:sz w:val="20"/>
          <w:szCs w:val="20"/>
          <w:color w:val="auto"/>
        </w:rPr>
      </w:pPr>
      <w:r>
        <w:rPr>
          <w:rFonts w:ascii="Arial" w:cs="Arial" w:eastAsia="Arial" w:hAnsi="Arial"/>
          <w:sz w:val="21"/>
          <w:szCs w:val="21"/>
          <w:color w:val="auto"/>
        </w:rPr>
        <w:t>• $0.37 comprehensive income per common share, comprised of:</w:t>
      </w:r>
    </w:p>
    <w:p>
      <w:pPr>
        <w:spacing w:after="0" w:line="8" w:lineRule="exact"/>
        <w:rPr>
          <w:sz w:val="20"/>
          <w:szCs w:val="20"/>
          <w:color w:val="auto"/>
        </w:rPr>
      </w:pPr>
    </w:p>
    <w:p>
      <w:pPr>
        <w:ind w:left="240"/>
        <w:spacing w:after="0"/>
        <w:rPr>
          <w:sz w:val="20"/>
          <w:szCs w:val="20"/>
          <w:color w:val="auto"/>
        </w:rPr>
      </w:pPr>
      <w:r>
        <w:rPr>
          <w:rFonts w:ascii="Arial" w:cs="Arial" w:eastAsia="Arial" w:hAnsi="Arial"/>
          <w:sz w:val="21"/>
          <w:szCs w:val="21"/>
          <w:color w:val="auto"/>
        </w:rPr>
        <w:t>◦  $0.35 net income per common share</w:t>
      </w:r>
    </w:p>
    <w:p>
      <w:pPr>
        <w:spacing w:after="0" w:line="8" w:lineRule="exact"/>
        <w:rPr>
          <w:sz w:val="20"/>
          <w:szCs w:val="20"/>
          <w:color w:val="auto"/>
        </w:rPr>
      </w:pPr>
    </w:p>
    <w:p>
      <w:pPr>
        <w:ind w:left="240"/>
        <w:spacing w:after="0"/>
        <w:rPr>
          <w:sz w:val="20"/>
          <w:szCs w:val="20"/>
          <w:color w:val="auto"/>
        </w:rPr>
      </w:pPr>
      <w:r>
        <w:rPr>
          <w:rFonts w:ascii="Arial" w:cs="Arial" w:eastAsia="Arial" w:hAnsi="Arial"/>
          <w:sz w:val="21"/>
          <w:szCs w:val="21"/>
          <w:color w:val="auto"/>
        </w:rPr>
        <w:t>◦  $0.02 other comprehensive income ("OCI") per common share on investments marked-to-market through OCI</w:t>
      </w:r>
    </w:p>
    <w:p>
      <w:pPr>
        <w:spacing w:after="0" w:line="183" w:lineRule="auto"/>
        <w:rPr>
          <w:sz w:val="20"/>
          <w:szCs w:val="20"/>
          <w:color w:val="auto"/>
        </w:rPr>
      </w:pPr>
      <w:r>
        <w:rPr>
          <w:rFonts w:ascii="Arial" w:cs="Arial" w:eastAsia="Arial" w:hAnsi="Arial"/>
          <w:sz w:val="19"/>
          <w:szCs w:val="19"/>
          <w:color w:val="auto"/>
        </w:rPr>
        <w:t>• $0.75 net spread and dollar roll income per common share, excluding estimated "catch-up" premium amortization cost</w:t>
      </w:r>
    </w:p>
    <w:p>
      <w:pPr>
        <w:ind w:left="160"/>
        <w:spacing w:after="0"/>
        <w:rPr>
          <w:sz w:val="20"/>
          <w:szCs w:val="20"/>
          <w:color w:val="auto"/>
        </w:rPr>
      </w:pPr>
      <w:r>
        <w:rPr>
          <w:rFonts w:ascii="Arial" w:cs="Arial" w:eastAsia="Arial" w:hAnsi="Arial"/>
          <w:sz w:val="14"/>
          <w:szCs w:val="14"/>
          <w:color w:val="auto"/>
        </w:rPr>
        <w:t>1</w:t>
      </w:r>
    </w:p>
    <w:p>
      <w:pPr>
        <w:spacing w:after="0" w:line="88" w:lineRule="exact"/>
        <w:rPr>
          <w:sz w:val="20"/>
          <w:szCs w:val="20"/>
          <w:color w:val="auto"/>
        </w:rPr>
      </w:pPr>
    </w:p>
    <w:p>
      <w:pPr>
        <w:jc w:val="both"/>
        <w:ind w:left="480" w:hanging="238"/>
        <w:spacing w:after="0" w:line="248" w:lineRule="auto"/>
        <w:tabs>
          <w:tab w:leader="none" w:pos="489" w:val="left"/>
        </w:tabs>
        <w:numPr>
          <w:ilvl w:val="1"/>
          <w:numId w:val="2"/>
        </w:numPr>
        <w:rPr>
          <w:rFonts w:ascii="Arial" w:cs="Arial" w:eastAsia="Arial" w:hAnsi="Arial"/>
          <w:sz w:val="21"/>
          <w:szCs w:val="21"/>
          <w:color w:val="auto"/>
        </w:rPr>
      </w:pPr>
      <w:r>
        <w:rPr>
          <w:rFonts w:ascii="Arial" w:cs="Arial" w:eastAsia="Arial" w:hAnsi="Arial"/>
          <w:sz w:val="21"/>
          <w:szCs w:val="21"/>
          <w:color w:val="auto"/>
        </w:rPr>
        <w:t>Includes $0.33 per common share of dollar roll income associated with the Company's $30.3 billion average net long position in forward purchases and sales of Agency mortgage-backed securities ("MBS") in the "to-be-announced" ("TBA") market</w:t>
      </w:r>
    </w:p>
    <w:p>
      <w:pPr>
        <w:ind w:left="480" w:hanging="238"/>
        <w:spacing w:after="0" w:line="248" w:lineRule="auto"/>
        <w:tabs>
          <w:tab w:leader="none" w:pos="476" w:val="left"/>
        </w:tabs>
        <w:numPr>
          <w:ilvl w:val="1"/>
          <w:numId w:val="2"/>
        </w:numPr>
        <w:rPr>
          <w:rFonts w:ascii="Arial" w:cs="Arial" w:eastAsia="Arial" w:hAnsi="Arial"/>
          <w:sz w:val="21"/>
          <w:szCs w:val="21"/>
          <w:color w:val="auto"/>
        </w:rPr>
      </w:pPr>
      <w:r>
        <w:rPr>
          <w:rFonts w:ascii="Arial" w:cs="Arial" w:eastAsia="Arial" w:hAnsi="Arial"/>
          <w:sz w:val="21"/>
          <w:szCs w:val="21"/>
          <w:color w:val="auto"/>
        </w:rPr>
        <w:t>Excludes less than $(0.01) per common share of estimated "catch-up" premium amortization cost due to change in projected constant prepayment rate ("CPR") estimates</w:t>
      </w:r>
    </w:p>
    <w:p>
      <w:pPr>
        <w:ind w:left="160" w:hanging="155"/>
        <w:spacing w:after="0"/>
        <w:tabs>
          <w:tab w:leader="none" w:pos="160" w:val="left"/>
        </w:tabs>
        <w:numPr>
          <w:ilvl w:val="0"/>
          <w:numId w:val="2"/>
        </w:numPr>
        <w:rPr>
          <w:rFonts w:ascii="Arial" w:cs="Arial" w:eastAsia="Arial" w:hAnsi="Arial"/>
          <w:sz w:val="21"/>
          <w:szCs w:val="21"/>
          <w:color w:val="auto"/>
        </w:rPr>
      </w:pPr>
      <w:r>
        <w:rPr>
          <w:rFonts w:ascii="Arial" w:cs="Arial" w:eastAsia="Arial" w:hAnsi="Arial"/>
          <w:sz w:val="21"/>
          <w:szCs w:val="21"/>
          <w:color w:val="auto"/>
        </w:rPr>
        <w:t>$16.41 tangible net book value per common share as of September 30, 2021</w:t>
      </w:r>
    </w:p>
    <w:p>
      <w:pPr>
        <w:spacing w:after="0" w:line="8" w:lineRule="exact"/>
        <w:rPr>
          <w:rFonts w:ascii="Arial" w:cs="Arial" w:eastAsia="Arial" w:hAnsi="Arial"/>
          <w:sz w:val="21"/>
          <w:szCs w:val="21"/>
          <w:color w:val="auto"/>
        </w:rPr>
      </w:pPr>
    </w:p>
    <w:p>
      <w:pPr>
        <w:ind w:left="480" w:hanging="238"/>
        <w:spacing w:after="0"/>
        <w:tabs>
          <w:tab w:leader="none" w:pos="480" w:val="left"/>
        </w:tabs>
        <w:numPr>
          <w:ilvl w:val="1"/>
          <w:numId w:val="2"/>
        </w:numPr>
        <w:rPr>
          <w:rFonts w:ascii="Arial" w:cs="Arial" w:eastAsia="Arial" w:hAnsi="Arial"/>
          <w:sz w:val="21"/>
          <w:szCs w:val="21"/>
          <w:color w:val="auto"/>
        </w:rPr>
      </w:pPr>
      <w:r>
        <w:rPr>
          <w:rFonts w:ascii="Arial" w:cs="Arial" w:eastAsia="Arial" w:hAnsi="Arial"/>
          <w:sz w:val="21"/>
          <w:szCs w:val="21"/>
          <w:color w:val="auto"/>
        </w:rPr>
        <w:t>Increased $0.02 per common share, or 0.1%, from $16.39 per common share as of June 30, 2021</w:t>
      </w:r>
    </w:p>
    <w:p>
      <w:pPr>
        <w:spacing w:after="0" w:line="8" w:lineRule="exact"/>
        <w:rPr>
          <w:rFonts w:ascii="Arial" w:cs="Arial" w:eastAsia="Arial" w:hAnsi="Arial"/>
          <w:sz w:val="21"/>
          <w:szCs w:val="21"/>
          <w:color w:val="auto"/>
        </w:rPr>
      </w:pPr>
    </w:p>
    <w:p>
      <w:pPr>
        <w:ind w:left="160" w:hanging="155"/>
        <w:spacing w:after="0"/>
        <w:tabs>
          <w:tab w:leader="none" w:pos="160" w:val="left"/>
        </w:tabs>
        <w:numPr>
          <w:ilvl w:val="0"/>
          <w:numId w:val="2"/>
        </w:numPr>
        <w:rPr>
          <w:rFonts w:ascii="Arial" w:cs="Arial" w:eastAsia="Arial" w:hAnsi="Arial"/>
          <w:sz w:val="21"/>
          <w:szCs w:val="21"/>
          <w:color w:val="auto"/>
        </w:rPr>
      </w:pPr>
      <w:r>
        <w:rPr>
          <w:rFonts w:ascii="Arial" w:cs="Arial" w:eastAsia="Arial" w:hAnsi="Arial"/>
          <w:sz w:val="21"/>
          <w:szCs w:val="21"/>
          <w:color w:val="auto"/>
        </w:rPr>
        <w:t>$0.36 dividends declared per common share for the third quarter</w:t>
      </w:r>
    </w:p>
    <w:p>
      <w:pPr>
        <w:spacing w:after="0" w:line="8" w:lineRule="exact"/>
        <w:rPr>
          <w:rFonts w:ascii="Arial" w:cs="Arial" w:eastAsia="Arial" w:hAnsi="Arial"/>
          <w:sz w:val="21"/>
          <w:szCs w:val="21"/>
          <w:color w:val="auto"/>
        </w:rPr>
      </w:pPr>
    </w:p>
    <w:p>
      <w:pPr>
        <w:ind w:left="160" w:hanging="155"/>
        <w:spacing w:after="0"/>
        <w:tabs>
          <w:tab w:leader="none" w:pos="160" w:val="left"/>
        </w:tabs>
        <w:numPr>
          <w:ilvl w:val="0"/>
          <w:numId w:val="2"/>
        </w:numPr>
        <w:rPr>
          <w:rFonts w:ascii="Arial" w:cs="Arial" w:eastAsia="Arial" w:hAnsi="Arial"/>
          <w:sz w:val="21"/>
          <w:szCs w:val="21"/>
          <w:color w:val="auto"/>
        </w:rPr>
      </w:pPr>
      <w:r>
        <w:rPr>
          <w:rFonts w:ascii="Arial" w:cs="Arial" w:eastAsia="Arial" w:hAnsi="Arial"/>
          <w:sz w:val="21"/>
          <w:szCs w:val="21"/>
          <w:color w:val="auto"/>
        </w:rPr>
        <w:t>2.3% economic return on tangible common equity for the quarter</w:t>
      </w:r>
    </w:p>
    <w:p>
      <w:pPr>
        <w:spacing w:after="0" w:line="8" w:lineRule="exact"/>
        <w:rPr>
          <w:rFonts w:ascii="Arial" w:cs="Arial" w:eastAsia="Arial" w:hAnsi="Arial"/>
          <w:sz w:val="21"/>
          <w:szCs w:val="21"/>
          <w:color w:val="auto"/>
        </w:rPr>
      </w:pPr>
    </w:p>
    <w:p>
      <w:pPr>
        <w:ind w:left="480" w:hanging="199"/>
        <w:spacing w:after="0"/>
        <w:tabs>
          <w:tab w:leader="none" w:pos="480" w:val="left"/>
        </w:tabs>
        <w:numPr>
          <w:ilvl w:val="2"/>
          <w:numId w:val="2"/>
        </w:numPr>
        <w:rPr>
          <w:rFonts w:ascii="Arial" w:cs="Arial" w:eastAsia="Arial" w:hAnsi="Arial"/>
          <w:sz w:val="21"/>
          <w:szCs w:val="21"/>
          <w:color w:val="auto"/>
        </w:rPr>
      </w:pPr>
      <w:r>
        <w:rPr>
          <w:rFonts w:ascii="Arial" w:cs="Arial" w:eastAsia="Arial" w:hAnsi="Arial"/>
          <w:sz w:val="21"/>
          <w:szCs w:val="21"/>
          <w:color w:val="auto"/>
        </w:rPr>
        <w:t>Comprised of $0.36 dividends per common share and $0.02 increase in tangible net book value per common share</w:t>
      </w:r>
    </w:p>
    <w:p>
      <w:pPr>
        <w:sectPr>
          <w:pgSz w:w="11900" w:h="16838" w:orient="portrait"/>
          <w:cols w:equalWidth="0" w:num="1">
            <w:col w:w="11240"/>
          </w:cols>
          <w:pgMar w:left="320" w:top="885" w:right="339" w:bottom="1440" w:gutter="0" w:footer="0" w:header="0"/>
        </w:sectPr>
      </w:pPr>
    </w:p>
    <w:bookmarkStart w:id="4" w:name="page5"/>
    <w:bookmarkEnd w:id="4"/>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2</w:t>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OTHER THIRD QUARTER HIGHLIGHTS</w:t>
      </w:r>
    </w:p>
    <w:p>
      <w:pPr>
        <w:spacing w:after="0" w:line="192" w:lineRule="exact"/>
        <w:rPr>
          <w:sz w:val="20"/>
          <w:szCs w:val="20"/>
          <w:color w:val="auto"/>
        </w:rPr>
      </w:pPr>
    </w:p>
    <w:p>
      <w:pPr>
        <w:ind w:left="160" w:hanging="155"/>
        <w:spacing w:after="0"/>
        <w:tabs>
          <w:tab w:leader="none" w:pos="160" w:val="left"/>
        </w:tabs>
        <w:numPr>
          <w:ilvl w:val="0"/>
          <w:numId w:val="3"/>
        </w:numPr>
        <w:rPr>
          <w:rFonts w:ascii="Arial" w:cs="Arial" w:eastAsia="Arial" w:hAnsi="Arial"/>
          <w:sz w:val="21"/>
          <w:szCs w:val="21"/>
          <w:color w:val="auto"/>
        </w:rPr>
      </w:pPr>
      <w:r>
        <w:rPr>
          <w:rFonts w:ascii="Arial" w:cs="Arial" w:eastAsia="Arial" w:hAnsi="Arial"/>
          <w:sz w:val="21"/>
          <w:szCs w:val="21"/>
          <w:color w:val="auto"/>
        </w:rPr>
        <w:t>$84.1 billion investment portfolio as of September 30, 2021, comprised of:</w:t>
      </w:r>
    </w:p>
    <w:p>
      <w:pPr>
        <w:spacing w:after="0" w:line="8" w:lineRule="exact"/>
        <w:rPr>
          <w:rFonts w:ascii="Arial" w:cs="Arial" w:eastAsia="Arial" w:hAnsi="Arial"/>
          <w:sz w:val="21"/>
          <w:szCs w:val="21"/>
          <w:color w:val="auto"/>
        </w:rPr>
      </w:pP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$53.7 billion Agency MBS</w:t>
      </w:r>
    </w:p>
    <w:p>
      <w:pPr>
        <w:spacing w:after="0" w:line="8" w:lineRule="exact"/>
        <w:rPr>
          <w:rFonts w:ascii="Arial" w:cs="Arial" w:eastAsia="Arial" w:hAnsi="Arial"/>
          <w:sz w:val="21"/>
          <w:szCs w:val="21"/>
          <w:color w:val="auto"/>
        </w:rPr>
      </w:pP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$28.3 billion net TBA mortgage position</w:t>
      </w:r>
    </w:p>
    <w:p>
      <w:pPr>
        <w:spacing w:after="0" w:line="8" w:lineRule="exact"/>
        <w:rPr>
          <w:rFonts w:ascii="Arial" w:cs="Arial" w:eastAsia="Arial" w:hAnsi="Arial"/>
          <w:sz w:val="21"/>
          <w:szCs w:val="21"/>
          <w:color w:val="auto"/>
        </w:rPr>
      </w:pPr>
    </w:p>
    <w:p>
      <w:pPr>
        <w:ind w:left="480" w:hanging="199"/>
        <w:spacing w:after="0" w:line="193" w:lineRule="auto"/>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 xml:space="preserve">$2.1 billion credit risk transfer ("CRT") and non-Agency securities </w:t>
      </w:r>
      <w:r>
        <w:rPr>
          <w:rFonts w:ascii="Arial" w:cs="Arial" w:eastAsia="Arial" w:hAnsi="Arial"/>
          <w:sz w:val="27"/>
          <w:szCs w:val="27"/>
          <w:color w:val="auto"/>
          <w:vertAlign w:val="superscript"/>
        </w:rPr>
        <w:t>2</w:t>
      </w:r>
    </w:p>
    <w:p>
      <w:pPr>
        <w:ind w:left="160" w:hanging="155"/>
        <w:spacing w:after="0"/>
        <w:tabs>
          <w:tab w:leader="none" w:pos="160" w:val="left"/>
        </w:tabs>
        <w:numPr>
          <w:ilvl w:val="0"/>
          <w:numId w:val="3"/>
        </w:numPr>
        <w:rPr>
          <w:rFonts w:ascii="Arial" w:cs="Arial" w:eastAsia="Arial" w:hAnsi="Arial"/>
          <w:sz w:val="21"/>
          <w:szCs w:val="21"/>
          <w:color w:val="auto"/>
        </w:rPr>
      </w:pPr>
      <w:r>
        <w:rPr>
          <w:rFonts w:ascii="Arial" w:cs="Arial" w:eastAsia="Arial" w:hAnsi="Arial"/>
          <w:sz w:val="21"/>
          <w:szCs w:val="21"/>
          <w:color w:val="auto"/>
        </w:rPr>
        <w:t>7.5x tangible net book value "at risk" leverage as of September 30, 2021</w:t>
      </w:r>
    </w:p>
    <w:p>
      <w:pPr>
        <w:spacing w:after="0" w:line="8" w:lineRule="exact"/>
        <w:rPr>
          <w:rFonts w:ascii="Arial" w:cs="Arial" w:eastAsia="Arial" w:hAnsi="Arial"/>
          <w:sz w:val="21"/>
          <w:szCs w:val="21"/>
          <w:color w:val="auto"/>
        </w:rPr>
      </w:pP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7.5x average tangible net book value "at risk" leverage for the quarter</w:t>
      </w:r>
    </w:p>
    <w:p>
      <w:pPr>
        <w:spacing w:after="0" w:line="8" w:lineRule="exact"/>
        <w:rPr>
          <w:rFonts w:ascii="Arial" w:cs="Arial" w:eastAsia="Arial" w:hAnsi="Arial"/>
          <w:sz w:val="21"/>
          <w:szCs w:val="21"/>
          <w:color w:val="auto"/>
        </w:rPr>
      </w:pPr>
    </w:p>
    <w:p>
      <w:pPr>
        <w:ind w:left="160" w:hanging="155"/>
        <w:spacing w:after="0"/>
        <w:tabs>
          <w:tab w:leader="none" w:pos="160" w:val="left"/>
        </w:tabs>
        <w:numPr>
          <w:ilvl w:val="0"/>
          <w:numId w:val="3"/>
        </w:numPr>
        <w:rPr>
          <w:rFonts w:ascii="Arial" w:cs="Arial" w:eastAsia="Arial" w:hAnsi="Arial"/>
          <w:sz w:val="21"/>
          <w:szCs w:val="21"/>
          <w:color w:val="auto"/>
        </w:rPr>
      </w:pPr>
      <w:r>
        <w:rPr>
          <w:rFonts w:ascii="Arial" w:cs="Arial" w:eastAsia="Arial" w:hAnsi="Arial"/>
          <w:sz w:val="21"/>
          <w:szCs w:val="21"/>
          <w:color w:val="auto"/>
        </w:rPr>
        <w:t>Cash and unencumbered Agency MBS totaled approximately $5.2 billion as of September 30, 2021</w:t>
      </w:r>
    </w:p>
    <w:p>
      <w:pPr>
        <w:spacing w:after="0" w:line="8" w:lineRule="exact"/>
        <w:rPr>
          <w:rFonts w:ascii="Arial" w:cs="Arial" w:eastAsia="Arial" w:hAnsi="Arial"/>
          <w:sz w:val="21"/>
          <w:szCs w:val="21"/>
          <w:color w:val="auto"/>
        </w:rPr>
      </w:pPr>
    </w:p>
    <w:p>
      <w:pPr>
        <w:ind w:left="480" w:hanging="199"/>
        <w:spacing w:after="0" w:line="248" w:lineRule="auto"/>
        <w:tabs>
          <w:tab w:leader="none" w:pos="541" w:val="left"/>
        </w:tabs>
        <w:numPr>
          <w:ilvl w:val="1"/>
          <w:numId w:val="3"/>
        </w:numPr>
        <w:rPr>
          <w:rFonts w:ascii="Arial" w:cs="Arial" w:eastAsia="Arial" w:hAnsi="Arial"/>
          <w:sz w:val="21"/>
          <w:szCs w:val="21"/>
          <w:color w:val="auto"/>
        </w:rPr>
      </w:pPr>
      <w:r>
        <w:rPr>
          <w:rFonts w:ascii="Arial" w:cs="Arial" w:eastAsia="Arial" w:hAnsi="Arial"/>
          <w:sz w:val="21"/>
          <w:szCs w:val="21"/>
          <w:color w:val="auto"/>
        </w:rPr>
        <w:t>Excludes unencumbered CRT and non-Agency securities and assets held at the Company's broker-dealer subsidiary, Bethesda Securities</w:t>
      </w:r>
    </w:p>
    <w:p>
      <w:pPr>
        <w:ind w:left="160" w:hanging="155"/>
        <w:spacing w:after="0"/>
        <w:tabs>
          <w:tab w:leader="none" w:pos="160" w:val="left"/>
        </w:tabs>
        <w:numPr>
          <w:ilvl w:val="0"/>
          <w:numId w:val="3"/>
        </w:numPr>
        <w:rPr>
          <w:rFonts w:ascii="Arial" w:cs="Arial" w:eastAsia="Arial" w:hAnsi="Arial"/>
          <w:sz w:val="21"/>
          <w:szCs w:val="21"/>
          <w:color w:val="auto"/>
        </w:rPr>
      </w:pPr>
      <w:r>
        <w:rPr>
          <w:rFonts w:ascii="Arial" w:cs="Arial" w:eastAsia="Arial" w:hAnsi="Arial"/>
          <w:sz w:val="21"/>
          <w:szCs w:val="21"/>
          <w:color w:val="auto"/>
        </w:rPr>
        <w:t>22.5% portfolio CPR for the quarter</w:t>
      </w:r>
    </w:p>
    <w:p>
      <w:pPr>
        <w:spacing w:after="0" w:line="8" w:lineRule="exact"/>
        <w:rPr>
          <w:rFonts w:ascii="Arial" w:cs="Arial" w:eastAsia="Arial" w:hAnsi="Arial"/>
          <w:sz w:val="21"/>
          <w:szCs w:val="21"/>
          <w:color w:val="auto"/>
        </w:rPr>
      </w:pP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10.7% average projected portfolio CPR as of September 30, 2021</w:t>
      </w:r>
    </w:p>
    <w:p>
      <w:pPr>
        <w:spacing w:after="0" w:line="8" w:lineRule="exact"/>
        <w:rPr>
          <w:rFonts w:ascii="Arial" w:cs="Arial" w:eastAsia="Arial" w:hAnsi="Arial"/>
          <w:sz w:val="21"/>
          <w:szCs w:val="21"/>
          <w:color w:val="auto"/>
        </w:rPr>
      </w:pPr>
    </w:p>
    <w:p>
      <w:pPr>
        <w:ind w:left="160" w:hanging="155"/>
        <w:spacing w:after="0" w:line="248" w:lineRule="auto"/>
        <w:tabs>
          <w:tab w:leader="none" w:pos="155" w:val="left"/>
        </w:tabs>
        <w:numPr>
          <w:ilvl w:val="0"/>
          <w:numId w:val="3"/>
        </w:numPr>
        <w:rPr>
          <w:rFonts w:ascii="Arial" w:cs="Arial" w:eastAsia="Arial" w:hAnsi="Arial"/>
          <w:sz w:val="21"/>
          <w:szCs w:val="21"/>
          <w:color w:val="auto"/>
        </w:rPr>
      </w:pPr>
      <w:r>
        <w:rPr>
          <w:rFonts w:ascii="Arial" w:cs="Arial" w:eastAsia="Arial" w:hAnsi="Arial"/>
          <w:sz w:val="21"/>
          <w:szCs w:val="21"/>
          <w:color w:val="auto"/>
        </w:rPr>
        <w:t>2.19% annualized net interest spread and TBA dollar roll income for the quarter, excluding estimated "catch-up" premium amortization cost</w:t>
      </w:r>
    </w:p>
    <w:p>
      <w:pPr>
        <w:ind w:left="480" w:hanging="199"/>
        <w:spacing w:after="0"/>
        <w:tabs>
          <w:tab w:leader="none" w:pos="480" w:val="left"/>
        </w:tabs>
        <w:numPr>
          <w:ilvl w:val="1"/>
          <w:numId w:val="3"/>
        </w:numPr>
        <w:rPr>
          <w:rFonts w:ascii="Arial" w:cs="Arial" w:eastAsia="Arial" w:hAnsi="Arial"/>
          <w:sz w:val="21"/>
          <w:szCs w:val="21"/>
          <w:color w:val="auto"/>
        </w:rPr>
      </w:pPr>
      <w:r>
        <w:rPr>
          <w:rFonts w:ascii="Arial" w:cs="Arial" w:eastAsia="Arial" w:hAnsi="Arial"/>
          <w:sz w:val="21"/>
          <w:szCs w:val="21"/>
          <w:color w:val="auto"/>
        </w:rPr>
        <w:t>Excludes -1 bps of "catch-up" premium amortization cost due to change in projected CPR estimates</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___________</w:t>
      </w:r>
    </w:p>
    <w:p>
      <w:pPr>
        <w:spacing w:after="0" w:line="3" w:lineRule="exact"/>
        <w:rPr>
          <w:sz w:val="20"/>
          <w:szCs w:val="20"/>
          <w:color w:val="auto"/>
        </w:rPr>
      </w:pPr>
    </w:p>
    <w:p>
      <w:pPr>
        <w:ind w:left="240" w:hanging="235"/>
        <w:spacing w:after="0"/>
        <w:tabs>
          <w:tab w:leader="none" w:pos="240" w:val="left"/>
        </w:tabs>
        <w:numPr>
          <w:ilvl w:val="0"/>
          <w:numId w:val="4"/>
        </w:numPr>
        <w:rPr>
          <w:rFonts w:ascii="Arial" w:cs="Arial" w:eastAsia="Arial" w:hAnsi="Arial"/>
          <w:sz w:val="16"/>
          <w:szCs w:val="16"/>
          <w:color w:val="auto"/>
        </w:rPr>
      </w:pPr>
      <w:r>
        <w:rPr>
          <w:rFonts w:ascii="Arial" w:cs="Arial" w:eastAsia="Arial" w:hAnsi="Arial"/>
          <w:sz w:val="16"/>
          <w:szCs w:val="16"/>
          <w:color w:val="auto"/>
        </w:rPr>
        <w:t>Represents a non-GAAP measure. Please refer to a reconciliation to the most applicable GAAP measure and additional information regarding the use of non-GAAP financial information later in this release.</w:t>
      </w:r>
    </w:p>
    <w:p>
      <w:pPr>
        <w:ind w:left="240" w:hanging="235"/>
        <w:spacing w:after="0"/>
        <w:tabs>
          <w:tab w:leader="none" w:pos="240" w:val="left"/>
        </w:tabs>
        <w:numPr>
          <w:ilvl w:val="0"/>
          <w:numId w:val="4"/>
        </w:numPr>
        <w:rPr>
          <w:rFonts w:ascii="Arial" w:cs="Arial" w:eastAsia="Arial" w:hAnsi="Arial"/>
          <w:sz w:val="16"/>
          <w:szCs w:val="16"/>
          <w:color w:val="auto"/>
        </w:rPr>
      </w:pPr>
      <w:r>
        <w:rPr>
          <w:rFonts w:ascii="Arial" w:cs="Arial" w:eastAsia="Arial" w:hAnsi="Arial"/>
          <w:sz w:val="16"/>
          <w:szCs w:val="16"/>
          <w:color w:val="auto"/>
        </w:rPr>
        <w:t>Includes $0.5 billion of forward settling non-Agency securities reported in derivative assets on the Company's accompanying balance sheet.</w:t>
      </w:r>
    </w:p>
    <w:p>
      <w:pPr>
        <w:spacing w:after="0" w:line="21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MANAGEMENT REMARKS</w:t>
      </w:r>
    </w:p>
    <w:p>
      <w:pPr>
        <w:spacing w:after="0" w:line="192"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"We are very pleased with AGNC’s third quarter financial results, which benefited from relatively stable market conditions during the quarter," said Peter Federico, the Company’s President and Chief Executive Officer. "Our very attractive 9% dividend yield, coupled with a modest increase in tangible net book value in the third quarter, drove our strong economic return of 2.3%.</w:t>
      </w:r>
    </w:p>
    <w:p>
      <w:pPr>
        <w:spacing w:after="0" w:line="146" w:lineRule="exact"/>
        <w:rPr>
          <w:sz w:val="20"/>
          <w:szCs w:val="20"/>
          <w:color w:val="auto"/>
        </w:rPr>
      </w:pPr>
    </w:p>
    <w:p>
      <w:pPr>
        <w:jc w:val="both"/>
        <w:spacing w:after="0" w:line="249" w:lineRule="auto"/>
        <w:rPr>
          <w:sz w:val="20"/>
          <w:szCs w:val="20"/>
          <w:color w:val="auto"/>
        </w:rPr>
      </w:pPr>
      <w:r>
        <w:rPr>
          <w:rFonts w:ascii="Arial" w:cs="Arial" w:eastAsia="Arial" w:hAnsi="Arial"/>
          <w:sz w:val="21"/>
          <w:szCs w:val="21"/>
          <w:color w:val="auto"/>
        </w:rPr>
        <w:t>"There were several positive developments during the quarter for the Agency MBS market. Most importantly, the Federal Reserve communicated a potential timeline for the reduction in outright asset purchases. This guidance appears aligned with market expectations and did not precipitate a material mortgage spread or interest rate volatility event. Ultimately, this reaffirms our prior view that mortgage spread volatility should be limited because the Federal Reserve has been transparent and effective in setting expectations. In addition, with primary mortgage rates now well above the intra-year low point, the prepayment environment should be more benign going forward. Greater clarity from the Federal Reserve, moderately higher interest rates and slower prepayment expectations create a more favorable investment outlook for Agency MBS.</w:t>
      </w:r>
    </w:p>
    <w:p>
      <w:pPr>
        <w:spacing w:after="0" w:line="151"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"While the investment backdrop for Agency MBS has improved, uncertainty remains with respect to the broader economic and interest rate landscape, particularly considering the ongoing improvement in the labor market and increasing inflationary pressures. We believe AGNC is well positioned for this environment with our balanced asset portfolio, significant hedge protection and very conservative leverage profile. Importantly, this position gives us considerable flexibility to take advantage of attractive investment opportunities as they arise."</w:t>
      </w:r>
    </w:p>
    <w:p>
      <w:pPr>
        <w:spacing w:after="0" w:line="149"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"AGNC’s earnings remained very strong in the third quarter with net spread and dollar roll income totaling $0.75 per common share," said Bernice Bell, the Company’s Chief Financial Officer. "In</w:t>
      </w:r>
    </w:p>
    <w:p>
      <w:pPr>
        <w:sectPr>
          <w:pgSz w:w="11900" w:h="16838" w:orient="portrait"/>
          <w:cols w:equalWidth="0" w:num="1">
            <w:col w:w="11240"/>
          </w:cols>
          <w:pgMar w:left="320" w:top="146" w:right="339" w:bottom="1440" w:gutter="0" w:footer="0" w:header="0"/>
        </w:sectPr>
      </w:pPr>
    </w:p>
    <w:bookmarkStart w:id="5" w:name="page6"/>
    <w:bookmarkEnd w:id="5"/>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3</w:t>
      </w:r>
    </w:p>
    <w:p>
      <w:pPr>
        <w:spacing w:after="0" w:line="200" w:lineRule="exact"/>
        <w:rPr>
          <w:sz w:val="20"/>
          <w:szCs w:val="20"/>
          <w:color w:val="auto"/>
        </w:rPr>
      </w:pPr>
    </w:p>
    <w:p>
      <w:pPr>
        <w:spacing w:after="0" w:line="400"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addition, favorable short-term funding and TBA dollar roll opportunities, coupled with stable hedge costs, drove improvement in our net interest spread during the quarter. Consistent with our strategy to operate with a more conservative risk profile in the current environment, tangible ‘at risk’ leverage at quarter end was 7.5x, down from 7.9x the previous quarter."</w:t>
      </w:r>
    </w:p>
    <w:p>
      <w:pPr>
        <w:spacing w:after="0" w:line="19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TANGIBLE NET BOOK VALUE PER COMMON SHARE</w:t>
      </w:r>
    </w:p>
    <w:p>
      <w:pPr>
        <w:spacing w:after="0" w:line="192"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As of September 30, 2021, the Company's tangible net book value per common share was $16.41 per share, an increase of 0.1% for the quarter compared to $16.39 per share as of June 30, 2021. The Company's tangible net book value per common share excludes $526 million, or $1.00 per share, of goodwill as of September 30, 2021 and June 30, 2021.</w:t>
      </w:r>
    </w:p>
    <w:p>
      <w:pPr>
        <w:spacing w:after="0" w:line="19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INVESTMENT PORTFOLIO</w:t>
      </w:r>
    </w:p>
    <w:p>
      <w:pPr>
        <w:spacing w:after="0" w:line="192" w:lineRule="exact"/>
        <w:rPr>
          <w:sz w:val="20"/>
          <w:szCs w:val="20"/>
          <w:color w:val="auto"/>
        </w:rPr>
      </w:pPr>
    </w:p>
    <w:p>
      <w:pPr>
        <w:spacing w:after="0"/>
        <w:rPr>
          <w:sz w:val="20"/>
          <w:szCs w:val="20"/>
          <w:color w:val="auto"/>
        </w:rPr>
      </w:pPr>
      <w:r>
        <w:rPr>
          <w:rFonts w:ascii="Arial" w:cs="Arial" w:eastAsia="Arial" w:hAnsi="Arial"/>
          <w:sz w:val="21"/>
          <w:szCs w:val="21"/>
          <w:color w:val="auto"/>
        </w:rPr>
        <w:t>As of September 30, 2021, the Company's investment portfolio totaled $84.1 billion, comprised of:</w:t>
      </w:r>
    </w:p>
    <w:p>
      <w:pPr>
        <w:spacing w:after="0" w:line="166" w:lineRule="exact"/>
        <w:rPr>
          <w:sz w:val="20"/>
          <w:szCs w:val="20"/>
          <w:color w:val="auto"/>
        </w:rPr>
      </w:pPr>
    </w:p>
    <w:p>
      <w:pPr>
        <w:ind w:left="640" w:hanging="319"/>
        <w:spacing w:after="0"/>
        <w:tabs>
          <w:tab w:leader="none" w:pos="640" w:val="left"/>
        </w:tabs>
        <w:numPr>
          <w:ilvl w:val="0"/>
          <w:numId w:val="5"/>
        </w:numPr>
        <w:rPr>
          <w:rFonts w:ascii="Arial" w:cs="Arial" w:eastAsia="Arial" w:hAnsi="Arial"/>
          <w:sz w:val="21"/>
          <w:szCs w:val="21"/>
          <w:color w:val="auto"/>
        </w:rPr>
      </w:pPr>
      <w:r>
        <w:rPr>
          <w:rFonts w:ascii="Arial" w:cs="Arial" w:eastAsia="Arial" w:hAnsi="Arial"/>
          <w:sz w:val="21"/>
          <w:szCs w:val="21"/>
          <w:color w:val="auto"/>
        </w:rPr>
        <w:t>$82.0 billion of Agency MBS and TBA securities, including:</w:t>
      </w:r>
    </w:p>
    <w:p>
      <w:pPr>
        <w:spacing w:after="0" w:line="8" w:lineRule="exact"/>
        <w:rPr>
          <w:rFonts w:ascii="Arial" w:cs="Arial" w:eastAsia="Arial" w:hAnsi="Arial"/>
          <w:sz w:val="21"/>
          <w:szCs w:val="21"/>
          <w:color w:val="auto"/>
        </w:rPr>
      </w:pPr>
    </w:p>
    <w:p>
      <w:pPr>
        <w:ind w:left="1260" w:hanging="309"/>
        <w:spacing w:after="0"/>
        <w:tabs>
          <w:tab w:leader="none" w:pos="1260" w:val="left"/>
        </w:tabs>
        <w:numPr>
          <w:ilvl w:val="1"/>
          <w:numId w:val="5"/>
        </w:numPr>
        <w:rPr>
          <w:rFonts w:ascii="Arial" w:cs="Arial" w:eastAsia="Arial" w:hAnsi="Arial"/>
          <w:sz w:val="21"/>
          <w:szCs w:val="21"/>
          <w:color w:val="auto"/>
        </w:rPr>
      </w:pPr>
      <w:r>
        <w:rPr>
          <w:rFonts w:ascii="Arial" w:cs="Arial" w:eastAsia="Arial" w:hAnsi="Arial"/>
          <w:sz w:val="21"/>
          <w:szCs w:val="21"/>
          <w:color w:val="auto"/>
        </w:rPr>
        <w:t>$81.7 billion of fixed-rate securities, comprised of:</w:t>
      </w:r>
    </w:p>
    <w:p>
      <w:pPr>
        <w:spacing w:after="0" w:line="8" w:lineRule="exact"/>
        <w:rPr>
          <w:rFonts w:ascii="Arial" w:cs="Arial" w:eastAsia="Arial" w:hAnsi="Arial"/>
          <w:sz w:val="21"/>
          <w:szCs w:val="21"/>
          <w:color w:val="auto"/>
        </w:rPr>
      </w:pPr>
    </w:p>
    <w:p>
      <w:pPr>
        <w:ind w:left="1900" w:hanging="318"/>
        <w:spacing w:after="0"/>
        <w:tabs>
          <w:tab w:leader="none" w:pos="1900" w:val="left"/>
        </w:tabs>
        <w:numPr>
          <w:ilvl w:val="2"/>
          <w:numId w:val="5"/>
        </w:numPr>
        <w:rPr>
          <w:rFonts w:ascii="Arial" w:cs="Arial" w:eastAsia="Arial" w:hAnsi="Arial"/>
          <w:sz w:val="21"/>
          <w:szCs w:val="21"/>
          <w:color w:val="auto"/>
        </w:rPr>
      </w:pPr>
      <w:r>
        <w:rPr>
          <w:rFonts w:ascii="Arial" w:cs="Arial" w:eastAsia="Arial" w:hAnsi="Arial"/>
          <w:sz w:val="21"/>
          <w:szCs w:val="21"/>
          <w:color w:val="auto"/>
        </w:rPr>
        <w:t>$48.2 billion 30-year MBS,</w:t>
      </w:r>
    </w:p>
    <w:p>
      <w:pPr>
        <w:spacing w:after="0" w:line="8" w:lineRule="exact"/>
        <w:rPr>
          <w:rFonts w:ascii="Arial" w:cs="Arial" w:eastAsia="Arial" w:hAnsi="Arial"/>
          <w:sz w:val="21"/>
          <w:szCs w:val="21"/>
          <w:color w:val="auto"/>
        </w:rPr>
      </w:pPr>
    </w:p>
    <w:p>
      <w:pPr>
        <w:ind w:left="1900" w:hanging="318"/>
        <w:spacing w:after="0"/>
        <w:tabs>
          <w:tab w:leader="none" w:pos="1900" w:val="left"/>
        </w:tabs>
        <w:numPr>
          <w:ilvl w:val="2"/>
          <w:numId w:val="5"/>
        </w:numPr>
        <w:rPr>
          <w:rFonts w:ascii="Arial" w:cs="Arial" w:eastAsia="Arial" w:hAnsi="Arial"/>
          <w:sz w:val="21"/>
          <w:szCs w:val="21"/>
          <w:color w:val="auto"/>
        </w:rPr>
      </w:pPr>
      <w:r>
        <w:rPr>
          <w:rFonts w:ascii="Arial" w:cs="Arial" w:eastAsia="Arial" w:hAnsi="Arial"/>
          <w:sz w:val="21"/>
          <w:szCs w:val="21"/>
          <w:color w:val="auto"/>
        </w:rPr>
        <w:t>$26.3 billion 30-year TBA securities,</w:t>
      </w:r>
    </w:p>
    <w:p>
      <w:pPr>
        <w:spacing w:after="0" w:line="8" w:lineRule="exact"/>
        <w:rPr>
          <w:rFonts w:ascii="Arial" w:cs="Arial" w:eastAsia="Arial" w:hAnsi="Arial"/>
          <w:sz w:val="21"/>
          <w:szCs w:val="21"/>
          <w:color w:val="auto"/>
        </w:rPr>
      </w:pPr>
    </w:p>
    <w:p>
      <w:pPr>
        <w:ind w:left="1900" w:hanging="318"/>
        <w:spacing w:after="0"/>
        <w:tabs>
          <w:tab w:leader="none" w:pos="1900" w:val="left"/>
        </w:tabs>
        <w:numPr>
          <w:ilvl w:val="2"/>
          <w:numId w:val="5"/>
        </w:numPr>
        <w:rPr>
          <w:rFonts w:ascii="Arial" w:cs="Arial" w:eastAsia="Arial" w:hAnsi="Arial"/>
          <w:sz w:val="21"/>
          <w:szCs w:val="21"/>
          <w:color w:val="auto"/>
        </w:rPr>
      </w:pPr>
      <w:r>
        <w:rPr>
          <w:rFonts w:ascii="Arial" w:cs="Arial" w:eastAsia="Arial" w:hAnsi="Arial"/>
          <w:sz w:val="21"/>
          <w:szCs w:val="21"/>
          <w:color w:val="auto"/>
        </w:rPr>
        <w:t>$3.1 billion 15-year MBS,</w:t>
      </w:r>
    </w:p>
    <w:p>
      <w:pPr>
        <w:spacing w:after="0" w:line="8" w:lineRule="exact"/>
        <w:rPr>
          <w:rFonts w:ascii="Arial" w:cs="Arial" w:eastAsia="Arial" w:hAnsi="Arial"/>
          <w:sz w:val="21"/>
          <w:szCs w:val="21"/>
          <w:color w:val="auto"/>
        </w:rPr>
      </w:pPr>
    </w:p>
    <w:p>
      <w:pPr>
        <w:ind w:left="1900" w:hanging="318"/>
        <w:spacing w:after="0"/>
        <w:tabs>
          <w:tab w:leader="none" w:pos="1900" w:val="left"/>
        </w:tabs>
        <w:numPr>
          <w:ilvl w:val="2"/>
          <w:numId w:val="5"/>
        </w:numPr>
        <w:rPr>
          <w:rFonts w:ascii="Arial" w:cs="Arial" w:eastAsia="Arial" w:hAnsi="Arial"/>
          <w:sz w:val="21"/>
          <w:szCs w:val="21"/>
          <w:color w:val="auto"/>
        </w:rPr>
      </w:pPr>
      <w:r>
        <w:rPr>
          <w:rFonts w:ascii="Arial" w:cs="Arial" w:eastAsia="Arial" w:hAnsi="Arial"/>
          <w:sz w:val="21"/>
          <w:szCs w:val="21"/>
          <w:color w:val="auto"/>
        </w:rPr>
        <w:t>$2.0 billion 15-year TBA securities, and</w:t>
      </w:r>
    </w:p>
    <w:p>
      <w:pPr>
        <w:spacing w:after="0" w:line="8" w:lineRule="exact"/>
        <w:rPr>
          <w:rFonts w:ascii="Arial" w:cs="Arial" w:eastAsia="Arial" w:hAnsi="Arial"/>
          <w:sz w:val="21"/>
          <w:szCs w:val="21"/>
          <w:color w:val="auto"/>
        </w:rPr>
      </w:pPr>
    </w:p>
    <w:p>
      <w:pPr>
        <w:ind w:left="1900" w:hanging="318"/>
        <w:spacing w:after="0"/>
        <w:tabs>
          <w:tab w:leader="none" w:pos="1900" w:val="left"/>
        </w:tabs>
        <w:numPr>
          <w:ilvl w:val="2"/>
          <w:numId w:val="5"/>
        </w:numPr>
        <w:rPr>
          <w:rFonts w:ascii="Arial" w:cs="Arial" w:eastAsia="Arial" w:hAnsi="Arial"/>
          <w:sz w:val="21"/>
          <w:szCs w:val="21"/>
          <w:color w:val="auto"/>
        </w:rPr>
      </w:pPr>
      <w:r>
        <w:rPr>
          <w:rFonts w:ascii="Arial" w:cs="Arial" w:eastAsia="Arial" w:hAnsi="Arial"/>
          <w:sz w:val="21"/>
          <w:szCs w:val="21"/>
          <w:color w:val="auto"/>
        </w:rPr>
        <w:t>$2.1 billion 20-year MBS; and</w:t>
      </w:r>
    </w:p>
    <w:p>
      <w:pPr>
        <w:spacing w:after="0" w:line="8" w:lineRule="exact"/>
        <w:rPr>
          <w:rFonts w:ascii="Arial" w:cs="Arial" w:eastAsia="Arial" w:hAnsi="Arial"/>
          <w:sz w:val="21"/>
          <w:szCs w:val="21"/>
          <w:color w:val="auto"/>
        </w:rPr>
      </w:pPr>
    </w:p>
    <w:p>
      <w:pPr>
        <w:ind w:left="1260" w:hanging="309"/>
        <w:spacing w:after="0" w:line="248" w:lineRule="auto"/>
        <w:tabs>
          <w:tab w:leader="none" w:pos="1269" w:val="left"/>
        </w:tabs>
        <w:numPr>
          <w:ilvl w:val="1"/>
          <w:numId w:val="5"/>
        </w:numPr>
        <w:rPr>
          <w:rFonts w:ascii="Arial" w:cs="Arial" w:eastAsia="Arial" w:hAnsi="Arial"/>
          <w:sz w:val="21"/>
          <w:szCs w:val="21"/>
          <w:color w:val="auto"/>
        </w:rPr>
      </w:pPr>
      <w:r>
        <w:rPr>
          <w:rFonts w:ascii="Arial" w:cs="Arial" w:eastAsia="Arial" w:hAnsi="Arial"/>
          <w:sz w:val="21"/>
          <w:szCs w:val="21"/>
          <w:color w:val="auto"/>
        </w:rPr>
        <w:t>$0.3 billion of collateralized mortgage obligations ("CMOs"), adjustable-rate and other Agency securities; and</w:t>
      </w:r>
    </w:p>
    <w:p>
      <w:pPr>
        <w:ind w:left="640" w:hanging="319"/>
        <w:spacing w:after="0"/>
        <w:tabs>
          <w:tab w:leader="none" w:pos="640" w:val="left"/>
        </w:tabs>
        <w:numPr>
          <w:ilvl w:val="0"/>
          <w:numId w:val="5"/>
        </w:numPr>
        <w:rPr>
          <w:rFonts w:ascii="Arial" w:cs="Arial" w:eastAsia="Arial" w:hAnsi="Arial"/>
          <w:sz w:val="21"/>
          <w:szCs w:val="21"/>
          <w:color w:val="auto"/>
        </w:rPr>
      </w:pPr>
      <w:r>
        <w:rPr>
          <w:rFonts w:ascii="Arial" w:cs="Arial" w:eastAsia="Arial" w:hAnsi="Arial"/>
          <w:sz w:val="21"/>
          <w:szCs w:val="21"/>
          <w:color w:val="auto"/>
        </w:rPr>
        <w:t>$2.1 billion of CRT and non-Agency securities, including $0.5 billion of forward settling non-Agency securities.</w:t>
      </w:r>
    </w:p>
    <w:p>
      <w:pPr>
        <w:spacing w:after="0" w:line="166" w:lineRule="exact"/>
        <w:rPr>
          <w:sz w:val="20"/>
          <w:szCs w:val="20"/>
          <w:color w:val="auto"/>
        </w:rPr>
      </w:pPr>
    </w:p>
    <w:p>
      <w:pPr>
        <w:spacing w:after="0" w:line="258" w:lineRule="auto"/>
        <w:rPr>
          <w:sz w:val="20"/>
          <w:szCs w:val="20"/>
          <w:color w:val="auto"/>
        </w:rPr>
      </w:pPr>
      <w:r>
        <w:rPr>
          <w:rFonts w:ascii="Arial" w:cs="Arial" w:eastAsia="Arial" w:hAnsi="Arial"/>
          <w:sz w:val="21"/>
          <w:szCs w:val="21"/>
          <w:color w:val="auto"/>
        </w:rPr>
        <w:t>As of September 30, 2021, 30-year and 15-year fixed-rate Agency securities represented 89% and 6%, respectively, of the Company's investment portfolio, compared to 87% and 7%, respectively, as of June 30, 2021.</w:t>
      </w:r>
    </w:p>
    <w:p>
      <w:pPr>
        <w:spacing w:after="0" w:line="138" w:lineRule="exact"/>
        <w:rPr>
          <w:sz w:val="20"/>
          <w:szCs w:val="20"/>
          <w:color w:val="auto"/>
        </w:rPr>
      </w:pPr>
    </w:p>
    <w:p>
      <w:pPr>
        <w:spacing w:after="0" w:line="258" w:lineRule="auto"/>
        <w:rPr>
          <w:sz w:val="20"/>
          <w:szCs w:val="20"/>
          <w:color w:val="auto"/>
        </w:rPr>
      </w:pPr>
      <w:r>
        <w:rPr>
          <w:rFonts w:ascii="Arial" w:cs="Arial" w:eastAsia="Arial" w:hAnsi="Arial"/>
          <w:sz w:val="21"/>
          <w:szCs w:val="21"/>
          <w:color w:val="auto"/>
        </w:rPr>
        <w:t>As of September 30, 2021, the Company's fixed-rate securities' weighted average coupon was 2.86%, compared to 2.93% as of June 30, 2021, comprised of the following weighted average coupons:</w:t>
      </w:r>
    </w:p>
    <w:p>
      <w:pPr>
        <w:spacing w:after="0" w:line="138" w:lineRule="exact"/>
        <w:rPr>
          <w:sz w:val="20"/>
          <w:szCs w:val="20"/>
          <w:color w:val="auto"/>
        </w:rPr>
      </w:pPr>
    </w:p>
    <w:p>
      <w:pPr>
        <w:ind w:left="640" w:hanging="319"/>
        <w:spacing w:after="0"/>
        <w:tabs>
          <w:tab w:leader="none" w:pos="640" w:val="left"/>
        </w:tabs>
        <w:numPr>
          <w:ilvl w:val="0"/>
          <w:numId w:val="6"/>
        </w:numPr>
        <w:rPr>
          <w:rFonts w:ascii="Arial" w:cs="Arial" w:eastAsia="Arial" w:hAnsi="Arial"/>
          <w:sz w:val="21"/>
          <w:szCs w:val="21"/>
          <w:color w:val="auto"/>
        </w:rPr>
      </w:pPr>
      <w:r>
        <w:rPr>
          <w:rFonts w:ascii="Arial" w:cs="Arial" w:eastAsia="Arial" w:hAnsi="Arial"/>
          <w:sz w:val="21"/>
          <w:szCs w:val="21"/>
          <w:color w:val="auto"/>
        </w:rPr>
        <w:t>2.89% for 30-year fixed-rate securities;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6"/>
        </w:numPr>
        <w:rPr>
          <w:rFonts w:ascii="Arial" w:cs="Arial" w:eastAsia="Arial" w:hAnsi="Arial"/>
          <w:sz w:val="21"/>
          <w:szCs w:val="21"/>
          <w:color w:val="auto"/>
        </w:rPr>
      </w:pPr>
      <w:r>
        <w:rPr>
          <w:rFonts w:ascii="Arial" w:cs="Arial" w:eastAsia="Arial" w:hAnsi="Arial"/>
          <w:sz w:val="21"/>
          <w:szCs w:val="21"/>
          <w:color w:val="auto"/>
        </w:rPr>
        <w:t>2.60% for 15-year fixed rate securities; and</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6"/>
        </w:numPr>
        <w:rPr>
          <w:rFonts w:ascii="Arial" w:cs="Arial" w:eastAsia="Arial" w:hAnsi="Arial"/>
          <w:sz w:val="21"/>
          <w:szCs w:val="21"/>
          <w:color w:val="auto"/>
        </w:rPr>
      </w:pPr>
      <w:r>
        <w:rPr>
          <w:rFonts w:ascii="Arial" w:cs="Arial" w:eastAsia="Arial" w:hAnsi="Arial"/>
          <w:sz w:val="21"/>
          <w:szCs w:val="21"/>
          <w:color w:val="auto"/>
        </w:rPr>
        <w:t>2.52% for 20-year fixed-rate securities.</w:t>
      </w:r>
    </w:p>
    <w:p>
      <w:pPr>
        <w:spacing w:after="0" w:line="166"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The Company accounts for TBA securities (or "dollar roll funded assets") and forward settling securities as derivative instruments and recognizes dollar roll income in other gain (loss), net on the Company's financial statements. As of September 30, 2021, the Company's TBA and forward settling non-Agency securities position had a fair value of $28.7 billion and a GAAP net carrying value of $(171) million reported in derivative assets/(liabilities) on the Company's balance sheet, compared to $27.7 billion and $79 million, respectively, as of June 30, 2021.</w:t>
      </w:r>
    </w:p>
    <w:p>
      <w:pPr>
        <w:sectPr>
          <w:pgSz w:w="11900" w:h="16838" w:orient="portrait"/>
          <w:cols w:equalWidth="0" w:num="1">
            <w:col w:w="11240"/>
          </w:cols>
          <w:pgMar w:left="320" w:top="146" w:right="339" w:bottom="1440" w:gutter="0" w:footer="0" w:header="0"/>
        </w:sectPr>
      </w:pPr>
    </w:p>
    <w:bookmarkStart w:id="6" w:name="page7"/>
    <w:bookmarkEnd w:id="6"/>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4</w:t>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CONSTANT PREPAYMENT RATES</w:t>
      </w:r>
    </w:p>
    <w:p>
      <w:pPr>
        <w:spacing w:after="0" w:line="192" w:lineRule="exact"/>
        <w:rPr>
          <w:sz w:val="20"/>
          <w:szCs w:val="20"/>
          <w:color w:val="auto"/>
        </w:rPr>
      </w:pPr>
    </w:p>
    <w:p>
      <w:pPr>
        <w:jc w:val="both"/>
        <w:spacing w:after="0" w:line="253" w:lineRule="auto"/>
        <w:rPr>
          <w:sz w:val="20"/>
          <w:szCs w:val="20"/>
          <w:color w:val="auto"/>
        </w:rPr>
      </w:pPr>
      <w:r>
        <w:rPr>
          <w:rFonts w:ascii="Arial" w:cs="Arial" w:eastAsia="Arial" w:hAnsi="Arial"/>
          <w:sz w:val="21"/>
          <w:szCs w:val="21"/>
          <w:color w:val="auto"/>
        </w:rPr>
        <w:t>The Company's investment portfolio had a weighted average CPR of 22.5% for the third quarter, compared to 25.7% for the prior quarter. The weighted average projected CPR for the remaining life of the Company's Agency securities held as of September 30, 2021 decreased to 10.7% from 11.6% as of June 30, 2021.</w:t>
      </w:r>
    </w:p>
    <w:p>
      <w:pPr>
        <w:spacing w:after="0" w:line="143"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The weighted average cost basis of the Company's investment portfolio was 103.6% of par value as of September 30, 2021. Premium amortization cost for the Company's investment portfolio for the third quarter was $(106) million, or $(0.20) per common share, which includes "catch-up" premium amortization cost of $(2) million, or less than $(0.01) per common share, due to an increase in the Company's projected CPR estimates for certain securities acquired prior to the third quarter. This compares to a net premium amortization cost for the prior quarter of $(202) million, or $(0.38) per common share, including a "catch-up" premium amortization cost of $(71) million, or $(0.13) per common share.</w:t>
      </w:r>
    </w:p>
    <w:p>
      <w:pPr>
        <w:spacing w:after="0" w:line="20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ASSET YIELDS, COST OF FUNDS AND NET INTEREST RATE SPREAD</w:t>
      </w:r>
    </w:p>
    <w:p>
      <w:pPr>
        <w:spacing w:after="0" w:line="192"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The Company's average asset yield on its investment portfolio, excluding the TBA position, was 2.30% for the third quarter, compared to 1.73% for the prior quarter. Excluding "catch-up" premium amortization, the Company's average asset yield was 2.32% for the third quarter, compared to 2.23% for the prior quarter. Including the TBA position and excluding "catch-up" premium amortization, the Company's average asset yield for the third quarter was 2.16%, compared to 2.15% for the prior quarter.</w:t>
      </w:r>
    </w:p>
    <w:p>
      <w:pPr>
        <w:spacing w:after="0" w:line="149"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For the third quarter, the weighted average interest rate on the Company's repurchase agreements was 0.12%, compared to 0.13% for the prior quarter. For the third quarter, the Company’s TBA position had an implied financing benefit of (0.42)%, compared to a benefit of (0.33)% for the prior quarter. Inclusive of interest rate swaps, the Company's combined weighted average cost of funds for the third quarter was a net benefit of (0.03)%, compared to a net cost of 0.06% for the prior quarter.</w:t>
      </w:r>
    </w:p>
    <w:p>
      <w:pPr>
        <w:spacing w:after="0" w:line="149"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The Company's annualized net interest spread, including the TBA position and interest rate swaps and excluding "catch-up" premium amortization, for the third quarter was 2.19%, compared to 2.09% for the prior quarter.</w:t>
      </w:r>
    </w:p>
    <w:p>
      <w:pPr>
        <w:spacing w:after="0" w:line="19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NET SPREAD AND DOLLAR ROLL INCOME</w:t>
      </w:r>
    </w:p>
    <w:p>
      <w:pPr>
        <w:spacing w:after="0" w:line="192"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The Company recognized net spread and dollar roll income (a non-GAAP financial measure) for the third quarter of $0.75 per common share, excluding less than $(0.01) per common share of "catch-up" premium amortization cost, compared to $0.76 per common share for the prior quarter, excluding $(0.14) per common share of "catch-up" premium amortization cost.</w:t>
      </w:r>
    </w:p>
    <w:p>
      <w:pPr>
        <w:spacing w:after="0" w:line="146"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A reconciliation of the Company's net interest income to net spread and dollar roll income and additional information regarding the Company's use of non-GAAP measures are included later in this release.</w:t>
      </w:r>
    </w:p>
    <w:p>
      <w:pPr>
        <w:sectPr>
          <w:pgSz w:w="11900" w:h="16838" w:orient="portrait"/>
          <w:cols w:equalWidth="0" w:num="1">
            <w:col w:w="11240"/>
          </w:cols>
          <w:pgMar w:left="320" w:top="146" w:right="339" w:bottom="1440" w:gutter="0" w:footer="0" w:header="0"/>
        </w:sectPr>
      </w:pPr>
    </w:p>
    <w:bookmarkStart w:id="7" w:name="page8"/>
    <w:bookmarkEnd w:id="7"/>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5</w:t>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LEVERAGE</w:t>
      </w:r>
    </w:p>
    <w:p>
      <w:pPr>
        <w:spacing w:after="0" w:line="192" w:lineRule="exact"/>
        <w:rPr>
          <w:sz w:val="20"/>
          <w:szCs w:val="20"/>
          <w:color w:val="auto"/>
        </w:rPr>
      </w:pPr>
    </w:p>
    <w:p>
      <w:pPr>
        <w:jc w:val="both"/>
        <w:spacing w:after="0" w:line="249" w:lineRule="auto"/>
        <w:rPr>
          <w:sz w:val="20"/>
          <w:szCs w:val="20"/>
          <w:color w:val="auto"/>
        </w:rPr>
      </w:pPr>
      <w:r>
        <w:rPr>
          <w:rFonts w:ascii="Arial" w:cs="Arial" w:eastAsia="Arial" w:hAnsi="Arial"/>
          <w:sz w:val="21"/>
          <w:szCs w:val="21"/>
          <w:color w:val="auto"/>
        </w:rPr>
        <w:t>As of September 30, 2021, $45.6 billion of repurchase agreements, $28.5 billion of net TBA dollar roll positions and $0.5 billion of forward settling non-Agency securities (at cost), and $0.1 billion of other debt were used to fund the Company's investment portfolio. The remainder, or approximately $0.9 billion, of the Company's repurchase agreements was used to fund purchases of U.S. Treasury securities ("U.S. Treasury repo") and is not included in the Company's leverage measurements. Inclusive of its TBA and forward settling non-Agency security positions and net payable/(receivable) for unsettled investment securities, the Company's tangible net book value "at risk" leverage ratio was 7.5x as of September 30, 2021, compared to 7.9x as of June 30, 2021. The Company's average "at risk" leverage for the third quarter was 7.5x tangible net book value, compared to 7.6x for the prior quarter.</w:t>
      </w:r>
    </w:p>
    <w:p>
      <w:pPr>
        <w:spacing w:after="0" w:line="151"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As of September 30, 2021, the Company's repurchase agreements had a weighted average interest rate of 0.12%, compared to 0.11% as of June 30, 2021, and a weighted average remaining maturity of 70 days, compared to 54 days as of June 30, 2021. As of September 30, 2021, $19.8 billion, or 43%, of the Company's repurchase agreements were funded through the Company's captive broker-dealer subsidiary, Bethesda Securities, LLC.</w:t>
      </w:r>
    </w:p>
    <w:p>
      <w:pPr>
        <w:spacing w:after="0" w:line="146" w:lineRule="exact"/>
        <w:rPr>
          <w:sz w:val="20"/>
          <w:szCs w:val="20"/>
          <w:color w:val="auto"/>
        </w:rPr>
      </w:pPr>
    </w:p>
    <w:p>
      <w:pPr>
        <w:spacing w:after="0"/>
        <w:rPr>
          <w:sz w:val="20"/>
          <w:szCs w:val="20"/>
          <w:color w:val="auto"/>
        </w:rPr>
      </w:pPr>
      <w:r>
        <w:rPr>
          <w:rFonts w:ascii="Arial" w:cs="Arial" w:eastAsia="Arial" w:hAnsi="Arial"/>
          <w:sz w:val="21"/>
          <w:szCs w:val="21"/>
          <w:color w:val="auto"/>
        </w:rPr>
        <w:t>As of September 30, 2021, the Company's repurchase agreements had remaining maturities of:</w:t>
      </w:r>
    </w:p>
    <w:p>
      <w:pPr>
        <w:spacing w:after="0" w:line="166" w:lineRule="exact"/>
        <w:rPr>
          <w:sz w:val="20"/>
          <w:szCs w:val="20"/>
          <w:color w:val="auto"/>
        </w:rPr>
      </w:pPr>
    </w:p>
    <w:p>
      <w:pPr>
        <w:ind w:left="640" w:hanging="319"/>
        <w:spacing w:after="0"/>
        <w:tabs>
          <w:tab w:leader="none" w:pos="640" w:val="left"/>
        </w:tabs>
        <w:numPr>
          <w:ilvl w:val="0"/>
          <w:numId w:val="7"/>
        </w:numPr>
        <w:rPr>
          <w:rFonts w:ascii="Arial" w:cs="Arial" w:eastAsia="Arial" w:hAnsi="Arial"/>
          <w:sz w:val="21"/>
          <w:szCs w:val="21"/>
          <w:color w:val="auto"/>
        </w:rPr>
      </w:pPr>
      <w:r>
        <w:rPr>
          <w:rFonts w:ascii="Arial" w:cs="Arial" w:eastAsia="Arial" w:hAnsi="Arial"/>
          <w:sz w:val="21"/>
          <w:szCs w:val="21"/>
          <w:color w:val="auto"/>
        </w:rPr>
        <w:t>$32.6 billion of three months or less;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7"/>
        </w:numPr>
        <w:rPr>
          <w:rFonts w:ascii="Arial" w:cs="Arial" w:eastAsia="Arial" w:hAnsi="Arial"/>
          <w:sz w:val="21"/>
          <w:szCs w:val="21"/>
          <w:color w:val="auto"/>
        </w:rPr>
      </w:pPr>
      <w:r>
        <w:rPr>
          <w:rFonts w:ascii="Arial" w:cs="Arial" w:eastAsia="Arial" w:hAnsi="Arial"/>
          <w:sz w:val="21"/>
          <w:szCs w:val="21"/>
          <w:color w:val="auto"/>
        </w:rPr>
        <w:t>$9.5 billion from three to six months; and</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7"/>
        </w:numPr>
        <w:rPr>
          <w:rFonts w:ascii="Arial" w:cs="Arial" w:eastAsia="Arial" w:hAnsi="Arial"/>
          <w:sz w:val="21"/>
          <w:szCs w:val="21"/>
          <w:color w:val="auto"/>
        </w:rPr>
      </w:pPr>
      <w:r>
        <w:rPr>
          <w:rFonts w:ascii="Arial" w:cs="Arial" w:eastAsia="Arial" w:hAnsi="Arial"/>
          <w:sz w:val="21"/>
          <w:szCs w:val="21"/>
          <w:color w:val="auto"/>
        </w:rPr>
        <w:t>$3.5 billion from six to twelve months.</w:t>
      </w:r>
    </w:p>
    <w:p>
      <w:pPr>
        <w:spacing w:after="0" w:line="21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HEDGING ACTIVITIES</w:t>
      </w:r>
    </w:p>
    <w:p>
      <w:pPr>
        <w:spacing w:after="0" w:line="192"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As of September 30, 2021, interest rate swaps, swaptions and U.S. Treasury positions equaled 98% of the Company's outstanding balance of repurchase agreements, TBA position and other debt, compared to 97% as of June 30, 2021.</w:t>
      </w:r>
    </w:p>
    <w:p>
      <w:pPr>
        <w:spacing w:after="0" w:line="138"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As of September 30, 2021, the Company's interest rate swap position totaled $49.7 billion in notional amount, or unchanged from June 30, 2021. As of September 30, 2021, the Company's interest rate swap portfolio had an average fixed pay rate of 0.17%, an average receive rate of 0.05% and an average maturity of 4.2 years, compared to 0.18%, 0.06% and 4.4 years, respectively, as of June 30, 2021. As of September 30, 2021, 74% and 26% of the Company's interest rate swap portfolio were linked to the Secured Overnight Financing Rate ("SOFR") and Overnight Index Swap Rate ("OIS"), respectively.</w:t>
      </w:r>
    </w:p>
    <w:p>
      <w:pPr>
        <w:spacing w:after="0" w:line="147" w:lineRule="exact"/>
        <w:rPr>
          <w:sz w:val="20"/>
          <w:szCs w:val="20"/>
          <w:color w:val="auto"/>
        </w:rPr>
      </w:pPr>
    </w:p>
    <w:p>
      <w:pPr>
        <w:jc w:val="both"/>
        <w:spacing w:after="0" w:line="253" w:lineRule="auto"/>
        <w:rPr>
          <w:sz w:val="20"/>
          <w:szCs w:val="20"/>
          <w:color w:val="auto"/>
        </w:rPr>
      </w:pPr>
      <w:r>
        <w:rPr>
          <w:rFonts w:ascii="Arial" w:cs="Arial" w:eastAsia="Arial" w:hAnsi="Arial"/>
          <w:sz w:val="21"/>
          <w:szCs w:val="21"/>
          <w:color w:val="auto"/>
        </w:rPr>
        <w:t>As of September 30, 2021, the Company had payer swaptions outstanding totaling $13.0 billion, compared to $11.5 billion as of June 30, 2021. As of September 30, 2021, the Company had net short U.S. Treasury positions outstanding totaling $10.2 billion, compared to $12.5 billion as of June 30, 2021.</w:t>
      </w:r>
    </w:p>
    <w:p>
      <w:pPr>
        <w:spacing w:after="0" w:line="19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OTHER GAIN (LOSS), NET</w:t>
      </w:r>
    </w:p>
    <w:p>
      <w:pPr>
        <w:spacing w:after="0" w:line="192" w:lineRule="exact"/>
        <w:rPr>
          <w:sz w:val="20"/>
          <w:szCs w:val="20"/>
          <w:color w:val="auto"/>
        </w:rPr>
      </w:pPr>
    </w:p>
    <w:p>
      <w:pPr>
        <w:jc w:val="both"/>
        <w:spacing w:after="0" w:line="253" w:lineRule="auto"/>
        <w:rPr>
          <w:sz w:val="20"/>
          <w:szCs w:val="20"/>
          <w:color w:val="auto"/>
        </w:rPr>
      </w:pPr>
      <w:r>
        <w:rPr>
          <w:rFonts w:ascii="Arial" w:cs="Arial" w:eastAsia="Arial" w:hAnsi="Arial"/>
          <w:sz w:val="21"/>
          <w:szCs w:val="21"/>
          <w:color w:val="auto"/>
        </w:rPr>
        <w:t>For the third quarter, the Company recorded a net loss of $(45) million in other gain (loss), net, or $(0.09) per common share, compared to a net loss of $(621) million, or $(1.18) per common share, for the prior quarter. Other gain (loss), net for the third quarter was comprised of:</w:t>
      </w:r>
    </w:p>
    <w:p>
      <w:pPr>
        <w:sectPr>
          <w:pgSz w:w="11900" w:h="16838" w:orient="portrait"/>
          <w:cols w:equalWidth="0" w:num="1">
            <w:col w:w="11240"/>
          </w:cols>
          <w:pgMar w:left="320" w:top="146" w:right="339" w:bottom="1440" w:gutter="0" w:footer="0" w:header="0"/>
        </w:sectPr>
      </w:pPr>
    </w:p>
    <w:bookmarkStart w:id="8" w:name="page9"/>
    <w:bookmarkEnd w:id="8"/>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6</w:t>
      </w:r>
    </w:p>
    <w:p>
      <w:pPr>
        <w:spacing w:after="0" w:line="200" w:lineRule="exact"/>
        <w:rPr>
          <w:sz w:val="20"/>
          <w:szCs w:val="20"/>
          <w:color w:val="auto"/>
        </w:rPr>
      </w:pPr>
    </w:p>
    <w:p>
      <w:pPr>
        <w:spacing w:after="0" w:line="400" w:lineRule="exact"/>
        <w:rPr>
          <w:sz w:val="20"/>
          <w:szCs w:val="20"/>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$(5) million of net realized losses on sales of investment securities;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$(141) million of net unrealized losses on investment securities measured at fair value through net income;</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$(13) million of interest rate swap periodic costs;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$70 million of net gains on interest rate swaps;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$28 million of net gains on interest rate swaptions;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$(14) million of net losses on U.S. Treasury positions;</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$175 million of TBA dollar roll income;</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$(142) million of net mark-to-market losses on TBA securities; and</w:t>
      </w:r>
    </w:p>
    <w:p>
      <w:pPr>
        <w:spacing w:after="0" w:line="8" w:lineRule="exact"/>
        <w:rPr>
          <w:rFonts w:ascii="Arial" w:cs="Arial" w:eastAsia="Arial" w:hAnsi="Arial"/>
          <w:sz w:val="21"/>
          <w:szCs w:val="21"/>
          <w:color w:val="auto"/>
        </w:rPr>
      </w:pPr>
    </w:p>
    <w:p>
      <w:pPr>
        <w:ind w:left="640" w:hanging="319"/>
        <w:spacing w:after="0"/>
        <w:tabs>
          <w:tab w:leader="none" w:pos="640" w:val="left"/>
        </w:tabs>
        <w:numPr>
          <w:ilvl w:val="0"/>
          <w:numId w:val="8"/>
        </w:numPr>
        <w:rPr>
          <w:rFonts w:ascii="Arial" w:cs="Arial" w:eastAsia="Arial" w:hAnsi="Arial"/>
          <w:sz w:val="21"/>
          <w:szCs w:val="21"/>
          <w:color w:val="auto"/>
        </w:rPr>
      </w:pPr>
      <w:r>
        <w:rPr>
          <w:rFonts w:ascii="Arial" w:cs="Arial" w:eastAsia="Arial" w:hAnsi="Arial"/>
          <w:sz w:val="21"/>
          <w:szCs w:val="21"/>
          <w:color w:val="auto"/>
        </w:rPr>
        <w:t>$(3) million of other miscellaneous losses.</w:t>
      </w:r>
    </w:p>
    <w:p>
      <w:pPr>
        <w:spacing w:after="0" w:line="21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OTHER COMPREHENSIVE INCOME</w:t>
      </w:r>
    </w:p>
    <w:p>
      <w:pPr>
        <w:spacing w:after="0" w:line="192" w:lineRule="exact"/>
        <w:rPr>
          <w:sz w:val="20"/>
          <w:szCs w:val="20"/>
          <w:color w:val="auto"/>
        </w:rPr>
      </w:pPr>
    </w:p>
    <w:p>
      <w:pPr>
        <w:jc w:val="both"/>
        <w:spacing w:after="0" w:line="248" w:lineRule="auto"/>
        <w:rPr>
          <w:sz w:val="20"/>
          <w:szCs w:val="20"/>
          <w:color w:val="auto"/>
        </w:rPr>
      </w:pPr>
      <w:r>
        <w:rPr>
          <w:rFonts w:ascii="Arial" w:cs="Arial" w:eastAsia="Arial" w:hAnsi="Arial"/>
          <w:sz w:val="21"/>
          <w:szCs w:val="21"/>
          <w:color w:val="auto"/>
        </w:rPr>
        <w:t>During the third quarter, the Company recorded other comprehensive income of $6 million, or $0.02 per common share, consisting of net unrealized gains on the Company's Agency securities recognized through OCI, compared to $(77) million, or $(0.15) per common share, of other comprehensive loss for the prior quarter.</w:t>
      </w:r>
    </w:p>
    <w:p>
      <w:pPr>
        <w:spacing w:after="0" w:line="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COMMON STOCK DIVIDENDS</w:t>
      </w:r>
    </w:p>
    <w:p>
      <w:pPr>
        <w:spacing w:after="0" w:line="166"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During the third quarter, the Company declared dividends of $0.12 per share to common stockholders of record as of July 30, August 31, and September 30, 2021, respectively, totaling $0.36 per share for the quarter, which were paid on August 10, September 10, and October 12, 2021, respectively. Since its May 2008 initial public offering through the third quarter of 2021, the Company has declared a total of $11.0 billion in common stock dividends, or $43.96 per common share.</w:t>
      </w:r>
    </w:p>
    <w:p>
      <w:pPr>
        <w:spacing w:after="0" w:line="123"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STOCK REPURCHASE PROGRAM</w:t>
      </w:r>
    </w:p>
    <w:p>
      <w:pPr>
        <w:spacing w:after="0" w:line="192" w:lineRule="exact"/>
        <w:rPr>
          <w:sz w:val="20"/>
          <w:szCs w:val="20"/>
          <w:color w:val="auto"/>
        </w:rPr>
      </w:pPr>
    </w:p>
    <w:p>
      <w:pPr>
        <w:jc w:val="both"/>
        <w:spacing w:after="0" w:line="253" w:lineRule="auto"/>
        <w:rPr>
          <w:sz w:val="20"/>
          <w:szCs w:val="20"/>
          <w:color w:val="auto"/>
        </w:rPr>
      </w:pPr>
      <w:r>
        <w:rPr>
          <w:rFonts w:ascii="Arial" w:cs="Arial" w:eastAsia="Arial" w:hAnsi="Arial"/>
          <w:sz w:val="21"/>
          <w:szCs w:val="21"/>
          <w:color w:val="auto"/>
        </w:rPr>
        <w:t>On October 21, 2021, the Company's Board of Directors replaced its existing stock repurchase plan that was due to expire on December 31, 2021 with a new plan to repurchase up to $1 billion of common stock through December 31, 2022.</w:t>
      </w:r>
    </w:p>
    <w:p>
      <w:pPr>
        <w:spacing w:after="0" w:line="143"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The Company may repurchase shares in the open market or privately negotiated transactions or pursuant to a trading plan that may be adopted in accordance with Rule 10b5-1 of the Securities Exchange Act of 1934, as amended. The Company intends to repurchase shares of its common stock under the stock repurchase program only when the repurchase price is less than its then-current estimate of its tangible net book value per common share.</w:t>
      </w:r>
    </w:p>
    <w:p>
      <w:pPr>
        <w:spacing w:after="0" w:line="12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FINANCIAL STATEMENTS, OPERATING PERFORMANCE AND PORTFOLIO STATISTICS</w:t>
      </w:r>
    </w:p>
    <w:p>
      <w:pPr>
        <w:spacing w:after="0" w:line="192"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The following measures of operating performance include net spread and dollar roll income; net spread and dollar roll income, excluding "catch-up" premium amortization; economic interest income; economic interest expense; estimated taxable income; and the related per common share measures and financial metrics derived from such information, which are non-GAAP financial measures. Please refer to "Use of Non-GAAP Financial Information" later in this release for further discussion of non-GAAP measures.</w:t>
      </w:r>
    </w:p>
    <w:p>
      <w:pPr>
        <w:sectPr>
          <w:pgSz w:w="11900" w:h="16838" w:orient="portrait"/>
          <w:cols w:equalWidth="0" w:num="1">
            <w:col w:w="11240"/>
          </w:cols>
          <w:pgMar w:left="320" w:top="146" w:right="339" w:bottom="1440" w:gutter="0" w:footer="0" w:header="0"/>
        </w:sectPr>
      </w:pPr>
    </w:p>
    <w:bookmarkStart w:id="9" w:name="page10"/>
    <w:bookmarkEnd w:id="9"/>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7</w:t>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CONSOLIDATED BALANCE SHEETS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color w:val="auto"/>
                <w:w w:val="87"/>
              </w:rPr>
              <w:t>September 30,</w:t>
            </w:r>
          </w:p>
        </w:tc>
        <w:tc>
          <w:tcPr>
            <w:tcW w:w="180" w:type="dxa"/>
            <w:vAlign w:val="bottom"/>
          </w:tcPr>
          <w:p>
            <w:pPr>
              <w:spacing w:after="0"/>
              <w:rPr>
                <w:sz w:val="14"/>
                <w:szCs w:val="14"/>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4"/>
                <w:szCs w:val="14"/>
                <w:color w:val="auto"/>
                <w:w w:val="89"/>
              </w:rPr>
              <w:t>June 30,</w:t>
            </w:r>
          </w:p>
        </w:tc>
        <w:tc>
          <w:tcPr>
            <w:tcW w:w="180" w:type="dxa"/>
            <w:vAlign w:val="bottom"/>
          </w:tcPr>
          <w:p>
            <w:pPr>
              <w:spacing w:after="0"/>
              <w:rPr>
                <w:sz w:val="14"/>
                <w:szCs w:val="14"/>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4"/>
                <w:szCs w:val="14"/>
                <w:color w:val="auto"/>
                <w:w w:val="89"/>
              </w:rPr>
              <w:t>March 31,</w:t>
            </w:r>
          </w:p>
        </w:tc>
        <w:tc>
          <w:tcPr>
            <w:tcW w:w="140" w:type="dxa"/>
            <w:vAlign w:val="bottom"/>
          </w:tcPr>
          <w:p>
            <w:pPr>
              <w:spacing w:after="0"/>
              <w:rPr>
                <w:sz w:val="14"/>
                <w:szCs w:val="14"/>
                <w:color w:val="auto"/>
              </w:rPr>
            </w:pPr>
          </w:p>
        </w:tc>
        <w:tc>
          <w:tcPr>
            <w:tcW w:w="1120" w:type="dxa"/>
            <w:vAlign w:val="bottom"/>
            <w:gridSpan w:val="2"/>
          </w:tcPr>
          <w:p>
            <w:pPr>
              <w:ind w:left="60"/>
              <w:spacing w:after="0"/>
              <w:rPr>
                <w:sz w:val="20"/>
                <w:szCs w:val="20"/>
                <w:color w:val="auto"/>
              </w:rPr>
            </w:pPr>
            <w:r>
              <w:rPr>
                <w:rFonts w:ascii="Arial" w:cs="Arial" w:eastAsia="Arial" w:hAnsi="Arial"/>
                <w:sz w:val="14"/>
                <w:szCs w:val="14"/>
                <w:color w:val="auto"/>
              </w:rPr>
              <w:t>December 31,</w:t>
            </w:r>
          </w:p>
        </w:tc>
        <w:tc>
          <w:tcPr>
            <w:tcW w:w="140" w:type="dxa"/>
            <w:vAlign w:val="bottom"/>
          </w:tcPr>
          <w:p>
            <w:pPr>
              <w:spacing w:after="0"/>
              <w:rPr>
                <w:sz w:val="14"/>
                <w:szCs w:val="14"/>
                <w:color w:val="auto"/>
              </w:rPr>
            </w:pPr>
          </w:p>
        </w:tc>
        <w:tc>
          <w:tcPr>
            <w:tcW w:w="1020" w:type="dxa"/>
            <w:vAlign w:val="bottom"/>
          </w:tcPr>
          <w:p>
            <w:pPr>
              <w:jc w:val="center"/>
              <w:ind w:right="70"/>
              <w:spacing w:after="0"/>
              <w:rPr>
                <w:sz w:val="20"/>
                <w:szCs w:val="20"/>
                <w:color w:val="auto"/>
              </w:rPr>
            </w:pPr>
            <w:r>
              <w:rPr>
                <w:rFonts w:ascii="Arial" w:cs="Arial" w:eastAsia="Arial" w:hAnsi="Arial"/>
                <w:sz w:val="14"/>
                <w:szCs w:val="14"/>
                <w:color w:val="auto"/>
                <w:w w:val="87"/>
              </w:rPr>
              <w:t>September 30,</w:t>
            </w:r>
          </w:p>
        </w:tc>
        <w:tc>
          <w:tcPr>
            <w:tcW w:w="0" w:type="dxa"/>
            <w:vAlign w:val="bottom"/>
          </w:tcPr>
          <w:p>
            <w:pPr>
              <w:spacing w:after="0"/>
              <w:rPr>
                <w:sz w:val="1"/>
                <w:szCs w:val="1"/>
                <w:color w:val="auto"/>
              </w:rPr>
            </w:pPr>
          </w:p>
        </w:tc>
      </w:tr>
      <w:tr>
        <w:trPr>
          <w:trHeight w:val="181"/>
        </w:trPr>
        <w:tc>
          <w:tcPr>
            <w:tcW w:w="504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50"/>
              <w:spacing w:after="0"/>
              <w:rPr>
                <w:sz w:val="20"/>
                <w:szCs w:val="20"/>
                <w:color w:val="auto"/>
              </w:rPr>
            </w:pPr>
            <w:r>
              <w:rPr>
                <w:rFonts w:ascii="Arial" w:cs="Arial" w:eastAsia="Arial" w:hAnsi="Arial"/>
                <w:sz w:val="14"/>
                <w:szCs w:val="14"/>
                <w:color w:val="auto"/>
                <w:w w:val="89"/>
              </w:rPr>
              <w:t>2021</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110"/>
              <w:spacing w:after="0"/>
              <w:rPr>
                <w:sz w:val="20"/>
                <w:szCs w:val="20"/>
                <w:color w:val="auto"/>
              </w:rPr>
            </w:pPr>
            <w:r>
              <w:rPr>
                <w:rFonts w:ascii="Arial" w:cs="Arial" w:eastAsia="Arial" w:hAnsi="Arial"/>
                <w:sz w:val="14"/>
                <w:szCs w:val="14"/>
                <w:color w:val="auto"/>
                <w:w w:val="89"/>
              </w:rPr>
              <w:t>2021</w:t>
            </w: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110"/>
              <w:spacing w:after="0"/>
              <w:rPr>
                <w:sz w:val="20"/>
                <w:szCs w:val="20"/>
                <w:color w:val="auto"/>
              </w:rPr>
            </w:pPr>
            <w:r>
              <w:rPr>
                <w:rFonts w:ascii="Arial" w:cs="Arial" w:eastAsia="Arial" w:hAnsi="Arial"/>
                <w:sz w:val="14"/>
                <w:szCs w:val="14"/>
                <w:color w:val="auto"/>
                <w:w w:val="89"/>
              </w:rPr>
              <w:t>2021</w:t>
            </w: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2020</w:t>
            </w: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70"/>
              <w:spacing w:after="0"/>
              <w:rPr>
                <w:sz w:val="20"/>
                <w:szCs w:val="20"/>
                <w:color w:val="auto"/>
              </w:rPr>
            </w:pPr>
            <w:r>
              <w:rPr>
                <w:rFonts w:ascii="Arial" w:cs="Arial" w:eastAsia="Arial" w:hAnsi="Arial"/>
                <w:sz w:val="14"/>
                <w:szCs w:val="14"/>
                <w:color w:val="auto"/>
                <w:w w:val="89"/>
              </w:rPr>
              <w:t>2020</w:t>
            </w:r>
          </w:p>
        </w:tc>
        <w:tc>
          <w:tcPr>
            <w:tcW w:w="0" w:type="dxa"/>
            <w:vAlign w:val="bottom"/>
          </w:tcPr>
          <w:p>
            <w:pPr>
              <w:spacing w:after="0"/>
              <w:rPr>
                <w:sz w:val="1"/>
                <w:szCs w:val="1"/>
                <w:color w:val="auto"/>
              </w:rPr>
            </w:pPr>
          </w:p>
        </w:tc>
      </w:tr>
      <w:tr>
        <w:trPr>
          <w:trHeight w:val="177"/>
        </w:trPr>
        <w:tc>
          <w:tcPr>
            <w:tcW w:w="5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center"/>
              <w:ind w:right="50"/>
              <w:spacing w:after="0"/>
              <w:rPr>
                <w:sz w:val="20"/>
                <w:szCs w:val="20"/>
                <w:color w:val="auto"/>
              </w:rPr>
            </w:pPr>
            <w:r>
              <w:rPr>
                <w:rFonts w:ascii="Arial" w:cs="Arial" w:eastAsia="Arial" w:hAnsi="Arial"/>
                <w:sz w:val="14"/>
                <w:szCs w:val="14"/>
                <w:color w:val="auto"/>
                <w:w w:val="90"/>
              </w:rPr>
              <w:t>(unaudited)</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center"/>
              <w:ind w:right="110"/>
              <w:spacing w:after="0"/>
              <w:rPr>
                <w:sz w:val="20"/>
                <w:szCs w:val="20"/>
                <w:color w:val="auto"/>
              </w:rPr>
            </w:pPr>
            <w:r>
              <w:rPr>
                <w:rFonts w:ascii="Arial" w:cs="Arial" w:eastAsia="Arial" w:hAnsi="Arial"/>
                <w:sz w:val="14"/>
                <w:szCs w:val="14"/>
                <w:color w:val="auto"/>
                <w:w w:val="90"/>
              </w:rPr>
              <w:t>(unaudited)</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center"/>
              <w:ind w:right="110"/>
              <w:spacing w:after="0"/>
              <w:rPr>
                <w:sz w:val="20"/>
                <w:szCs w:val="20"/>
                <w:color w:val="auto"/>
              </w:rPr>
            </w:pPr>
            <w:r>
              <w:rPr>
                <w:rFonts w:ascii="Arial" w:cs="Arial" w:eastAsia="Arial" w:hAnsi="Arial"/>
                <w:sz w:val="14"/>
                <w:szCs w:val="14"/>
                <w:color w:val="auto"/>
                <w:w w:val="90"/>
              </w:rPr>
              <w:t>(unaudited)</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center"/>
              <w:ind w:right="70"/>
              <w:spacing w:after="0"/>
              <w:rPr>
                <w:sz w:val="20"/>
                <w:szCs w:val="20"/>
                <w:color w:val="auto"/>
              </w:rPr>
            </w:pPr>
            <w:r>
              <w:rPr>
                <w:rFonts w:ascii="Arial" w:cs="Arial" w:eastAsia="Arial" w:hAnsi="Arial"/>
                <w:sz w:val="14"/>
                <w:szCs w:val="14"/>
                <w:color w:val="auto"/>
                <w:w w:val="90"/>
              </w:rPr>
              <w:t>(unaudited)</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Assets:</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5040" w:type="dxa"/>
            <w:vAlign w:val="bottom"/>
          </w:tcPr>
          <w:p>
            <w:pPr>
              <w:ind w:left="140"/>
              <w:spacing w:after="0" w:line="131" w:lineRule="exact"/>
              <w:rPr>
                <w:sz w:val="20"/>
                <w:szCs w:val="20"/>
                <w:color w:val="auto"/>
              </w:rPr>
            </w:pPr>
            <w:r>
              <w:rPr>
                <w:rFonts w:ascii="Arial" w:cs="Arial" w:eastAsia="Arial" w:hAnsi="Arial"/>
                <w:sz w:val="14"/>
                <w:szCs w:val="14"/>
                <w:color w:val="auto"/>
                <w:w w:val="97"/>
              </w:rPr>
              <w:t>Agency securities, at fair value (including pledged securities of $46,741, $49,686,</w:t>
            </w:r>
          </w:p>
        </w:tc>
        <w:tc>
          <w:tcPr>
            <w:tcW w:w="120" w:type="dxa"/>
            <w:vAlign w:val="bottom"/>
            <w:vMerge w:val="restart"/>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53,517</w:t>
            </w:r>
          </w:p>
        </w:tc>
        <w:tc>
          <w:tcPr>
            <w:tcW w:w="100" w:type="dxa"/>
            <w:vAlign w:val="bottom"/>
          </w:tcPr>
          <w:p>
            <w:pPr>
              <w:spacing w:after="0"/>
              <w:rPr>
                <w:sz w:val="11"/>
                <w:szCs w:val="11"/>
                <w:color w:val="auto"/>
              </w:rPr>
            </w:pPr>
          </w:p>
        </w:tc>
        <w:tc>
          <w:tcPr>
            <w:tcW w:w="180" w:type="dxa"/>
            <w:vAlign w:val="bottom"/>
            <w:vMerge w:val="restart"/>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57,896</w:t>
            </w:r>
          </w:p>
        </w:tc>
        <w:tc>
          <w:tcPr>
            <w:tcW w:w="100" w:type="dxa"/>
            <w:vAlign w:val="bottom"/>
          </w:tcPr>
          <w:p>
            <w:pPr>
              <w:spacing w:after="0"/>
              <w:rPr>
                <w:sz w:val="11"/>
                <w:szCs w:val="11"/>
                <w:color w:val="auto"/>
              </w:rPr>
            </w:pPr>
          </w:p>
        </w:tc>
        <w:tc>
          <w:tcPr>
            <w:tcW w:w="180" w:type="dxa"/>
            <w:vAlign w:val="bottom"/>
            <w:vMerge w:val="restart"/>
          </w:tcPr>
          <w:p>
            <w:pPr>
              <w:jc w:val="right"/>
              <w:ind w:right="10"/>
              <w:spacing w:after="0"/>
              <w:rPr>
                <w:sz w:val="20"/>
                <w:szCs w:val="20"/>
                <w:color w:val="auto"/>
              </w:rPr>
            </w:pPr>
            <w:r>
              <w:rPr>
                <w:rFonts w:ascii="Arial" w:cs="Arial" w:eastAsia="Arial" w:hAnsi="Arial"/>
                <w:sz w:val="14"/>
                <w:szCs w:val="14"/>
                <w:color w:val="auto"/>
              </w:rPr>
              <w:t>$</w:t>
            </w: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63,286</w:t>
            </w:r>
          </w:p>
        </w:tc>
        <w:tc>
          <w:tcPr>
            <w:tcW w:w="10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64,836</w:t>
            </w:r>
          </w:p>
        </w:tc>
        <w:tc>
          <w:tcPr>
            <w:tcW w:w="10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66,556</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$56,343, $53,698 and $55,711, respectively)</w:t>
            </w:r>
          </w:p>
        </w:tc>
        <w:tc>
          <w:tcPr>
            <w:tcW w:w="120" w:type="dxa"/>
            <w:vAlign w:val="bottom"/>
            <w:vMerge w:val="continue"/>
          </w:tcPr>
          <w:p>
            <w:pPr>
              <w:spacing w:after="0"/>
              <w:rPr>
                <w:sz w:val="15"/>
                <w:szCs w:val="15"/>
                <w:color w:val="auto"/>
              </w:rPr>
            </w:pPr>
          </w:p>
        </w:tc>
        <w:tc>
          <w:tcPr>
            <w:tcW w:w="10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vMerge w:val="continue"/>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vMerge w:val="continue"/>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vMerge w:val="continue"/>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vMerge w:val="continue"/>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5040" w:type="dxa"/>
            <w:vAlign w:val="bottom"/>
            <w:shd w:val="clear" w:color="auto" w:fill="CCEEFF"/>
          </w:tcPr>
          <w:p>
            <w:pPr>
              <w:ind w:left="140"/>
              <w:spacing w:after="0" w:line="134" w:lineRule="exact"/>
              <w:rPr>
                <w:sz w:val="20"/>
                <w:szCs w:val="20"/>
                <w:color w:val="auto"/>
              </w:rPr>
            </w:pPr>
            <w:r>
              <w:rPr>
                <w:rFonts w:ascii="Arial" w:cs="Arial" w:eastAsia="Arial" w:hAnsi="Arial"/>
                <w:sz w:val="14"/>
                <w:szCs w:val="14"/>
                <w:color w:val="auto"/>
                <w:w w:val="95"/>
              </w:rPr>
              <w:t>Agency securities transferred to consolidated variable interest entities, at fair value</w:t>
            </w:r>
          </w:p>
        </w:tc>
        <w:tc>
          <w:tcPr>
            <w:tcW w:w="120" w:type="dxa"/>
            <w:vAlign w:val="bottom"/>
            <w:shd w:val="clear" w:color="auto" w:fill="CCEEFF"/>
          </w:tcPr>
          <w:p>
            <w:pPr>
              <w:spacing w:after="0"/>
              <w:rPr>
                <w:sz w:val="11"/>
                <w:szCs w:val="11"/>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226</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245</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270</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295</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323</w:t>
            </w:r>
          </w:p>
        </w:tc>
        <w:tc>
          <w:tcPr>
            <w:tcW w:w="0" w:type="dxa"/>
            <w:vAlign w:val="bottom"/>
          </w:tcPr>
          <w:p>
            <w:pPr>
              <w:spacing w:after="0"/>
              <w:rPr>
                <w:sz w:val="1"/>
                <w:szCs w:val="1"/>
                <w:color w:val="auto"/>
              </w:rPr>
            </w:pPr>
          </w:p>
        </w:tc>
      </w:tr>
      <w:tr>
        <w:trPr>
          <w:trHeight w:val="184"/>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(pledged securities)</w:t>
            </w:r>
          </w:p>
        </w:tc>
        <w:tc>
          <w:tcPr>
            <w:tcW w:w="120" w:type="dxa"/>
            <w:vAlign w:val="bottom"/>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5040" w:type="dxa"/>
            <w:vAlign w:val="bottom"/>
          </w:tcPr>
          <w:p>
            <w:pPr>
              <w:ind w:left="140"/>
              <w:spacing w:after="0" w:line="131" w:lineRule="exact"/>
              <w:rPr>
                <w:sz w:val="20"/>
                <w:szCs w:val="20"/>
                <w:color w:val="auto"/>
              </w:rPr>
            </w:pPr>
            <w:r>
              <w:rPr>
                <w:rFonts w:ascii="Arial" w:cs="Arial" w:eastAsia="Arial" w:hAnsi="Arial"/>
                <w:sz w:val="14"/>
                <w:szCs w:val="14"/>
                <w:color w:val="auto"/>
                <w:w w:val="91"/>
              </w:rPr>
              <w:t>Credit risk transfer securities, at fair value (including pledged securities of $534, $502,</w:t>
            </w:r>
          </w:p>
        </w:tc>
        <w:tc>
          <w:tcPr>
            <w:tcW w:w="120" w:type="dxa"/>
            <w:vAlign w:val="bottom"/>
          </w:tcPr>
          <w:p>
            <w:pPr>
              <w:spacing w:after="0"/>
              <w:rPr>
                <w:sz w:val="11"/>
                <w:szCs w:val="11"/>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1,072</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1,105</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1,073</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737</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653</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$406, $455 and $413, respectively)</w:t>
            </w:r>
          </w:p>
        </w:tc>
        <w:tc>
          <w:tcPr>
            <w:tcW w:w="12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5040" w:type="dxa"/>
            <w:vAlign w:val="bottom"/>
            <w:shd w:val="clear" w:color="auto" w:fill="CCEEFF"/>
          </w:tcPr>
          <w:p>
            <w:pPr>
              <w:ind w:left="140"/>
              <w:spacing w:after="0" w:line="134" w:lineRule="exact"/>
              <w:rPr>
                <w:sz w:val="20"/>
                <w:szCs w:val="20"/>
                <w:color w:val="auto"/>
              </w:rPr>
            </w:pPr>
            <w:r>
              <w:rPr>
                <w:rFonts w:ascii="Arial" w:cs="Arial" w:eastAsia="Arial" w:hAnsi="Arial"/>
                <w:sz w:val="14"/>
                <w:szCs w:val="14"/>
                <w:color w:val="auto"/>
                <w:w w:val="98"/>
              </w:rPr>
              <w:t>Non-Agency securities, at fair value (including pledged securities of $380, $377,</w:t>
            </w:r>
          </w:p>
        </w:tc>
        <w:tc>
          <w:tcPr>
            <w:tcW w:w="120" w:type="dxa"/>
            <w:vAlign w:val="bottom"/>
            <w:shd w:val="clear" w:color="auto" w:fill="CCEEFF"/>
          </w:tcPr>
          <w:p>
            <w:pPr>
              <w:spacing w:after="0"/>
              <w:rPr>
                <w:sz w:val="11"/>
                <w:szCs w:val="11"/>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578</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553</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868</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546</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512</w:t>
            </w:r>
          </w:p>
        </w:tc>
        <w:tc>
          <w:tcPr>
            <w:tcW w:w="0" w:type="dxa"/>
            <w:vAlign w:val="bottom"/>
          </w:tcPr>
          <w:p>
            <w:pPr>
              <w:spacing w:after="0"/>
              <w:rPr>
                <w:sz w:val="1"/>
                <w:szCs w:val="1"/>
                <w:color w:val="auto"/>
              </w:rPr>
            </w:pPr>
          </w:p>
        </w:tc>
      </w:tr>
      <w:tr>
        <w:trPr>
          <w:trHeight w:val="184"/>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$414, $458 and $455, respectively)</w:t>
            </w:r>
          </w:p>
        </w:tc>
        <w:tc>
          <w:tcPr>
            <w:tcW w:w="120" w:type="dxa"/>
            <w:vAlign w:val="bottom"/>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5040" w:type="dxa"/>
            <w:vAlign w:val="bottom"/>
          </w:tcPr>
          <w:p>
            <w:pPr>
              <w:ind w:left="140"/>
              <w:spacing w:after="0" w:line="131" w:lineRule="exact"/>
              <w:rPr>
                <w:sz w:val="20"/>
                <w:szCs w:val="20"/>
                <w:color w:val="auto"/>
              </w:rPr>
            </w:pPr>
            <w:r>
              <w:rPr>
                <w:rFonts w:ascii="Arial" w:cs="Arial" w:eastAsia="Arial" w:hAnsi="Arial"/>
                <w:sz w:val="14"/>
                <w:szCs w:val="14"/>
                <w:color w:val="auto"/>
                <w:w w:val="92"/>
              </w:rPr>
              <w:t>U.S. Treasury securities, at fair value (including pledged securities of $645, $397, $0,</w:t>
            </w:r>
          </w:p>
        </w:tc>
        <w:tc>
          <w:tcPr>
            <w:tcW w:w="120" w:type="dxa"/>
            <w:vAlign w:val="bottom"/>
          </w:tcPr>
          <w:p>
            <w:pPr>
              <w:spacing w:after="0"/>
              <w:rPr>
                <w:sz w:val="11"/>
                <w:szCs w:val="11"/>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645</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397</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8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112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$0 and $0, respectively)</w:t>
            </w:r>
          </w:p>
        </w:tc>
        <w:tc>
          <w:tcPr>
            <w:tcW w:w="12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1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Cash and cash equivalents</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981</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963</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857</w:t>
            </w:r>
          </w:p>
        </w:tc>
        <w:tc>
          <w:tcPr>
            <w:tcW w:w="0" w:type="dxa"/>
            <w:vAlign w:val="bottom"/>
          </w:tcPr>
          <w:p>
            <w:pPr>
              <w:spacing w:after="0"/>
              <w:rPr>
                <w:sz w:val="1"/>
                <w:szCs w:val="1"/>
                <w:color w:val="auto"/>
              </w:rPr>
            </w:pPr>
          </w:p>
        </w:tc>
      </w:tr>
      <w:tr>
        <w:trPr>
          <w:trHeight w:val="181"/>
        </w:trPr>
        <w:tc>
          <w:tcPr>
            <w:tcW w:w="5040" w:type="dxa"/>
            <w:vAlign w:val="bottom"/>
          </w:tcPr>
          <w:p>
            <w:pPr>
              <w:ind w:left="120"/>
              <w:spacing w:after="0"/>
              <w:rPr>
                <w:sz w:val="20"/>
                <w:szCs w:val="20"/>
                <w:color w:val="auto"/>
              </w:rPr>
            </w:pPr>
            <w:r>
              <w:rPr>
                <w:rFonts w:ascii="Arial" w:cs="Arial" w:eastAsia="Arial" w:hAnsi="Arial"/>
                <w:sz w:val="14"/>
                <w:szCs w:val="14"/>
                <w:color w:val="auto"/>
              </w:rPr>
              <w:t>Restricted cash</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464</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623</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813</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1,307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1,557</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Derivative assets, at fair value</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402</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381</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391</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w:t>
            </w:r>
          </w:p>
        </w:tc>
        <w:tc>
          <w:tcPr>
            <w:tcW w:w="0" w:type="dxa"/>
            <w:vAlign w:val="bottom"/>
          </w:tcPr>
          <w:p>
            <w:pPr>
              <w:spacing w:after="0"/>
              <w:rPr>
                <w:sz w:val="1"/>
                <w:szCs w:val="1"/>
                <w:color w:val="auto"/>
              </w:rPr>
            </w:pPr>
          </w:p>
        </w:tc>
      </w:tr>
      <w:tr>
        <w:trPr>
          <w:trHeight w:val="131"/>
        </w:trPr>
        <w:tc>
          <w:tcPr>
            <w:tcW w:w="5040" w:type="dxa"/>
            <w:vAlign w:val="bottom"/>
          </w:tcPr>
          <w:p>
            <w:pPr>
              <w:ind w:left="140"/>
              <w:spacing w:after="0" w:line="131" w:lineRule="exact"/>
              <w:rPr>
                <w:sz w:val="20"/>
                <w:szCs w:val="20"/>
                <w:color w:val="auto"/>
              </w:rPr>
            </w:pPr>
            <w:r>
              <w:rPr>
                <w:rFonts w:ascii="Arial" w:cs="Arial" w:eastAsia="Arial" w:hAnsi="Arial"/>
                <w:sz w:val="14"/>
                <w:szCs w:val="14"/>
                <w:color w:val="auto"/>
                <w:w w:val="92"/>
              </w:rPr>
              <w:t>Receivable for investment securities sold (including pledged securities of $252, $147,</w:t>
            </w:r>
          </w:p>
        </w:tc>
        <w:tc>
          <w:tcPr>
            <w:tcW w:w="120" w:type="dxa"/>
            <w:vAlign w:val="bottom"/>
          </w:tcPr>
          <w:p>
            <w:pPr>
              <w:spacing w:after="0"/>
              <w:rPr>
                <w:sz w:val="11"/>
                <w:szCs w:val="11"/>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272</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147</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50</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210</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$0, $207 and $10, respectively)</w:t>
            </w:r>
          </w:p>
        </w:tc>
        <w:tc>
          <w:tcPr>
            <w:tcW w:w="12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Receivable under reverse repurchase agreements</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9,617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11,979</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16,803</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11,748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8,625</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Goodwill</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526</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526</w:t>
            </w:r>
          </w:p>
        </w:tc>
        <w:tc>
          <w:tcPr>
            <w:tcW w:w="0" w:type="dxa"/>
            <w:vAlign w:val="bottom"/>
          </w:tcPr>
          <w:p>
            <w:pPr>
              <w:spacing w:after="0"/>
              <w:rPr>
                <w:sz w:val="1"/>
                <w:szCs w:val="1"/>
                <w:color w:val="auto"/>
              </w:rPr>
            </w:pPr>
          </w:p>
        </w:tc>
      </w:tr>
      <w:tr>
        <w:trPr>
          <w:trHeight w:val="184"/>
        </w:trPr>
        <w:tc>
          <w:tcPr>
            <w:tcW w:w="50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Other assets</w:t>
            </w:r>
          </w:p>
        </w:tc>
        <w:tc>
          <w:tcPr>
            <w:tcW w:w="1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505</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256</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204</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219</w:t>
            </w:r>
          </w:p>
        </w:tc>
        <w:tc>
          <w:tcPr>
            <w:tcW w:w="0" w:type="dxa"/>
            <w:vAlign w:val="bottom"/>
          </w:tcPr>
          <w:p>
            <w:pPr>
              <w:spacing w:after="0"/>
              <w:rPr>
                <w:sz w:val="1"/>
                <w:szCs w:val="1"/>
                <w:color w:val="auto"/>
              </w:rPr>
            </w:pPr>
          </w:p>
        </w:tc>
      </w:tr>
      <w:tr>
        <w:trPr>
          <w:trHeight w:val="180"/>
        </w:trPr>
        <w:tc>
          <w:tcPr>
            <w:tcW w:w="5040" w:type="dxa"/>
            <w:vAlign w:val="bottom"/>
          </w:tcPr>
          <w:p>
            <w:pPr>
              <w:ind w:left="300"/>
              <w:spacing w:after="0"/>
              <w:rPr>
                <w:sz w:val="20"/>
                <w:szCs w:val="20"/>
                <w:color w:val="auto"/>
              </w:rPr>
            </w:pPr>
            <w:r>
              <w:rPr>
                <w:rFonts w:ascii="Arial" w:cs="Arial" w:eastAsia="Arial" w:hAnsi="Arial"/>
                <w:sz w:val="14"/>
                <w:szCs w:val="14"/>
                <w:color w:val="auto"/>
              </w:rPr>
              <w:t>Total assets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68,805</w:t>
            </w:r>
          </w:p>
        </w:tc>
        <w:tc>
          <w:tcPr>
            <w:tcW w:w="100" w:type="dxa"/>
            <w:vAlign w:val="bottom"/>
          </w:tcPr>
          <w:p>
            <w:pPr>
              <w:spacing w:after="0"/>
              <w:rPr>
                <w:sz w:val="15"/>
                <w:szCs w:val="15"/>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75,055</w:t>
            </w:r>
          </w:p>
        </w:tc>
        <w:tc>
          <w:tcPr>
            <w:tcW w:w="100" w:type="dxa"/>
            <w:vAlign w:val="bottom"/>
          </w:tcPr>
          <w:p>
            <w:pPr>
              <w:spacing w:after="0"/>
              <w:rPr>
                <w:sz w:val="15"/>
                <w:szCs w:val="15"/>
                <w:color w:val="auto"/>
              </w:rPr>
            </w:pPr>
          </w:p>
        </w:tc>
        <w:tc>
          <w:tcPr>
            <w:tcW w:w="1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85,545</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81,817</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79,968</w:t>
            </w:r>
          </w:p>
        </w:tc>
        <w:tc>
          <w:tcPr>
            <w:tcW w:w="0" w:type="dxa"/>
            <w:vAlign w:val="bottom"/>
          </w:tcPr>
          <w:p>
            <w:pPr>
              <w:spacing w:after="0"/>
              <w:rPr>
                <w:sz w:val="1"/>
                <w:szCs w:val="1"/>
                <w:color w:val="auto"/>
              </w:rPr>
            </w:pPr>
          </w:p>
        </w:tc>
      </w:tr>
      <w:tr>
        <w:trPr>
          <w:trHeight w:val="20"/>
        </w:trPr>
        <w:tc>
          <w:tcPr>
            <w:tcW w:w="50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5040" w:type="dxa"/>
            <w:vAlign w:val="bottom"/>
            <w:shd w:val="clear" w:color="auto" w:fill="CCEEFF"/>
          </w:tcPr>
          <w:p>
            <w:pPr>
              <w:ind w:left="20"/>
              <w:spacing w:after="0" w:line="151" w:lineRule="exact"/>
              <w:rPr>
                <w:sz w:val="20"/>
                <w:szCs w:val="20"/>
                <w:color w:val="auto"/>
              </w:rPr>
            </w:pPr>
            <w:r>
              <w:rPr>
                <w:rFonts w:ascii="Arial" w:cs="Arial" w:eastAsia="Arial" w:hAnsi="Arial"/>
                <w:sz w:val="14"/>
                <w:szCs w:val="14"/>
                <w:b w:val="1"/>
                <w:bCs w:val="1"/>
                <w:color w:val="auto"/>
              </w:rPr>
              <w:t>Liabilities:</w:t>
            </w:r>
          </w:p>
        </w:tc>
        <w:tc>
          <w:tcPr>
            <w:tcW w:w="12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81"/>
        </w:trPr>
        <w:tc>
          <w:tcPr>
            <w:tcW w:w="5040" w:type="dxa"/>
            <w:vAlign w:val="bottom"/>
          </w:tcPr>
          <w:p>
            <w:pPr>
              <w:ind w:left="120"/>
              <w:spacing w:after="0"/>
              <w:rPr>
                <w:sz w:val="20"/>
                <w:szCs w:val="20"/>
                <w:color w:val="auto"/>
              </w:rPr>
            </w:pPr>
            <w:r>
              <w:rPr>
                <w:rFonts w:ascii="Arial" w:cs="Arial" w:eastAsia="Arial" w:hAnsi="Arial"/>
                <w:sz w:val="14"/>
                <w:szCs w:val="14"/>
                <w:color w:val="auto"/>
              </w:rPr>
              <w:t>Repurchase agreements</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46,532</w:t>
            </w:r>
          </w:p>
        </w:tc>
        <w:tc>
          <w:tcPr>
            <w:tcW w:w="100" w:type="dxa"/>
            <w:vAlign w:val="bottom"/>
          </w:tcPr>
          <w:p>
            <w:pPr>
              <w:spacing w:after="0"/>
              <w:rPr>
                <w:sz w:val="15"/>
                <w:szCs w:val="15"/>
                <w:color w:val="auto"/>
              </w:rPr>
            </w:pP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48,737</w:t>
            </w:r>
          </w:p>
        </w:tc>
        <w:tc>
          <w:tcPr>
            <w:tcW w:w="100" w:type="dxa"/>
            <w:vAlign w:val="bottom"/>
          </w:tcPr>
          <w:p>
            <w:pPr>
              <w:spacing w:after="0"/>
              <w:rPr>
                <w:sz w:val="15"/>
                <w:szCs w:val="15"/>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55,056</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52,366</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54,566</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Debt of consolidated variable interest entities, at fair value</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165</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192</w:t>
            </w:r>
          </w:p>
        </w:tc>
        <w:tc>
          <w:tcPr>
            <w:tcW w:w="0" w:type="dxa"/>
            <w:vAlign w:val="bottom"/>
          </w:tcPr>
          <w:p>
            <w:pPr>
              <w:spacing w:after="0"/>
              <w:rPr>
                <w:sz w:val="1"/>
                <w:szCs w:val="1"/>
                <w:color w:val="auto"/>
              </w:rPr>
            </w:pPr>
          </w:p>
        </w:tc>
      </w:tr>
      <w:tr>
        <w:trPr>
          <w:trHeight w:val="181"/>
        </w:trPr>
        <w:tc>
          <w:tcPr>
            <w:tcW w:w="5040" w:type="dxa"/>
            <w:vAlign w:val="bottom"/>
          </w:tcPr>
          <w:p>
            <w:pPr>
              <w:ind w:left="120"/>
              <w:spacing w:after="0"/>
              <w:rPr>
                <w:sz w:val="20"/>
                <w:szCs w:val="20"/>
                <w:color w:val="auto"/>
              </w:rPr>
            </w:pPr>
            <w:r>
              <w:rPr>
                <w:rFonts w:ascii="Arial" w:cs="Arial" w:eastAsia="Arial" w:hAnsi="Arial"/>
                <w:sz w:val="14"/>
                <w:szCs w:val="14"/>
                <w:color w:val="auto"/>
              </w:rPr>
              <w:t>Payable for investment securities purchased</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1,821</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3,697</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2,512</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6,157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5,887</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Derivative liabilities, at fair value</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178</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589</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81"/>
        </w:trPr>
        <w:tc>
          <w:tcPr>
            <w:tcW w:w="5040" w:type="dxa"/>
            <w:vAlign w:val="bottom"/>
          </w:tcPr>
          <w:p>
            <w:pPr>
              <w:ind w:left="120"/>
              <w:spacing w:after="0"/>
              <w:rPr>
                <w:sz w:val="20"/>
                <w:szCs w:val="20"/>
                <w:color w:val="auto"/>
              </w:rPr>
            </w:pPr>
            <w:r>
              <w:rPr>
                <w:rFonts w:ascii="Arial" w:cs="Arial" w:eastAsia="Arial" w:hAnsi="Arial"/>
                <w:sz w:val="14"/>
                <w:szCs w:val="14"/>
                <w:color w:val="auto"/>
              </w:rPr>
              <w:t>Dividends payable</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88</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88</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90</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90</w:t>
            </w:r>
          </w:p>
        </w:tc>
        <w:tc>
          <w:tcPr>
            <w:tcW w:w="0" w:type="dxa"/>
            <w:vAlign w:val="bottom"/>
          </w:tcPr>
          <w:p>
            <w:pPr>
              <w:spacing w:after="0"/>
              <w:rPr>
                <w:sz w:val="1"/>
                <w:szCs w:val="1"/>
                <w:color w:val="auto"/>
              </w:rPr>
            </w:pPr>
          </w:p>
        </w:tc>
      </w:tr>
      <w:tr>
        <w:trPr>
          <w:trHeight w:val="134"/>
        </w:trPr>
        <w:tc>
          <w:tcPr>
            <w:tcW w:w="5040" w:type="dxa"/>
            <w:vAlign w:val="bottom"/>
            <w:shd w:val="clear" w:color="auto" w:fill="CCEEFF"/>
          </w:tcPr>
          <w:p>
            <w:pPr>
              <w:ind w:left="140"/>
              <w:spacing w:after="0" w:line="134" w:lineRule="exact"/>
              <w:rPr>
                <w:sz w:val="20"/>
                <w:szCs w:val="20"/>
                <w:color w:val="auto"/>
              </w:rPr>
            </w:pPr>
            <w:r>
              <w:rPr>
                <w:rFonts w:ascii="Arial" w:cs="Arial" w:eastAsia="Arial" w:hAnsi="Arial"/>
                <w:sz w:val="14"/>
                <w:szCs w:val="14"/>
                <w:color w:val="auto"/>
              </w:rPr>
              <w:t>Obligation to return securities borrowed under reverse</w:t>
            </w:r>
          </w:p>
        </w:tc>
        <w:tc>
          <w:tcPr>
            <w:tcW w:w="120" w:type="dxa"/>
            <w:vAlign w:val="bottom"/>
            <w:shd w:val="clear" w:color="auto" w:fill="CCEEFF"/>
          </w:tcPr>
          <w:p>
            <w:pPr>
              <w:spacing w:after="0"/>
              <w:rPr>
                <w:sz w:val="11"/>
                <w:szCs w:val="11"/>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8,896</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10,920</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15,090</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11,727</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8,372</w:t>
            </w:r>
          </w:p>
        </w:tc>
        <w:tc>
          <w:tcPr>
            <w:tcW w:w="0" w:type="dxa"/>
            <w:vAlign w:val="bottom"/>
          </w:tcPr>
          <w:p>
            <w:pPr>
              <w:spacing w:after="0"/>
              <w:rPr>
                <w:sz w:val="1"/>
                <w:szCs w:val="1"/>
                <w:color w:val="auto"/>
              </w:rPr>
            </w:pPr>
          </w:p>
        </w:tc>
      </w:tr>
      <w:tr>
        <w:trPr>
          <w:trHeight w:val="184"/>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repurchase agreements, at fair value</w:t>
            </w:r>
          </w:p>
        </w:tc>
        <w:tc>
          <w:tcPr>
            <w:tcW w:w="120" w:type="dxa"/>
            <w:vAlign w:val="bottom"/>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504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Accounts payable and other liabilities</w:t>
            </w: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477</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783</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681</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219</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128</w:t>
            </w:r>
          </w:p>
        </w:tc>
        <w:tc>
          <w:tcPr>
            <w:tcW w:w="0" w:type="dxa"/>
            <w:vAlign w:val="bottom"/>
          </w:tcPr>
          <w:p>
            <w:pPr>
              <w:spacing w:after="0"/>
              <w:rPr>
                <w:sz w:val="1"/>
                <w:szCs w:val="1"/>
                <w:color w:val="auto"/>
              </w:rPr>
            </w:pPr>
          </w:p>
        </w:tc>
      </w:tr>
      <w:tr>
        <w:trPr>
          <w:trHeight w:val="180"/>
        </w:trPr>
        <w:tc>
          <w:tcPr>
            <w:tcW w:w="50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Total liabilities</w:t>
            </w:r>
          </w:p>
        </w:tc>
        <w:tc>
          <w:tcPr>
            <w:tcW w:w="120" w:type="dxa"/>
            <w:vAlign w:val="bottom"/>
            <w:tcBorders>
              <w:bottom w:val="single" w:sz="8" w:color="auto"/>
            </w:tcBorders>
            <w:shd w:val="clear" w:color="auto" w:fill="CCEEFF"/>
          </w:tcPr>
          <w:p>
            <w:pPr>
              <w:spacing w:after="0"/>
              <w:rPr>
                <w:sz w:val="15"/>
                <w:szCs w:val="15"/>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58,126</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64,387</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74,181</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70,738</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69,248</w:t>
            </w:r>
          </w:p>
        </w:tc>
        <w:tc>
          <w:tcPr>
            <w:tcW w:w="0" w:type="dxa"/>
            <w:vAlign w:val="bottom"/>
          </w:tcPr>
          <w:p>
            <w:pPr>
              <w:spacing w:after="0"/>
              <w:rPr>
                <w:sz w:val="1"/>
                <w:szCs w:val="1"/>
                <w:color w:val="auto"/>
              </w:rPr>
            </w:pPr>
          </w:p>
        </w:tc>
      </w:tr>
      <w:tr>
        <w:trPr>
          <w:trHeight w:val="163"/>
        </w:trPr>
        <w:tc>
          <w:tcPr>
            <w:tcW w:w="5040" w:type="dxa"/>
            <w:vAlign w:val="bottom"/>
          </w:tcPr>
          <w:p>
            <w:pPr>
              <w:ind w:left="20"/>
              <w:spacing w:after="0"/>
              <w:rPr>
                <w:sz w:val="20"/>
                <w:szCs w:val="20"/>
                <w:color w:val="auto"/>
              </w:rPr>
            </w:pPr>
            <w:r>
              <w:rPr>
                <w:rFonts w:ascii="Arial" w:cs="Arial" w:eastAsia="Arial" w:hAnsi="Arial"/>
                <w:sz w:val="14"/>
                <w:szCs w:val="14"/>
                <w:b w:val="1"/>
                <w:bCs w:val="1"/>
                <w:color w:val="auto"/>
              </w:rPr>
              <w:t>Stockholders' equity:</w:t>
            </w: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Preferred Stock - aggregate liquidation preference of $1,538</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0" w:type="dxa"/>
            <w:vAlign w:val="bottom"/>
          </w:tcPr>
          <w:p>
            <w:pPr>
              <w:spacing w:after="0"/>
              <w:rPr>
                <w:sz w:val="1"/>
                <w:szCs w:val="1"/>
                <w:color w:val="auto"/>
              </w:rPr>
            </w:pPr>
          </w:p>
        </w:tc>
      </w:tr>
      <w:tr>
        <w:trPr>
          <w:trHeight w:val="131"/>
        </w:trPr>
        <w:tc>
          <w:tcPr>
            <w:tcW w:w="5040" w:type="dxa"/>
            <w:vAlign w:val="bottom"/>
          </w:tcPr>
          <w:p>
            <w:pPr>
              <w:ind w:left="140"/>
              <w:spacing w:after="0" w:line="131" w:lineRule="exact"/>
              <w:rPr>
                <w:sz w:val="20"/>
                <w:szCs w:val="20"/>
                <w:color w:val="auto"/>
              </w:rPr>
            </w:pPr>
            <w:r>
              <w:rPr>
                <w:rFonts w:ascii="Arial" w:cs="Arial" w:eastAsia="Arial" w:hAnsi="Arial"/>
                <w:sz w:val="14"/>
                <w:szCs w:val="14"/>
                <w:color w:val="auto"/>
                <w:w w:val="92"/>
              </w:rPr>
              <w:t>Common stock - $0.01 par value; 524.9, 524.9, 524.9, 539.5 and 545.2 shares issued</w:t>
            </w:r>
          </w:p>
        </w:tc>
        <w:tc>
          <w:tcPr>
            <w:tcW w:w="120" w:type="dxa"/>
            <w:vAlign w:val="bottom"/>
          </w:tcPr>
          <w:p>
            <w:pPr>
              <w:spacing w:after="0"/>
              <w:rPr>
                <w:sz w:val="11"/>
                <w:szCs w:val="11"/>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and outstanding, respectively</w:t>
            </w:r>
          </w:p>
        </w:tc>
        <w:tc>
          <w:tcPr>
            <w:tcW w:w="12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Additional paid-in capital</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13,747</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13,741</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13,736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13,972</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14,053</w:t>
            </w: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Retained deficit</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(4,973)</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(4,972)</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(4,348)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(5,106)</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(5,661)</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Accumulated other comprehensive income</w:t>
            </w:r>
          </w:p>
        </w:tc>
        <w:tc>
          <w:tcPr>
            <w:tcW w:w="1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411</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405</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482</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719</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834</w:t>
            </w:r>
          </w:p>
        </w:tc>
        <w:tc>
          <w:tcPr>
            <w:tcW w:w="0" w:type="dxa"/>
            <w:vAlign w:val="bottom"/>
          </w:tcPr>
          <w:p>
            <w:pPr>
              <w:spacing w:after="0"/>
              <w:rPr>
                <w:sz w:val="1"/>
                <w:szCs w:val="1"/>
                <w:color w:val="auto"/>
              </w:rPr>
            </w:pPr>
          </w:p>
        </w:tc>
      </w:tr>
      <w:tr>
        <w:trPr>
          <w:trHeight w:val="175"/>
        </w:trPr>
        <w:tc>
          <w:tcPr>
            <w:tcW w:w="504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Total stockholders' equity</w:t>
            </w: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10,679</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10,668</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11,364</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11,079</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10,720</w:t>
            </w:r>
          </w:p>
        </w:tc>
        <w:tc>
          <w:tcPr>
            <w:tcW w:w="0" w:type="dxa"/>
            <w:vAlign w:val="bottom"/>
          </w:tcPr>
          <w:p>
            <w:pPr>
              <w:spacing w:after="0"/>
              <w:rPr>
                <w:sz w:val="1"/>
                <w:szCs w:val="1"/>
                <w:color w:val="auto"/>
              </w:rPr>
            </w:pPr>
          </w:p>
        </w:tc>
      </w:tr>
      <w:tr>
        <w:trPr>
          <w:trHeight w:val="205"/>
        </w:trPr>
        <w:tc>
          <w:tcPr>
            <w:tcW w:w="504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4"/>
                <w:szCs w:val="14"/>
                <w:color w:val="auto"/>
              </w:rPr>
              <w:t>Total liabilities and stockholders' equity</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68,805</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75,055</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85,545</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81,817</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79,968</w:t>
            </w: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5040" w:type="dxa"/>
            <w:vAlign w:val="bottom"/>
            <w:tcBorders>
              <w:bottom w:val="single" w:sz="8" w:color="CCEEFF"/>
            </w:tcBorders>
            <w:shd w:val="clear" w:color="auto" w:fill="CCEEFF"/>
          </w:tcPr>
          <w:p>
            <w:pPr>
              <w:ind w:left="20"/>
              <w:spacing w:after="0" w:line="184" w:lineRule="exact"/>
              <w:rPr>
                <w:sz w:val="20"/>
                <w:szCs w:val="20"/>
                <w:color w:val="auto"/>
              </w:rPr>
            </w:pPr>
            <w:r>
              <w:rPr>
                <w:rFonts w:ascii="Arial" w:cs="Arial" w:eastAsia="Arial" w:hAnsi="Arial"/>
                <w:sz w:val="14"/>
                <w:szCs w:val="14"/>
                <w:b w:val="1"/>
                <w:bCs w:val="1"/>
                <w:color w:val="auto"/>
              </w:rPr>
              <w:t xml:space="preserve">Tangible net book value per common share </w:t>
            </w:r>
            <w:r>
              <w:rPr>
                <w:rFonts w:ascii="Arial" w:cs="Arial" w:eastAsia="Arial" w:hAnsi="Arial"/>
                <w:sz w:val="18"/>
                <w:szCs w:val="18"/>
                <w:b w:val="1"/>
                <w:bCs w:val="1"/>
                <w:color w:val="auto"/>
                <w:vertAlign w:val="superscript"/>
              </w:rPr>
              <w:t>1</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16.41</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16.39</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17.72</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16.71</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15.88</w:t>
            </w: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240"/>
          </w:cols>
          <w:pgMar w:left="320" w:top="146" w:right="339" w:bottom="1440" w:gutter="0" w:footer="0" w:header="0"/>
        </w:sectPr>
      </w:pPr>
    </w:p>
    <w:bookmarkStart w:id="10" w:name="page11"/>
    <w:bookmarkEnd w:id="10"/>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8</w:t>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CONSOLIDATED STATEMENTS OF OPERATIONS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0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color w:val="auto"/>
                <w:w w:val="91"/>
              </w:rPr>
              <w:t>Three Months Ended</w:t>
            </w: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5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ind w:left="60"/>
              <w:spacing w:after="0" w:line="130" w:lineRule="exact"/>
              <w:rPr>
                <w:sz w:val="20"/>
                <w:szCs w:val="20"/>
                <w:color w:val="auto"/>
              </w:rPr>
            </w:pPr>
            <w:r>
              <w:rPr>
                <w:rFonts w:ascii="Arial" w:cs="Arial" w:eastAsia="Arial" w:hAnsi="Arial"/>
                <w:sz w:val="14"/>
                <w:szCs w:val="14"/>
                <w:color w:val="auto"/>
              </w:rPr>
              <w:t>September 30,</w:t>
            </w:r>
          </w:p>
        </w:tc>
        <w:tc>
          <w:tcPr>
            <w:tcW w:w="220" w:type="dxa"/>
            <w:vAlign w:val="bottom"/>
          </w:tcPr>
          <w:p>
            <w:pPr>
              <w:spacing w:after="0"/>
              <w:rPr>
                <w:sz w:val="11"/>
                <w:szCs w:val="11"/>
                <w:color w:val="auto"/>
              </w:rPr>
            </w:pPr>
          </w:p>
        </w:tc>
        <w:tc>
          <w:tcPr>
            <w:tcW w:w="940" w:type="dxa"/>
            <w:vAlign w:val="bottom"/>
          </w:tcPr>
          <w:p>
            <w:pPr>
              <w:jc w:val="right"/>
              <w:ind w:right="270"/>
              <w:spacing w:after="0" w:line="130" w:lineRule="exact"/>
              <w:rPr>
                <w:sz w:val="20"/>
                <w:szCs w:val="20"/>
                <w:color w:val="auto"/>
              </w:rPr>
            </w:pPr>
            <w:r>
              <w:rPr>
                <w:rFonts w:ascii="Arial" w:cs="Arial" w:eastAsia="Arial" w:hAnsi="Arial"/>
                <w:sz w:val="14"/>
                <w:szCs w:val="14"/>
                <w:color w:val="auto"/>
              </w:rPr>
              <w:t>June 30,</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60" w:type="dxa"/>
            <w:vAlign w:val="bottom"/>
            <w:gridSpan w:val="2"/>
          </w:tcPr>
          <w:p>
            <w:pPr>
              <w:jc w:val="center"/>
              <w:ind w:right="300"/>
              <w:spacing w:after="0" w:line="130" w:lineRule="exact"/>
              <w:rPr>
                <w:sz w:val="20"/>
                <w:szCs w:val="20"/>
                <w:color w:val="auto"/>
              </w:rPr>
            </w:pPr>
            <w:r>
              <w:rPr>
                <w:rFonts w:ascii="Arial" w:cs="Arial" w:eastAsia="Arial" w:hAnsi="Arial"/>
                <w:sz w:val="14"/>
                <w:szCs w:val="14"/>
                <w:color w:val="auto"/>
                <w:w w:val="89"/>
              </w:rPr>
              <w:t>March 31,</w:t>
            </w:r>
          </w:p>
        </w:tc>
        <w:tc>
          <w:tcPr>
            <w:tcW w:w="140" w:type="dxa"/>
            <w:vAlign w:val="bottom"/>
          </w:tcPr>
          <w:p>
            <w:pPr>
              <w:spacing w:after="0"/>
              <w:rPr>
                <w:sz w:val="11"/>
                <w:szCs w:val="11"/>
                <w:color w:val="auto"/>
              </w:rPr>
            </w:pPr>
          </w:p>
        </w:tc>
        <w:tc>
          <w:tcPr>
            <w:tcW w:w="1120" w:type="dxa"/>
            <w:vAlign w:val="bottom"/>
            <w:gridSpan w:val="2"/>
          </w:tcPr>
          <w:p>
            <w:pPr>
              <w:ind w:left="60"/>
              <w:spacing w:after="0" w:line="130" w:lineRule="exact"/>
              <w:rPr>
                <w:sz w:val="20"/>
                <w:szCs w:val="20"/>
                <w:color w:val="auto"/>
              </w:rPr>
            </w:pPr>
            <w:r>
              <w:rPr>
                <w:rFonts w:ascii="Arial" w:cs="Arial" w:eastAsia="Arial" w:hAnsi="Arial"/>
                <w:sz w:val="14"/>
                <w:szCs w:val="14"/>
                <w:color w:val="auto"/>
              </w:rPr>
              <w:t>December 31,</w:t>
            </w:r>
          </w:p>
        </w:tc>
        <w:tc>
          <w:tcPr>
            <w:tcW w:w="140" w:type="dxa"/>
            <w:vAlign w:val="bottom"/>
          </w:tcPr>
          <w:p>
            <w:pPr>
              <w:spacing w:after="0"/>
              <w:rPr>
                <w:sz w:val="11"/>
                <w:szCs w:val="11"/>
                <w:color w:val="auto"/>
              </w:rPr>
            </w:pPr>
          </w:p>
        </w:tc>
        <w:tc>
          <w:tcPr>
            <w:tcW w:w="1020" w:type="dxa"/>
            <w:vAlign w:val="bottom"/>
          </w:tcPr>
          <w:p>
            <w:pPr>
              <w:jc w:val="right"/>
              <w:ind w:right="110"/>
              <w:spacing w:after="0" w:line="130" w:lineRule="exact"/>
              <w:rPr>
                <w:sz w:val="20"/>
                <w:szCs w:val="20"/>
                <w:color w:val="auto"/>
              </w:rPr>
            </w:pPr>
            <w:r>
              <w:rPr>
                <w:rFonts w:ascii="Arial" w:cs="Arial" w:eastAsia="Arial" w:hAnsi="Arial"/>
                <w:sz w:val="14"/>
                <w:szCs w:val="14"/>
                <w:color w:val="auto"/>
                <w:w w:val="89"/>
              </w:rPr>
              <w:t>September 30,</w:t>
            </w:r>
          </w:p>
        </w:tc>
        <w:tc>
          <w:tcPr>
            <w:tcW w:w="0" w:type="dxa"/>
            <w:vAlign w:val="bottom"/>
          </w:tcPr>
          <w:p>
            <w:pPr>
              <w:spacing w:after="0"/>
              <w:rPr>
                <w:sz w:val="1"/>
                <w:szCs w:val="1"/>
                <w:color w:val="auto"/>
              </w:rPr>
            </w:pPr>
          </w:p>
        </w:tc>
      </w:tr>
      <w:tr>
        <w:trPr>
          <w:trHeight w:val="181"/>
        </w:trPr>
        <w:tc>
          <w:tcPr>
            <w:tcW w:w="50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2021</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130"/>
              <w:spacing w:after="0"/>
              <w:rPr>
                <w:sz w:val="20"/>
                <w:szCs w:val="20"/>
                <w:color w:val="auto"/>
              </w:rPr>
            </w:pPr>
            <w:r>
              <w:rPr>
                <w:rFonts w:ascii="Arial" w:cs="Arial" w:eastAsia="Arial" w:hAnsi="Arial"/>
                <w:sz w:val="14"/>
                <w:szCs w:val="14"/>
                <w:color w:val="auto"/>
                <w:w w:val="89"/>
              </w:rPr>
              <w:t>2021</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2020</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2020</w:t>
            </w:r>
          </w:p>
        </w:tc>
        <w:tc>
          <w:tcPr>
            <w:tcW w:w="0" w:type="dxa"/>
            <w:vAlign w:val="bottom"/>
          </w:tcPr>
          <w:p>
            <w:pPr>
              <w:spacing w:after="0"/>
              <w:rPr>
                <w:sz w:val="1"/>
                <w:szCs w:val="1"/>
                <w:color w:val="auto"/>
              </w:rPr>
            </w:pPr>
          </w:p>
        </w:tc>
      </w:tr>
      <w:tr>
        <w:trPr>
          <w:trHeight w:val="167"/>
        </w:trPr>
        <w:tc>
          <w:tcPr>
            <w:tcW w:w="50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Interest income:</w:t>
            </w:r>
          </w:p>
        </w:tc>
        <w:tc>
          <w:tcPr>
            <w:tcW w:w="12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5040" w:type="dxa"/>
            <w:vAlign w:val="bottom"/>
          </w:tcPr>
          <w:p>
            <w:pPr>
              <w:ind w:left="120"/>
              <w:spacing w:after="0"/>
              <w:rPr>
                <w:sz w:val="20"/>
                <w:szCs w:val="20"/>
                <w:color w:val="auto"/>
              </w:rPr>
            </w:pPr>
            <w:r>
              <w:rPr>
                <w:rFonts w:ascii="Arial" w:cs="Arial" w:eastAsia="Arial" w:hAnsi="Arial"/>
                <w:sz w:val="14"/>
                <w:szCs w:val="14"/>
                <w:color w:val="auto"/>
              </w:rPr>
              <w:t>Interest income</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293</w:t>
            </w:r>
          </w:p>
        </w:tc>
        <w:tc>
          <w:tcPr>
            <w:tcW w:w="100" w:type="dxa"/>
            <w:vAlign w:val="bottom"/>
          </w:tcPr>
          <w:p>
            <w:pPr>
              <w:spacing w:after="0"/>
              <w:rPr>
                <w:sz w:val="15"/>
                <w:szCs w:val="15"/>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249</w:t>
            </w:r>
          </w:p>
        </w:tc>
        <w:tc>
          <w:tcPr>
            <w:tcW w:w="300" w:type="dxa"/>
            <w:vAlign w:val="bottom"/>
            <w:gridSpan w:val="2"/>
          </w:tcPr>
          <w:p>
            <w:pPr>
              <w:jc w:val="right"/>
              <w:ind w:right="3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557</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235</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364</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Interest expense</w:t>
            </w:r>
          </w:p>
        </w:tc>
        <w:tc>
          <w:tcPr>
            <w:tcW w:w="1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175"/>
        </w:trPr>
        <w:tc>
          <w:tcPr>
            <w:tcW w:w="5040" w:type="dxa"/>
            <w:vAlign w:val="bottom"/>
            <w:tcBorders>
              <w:bottom w:val="single" w:sz="8" w:color="CCEEFF"/>
            </w:tcBorders>
          </w:tcPr>
          <w:p>
            <w:pPr>
              <w:ind w:left="380"/>
              <w:spacing w:after="0"/>
              <w:rPr>
                <w:sz w:val="20"/>
                <w:szCs w:val="20"/>
                <w:color w:val="auto"/>
              </w:rPr>
            </w:pPr>
            <w:r>
              <w:rPr>
                <w:rFonts w:ascii="Arial" w:cs="Arial" w:eastAsia="Arial" w:hAnsi="Arial"/>
                <w:sz w:val="14"/>
                <w:szCs w:val="14"/>
                <w:color w:val="auto"/>
              </w:rPr>
              <w:t>Net interest income</w:t>
            </w: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279</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232</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528</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183</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302</w:t>
            </w:r>
          </w:p>
        </w:tc>
        <w:tc>
          <w:tcPr>
            <w:tcW w:w="0" w:type="dxa"/>
            <w:vAlign w:val="bottom"/>
          </w:tcPr>
          <w:p>
            <w:pPr>
              <w:spacing w:after="0"/>
              <w:rPr>
                <w:sz w:val="1"/>
                <w:szCs w:val="1"/>
                <w:color w:val="auto"/>
              </w:rPr>
            </w:pPr>
          </w:p>
        </w:tc>
      </w:tr>
      <w:tr>
        <w:trPr>
          <w:trHeight w:val="167"/>
        </w:trPr>
        <w:tc>
          <w:tcPr>
            <w:tcW w:w="50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Other gain (loss), net:</w:t>
            </w:r>
          </w:p>
        </w:tc>
        <w:tc>
          <w:tcPr>
            <w:tcW w:w="12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5040" w:type="dxa"/>
            <w:vAlign w:val="bottom"/>
          </w:tcPr>
          <w:p>
            <w:pPr>
              <w:ind w:left="140"/>
              <w:spacing w:after="0"/>
              <w:rPr>
                <w:sz w:val="20"/>
                <w:szCs w:val="20"/>
                <w:color w:val="auto"/>
              </w:rPr>
            </w:pPr>
            <w:r>
              <w:rPr>
                <w:rFonts w:ascii="Arial" w:cs="Arial" w:eastAsia="Arial" w:hAnsi="Arial"/>
                <w:sz w:val="14"/>
                <w:szCs w:val="14"/>
                <w:color w:val="auto"/>
              </w:rPr>
              <w:t>Realized gain (loss) on sale of investment securities, net</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25</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133</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346</w:t>
            </w:r>
          </w:p>
        </w:tc>
        <w:tc>
          <w:tcPr>
            <w:tcW w:w="0" w:type="dxa"/>
            <w:vAlign w:val="bottom"/>
          </w:tcPr>
          <w:p>
            <w:pPr>
              <w:spacing w:after="0"/>
              <w:rPr>
                <w:sz w:val="1"/>
                <w:szCs w:val="1"/>
                <w:color w:val="auto"/>
              </w:rPr>
            </w:pPr>
          </w:p>
        </w:tc>
      </w:tr>
      <w:tr>
        <w:trPr>
          <w:trHeight w:val="134"/>
        </w:trPr>
        <w:tc>
          <w:tcPr>
            <w:tcW w:w="5040" w:type="dxa"/>
            <w:vAlign w:val="bottom"/>
            <w:shd w:val="clear" w:color="auto" w:fill="CCEEFF"/>
          </w:tcPr>
          <w:p>
            <w:pPr>
              <w:ind w:left="140"/>
              <w:spacing w:after="0" w:line="134" w:lineRule="exact"/>
              <w:rPr>
                <w:sz w:val="20"/>
                <w:szCs w:val="20"/>
                <w:color w:val="auto"/>
              </w:rPr>
            </w:pPr>
            <w:r>
              <w:rPr>
                <w:rFonts w:ascii="Arial" w:cs="Arial" w:eastAsia="Arial" w:hAnsi="Arial"/>
                <w:sz w:val="14"/>
                <w:szCs w:val="14"/>
                <w:color w:val="auto"/>
                <w:w w:val="93"/>
              </w:rPr>
              <w:t>Unrealized loss on investment securities measured at fair value through net income,</w:t>
            </w:r>
          </w:p>
        </w:tc>
        <w:tc>
          <w:tcPr>
            <w:tcW w:w="120" w:type="dxa"/>
            <w:vAlign w:val="bottom"/>
            <w:shd w:val="clear" w:color="auto" w:fill="CCEEFF"/>
          </w:tcPr>
          <w:p>
            <w:pPr>
              <w:spacing w:after="0"/>
              <w:rPr>
                <w:sz w:val="11"/>
                <w:szCs w:val="11"/>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w:t>
            </w:r>
          </w:p>
        </w:tc>
        <w:tc>
          <w:tcPr>
            <w:tcW w:w="1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(955)</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ind w:left="700"/>
              <w:spacing w:after="0"/>
              <w:rPr>
                <w:sz w:val="20"/>
                <w:szCs w:val="20"/>
                <w:color w:val="auto"/>
              </w:rPr>
            </w:pPr>
            <w:r>
              <w:rPr>
                <w:rFonts w:ascii="Arial" w:cs="Arial" w:eastAsia="Arial" w:hAnsi="Arial"/>
                <w:sz w:val="14"/>
                <w:szCs w:val="14"/>
                <w:color w:val="auto"/>
                <w:w w:val="91"/>
              </w:rPr>
              <w:t>(192)</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ind w:left="700"/>
              <w:spacing w:after="0"/>
              <w:rPr>
                <w:sz w:val="20"/>
                <w:szCs w:val="20"/>
                <w:color w:val="auto"/>
              </w:rPr>
            </w:pPr>
            <w:r>
              <w:rPr>
                <w:rFonts w:ascii="Arial" w:cs="Arial" w:eastAsia="Arial" w:hAnsi="Arial"/>
                <w:sz w:val="14"/>
                <w:szCs w:val="14"/>
                <w:color w:val="auto"/>
                <w:w w:val="91"/>
              </w:rPr>
              <w:t>(365)</w:t>
            </w:r>
          </w:p>
        </w:tc>
        <w:tc>
          <w:tcPr>
            <w:tcW w:w="0" w:type="dxa"/>
            <w:vAlign w:val="bottom"/>
          </w:tcPr>
          <w:p>
            <w:pPr>
              <w:spacing w:after="0"/>
              <w:rPr>
                <w:sz w:val="1"/>
                <w:szCs w:val="1"/>
                <w:color w:val="auto"/>
              </w:rPr>
            </w:pPr>
          </w:p>
        </w:tc>
      </w:tr>
      <w:tr>
        <w:trPr>
          <w:trHeight w:val="184"/>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net</w:t>
            </w:r>
          </w:p>
        </w:tc>
        <w:tc>
          <w:tcPr>
            <w:tcW w:w="120" w:type="dxa"/>
            <w:vAlign w:val="bottom"/>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504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Gain (loss) on derivative instruments and other securities, net</w:t>
            </w: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(618)</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1,439</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676</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400</w:t>
            </w:r>
          </w:p>
        </w:tc>
        <w:tc>
          <w:tcPr>
            <w:tcW w:w="0" w:type="dxa"/>
            <w:vAlign w:val="bottom"/>
          </w:tcPr>
          <w:p>
            <w:pPr>
              <w:spacing w:after="0"/>
              <w:rPr>
                <w:sz w:val="1"/>
                <w:szCs w:val="1"/>
                <w:color w:val="auto"/>
              </w:rPr>
            </w:pPr>
          </w:p>
        </w:tc>
      </w:tr>
      <w:tr>
        <w:trPr>
          <w:trHeight w:val="180"/>
        </w:trPr>
        <w:tc>
          <w:tcPr>
            <w:tcW w:w="50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Total other gain (loss), net</w:t>
            </w:r>
          </w:p>
        </w:tc>
        <w:tc>
          <w:tcPr>
            <w:tcW w:w="120" w:type="dxa"/>
            <w:vAlign w:val="bottom"/>
            <w:tcBorders>
              <w:bottom w:val="single" w:sz="8" w:color="auto"/>
            </w:tcBorders>
            <w:shd w:val="clear" w:color="auto" w:fill="CCEEFF"/>
          </w:tcPr>
          <w:p>
            <w:pPr>
              <w:spacing w:after="0"/>
              <w:rPr>
                <w:sz w:val="15"/>
                <w:szCs w:val="15"/>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(621)</w:t>
            </w:r>
          </w:p>
        </w:tc>
        <w:tc>
          <w:tcPr>
            <w:tcW w:w="10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471</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617</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381</w:t>
            </w:r>
          </w:p>
        </w:tc>
        <w:tc>
          <w:tcPr>
            <w:tcW w:w="0" w:type="dxa"/>
            <w:vAlign w:val="bottom"/>
          </w:tcPr>
          <w:p>
            <w:pPr>
              <w:spacing w:after="0"/>
              <w:rPr>
                <w:sz w:val="1"/>
                <w:szCs w:val="1"/>
                <w:color w:val="auto"/>
              </w:rPr>
            </w:pPr>
          </w:p>
        </w:tc>
      </w:tr>
      <w:tr>
        <w:trPr>
          <w:trHeight w:val="163"/>
        </w:trPr>
        <w:tc>
          <w:tcPr>
            <w:tcW w:w="5040" w:type="dxa"/>
            <w:vAlign w:val="bottom"/>
          </w:tcPr>
          <w:p>
            <w:pPr>
              <w:ind w:left="20"/>
              <w:spacing w:after="0"/>
              <w:rPr>
                <w:sz w:val="20"/>
                <w:szCs w:val="20"/>
                <w:color w:val="auto"/>
              </w:rPr>
            </w:pPr>
            <w:r>
              <w:rPr>
                <w:rFonts w:ascii="Arial" w:cs="Arial" w:eastAsia="Arial" w:hAnsi="Arial"/>
                <w:sz w:val="14"/>
                <w:szCs w:val="14"/>
                <w:b w:val="1"/>
                <w:bCs w:val="1"/>
                <w:color w:val="auto"/>
              </w:rPr>
              <w:t>Expenses:</w:t>
            </w: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Compensation and benefits</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81"/>
        </w:trPr>
        <w:tc>
          <w:tcPr>
            <w:tcW w:w="504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Other operating expense</w:t>
            </w: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80"/>
        </w:trPr>
        <w:tc>
          <w:tcPr>
            <w:tcW w:w="5040" w:type="dxa"/>
            <w:vAlign w:val="bottom"/>
            <w:shd w:val="clear" w:color="auto" w:fill="CCEEFF"/>
          </w:tcPr>
          <w:p>
            <w:pPr>
              <w:ind w:left="380"/>
              <w:spacing w:after="0"/>
              <w:rPr>
                <w:sz w:val="20"/>
                <w:szCs w:val="20"/>
                <w:color w:val="auto"/>
              </w:rPr>
            </w:pPr>
            <w:r>
              <w:rPr>
                <w:rFonts w:ascii="Arial" w:cs="Arial" w:eastAsia="Arial" w:hAnsi="Arial"/>
                <w:sz w:val="14"/>
                <w:szCs w:val="14"/>
                <w:color w:val="auto"/>
              </w:rPr>
              <w:t>Total operating expense</w:t>
            </w:r>
          </w:p>
        </w:tc>
        <w:tc>
          <w:tcPr>
            <w:tcW w:w="120" w:type="dxa"/>
            <w:vAlign w:val="bottom"/>
            <w:tcBorders>
              <w:bottom w:val="single" w:sz="8" w:color="auto"/>
            </w:tcBorders>
            <w:shd w:val="clear" w:color="auto" w:fill="CCEEFF"/>
          </w:tcPr>
          <w:p>
            <w:pPr>
              <w:spacing w:after="0"/>
              <w:rPr>
                <w:sz w:val="15"/>
                <w:szCs w:val="15"/>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175"/>
        </w:trPr>
        <w:tc>
          <w:tcPr>
            <w:tcW w:w="5040" w:type="dxa"/>
            <w:vAlign w:val="bottom"/>
          </w:tcPr>
          <w:p>
            <w:pPr>
              <w:ind w:left="20"/>
              <w:spacing w:after="0"/>
              <w:rPr>
                <w:sz w:val="20"/>
                <w:szCs w:val="20"/>
                <w:color w:val="auto"/>
              </w:rPr>
            </w:pPr>
            <w:r>
              <w:rPr>
                <w:rFonts w:ascii="Arial" w:cs="Arial" w:eastAsia="Arial" w:hAnsi="Arial"/>
                <w:sz w:val="14"/>
                <w:szCs w:val="14"/>
                <w:b w:val="1"/>
                <w:bCs w:val="1"/>
                <w:color w:val="auto"/>
              </w:rPr>
              <w:t>Net income (loss)</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212</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(411)</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975</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775</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662</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Dividend on preferred stock</w:t>
            </w:r>
          </w:p>
        </w:tc>
        <w:tc>
          <w:tcPr>
            <w:tcW w:w="1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77"/>
        </w:trPr>
        <w:tc>
          <w:tcPr>
            <w:tcW w:w="5040" w:type="dxa"/>
            <w:vAlign w:val="bottom"/>
          </w:tcPr>
          <w:p>
            <w:pPr>
              <w:ind w:left="20"/>
              <w:spacing w:after="0"/>
              <w:rPr>
                <w:sz w:val="20"/>
                <w:szCs w:val="20"/>
                <w:color w:val="auto"/>
              </w:rPr>
            </w:pPr>
            <w:r>
              <w:rPr>
                <w:rFonts w:ascii="Arial" w:cs="Arial" w:eastAsia="Arial" w:hAnsi="Arial"/>
                <w:sz w:val="14"/>
                <w:szCs w:val="14"/>
                <w:b w:val="1"/>
                <w:bCs w:val="1"/>
                <w:color w:val="auto"/>
              </w:rPr>
              <w:t>Net income (loss) available (attributable) to common stockholders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187</w:t>
            </w:r>
          </w:p>
        </w:tc>
        <w:tc>
          <w:tcPr>
            <w:tcW w:w="100" w:type="dxa"/>
            <w:vAlign w:val="bottom"/>
          </w:tcPr>
          <w:p>
            <w:pPr>
              <w:spacing w:after="0"/>
              <w:rPr>
                <w:sz w:val="15"/>
                <w:szCs w:val="15"/>
                <w:color w:val="auto"/>
              </w:rPr>
            </w:pPr>
          </w:p>
        </w:tc>
        <w:tc>
          <w:tcPr>
            <w:tcW w:w="22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(436)</w:t>
            </w:r>
          </w:p>
        </w:tc>
        <w:tc>
          <w:tcPr>
            <w:tcW w:w="100" w:type="dxa"/>
            <w:vAlign w:val="bottom"/>
          </w:tcPr>
          <w:p>
            <w:pPr>
              <w:spacing w:after="0"/>
              <w:rPr>
                <w:sz w:val="15"/>
                <w:szCs w:val="15"/>
                <w:color w:val="auto"/>
              </w:rPr>
            </w:pPr>
          </w:p>
        </w:tc>
        <w:tc>
          <w:tcPr>
            <w:tcW w:w="2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950</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750</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637</w:t>
            </w:r>
          </w:p>
        </w:tc>
        <w:tc>
          <w:tcPr>
            <w:tcW w:w="0" w:type="dxa"/>
            <w:vAlign w:val="bottom"/>
          </w:tcPr>
          <w:p>
            <w:pPr>
              <w:spacing w:after="0"/>
              <w:rPr>
                <w:sz w:val="1"/>
                <w:szCs w:val="1"/>
                <w:color w:val="auto"/>
              </w:rPr>
            </w:pPr>
          </w:p>
        </w:tc>
      </w:tr>
      <w:tr>
        <w:trPr>
          <w:trHeight w:val="20"/>
        </w:trPr>
        <w:tc>
          <w:tcPr>
            <w:tcW w:w="50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0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5040" w:type="dxa"/>
            <w:vAlign w:val="bottom"/>
          </w:tcPr>
          <w:p>
            <w:pPr>
              <w:ind w:left="20"/>
              <w:spacing w:after="0"/>
              <w:rPr>
                <w:sz w:val="20"/>
                <w:szCs w:val="20"/>
                <w:color w:val="auto"/>
              </w:rPr>
            </w:pPr>
            <w:r>
              <w:rPr>
                <w:rFonts w:ascii="Arial" w:cs="Arial" w:eastAsia="Arial" w:hAnsi="Arial"/>
                <w:sz w:val="14"/>
                <w:szCs w:val="14"/>
                <w:b w:val="1"/>
                <w:bCs w:val="1"/>
                <w:color w:val="auto"/>
              </w:rPr>
              <w:t>Net income (loss)</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212</w:t>
            </w:r>
          </w:p>
        </w:tc>
        <w:tc>
          <w:tcPr>
            <w:tcW w:w="100" w:type="dxa"/>
            <w:vAlign w:val="bottom"/>
          </w:tcPr>
          <w:p>
            <w:pPr>
              <w:spacing w:after="0"/>
              <w:rPr>
                <w:sz w:val="15"/>
                <w:szCs w:val="15"/>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(411)</w:t>
            </w:r>
          </w:p>
        </w:tc>
        <w:tc>
          <w:tcPr>
            <w:tcW w:w="300" w:type="dxa"/>
            <w:vAlign w:val="bottom"/>
            <w:gridSpan w:val="2"/>
          </w:tcPr>
          <w:p>
            <w:pPr>
              <w:jc w:val="right"/>
              <w:ind w:right="3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975</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775</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662</w:t>
            </w:r>
          </w:p>
        </w:tc>
        <w:tc>
          <w:tcPr>
            <w:tcW w:w="0" w:type="dxa"/>
            <w:vAlign w:val="bottom"/>
          </w:tcPr>
          <w:p>
            <w:pPr>
              <w:spacing w:after="0"/>
              <w:rPr>
                <w:sz w:val="1"/>
                <w:szCs w:val="1"/>
                <w:color w:val="auto"/>
              </w:rPr>
            </w:pPr>
          </w:p>
        </w:tc>
      </w:tr>
      <w:tr>
        <w:trPr>
          <w:trHeight w:val="132"/>
        </w:trPr>
        <w:tc>
          <w:tcPr>
            <w:tcW w:w="5040" w:type="dxa"/>
            <w:vAlign w:val="bottom"/>
            <w:shd w:val="clear" w:color="auto" w:fill="CCEEFF"/>
          </w:tcPr>
          <w:p>
            <w:pPr>
              <w:ind w:left="140"/>
              <w:spacing w:after="0" w:line="132" w:lineRule="exact"/>
              <w:rPr>
                <w:sz w:val="20"/>
                <w:szCs w:val="20"/>
                <w:color w:val="auto"/>
              </w:rPr>
            </w:pPr>
            <w:r>
              <w:rPr>
                <w:rFonts w:ascii="Arial" w:cs="Arial" w:eastAsia="Arial" w:hAnsi="Arial"/>
                <w:sz w:val="14"/>
                <w:szCs w:val="14"/>
                <w:color w:val="auto"/>
                <w:w w:val="94"/>
              </w:rPr>
              <w:t>Unrealized gain (loss) on investment securities measured at fair value through other</w:t>
            </w:r>
          </w:p>
        </w:tc>
        <w:tc>
          <w:tcPr>
            <w:tcW w:w="120" w:type="dxa"/>
            <w:vAlign w:val="bottom"/>
            <w:shd w:val="clear" w:color="auto" w:fill="CCEEFF"/>
          </w:tcPr>
          <w:p>
            <w:pPr>
              <w:spacing w:after="0"/>
              <w:rPr>
                <w:sz w:val="11"/>
                <w:szCs w:val="11"/>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(77)</w:t>
            </w:r>
          </w:p>
        </w:tc>
        <w:tc>
          <w:tcPr>
            <w:tcW w:w="1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(237)</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ind w:left="700"/>
              <w:spacing w:after="0"/>
              <w:rPr>
                <w:sz w:val="20"/>
                <w:szCs w:val="20"/>
                <w:color w:val="auto"/>
              </w:rPr>
            </w:pPr>
            <w:r>
              <w:rPr>
                <w:rFonts w:ascii="Arial" w:cs="Arial" w:eastAsia="Arial" w:hAnsi="Arial"/>
                <w:sz w:val="14"/>
                <w:szCs w:val="14"/>
                <w:color w:val="auto"/>
                <w:w w:val="91"/>
              </w:rPr>
              <w:t>(115)</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70</w:t>
            </w:r>
          </w:p>
        </w:tc>
        <w:tc>
          <w:tcPr>
            <w:tcW w:w="0" w:type="dxa"/>
            <w:vAlign w:val="bottom"/>
          </w:tcPr>
          <w:p>
            <w:pPr>
              <w:spacing w:after="0"/>
              <w:rPr>
                <w:sz w:val="1"/>
                <w:szCs w:val="1"/>
                <w:color w:val="auto"/>
              </w:rPr>
            </w:pPr>
          </w:p>
        </w:tc>
      </w:tr>
      <w:tr>
        <w:trPr>
          <w:trHeight w:val="184"/>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comprehensive income (loss), net</w:t>
            </w:r>
          </w:p>
        </w:tc>
        <w:tc>
          <w:tcPr>
            <w:tcW w:w="1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5040" w:type="dxa"/>
            <w:vAlign w:val="bottom"/>
          </w:tcPr>
          <w:p>
            <w:pPr>
              <w:ind w:left="20"/>
              <w:spacing w:after="0"/>
              <w:rPr>
                <w:sz w:val="20"/>
                <w:szCs w:val="20"/>
                <w:color w:val="auto"/>
              </w:rPr>
            </w:pPr>
            <w:r>
              <w:rPr>
                <w:rFonts w:ascii="Arial" w:cs="Arial" w:eastAsia="Arial" w:hAnsi="Arial"/>
                <w:sz w:val="14"/>
                <w:szCs w:val="14"/>
                <w:b w:val="1"/>
                <w:bCs w:val="1"/>
                <w:color w:val="auto"/>
              </w:rPr>
              <w:t>Comprehensive income (loss)</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218</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(488)</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738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660</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732</w:t>
            </w:r>
          </w:p>
        </w:tc>
        <w:tc>
          <w:tcPr>
            <w:tcW w:w="0" w:type="dxa"/>
            <w:vAlign w:val="bottom"/>
          </w:tcPr>
          <w:p>
            <w:pPr>
              <w:spacing w:after="0"/>
              <w:rPr>
                <w:sz w:val="1"/>
                <w:szCs w:val="1"/>
                <w:color w:val="auto"/>
              </w:rPr>
            </w:pPr>
          </w:p>
        </w:tc>
      </w:tr>
      <w:tr>
        <w:trPr>
          <w:trHeight w:val="187"/>
        </w:trPr>
        <w:tc>
          <w:tcPr>
            <w:tcW w:w="50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Dividend on preferred stock</w:t>
            </w:r>
          </w:p>
        </w:tc>
        <w:tc>
          <w:tcPr>
            <w:tcW w:w="1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77"/>
        </w:trPr>
        <w:tc>
          <w:tcPr>
            <w:tcW w:w="5040" w:type="dxa"/>
            <w:vAlign w:val="bottom"/>
          </w:tcPr>
          <w:p>
            <w:pPr>
              <w:ind w:left="20"/>
              <w:spacing w:after="0"/>
              <w:rPr>
                <w:sz w:val="20"/>
                <w:szCs w:val="20"/>
                <w:color w:val="auto"/>
              </w:rPr>
            </w:pPr>
            <w:r>
              <w:rPr>
                <w:rFonts w:ascii="Arial" w:cs="Arial" w:eastAsia="Arial" w:hAnsi="Arial"/>
                <w:sz w:val="14"/>
                <w:szCs w:val="14"/>
                <w:b w:val="1"/>
                <w:bCs w:val="1"/>
                <w:color w:val="auto"/>
                <w:w w:val="95"/>
              </w:rPr>
              <w:t>Comprehensive income (loss) available (attributable) to common stockholders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193</w:t>
            </w:r>
          </w:p>
        </w:tc>
        <w:tc>
          <w:tcPr>
            <w:tcW w:w="100" w:type="dxa"/>
            <w:vAlign w:val="bottom"/>
          </w:tcPr>
          <w:p>
            <w:pPr>
              <w:spacing w:after="0"/>
              <w:rPr>
                <w:sz w:val="15"/>
                <w:szCs w:val="15"/>
                <w:color w:val="auto"/>
              </w:rPr>
            </w:pPr>
          </w:p>
        </w:tc>
        <w:tc>
          <w:tcPr>
            <w:tcW w:w="22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(513)</w:t>
            </w:r>
          </w:p>
        </w:tc>
        <w:tc>
          <w:tcPr>
            <w:tcW w:w="100" w:type="dxa"/>
            <w:vAlign w:val="bottom"/>
          </w:tcPr>
          <w:p>
            <w:pPr>
              <w:spacing w:after="0"/>
              <w:rPr>
                <w:sz w:val="15"/>
                <w:szCs w:val="15"/>
                <w:color w:val="auto"/>
              </w:rPr>
            </w:pPr>
          </w:p>
        </w:tc>
        <w:tc>
          <w:tcPr>
            <w:tcW w:w="2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713</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635</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707</w:t>
            </w:r>
          </w:p>
        </w:tc>
        <w:tc>
          <w:tcPr>
            <w:tcW w:w="0" w:type="dxa"/>
            <w:vAlign w:val="bottom"/>
          </w:tcPr>
          <w:p>
            <w:pPr>
              <w:spacing w:after="0"/>
              <w:rPr>
                <w:sz w:val="1"/>
                <w:szCs w:val="1"/>
                <w:color w:val="auto"/>
              </w:rPr>
            </w:pPr>
          </w:p>
        </w:tc>
      </w:tr>
      <w:tr>
        <w:trPr>
          <w:trHeight w:val="20"/>
        </w:trPr>
        <w:tc>
          <w:tcPr>
            <w:tcW w:w="50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0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5040" w:type="dxa"/>
            <w:vAlign w:val="bottom"/>
          </w:tcPr>
          <w:p>
            <w:pPr>
              <w:ind w:left="20"/>
              <w:spacing w:after="0"/>
              <w:rPr>
                <w:sz w:val="20"/>
                <w:szCs w:val="20"/>
                <w:color w:val="auto"/>
              </w:rPr>
            </w:pPr>
            <w:r>
              <w:rPr>
                <w:rFonts w:ascii="Arial" w:cs="Arial" w:eastAsia="Arial" w:hAnsi="Arial"/>
                <w:sz w:val="14"/>
                <w:szCs w:val="14"/>
                <w:b w:val="1"/>
                <w:bCs w:val="1"/>
                <w:color w:val="auto"/>
              </w:rPr>
              <w:t>Weighted average number of common shares outstanding - basic</w:t>
            </w: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526.7</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526.6</w:t>
            </w: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533.7</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544.8</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553.2</w:t>
            </w:r>
          </w:p>
        </w:tc>
        <w:tc>
          <w:tcPr>
            <w:tcW w:w="0" w:type="dxa"/>
            <w:vAlign w:val="bottom"/>
          </w:tcPr>
          <w:p>
            <w:pPr>
              <w:spacing w:after="0"/>
              <w:rPr>
                <w:sz w:val="1"/>
                <w:szCs w:val="1"/>
                <w:color w:val="auto"/>
              </w:rPr>
            </w:pPr>
          </w:p>
        </w:tc>
      </w:tr>
      <w:tr>
        <w:trPr>
          <w:trHeight w:val="20"/>
        </w:trPr>
        <w:tc>
          <w:tcPr>
            <w:tcW w:w="50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5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Weighted average number of common shares outstanding - diluted</w:t>
            </w:r>
          </w:p>
        </w:tc>
        <w:tc>
          <w:tcPr>
            <w:tcW w:w="12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528.6</w:t>
            </w: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526.6</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535.6</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ind w:left="680"/>
              <w:spacing w:after="0"/>
              <w:rPr>
                <w:sz w:val="20"/>
                <w:szCs w:val="20"/>
                <w:color w:val="auto"/>
              </w:rPr>
            </w:pPr>
            <w:r>
              <w:rPr>
                <w:rFonts w:ascii="Arial" w:cs="Arial" w:eastAsia="Arial" w:hAnsi="Arial"/>
                <w:sz w:val="14"/>
                <w:szCs w:val="14"/>
                <w:color w:val="auto"/>
                <w:w w:val="91"/>
              </w:rPr>
              <w:t>546.4</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ind w:left="700"/>
              <w:spacing w:after="0"/>
              <w:rPr>
                <w:sz w:val="20"/>
                <w:szCs w:val="20"/>
                <w:color w:val="auto"/>
              </w:rPr>
            </w:pPr>
            <w:r>
              <w:rPr>
                <w:rFonts w:ascii="Arial" w:cs="Arial" w:eastAsia="Arial" w:hAnsi="Arial"/>
                <w:sz w:val="14"/>
                <w:szCs w:val="14"/>
                <w:color w:val="auto"/>
                <w:w w:val="85"/>
              </w:rPr>
              <w:t>554.3</w:t>
            </w: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gridSpan w:val="2"/>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040" w:type="dxa"/>
            <w:vAlign w:val="bottom"/>
          </w:tcPr>
          <w:p>
            <w:pPr>
              <w:ind w:left="20"/>
              <w:spacing w:after="0" w:line="157" w:lineRule="exact"/>
              <w:rPr>
                <w:sz w:val="20"/>
                <w:szCs w:val="20"/>
                <w:color w:val="auto"/>
              </w:rPr>
            </w:pPr>
            <w:r>
              <w:rPr>
                <w:rFonts w:ascii="Arial" w:cs="Arial" w:eastAsia="Arial" w:hAnsi="Arial"/>
                <w:sz w:val="14"/>
                <w:szCs w:val="14"/>
                <w:b w:val="1"/>
                <w:bCs w:val="1"/>
                <w:color w:val="auto"/>
              </w:rPr>
              <w:t>Net income (loss) per common share - basic</w:t>
            </w:r>
          </w:p>
        </w:tc>
        <w:tc>
          <w:tcPr>
            <w:tcW w:w="1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w w:val="76"/>
              </w:rPr>
              <w:t>$</w:t>
            </w:r>
          </w:p>
        </w:tc>
        <w:tc>
          <w:tcPr>
            <w:tcW w:w="10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100" w:type="dxa"/>
            <w:vAlign w:val="bottom"/>
          </w:tcPr>
          <w:p>
            <w:pPr>
              <w:spacing w:after="0"/>
              <w:rPr>
                <w:sz w:val="13"/>
                <w:szCs w:val="13"/>
                <w:color w:val="auto"/>
              </w:rPr>
            </w:pPr>
          </w:p>
        </w:tc>
        <w:tc>
          <w:tcPr>
            <w:tcW w:w="220" w:type="dxa"/>
            <w:vAlign w:val="bottom"/>
            <w:tcBorders>
              <w:top w:val="single" w:sz="8" w:color="auto"/>
              <w:bottom w:val="single" w:sz="8" w:color="auto"/>
            </w:tcBorders>
          </w:tcPr>
          <w:p>
            <w:pPr>
              <w:jc w:val="right"/>
              <w:ind w:right="70"/>
              <w:spacing w:after="0" w:line="157" w:lineRule="exact"/>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(0.83)</w:t>
            </w:r>
          </w:p>
        </w:tc>
        <w:tc>
          <w:tcPr>
            <w:tcW w:w="10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ind w:right="30"/>
              <w:spacing w:after="0" w:line="157" w:lineRule="exact"/>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1.78</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1.38</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1.15</w:t>
            </w:r>
          </w:p>
        </w:tc>
        <w:tc>
          <w:tcPr>
            <w:tcW w:w="0" w:type="dxa"/>
            <w:vAlign w:val="bottom"/>
          </w:tcPr>
          <w:p>
            <w:pPr>
              <w:spacing w:after="0"/>
              <w:rPr>
                <w:sz w:val="1"/>
                <w:szCs w:val="1"/>
                <w:color w:val="auto"/>
              </w:rPr>
            </w:pPr>
          </w:p>
        </w:tc>
      </w:tr>
      <w:tr>
        <w:trPr>
          <w:trHeight w:val="20"/>
        </w:trPr>
        <w:tc>
          <w:tcPr>
            <w:tcW w:w="50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5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Net income (loss) per common share - diluted</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0.35</w:t>
            </w: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(0.83)</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1.77</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1.37</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1.15</w:t>
            </w: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gridSpan w:val="2"/>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040" w:type="dxa"/>
            <w:vAlign w:val="bottom"/>
          </w:tcPr>
          <w:p>
            <w:pPr>
              <w:ind w:left="20"/>
              <w:spacing w:after="0" w:line="157" w:lineRule="exact"/>
              <w:rPr>
                <w:sz w:val="20"/>
                <w:szCs w:val="20"/>
                <w:color w:val="auto"/>
              </w:rPr>
            </w:pPr>
            <w:r>
              <w:rPr>
                <w:rFonts w:ascii="Arial" w:cs="Arial" w:eastAsia="Arial" w:hAnsi="Arial"/>
                <w:sz w:val="14"/>
                <w:szCs w:val="14"/>
                <w:b w:val="1"/>
                <w:bCs w:val="1"/>
                <w:color w:val="auto"/>
              </w:rPr>
              <w:t>Comprehensive income (loss) per common share - basic</w:t>
            </w:r>
          </w:p>
        </w:tc>
        <w:tc>
          <w:tcPr>
            <w:tcW w:w="1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w w:val="76"/>
              </w:rPr>
              <w:t>$</w:t>
            </w:r>
          </w:p>
        </w:tc>
        <w:tc>
          <w:tcPr>
            <w:tcW w:w="10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0.37</w:t>
            </w:r>
          </w:p>
        </w:tc>
        <w:tc>
          <w:tcPr>
            <w:tcW w:w="100" w:type="dxa"/>
            <w:vAlign w:val="bottom"/>
          </w:tcPr>
          <w:p>
            <w:pPr>
              <w:spacing w:after="0"/>
              <w:rPr>
                <w:sz w:val="13"/>
                <w:szCs w:val="13"/>
                <w:color w:val="auto"/>
              </w:rPr>
            </w:pPr>
          </w:p>
        </w:tc>
        <w:tc>
          <w:tcPr>
            <w:tcW w:w="220" w:type="dxa"/>
            <w:vAlign w:val="bottom"/>
            <w:tcBorders>
              <w:top w:val="single" w:sz="8" w:color="auto"/>
              <w:bottom w:val="single" w:sz="8" w:color="auto"/>
            </w:tcBorders>
          </w:tcPr>
          <w:p>
            <w:pPr>
              <w:jc w:val="right"/>
              <w:ind w:right="70"/>
              <w:spacing w:after="0" w:line="157" w:lineRule="exact"/>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(0.97)</w:t>
            </w:r>
          </w:p>
        </w:tc>
        <w:tc>
          <w:tcPr>
            <w:tcW w:w="10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ind w:right="30"/>
              <w:spacing w:after="0" w:line="157" w:lineRule="exact"/>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1.34</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1.17</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1.28</w:t>
            </w:r>
          </w:p>
        </w:tc>
        <w:tc>
          <w:tcPr>
            <w:tcW w:w="0" w:type="dxa"/>
            <w:vAlign w:val="bottom"/>
          </w:tcPr>
          <w:p>
            <w:pPr>
              <w:spacing w:after="0"/>
              <w:rPr>
                <w:sz w:val="1"/>
                <w:szCs w:val="1"/>
                <w:color w:val="auto"/>
              </w:rPr>
            </w:pPr>
          </w:p>
        </w:tc>
      </w:tr>
      <w:tr>
        <w:trPr>
          <w:trHeight w:val="20"/>
        </w:trPr>
        <w:tc>
          <w:tcPr>
            <w:tcW w:w="504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5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Comprehensive income (loss) per common share - diluted</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0.37</w:t>
            </w: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(0.97)</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1.33</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1.16</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1.28</w:t>
            </w: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gridSpan w:val="2"/>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040" w:type="dxa"/>
            <w:vAlign w:val="bottom"/>
          </w:tcPr>
          <w:p>
            <w:pPr>
              <w:ind w:left="20"/>
              <w:spacing w:after="0" w:line="157" w:lineRule="exact"/>
              <w:rPr>
                <w:sz w:val="20"/>
                <w:szCs w:val="20"/>
                <w:color w:val="auto"/>
              </w:rPr>
            </w:pPr>
            <w:r>
              <w:rPr>
                <w:rFonts w:ascii="Arial" w:cs="Arial" w:eastAsia="Arial" w:hAnsi="Arial"/>
                <w:sz w:val="14"/>
                <w:szCs w:val="14"/>
                <w:b w:val="1"/>
                <w:bCs w:val="1"/>
                <w:color w:val="auto"/>
              </w:rPr>
              <w:t>Dividends declared per common share</w:t>
            </w:r>
          </w:p>
        </w:tc>
        <w:tc>
          <w:tcPr>
            <w:tcW w:w="1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w w:val="76"/>
              </w:rPr>
              <w:t>$</w:t>
            </w:r>
          </w:p>
        </w:tc>
        <w:tc>
          <w:tcPr>
            <w:tcW w:w="10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100" w:type="dxa"/>
            <w:vAlign w:val="bottom"/>
          </w:tcPr>
          <w:p>
            <w:pPr>
              <w:spacing w:after="0"/>
              <w:rPr>
                <w:sz w:val="13"/>
                <w:szCs w:val="13"/>
                <w:color w:val="auto"/>
              </w:rPr>
            </w:pPr>
          </w:p>
        </w:tc>
        <w:tc>
          <w:tcPr>
            <w:tcW w:w="220" w:type="dxa"/>
            <w:vAlign w:val="bottom"/>
            <w:tcBorders>
              <w:top w:val="single" w:sz="8" w:color="auto"/>
              <w:bottom w:val="single" w:sz="8" w:color="auto"/>
            </w:tcBorders>
          </w:tcPr>
          <w:p>
            <w:pPr>
              <w:jc w:val="right"/>
              <w:ind w:right="70"/>
              <w:spacing w:after="0" w:line="157" w:lineRule="exact"/>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10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ind w:right="30"/>
              <w:spacing w:after="0" w:line="157" w:lineRule="exact"/>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0.36</w:t>
            </w:r>
          </w:p>
        </w:tc>
        <w:tc>
          <w:tcPr>
            <w:tcW w:w="0" w:type="dxa"/>
            <w:vAlign w:val="bottom"/>
          </w:tcPr>
          <w:p>
            <w:pPr>
              <w:spacing w:after="0"/>
              <w:rPr>
                <w:sz w:val="1"/>
                <w:szCs w:val="1"/>
                <w:color w:val="auto"/>
              </w:rPr>
            </w:pPr>
          </w:p>
        </w:tc>
      </w:tr>
      <w:tr>
        <w:trPr>
          <w:trHeight w:val="20"/>
        </w:trPr>
        <w:tc>
          <w:tcPr>
            <w:tcW w:w="50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240"/>
          </w:cols>
          <w:pgMar w:left="320" w:top="146" w:right="339" w:bottom="1440" w:gutter="0" w:footer="0" w:header="0"/>
        </w:sectPr>
      </w:pPr>
    </w:p>
    <w:bookmarkStart w:id="11" w:name="page12"/>
    <w:bookmarkEnd w:id="11"/>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9</w:t>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 xml:space="preserve">RECONCILIATION OF GAAP NET INTEREST INCOME TO NET SPREAD AND DOLLAR ROLL INCOME (NON-GAAP MEASURE) </w:t>
      </w:r>
      <w:r>
        <w:rPr>
          <w:rFonts w:ascii="Arial" w:cs="Arial" w:eastAsia="Arial" w:hAnsi="Arial"/>
          <w:sz w:val="18"/>
          <w:szCs w:val="18"/>
          <w:color w:val="auto"/>
          <w:vertAlign w:val="superscript"/>
        </w:rPr>
        <w:t>2</w:t>
      </w: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76" w:lineRule="exact"/>
        <w:rPr>
          <w:sz w:val="20"/>
          <w:szCs w:val="20"/>
          <w:color w:val="auto"/>
        </w:rPr>
      </w:pPr>
    </w:p>
    <w:p>
      <w:pPr>
        <w:ind w:left="7780"/>
        <w:spacing w:after="0"/>
        <w:rPr>
          <w:sz w:val="20"/>
          <w:szCs w:val="20"/>
          <w:color w:val="auto"/>
        </w:rPr>
      </w:pPr>
      <w:r>
        <w:rPr>
          <w:rFonts w:ascii="Arial" w:cs="Arial" w:eastAsia="Arial" w:hAnsi="Arial"/>
          <w:sz w:val="14"/>
          <w:szCs w:val="14"/>
          <w:color w:val="auto"/>
        </w:rPr>
        <w:t>Three Months Ended</w:t>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22"/>
        </w:trPr>
        <w:tc>
          <w:tcPr>
            <w:tcW w:w="550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gridSpan w:val="2"/>
          </w:tcPr>
          <w:p>
            <w:pPr>
              <w:ind w:left="40"/>
              <w:spacing w:after="0" w:line="122" w:lineRule="exact"/>
              <w:rPr>
                <w:sz w:val="20"/>
                <w:szCs w:val="20"/>
                <w:color w:val="auto"/>
              </w:rPr>
            </w:pPr>
            <w:r>
              <w:rPr>
                <w:rFonts w:ascii="Arial" w:cs="Arial" w:eastAsia="Arial" w:hAnsi="Arial"/>
                <w:sz w:val="12"/>
                <w:szCs w:val="12"/>
                <w:color w:val="auto"/>
              </w:rPr>
              <w:t>September 30,</w:t>
            </w:r>
          </w:p>
        </w:tc>
        <w:tc>
          <w:tcPr>
            <w:tcW w:w="220" w:type="dxa"/>
            <w:vAlign w:val="bottom"/>
            <w:tcBorders>
              <w:top w:val="single" w:sz="8" w:color="auto"/>
            </w:tcBorders>
          </w:tcPr>
          <w:p>
            <w:pPr>
              <w:spacing w:after="0"/>
              <w:rPr>
                <w:sz w:val="10"/>
                <w:szCs w:val="10"/>
                <w:color w:val="auto"/>
              </w:rPr>
            </w:pPr>
          </w:p>
        </w:tc>
        <w:tc>
          <w:tcPr>
            <w:tcW w:w="960" w:type="dxa"/>
            <w:vAlign w:val="bottom"/>
            <w:tcBorders>
              <w:top w:val="single" w:sz="8" w:color="auto"/>
            </w:tcBorders>
            <w:gridSpan w:val="2"/>
          </w:tcPr>
          <w:p>
            <w:pPr>
              <w:ind w:left="120"/>
              <w:spacing w:after="0" w:line="122" w:lineRule="exact"/>
              <w:rPr>
                <w:sz w:val="20"/>
                <w:szCs w:val="20"/>
                <w:color w:val="auto"/>
              </w:rPr>
            </w:pPr>
            <w:r>
              <w:rPr>
                <w:rFonts w:ascii="Arial" w:cs="Arial" w:eastAsia="Arial" w:hAnsi="Arial"/>
                <w:sz w:val="12"/>
                <w:szCs w:val="12"/>
                <w:color w:val="auto"/>
              </w:rPr>
              <w:t>June 30,</w:t>
            </w:r>
          </w:p>
        </w:tc>
        <w:tc>
          <w:tcPr>
            <w:tcW w:w="18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gridSpan w:val="2"/>
          </w:tcPr>
          <w:p>
            <w:pPr>
              <w:ind w:left="100"/>
              <w:spacing w:after="0" w:line="122" w:lineRule="exact"/>
              <w:rPr>
                <w:sz w:val="20"/>
                <w:szCs w:val="20"/>
                <w:color w:val="auto"/>
              </w:rPr>
            </w:pPr>
            <w:r>
              <w:rPr>
                <w:rFonts w:ascii="Arial" w:cs="Arial" w:eastAsia="Arial" w:hAnsi="Arial"/>
                <w:sz w:val="12"/>
                <w:szCs w:val="12"/>
                <w:color w:val="auto"/>
              </w:rPr>
              <w:t>March 31,</w:t>
            </w:r>
          </w:p>
        </w:tc>
        <w:tc>
          <w:tcPr>
            <w:tcW w:w="140" w:type="dxa"/>
            <w:vAlign w:val="bottom"/>
            <w:tcBorders>
              <w:top w:val="single" w:sz="8" w:color="auto"/>
            </w:tcBorders>
          </w:tcPr>
          <w:p>
            <w:pPr>
              <w:spacing w:after="0"/>
              <w:rPr>
                <w:sz w:val="10"/>
                <w:szCs w:val="10"/>
                <w:color w:val="auto"/>
              </w:rPr>
            </w:pPr>
          </w:p>
        </w:tc>
        <w:tc>
          <w:tcPr>
            <w:tcW w:w="1040" w:type="dxa"/>
            <w:vAlign w:val="bottom"/>
            <w:tcBorders>
              <w:top w:val="single" w:sz="8" w:color="auto"/>
            </w:tcBorders>
            <w:gridSpan w:val="2"/>
          </w:tcPr>
          <w:p>
            <w:pPr>
              <w:ind w:left="60"/>
              <w:spacing w:after="0" w:line="122" w:lineRule="exact"/>
              <w:rPr>
                <w:sz w:val="20"/>
                <w:szCs w:val="20"/>
                <w:color w:val="auto"/>
              </w:rPr>
            </w:pPr>
            <w:r>
              <w:rPr>
                <w:rFonts w:ascii="Arial" w:cs="Arial" w:eastAsia="Arial" w:hAnsi="Arial"/>
                <w:sz w:val="12"/>
                <w:szCs w:val="12"/>
                <w:color w:val="auto"/>
              </w:rPr>
              <w:t>December 31,</w:t>
            </w:r>
          </w:p>
        </w:tc>
        <w:tc>
          <w:tcPr>
            <w:tcW w:w="140" w:type="dxa"/>
            <w:vAlign w:val="bottom"/>
            <w:tcBorders>
              <w:top w:val="single" w:sz="8" w:color="auto"/>
            </w:tcBorders>
          </w:tcPr>
          <w:p>
            <w:pPr>
              <w:spacing w:after="0"/>
              <w:rPr>
                <w:sz w:val="10"/>
                <w:szCs w:val="10"/>
                <w:color w:val="auto"/>
              </w:rPr>
            </w:pPr>
          </w:p>
        </w:tc>
        <w:tc>
          <w:tcPr>
            <w:tcW w:w="920" w:type="dxa"/>
            <w:vAlign w:val="bottom"/>
            <w:tcBorders>
              <w:top w:val="single" w:sz="8" w:color="auto"/>
            </w:tcBorders>
          </w:tcPr>
          <w:p>
            <w:pPr>
              <w:jc w:val="right"/>
              <w:ind w:right="111"/>
              <w:spacing w:after="0" w:line="122" w:lineRule="exact"/>
              <w:rPr>
                <w:sz w:val="20"/>
                <w:szCs w:val="20"/>
                <w:color w:val="auto"/>
              </w:rPr>
            </w:pPr>
            <w:r>
              <w:rPr>
                <w:rFonts w:ascii="Arial" w:cs="Arial" w:eastAsia="Arial" w:hAnsi="Arial"/>
                <w:sz w:val="12"/>
                <w:szCs w:val="12"/>
                <w:color w:val="auto"/>
                <w:w w:val="91"/>
              </w:rPr>
              <w:t>September 30,</w:t>
            </w:r>
          </w:p>
        </w:tc>
        <w:tc>
          <w:tcPr>
            <w:tcW w:w="0" w:type="dxa"/>
            <w:vAlign w:val="bottom"/>
          </w:tcPr>
          <w:p>
            <w:pPr>
              <w:spacing w:after="0"/>
              <w:rPr>
                <w:sz w:val="1"/>
                <w:szCs w:val="1"/>
                <w:color w:val="auto"/>
              </w:rPr>
            </w:pPr>
          </w:p>
        </w:tc>
      </w:tr>
      <w:tr>
        <w:trPr>
          <w:trHeight w:val="164"/>
        </w:trPr>
        <w:tc>
          <w:tcPr>
            <w:tcW w:w="55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31"/>
              <w:spacing w:after="0"/>
              <w:rPr>
                <w:sz w:val="20"/>
                <w:szCs w:val="20"/>
                <w:color w:val="auto"/>
              </w:rPr>
            </w:pPr>
            <w:r>
              <w:rPr>
                <w:rFonts w:ascii="Arial" w:cs="Arial" w:eastAsia="Arial" w:hAnsi="Arial"/>
                <w:sz w:val="12"/>
                <w:szCs w:val="12"/>
                <w:color w:val="auto"/>
              </w:rPr>
              <w:t>2021</w:t>
            </w:r>
          </w:p>
        </w:tc>
        <w:tc>
          <w:tcPr>
            <w:tcW w:w="10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51"/>
              <w:spacing w:after="0"/>
              <w:rPr>
                <w:sz w:val="20"/>
                <w:szCs w:val="20"/>
                <w:color w:val="auto"/>
              </w:rPr>
            </w:pPr>
            <w:r>
              <w:rPr>
                <w:rFonts w:ascii="Arial" w:cs="Arial" w:eastAsia="Arial" w:hAnsi="Arial"/>
                <w:sz w:val="12"/>
                <w:szCs w:val="12"/>
                <w:color w:val="auto"/>
              </w:rPr>
              <w:t>2021</w:t>
            </w: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31"/>
              <w:spacing w:after="0"/>
              <w:rPr>
                <w:sz w:val="20"/>
                <w:szCs w:val="20"/>
                <w:color w:val="auto"/>
              </w:rPr>
            </w:pPr>
            <w:r>
              <w:rPr>
                <w:rFonts w:ascii="Arial" w:cs="Arial" w:eastAsia="Arial" w:hAnsi="Arial"/>
                <w:sz w:val="12"/>
                <w:szCs w:val="12"/>
                <w:color w:val="auto"/>
              </w:rPr>
              <w:t>2021</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351"/>
              <w:spacing w:after="0"/>
              <w:rPr>
                <w:sz w:val="20"/>
                <w:szCs w:val="20"/>
                <w:color w:val="auto"/>
              </w:rPr>
            </w:pPr>
            <w:r>
              <w:rPr>
                <w:rFonts w:ascii="Arial" w:cs="Arial" w:eastAsia="Arial" w:hAnsi="Arial"/>
                <w:sz w:val="12"/>
                <w:szCs w:val="12"/>
                <w:color w:val="auto"/>
              </w:rPr>
              <w:t>2020</w:t>
            </w:r>
          </w:p>
        </w:tc>
        <w:tc>
          <w:tcPr>
            <w:tcW w:w="10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31"/>
              <w:spacing w:after="0"/>
              <w:rPr>
                <w:sz w:val="20"/>
                <w:szCs w:val="20"/>
                <w:color w:val="auto"/>
              </w:rPr>
            </w:pPr>
            <w:r>
              <w:rPr>
                <w:rFonts w:ascii="Arial" w:cs="Arial" w:eastAsia="Arial" w:hAnsi="Arial"/>
                <w:sz w:val="12"/>
                <w:szCs w:val="12"/>
                <w:color w:val="auto"/>
              </w:rPr>
              <w:t>2020</w:t>
            </w:r>
          </w:p>
        </w:tc>
        <w:tc>
          <w:tcPr>
            <w:tcW w:w="0" w:type="dxa"/>
            <w:vAlign w:val="bottom"/>
          </w:tcPr>
          <w:p>
            <w:pPr>
              <w:spacing w:after="0"/>
              <w:rPr>
                <w:sz w:val="1"/>
                <w:szCs w:val="1"/>
                <w:color w:val="auto"/>
              </w:rPr>
            </w:pPr>
          </w:p>
        </w:tc>
      </w:tr>
      <w:tr>
        <w:trPr>
          <w:trHeight w:val="171"/>
        </w:trPr>
        <w:tc>
          <w:tcPr>
            <w:tcW w:w="5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GAAP net interest income:</w:t>
            </w:r>
          </w:p>
        </w:tc>
        <w:tc>
          <w:tcPr>
            <w:tcW w:w="14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5500" w:type="dxa"/>
            <w:vAlign w:val="bottom"/>
          </w:tcPr>
          <w:p>
            <w:pPr>
              <w:ind w:left="140"/>
              <w:spacing w:after="0"/>
              <w:rPr>
                <w:sz w:val="20"/>
                <w:szCs w:val="20"/>
                <w:color w:val="auto"/>
              </w:rPr>
            </w:pPr>
            <w:r>
              <w:rPr>
                <w:rFonts w:ascii="Arial" w:cs="Arial" w:eastAsia="Arial" w:hAnsi="Arial"/>
                <w:sz w:val="14"/>
                <w:szCs w:val="14"/>
                <w:color w:val="auto"/>
              </w:rPr>
              <w:t>Interest income</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293</w:t>
            </w:r>
          </w:p>
        </w:tc>
        <w:tc>
          <w:tcPr>
            <w:tcW w:w="100" w:type="dxa"/>
            <w:vAlign w:val="bottom"/>
          </w:tcPr>
          <w:p>
            <w:pPr>
              <w:spacing w:after="0"/>
              <w:rPr>
                <w:sz w:val="15"/>
                <w:szCs w:val="15"/>
                <w:color w:val="auto"/>
              </w:rPr>
            </w:pPr>
          </w:p>
        </w:tc>
        <w:tc>
          <w:tcPr>
            <w:tcW w:w="22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249</w:t>
            </w:r>
          </w:p>
        </w:tc>
        <w:tc>
          <w:tcPr>
            <w:tcW w:w="100" w:type="dxa"/>
            <w:vAlign w:val="bottom"/>
          </w:tcPr>
          <w:p>
            <w:pPr>
              <w:spacing w:after="0"/>
              <w:rPr>
                <w:sz w:val="15"/>
                <w:szCs w:val="15"/>
                <w:color w:val="auto"/>
              </w:rPr>
            </w:pP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557</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235</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364</w:t>
            </w:r>
          </w:p>
        </w:tc>
        <w:tc>
          <w:tcPr>
            <w:tcW w:w="0" w:type="dxa"/>
            <w:vAlign w:val="bottom"/>
          </w:tcPr>
          <w:p>
            <w:pPr>
              <w:spacing w:after="0"/>
              <w:rPr>
                <w:sz w:val="1"/>
                <w:szCs w:val="1"/>
                <w:color w:val="auto"/>
              </w:rPr>
            </w:pPr>
          </w:p>
        </w:tc>
      </w:tr>
      <w:tr>
        <w:trPr>
          <w:trHeight w:val="187"/>
        </w:trPr>
        <w:tc>
          <w:tcPr>
            <w:tcW w:w="55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Interest expense</w:t>
            </w:r>
          </w:p>
        </w:tc>
        <w:tc>
          <w:tcPr>
            <w:tcW w:w="14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175"/>
        </w:trPr>
        <w:tc>
          <w:tcPr>
            <w:tcW w:w="5500" w:type="dxa"/>
            <w:vAlign w:val="bottom"/>
          </w:tcPr>
          <w:p>
            <w:pPr>
              <w:ind w:left="20"/>
              <w:spacing w:after="0"/>
              <w:rPr>
                <w:sz w:val="20"/>
                <w:szCs w:val="20"/>
                <w:color w:val="auto"/>
              </w:rPr>
            </w:pPr>
            <w:r>
              <w:rPr>
                <w:rFonts w:ascii="Arial" w:cs="Arial" w:eastAsia="Arial" w:hAnsi="Arial"/>
                <w:sz w:val="14"/>
                <w:szCs w:val="14"/>
                <w:color w:val="auto"/>
              </w:rPr>
              <w:t>GAAP net interest income</w:t>
            </w:r>
          </w:p>
        </w:tc>
        <w:tc>
          <w:tcPr>
            <w:tcW w:w="14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279</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232</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528</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183</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302</w:t>
            </w:r>
          </w:p>
        </w:tc>
        <w:tc>
          <w:tcPr>
            <w:tcW w:w="0" w:type="dxa"/>
            <w:vAlign w:val="bottom"/>
          </w:tcPr>
          <w:p>
            <w:pPr>
              <w:spacing w:after="0"/>
              <w:rPr>
                <w:sz w:val="1"/>
                <w:szCs w:val="1"/>
                <w:color w:val="auto"/>
              </w:rPr>
            </w:pPr>
          </w:p>
        </w:tc>
      </w:tr>
      <w:tr>
        <w:trPr>
          <w:trHeight w:val="187"/>
        </w:trPr>
        <w:tc>
          <w:tcPr>
            <w:tcW w:w="5500" w:type="dxa"/>
            <w:vAlign w:val="bottom"/>
            <w:shd w:val="clear" w:color="auto" w:fill="CCEEFF"/>
          </w:tcPr>
          <w:p>
            <w:pPr>
              <w:ind w:left="140"/>
              <w:spacing w:after="0" w:line="187" w:lineRule="exact"/>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18"/>
                <w:szCs w:val="18"/>
                <w:color w:val="auto"/>
                <w:vertAlign w:val="superscript"/>
              </w:rPr>
              <w:t>3,4</w:t>
            </w:r>
          </w:p>
        </w:tc>
        <w:tc>
          <w:tcPr>
            <w:tcW w:w="14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155</w:t>
            </w:r>
          </w:p>
        </w:tc>
        <w:tc>
          <w:tcPr>
            <w:tcW w:w="0" w:type="dxa"/>
            <w:vAlign w:val="bottom"/>
          </w:tcPr>
          <w:p>
            <w:pPr>
              <w:spacing w:after="0"/>
              <w:rPr>
                <w:sz w:val="1"/>
                <w:szCs w:val="1"/>
                <w:color w:val="auto"/>
              </w:rPr>
            </w:pPr>
          </w:p>
        </w:tc>
      </w:tr>
      <w:tr>
        <w:trPr>
          <w:trHeight w:val="184"/>
        </w:trPr>
        <w:tc>
          <w:tcPr>
            <w:tcW w:w="5500" w:type="dxa"/>
            <w:vAlign w:val="bottom"/>
            <w:tcBorders>
              <w:bottom w:val="single" w:sz="8" w:color="CCEEFF"/>
            </w:tcBorders>
          </w:tcPr>
          <w:p>
            <w:pPr>
              <w:ind w:left="140"/>
              <w:spacing w:after="0" w:line="184" w:lineRule="exact"/>
              <w:rPr>
                <w:sz w:val="20"/>
                <w:szCs w:val="20"/>
                <w:color w:val="auto"/>
              </w:rPr>
            </w:pPr>
            <w:r>
              <w:rPr>
                <w:rFonts w:ascii="Arial" w:cs="Arial" w:eastAsia="Arial" w:hAnsi="Arial"/>
                <w:sz w:val="14"/>
                <w:szCs w:val="14"/>
                <w:color w:val="auto"/>
              </w:rPr>
              <w:t xml:space="preserve">Interest rate swap periodic cost, net </w:t>
            </w:r>
            <w:r>
              <w:rPr>
                <w:rFonts w:ascii="Arial" w:cs="Arial" w:eastAsia="Arial" w:hAnsi="Arial"/>
                <w:sz w:val="18"/>
                <w:szCs w:val="18"/>
                <w:color w:val="auto"/>
                <w:vertAlign w:val="superscript"/>
              </w:rPr>
              <w:t>3,8</w:t>
            </w: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77"/>
        </w:trPr>
        <w:tc>
          <w:tcPr>
            <w:tcW w:w="5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Adjusted net interest and dollar roll income</w:t>
            </w: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441</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375</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670</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352</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0" w:type="dxa"/>
            <w:vAlign w:val="bottom"/>
          </w:tcPr>
          <w:p>
            <w:pPr>
              <w:spacing w:after="0"/>
              <w:rPr>
                <w:sz w:val="1"/>
                <w:szCs w:val="1"/>
                <w:color w:val="auto"/>
              </w:rPr>
            </w:pPr>
          </w:p>
        </w:tc>
      </w:tr>
      <w:tr>
        <w:trPr>
          <w:trHeight w:val="181"/>
        </w:trPr>
        <w:tc>
          <w:tcPr>
            <w:tcW w:w="550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Operating expense</w:t>
            </w:r>
          </w:p>
        </w:tc>
        <w:tc>
          <w:tcPr>
            <w:tcW w:w="1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180"/>
        </w:trPr>
        <w:tc>
          <w:tcPr>
            <w:tcW w:w="5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w:t>
            </w: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419</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353</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646</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327</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423</w:t>
            </w:r>
          </w:p>
        </w:tc>
        <w:tc>
          <w:tcPr>
            <w:tcW w:w="0" w:type="dxa"/>
            <w:vAlign w:val="bottom"/>
          </w:tcPr>
          <w:p>
            <w:pPr>
              <w:spacing w:after="0"/>
              <w:rPr>
                <w:sz w:val="1"/>
                <w:szCs w:val="1"/>
                <w:color w:val="auto"/>
              </w:rPr>
            </w:pPr>
          </w:p>
        </w:tc>
      </w:tr>
      <w:tr>
        <w:trPr>
          <w:trHeight w:val="181"/>
        </w:trPr>
        <w:tc>
          <w:tcPr>
            <w:tcW w:w="550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Dividend on preferred stock</w:t>
            </w:r>
          </w:p>
        </w:tc>
        <w:tc>
          <w:tcPr>
            <w:tcW w:w="1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80"/>
        </w:trPr>
        <w:tc>
          <w:tcPr>
            <w:tcW w:w="5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available to common stockholders</w:t>
            </w: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394</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621</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398</w:t>
            </w:r>
          </w:p>
        </w:tc>
        <w:tc>
          <w:tcPr>
            <w:tcW w:w="0" w:type="dxa"/>
            <w:vAlign w:val="bottom"/>
          </w:tcPr>
          <w:p>
            <w:pPr>
              <w:spacing w:after="0"/>
              <w:rPr>
                <w:sz w:val="1"/>
                <w:szCs w:val="1"/>
                <w:color w:val="auto"/>
              </w:rPr>
            </w:pPr>
          </w:p>
        </w:tc>
      </w:tr>
      <w:tr>
        <w:trPr>
          <w:trHeight w:val="184"/>
        </w:trPr>
        <w:tc>
          <w:tcPr>
            <w:tcW w:w="5500" w:type="dxa"/>
            <w:vAlign w:val="bottom"/>
            <w:tcBorders>
              <w:bottom w:val="single" w:sz="8" w:color="CCEEFF"/>
            </w:tcBorders>
          </w:tcPr>
          <w:p>
            <w:pPr>
              <w:ind w:left="100"/>
              <w:spacing w:after="0" w:line="184" w:lineRule="exact"/>
              <w:rPr>
                <w:sz w:val="20"/>
                <w:szCs w:val="20"/>
                <w:color w:val="auto"/>
              </w:rPr>
            </w:pPr>
            <w:r>
              <w:rPr>
                <w:rFonts w:ascii="Arial" w:cs="Arial" w:eastAsia="Arial" w:hAnsi="Arial"/>
                <w:sz w:val="14"/>
                <w:szCs w:val="14"/>
                <w:color w:val="auto"/>
                <w:w w:val="95"/>
              </w:rPr>
              <w:t xml:space="preserve">Estimated "catch-up" premium amortization cost (benefit) due to change in CPR forecast </w:t>
            </w:r>
            <w:r>
              <w:rPr>
                <w:rFonts w:ascii="Arial" w:cs="Arial" w:eastAsia="Arial" w:hAnsi="Arial"/>
                <w:sz w:val="18"/>
                <w:szCs w:val="18"/>
                <w:color w:val="auto"/>
                <w:w w:val="95"/>
                <w:vertAlign w:val="superscript"/>
              </w:rPr>
              <w:t>11</w:t>
            </w: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71</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(213)</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107</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w:t>
            </w:r>
          </w:p>
        </w:tc>
        <w:tc>
          <w:tcPr>
            <w:tcW w:w="0" w:type="dxa"/>
            <w:vAlign w:val="bottom"/>
          </w:tcPr>
          <w:p>
            <w:pPr>
              <w:spacing w:after="0"/>
              <w:rPr>
                <w:sz w:val="1"/>
                <w:szCs w:val="1"/>
                <w:color w:val="auto"/>
              </w:rPr>
            </w:pPr>
          </w:p>
        </w:tc>
      </w:tr>
      <w:tr>
        <w:trPr>
          <w:trHeight w:val="111"/>
        </w:trPr>
        <w:tc>
          <w:tcPr>
            <w:tcW w:w="5500" w:type="dxa"/>
            <w:vAlign w:val="bottom"/>
            <w:shd w:val="clear" w:color="auto" w:fill="CCEEFF"/>
          </w:tcPr>
          <w:p>
            <w:pPr>
              <w:ind w:left="20"/>
              <w:spacing w:after="0" w:line="111" w:lineRule="exact"/>
              <w:rPr>
                <w:sz w:val="20"/>
                <w:szCs w:val="20"/>
                <w:color w:val="auto"/>
              </w:rPr>
            </w:pPr>
            <w:r>
              <w:rPr>
                <w:rFonts w:ascii="Arial" w:cs="Arial" w:eastAsia="Arial" w:hAnsi="Arial"/>
                <w:sz w:val="12"/>
                <w:szCs w:val="12"/>
                <w:color w:val="auto"/>
              </w:rPr>
              <w:t>Net spread and dollar roll income, excluding "catch-up" premium amortization, available to</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396</w:t>
            </w:r>
          </w:p>
        </w:tc>
        <w:tc>
          <w:tcPr>
            <w:tcW w:w="100" w:type="dxa"/>
            <w:vAlign w:val="bottom"/>
            <w:shd w:val="clear" w:color="auto" w:fill="CCEEFF"/>
          </w:tcPr>
          <w:p>
            <w:pPr>
              <w:spacing w:after="0"/>
              <w:rPr>
                <w:sz w:val="9"/>
                <w:szCs w:val="9"/>
                <w:color w:val="auto"/>
              </w:rPr>
            </w:pPr>
          </w:p>
        </w:tc>
        <w:tc>
          <w:tcPr>
            <w:tcW w:w="22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399</w:t>
            </w:r>
          </w:p>
        </w:tc>
        <w:tc>
          <w:tcPr>
            <w:tcW w:w="100" w:type="dxa"/>
            <w:vAlign w:val="bottom"/>
            <w:shd w:val="clear" w:color="auto" w:fill="CCEEFF"/>
          </w:tcPr>
          <w:p>
            <w:pPr>
              <w:spacing w:after="0"/>
              <w:rPr>
                <w:sz w:val="9"/>
                <w:szCs w:val="9"/>
                <w:color w:val="auto"/>
              </w:rPr>
            </w:pPr>
          </w:p>
        </w:tc>
        <w:tc>
          <w:tcPr>
            <w:tcW w:w="18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408</w:t>
            </w:r>
          </w:p>
        </w:tc>
        <w:tc>
          <w:tcPr>
            <w:tcW w:w="100" w:type="dxa"/>
            <w:vAlign w:val="bottom"/>
            <w:shd w:val="clear" w:color="auto" w:fill="CCEEFF"/>
          </w:tcPr>
          <w:p>
            <w:pPr>
              <w:spacing w:after="0"/>
              <w:rPr>
                <w:sz w:val="9"/>
                <w:szCs w:val="9"/>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409</w:t>
            </w:r>
          </w:p>
        </w:tc>
        <w:tc>
          <w:tcPr>
            <w:tcW w:w="100" w:type="dxa"/>
            <w:vAlign w:val="bottom"/>
            <w:shd w:val="clear" w:color="auto" w:fill="CCEEFF"/>
          </w:tcPr>
          <w:p>
            <w:pPr>
              <w:spacing w:after="0"/>
              <w:rPr>
                <w:sz w:val="9"/>
                <w:szCs w:val="9"/>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448</w:t>
            </w:r>
          </w:p>
        </w:tc>
        <w:tc>
          <w:tcPr>
            <w:tcW w:w="0" w:type="dxa"/>
            <w:vAlign w:val="bottom"/>
          </w:tcPr>
          <w:p>
            <w:pPr>
              <w:spacing w:after="0"/>
              <w:rPr>
                <w:sz w:val="1"/>
                <w:szCs w:val="1"/>
                <w:color w:val="auto"/>
              </w:rPr>
            </w:pPr>
          </w:p>
        </w:tc>
      </w:tr>
      <w:tr>
        <w:trPr>
          <w:trHeight w:val="178"/>
        </w:trPr>
        <w:tc>
          <w:tcPr>
            <w:tcW w:w="5500" w:type="dxa"/>
            <w:vAlign w:val="bottom"/>
            <w:tcBorders>
              <w:bottom w:val="single" w:sz="8" w:color="CCEEFF"/>
            </w:tcBorders>
            <w:shd w:val="clear" w:color="auto" w:fill="CCEEFF"/>
          </w:tcPr>
          <w:p>
            <w:pPr>
              <w:ind w:left="20"/>
              <w:spacing w:after="0" w:line="158" w:lineRule="exact"/>
              <w:rPr>
                <w:sz w:val="20"/>
                <w:szCs w:val="20"/>
                <w:color w:val="auto"/>
              </w:rPr>
            </w:pPr>
            <w:r>
              <w:rPr>
                <w:rFonts w:ascii="Arial" w:cs="Arial" w:eastAsia="Arial" w:hAnsi="Arial"/>
                <w:sz w:val="14"/>
                <w:szCs w:val="14"/>
                <w:color w:val="auto"/>
              </w:rPr>
              <w:t>common stockholders</w:t>
            </w: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9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auto"/>
            </w:tcBorders>
            <w:vMerge w:val="continue"/>
            <w:shd w:val="clear" w:color="auto" w:fill="CCEEFF"/>
          </w:tcPr>
          <w:p>
            <w:pPr>
              <w:spacing w:after="0"/>
              <w:rPr>
                <w:sz w:val="15"/>
                <w:szCs w:val="15"/>
                <w:color w:val="auto"/>
              </w:rPr>
            </w:pPr>
          </w:p>
        </w:tc>
        <w:tc>
          <w:tcPr>
            <w:tcW w:w="8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88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9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92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5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5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526.7</w:t>
            </w: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526.6</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533.7</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544.8</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553.2</w:t>
            </w: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500" w:type="dxa"/>
            <w:vAlign w:val="bottom"/>
          </w:tcPr>
          <w:p>
            <w:pPr>
              <w:ind w:left="20"/>
              <w:spacing w:after="0" w:line="157" w:lineRule="exact"/>
              <w:rPr>
                <w:sz w:val="20"/>
                <w:szCs w:val="20"/>
                <w:color w:val="auto"/>
              </w:rPr>
            </w:pPr>
            <w:r>
              <w:rPr>
                <w:rFonts w:ascii="Arial" w:cs="Arial" w:eastAsia="Arial" w:hAnsi="Arial"/>
                <w:sz w:val="14"/>
                <w:szCs w:val="14"/>
                <w:color w:val="auto"/>
              </w:rPr>
              <w:t>Weighted average number of common shares outstanding - diluted</w:t>
            </w:r>
          </w:p>
        </w:tc>
        <w:tc>
          <w:tcPr>
            <w:tcW w:w="14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528.6</w:t>
            </w:r>
          </w:p>
        </w:tc>
        <w:tc>
          <w:tcPr>
            <w:tcW w:w="100" w:type="dxa"/>
            <w:vAlign w:val="bottom"/>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528.3</w:t>
            </w:r>
          </w:p>
        </w:tc>
        <w:tc>
          <w:tcPr>
            <w:tcW w:w="10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535.6</w:t>
            </w:r>
          </w:p>
        </w:tc>
        <w:tc>
          <w:tcPr>
            <w:tcW w:w="10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9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546.4</w:t>
            </w:r>
          </w:p>
        </w:tc>
        <w:tc>
          <w:tcPr>
            <w:tcW w:w="10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554.3</w:t>
            </w:r>
          </w:p>
        </w:tc>
        <w:tc>
          <w:tcPr>
            <w:tcW w:w="0" w:type="dxa"/>
            <w:vAlign w:val="bottom"/>
          </w:tcPr>
          <w:p>
            <w:pPr>
              <w:spacing w:after="0"/>
              <w:rPr>
                <w:sz w:val="1"/>
                <w:szCs w:val="1"/>
                <w:color w:val="auto"/>
              </w:rPr>
            </w:pPr>
          </w:p>
        </w:tc>
      </w:tr>
      <w:tr>
        <w:trPr>
          <w:trHeight w:val="20"/>
        </w:trPr>
        <w:tc>
          <w:tcPr>
            <w:tcW w:w="55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5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per common share - basic</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0.62</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1.16</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0.55</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0.72</w:t>
            </w: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5500" w:type="dxa"/>
            <w:vAlign w:val="bottom"/>
          </w:tcPr>
          <w:p>
            <w:pPr>
              <w:ind w:left="20"/>
              <w:spacing w:after="0" w:line="157" w:lineRule="exact"/>
              <w:rPr>
                <w:sz w:val="20"/>
                <w:szCs w:val="20"/>
                <w:color w:val="auto"/>
              </w:rPr>
            </w:pPr>
            <w:r>
              <w:rPr>
                <w:rFonts w:ascii="Arial" w:cs="Arial" w:eastAsia="Arial" w:hAnsi="Arial"/>
                <w:sz w:val="14"/>
                <w:szCs w:val="14"/>
                <w:color w:val="auto"/>
              </w:rPr>
              <w:t>Net spread and dollar roll income per common share - diluted</w:t>
            </w:r>
          </w:p>
        </w:tc>
        <w:tc>
          <w:tcPr>
            <w:tcW w:w="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0.75</w:t>
            </w:r>
          </w:p>
        </w:tc>
        <w:tc>
          <w:tcPr>
            <w:tcW w:w="100" w:type="dxa"/>
            <w:vAlign w:val="bottom"/>
          </w:tcPr>
          <w:p>
            <w:pPr>
              <w:spacing w:after="0"/>
              <w:rPr>
                <w:sz w:val="13"/>
                <w:szCs w:val="13"/>
                <w:color w:val="auto"/>
              </w:rPr>
            </w:pPr>
          </w:p>
        </w:tc>
        <w:tc>
          <w:tcPr>
            <w:tcW w:w="220" w:type="dxa"/>
            <w:vAlign w:val="bottom"/>
            <w:tcBorders>
              <w:bottom w:val="single" w:sz="8" w:color="auto"/>
            </w:tcBorders>
          </w:tcPr>
          <w:p>
            <w:pPr>
              <w:jc w:val="right"/>
              <w:ind w:right="50"/>
              <w:spacing w:after="0" w:line="157" w:lineRule="exact"/>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0.62</w:t>
            </w:r>
          </w:p>
        </w:tc>
        <w:tc>
          <w:tcPr>
            <w:tcW w:w="100" w:type="dxa"/>
            <w:vAlign w:val="bottom"/>
          </w:tcPr>
          <w:p>
            <w:pPr>
              <w:spacing w:after="0"/>
              <w:rPr>
                <w:sz w:val="13"/>
                <w:szCs w:val="13"/>
                <w:color w:val="auto"/>
              </w:rPr>
            </w:pPr>
          </w:p>
        </w:tc>
        <w:tc>
          <w:tcPr>
            <w:tcW w:w="180" w:type="dxa"/>
            <w:vAlign w:val="bottom"/>
            <w:tcBorders>
              <w:bottom w:val="single" w:sz="8" w:color="auto"/>
            </w:tcBorders>
          </w:tcPr>
          <w:p>
            <w:pPr>
              <w:jc w:val="right"/>
              <w:ind w:right="30"/>
              <w:spacing w:after="0" w:line="157" w:lineRule="exact"/>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1.16</w:t>
            </w:r>
          </w:p>
        </w:tc>
        <w:tc>
          <w:tcPr>
            <w:tcW w:w="100" w:type="dxa"/>
            <w:vAlign w:val="bottom"/>
          </w:tcPr>
          <w:p>
            <w:pPr>
              <w:spacing w:after="0"/>
              <w:rPr>
                <w:sz w:val="13"/>
                <w:szCs w:val="13"/>
                <w:color w:val="auto"/>
              </w:rPr>
            </w:pPr>
          </w:p>
        </w:tc>
        <w:tc>
          <w:tcPr>
            <w:tcW w:w="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0.55</w:t>
            </w:r>
          </w:p>
        </w:tc>
        <w:tc>
          <w:tcPr>
            <w:tcW w:w="100" w:type="dxa"/>
            <w:vAlign w:val="bottom"/>
          </w:tcPr>
          <w:p>
            <w:pPr>
              <w:spacing w:after="0"/>
              <w:rPr>
                <w:sz w:val="13"/>
                <w:szCs w:val="13"/>
                <w:color w:val="auto"/>
              </w:rPr>
            </w:pPr>
          </w:p>
        </w:tc>
        <w:tc>
          <w:tcPr>
            <w:tcW w:w="1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0.72</w:t>
            </w:r>
          </w:p>
        </w:tc>
        <w:tc>
          <w:tcPr>
            <w:tcW w:w="0" w:type="dxa"/>
            <w:vAlign w:val="bottom"/>
          </w:tcPr>
          <w:p>
            <w:pPr>
              <w:spacing w:after="0"/>
              <w:rPr>
                <w:sz w:val="1"/>
                <w:szCs w:val="1"/>
                <w:color w:val="auto"/>
              </w:rPr>
            </w:pPr>
          </w:p>
        </w:tc>
      </w:tr>
      <w:tr>
        <w:trPr>
          <w:trHeight w:val="20"/>
        </w:trPr>
        <w:tc>
          <w:tcPr>
            <w:tcW w:w="55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8"/>
        </w:trPr>
        <w:tc>
          <w:tcPr>
            <w:tcW w:w="5500" w:type="dxa"/>
            <w:vAlign w:val="bottom"/>
            <w:shd w:val="clear" w:color="auto" w:fill="CCEEFF"/>
          </w:tcPr>
          <w:p>
            <w:pPr>
              <w:ind w:left="20"/>
              <w:spacing w:after="0" w:line="98" w:lineRule="exact"/>
              <w:rPr>
                <w:sz w:val="20"/>
                <w:szCs w:val="20"/>
                <w:color w:val="auto"/>
              </w:rPr>
            </w:pPr>
            <w:r>
              <w:rPr>
                <w:rFonts w:ascii="Arial" w:cs="Arial" w:eastAsia="Arial" w:hAnsi="Arial"/>
                <w:sz w:val="11"/>
                <w:szCs w:val="11"/>
                <w:color w:val="auto"/>
              </w:rPr>
              <w:t>Net spread and dollar roll income, excluding "catch-up" premium amortization, per common</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100" w:type="dxa"/>
            <w:vAlign w:val="bottom"/>
            <w:shd w:val="clear" w:color="auto" w:fill="CCEEFF"/>
          </w:tcPr>
          <w:p>
            <w:pPr>
              <w:spacing w:after="0"/>
              <w:rPr>
                <w:sz w:val="8"/>
                <w:szCs w:val="8"/>
                <w:color w:val="auto"/>
              </w:rPr>
            </w:pPr>
          </w:p>
        </w:tc>
        <w:tc>
          <w:tcPr>
            <w:tcW w:w="220" w:type="dxa"/>
            <w:vAlign w:val="bottom"/>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0.76</w:t>
            </w:r>
          </w:p>
        </w:tc>
        <w:tc>
          <w:tcPr>
            <w:tcW w:w="100" w:type="dxa"/>
            <w:vAlign w:val="bottom"/>
            <w:shd w:val="clear" w:color="auto" w:fill="CCEEFF"/>
          </w:tcPr>
          <w:p>
            <w:pPr>
              <w:spacing w:after="0"/>
              <w:rPr>
                <w:sz w:val="8"/>
                <w:szCs w:val="8"/>
                <w:color w:val="auto"/>
              </w:rPr>
            </w:pPr>
          </w:p>
        </w:tc>
        <w:tc>
          <w:tcPr>
            <w:tcW w:w="180" w:type="dxa"/>
            <w:vAlign w:val="bottom"/>
            <w:vMerge w:val="restart"/>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0.76</w:t>
            </w:r>
          </w:p>
        </w:tc>
        <w:tc>
          <w:tcPr>
            <w:tcW w:w="100" w:type="dxa"/>
            <w:vAlign w:val="bottom"/>
            <w:shd w:val="clear" w:color="auto" w:fill="CCEEFF"/>
          </w:tcPr>
          <w:p>
            <w:pPr>
              <w:spacing w:after="0"/>
              <w:rPr>
                <w:sz w:val="8"/>
                <w:szCs w:val="8"/>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100" w:type="dxa"/>
            <w:vAlign w:val="bottom"/>
            <w:shd w:val="clear" w:color="auto" w:fill="CCEEFF"/>
          </w:tcPr>
          <w:p>
            <w:pPr>
              <w:spacing w:after="0"/>
              <w:rPr>
                <w:sz w:val="8"/>
                <w:szCs w:val="8"/>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0.81</w:t>
            </w:r>
          </w:p>
        </w:tc>
        <w:tc>
          <w:tcPr>
            <w:tcW w:w="0" w:type="dxa"/>
            <w:vAlign w:val="bottom"/>
          </w:tcPr>
          <w:p>
            <w:pPr>
              <w:spacing w:after="0"/>
              <w:rPr>
                <w:sz w:val="1"/>
                <w:szCs w:val="1"/>
                <w:color w:val="auto"/>
              </w:rPr>
            </w:pPr>
          </w:p>
        </w:tc>
      </w:tr>
      <w:tr>
        <w:trPr>
          <w:trHeight w:val="178"/>
        </w:trPr>
        <w:tc>
          <w:tcPr>
            <w:tcW w:w="5500" w:type="dxa"/>
            <w:vAlign w:val="bottom"/>
            <w:tcBorders>
              <w:bottom w:val="single" w:sz="8" w:color="CCEEFF"/>
            </w:tcBorders>
            <w:shd w:val="clear" w:color="auto" w:fill="CCEEFF"/>
          </w:tcPr>
          <w:p>
            <w:pPr>
              <w:ind w:left="20"/>
              <w:spacing w:after="0" w:line="158" w:lineRule="exact"/>
              <w:rPr>
                <w:sz w:val="20"/>
                <w:szCs w:val="20"/>
                <w:color w:val="auto"/>
              </w:rPr>
            </w:pPr>
            <w:r>
              <w:rPr>
                <w:rFonts w:ascii="Arial" w:cs="Arial" w:eastAsia="Arial" w:hAnsi="Arial"/>
                <w:sz w:val="14"/>
                <w:szCs w:val="14"/>
                <w:color w:val="auto"/>
              </w:rPr>
              <w:t>share - basic</w:t>
            </w: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9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auto"/>
            </w:tcBorders>
            <w:vMerge w:val="continue"/>
            <w:shd w:val="clear" w:color="auto" w:fill="CCEEFF"/>
          </w:tcPr>
          <w:p>
            <w:pPr>
              <w:spacing w:after="0"/>
              <w:rPr>
                <w:sz w:val="15"/>
                <w:szCs w:val="15"/>
                <w:color w:val="auto"/>
              </w:rPr>
            </w:pPr>
          </w:p>
        </w:tc>
        <w:tc>
          <w:tcPr>
            <w:tcW w:w="8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vMerge w:val="continue"/>
            <w:shd w:val="clear" w:color="auto" w:fill="CCEEFF"/>
          </w:tcPr>
          <w:p>
            <w:pPr>
              <w:spacing w:after="0"/>
              <w:rPr>
                <w:sz w:val="15"/>
                <w:szCs w:val="15"/>
                <w:color w:val="auto"/>
              </w:rPr>
            </w:pPr>
          </w:p>
        </w:tc>
        <w:tc>
          <w:tcPr>
            <w:tcW w:w="88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9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92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bottom w:val="single" w:sz="8" w:color="CCEEFF"/>
            </w:tcBorders>
            <w:vMerge w:val="restart"/>
          </w:tcPr>
          <w:p>
            <w:pPr>
              <w:ind w:left="20"/>
              <w:spacing w:after="0" w:line="118" w:lineRule="exact"/>
              <w:rPr>
                <w:sz w:val="20"/>
                <w:szCs w:val="20"/>
                <w:color w:val="auto"/>
              </w:rPr>
            </w:pPr>
            <w:r>
              <w:rPr>
                <w:rFonts w:ascii="Arial" w:cs="Arial" w:eastAsia="Arial" w:hAnsi="Arial"/>
                <w:sz w:val="13"/>
                <w:szCs w:val="13"/>
                <w:color w:val="auto"/>
              </w:rPr>
              <w:t>Net spread and dollar roll income, excluding "catch-up" premium amortization, per common</w:t>
            </w: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8"/>
        </w:trPr>
        <w:tc>
          <w:tcPr>
            <w:tcW w:w="5500" w:type="dxa"/>
            <w:vAlign w:val="bottom"/>
            <w:vMerge w:val="continue"/>
          </w:tcPr>
          <w:p>
            <w:pPr>
              <w:spacing w:after="0"/>
              <w:rPr>
                <w:sz w:val="6"/>
                <w:szCs w:val="6"/>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0.75</w:t>
            </w:r>
          </w:p>
        </w:tc>
        <w:tc>
          <w:tcPr>
            <w:tcW w:w="100" w:type="dxa"/>
            <w:vAlign w:val="bottom"/>
          </w:tcPr>
          <w:p>
            <w:pPr>
              <w:spacing w:after="0"/>
              <w:rPr>
                <w:sz w:val="6"/>
                <w:szCs w:val="6"/>
                <w:color w:val="auto"/>
              </w:rPr>
            </w:pPr>
          </w:p>
        </w:tc>
        <w:tc>
          <w:tcPr>
            <w:tcW w:w="220" w:type="dxa"/>
            <w:vAlign w:val="bottom"/>
            <w:vMerge w:val="restart"/>
          </w:tcPr>
          <w:p>
            <w:pPr>
              <w:jc w:val="right"/>
              <w:ind w:right="50"/>
              <w:spacing w:after="0"/>
              <w:rPr>
                <w:sz w:val="20"/>
                <w:szCs w:val="20"/>
                <w:color w:val="auto"/>
              </w:rPr>
            </w:pPr>
            <w:r>
              <w:rPr>
                <w:rFonts w:ascii="Arial" w:cs="Arial" w:eastAsia="Arial" w:hAnsi="Arial"/>
                <w:sz w:val="14"/>
                <w:szCs w:val="14"/>
                <w:color w:val="auto"/>
              </w:rPr>
              <w:t>$</w:t>
            </w:r>
          </w:p>
        </w:tc>
        <w:tc>
          <w:tcPr>
            <w:tcW w:w="860" w:type="dxa"/>
            <w:vAlign w:val="bottom"/>
            <w:vMerge w:val="restart"/>
          </w:tcPr>
          <w:p>
            <w:pPr>
              <w:jc w:val="right"/>
              <w:spacing w:after="0"/>
              <w:rPr>
                <w:sz w:val="20"/>
                <w:szCs w:val="20"/>
                <w:color w:val="auto"/>
              </w:rPr>
            </w:pPr>
            <w:r>
              <w:rPr>
                <w:rFonts w:ascii="Arial" w:cs="Arial" w:eastAsia="Arial" w:hAnsi="Arial"/>
                <w:sz w:val="14"/>
                <w:szCs w:val="14"/>
                <w:color w:val="auto"/>
              </w:rPr>
              <w:t>0.76</w:t>
            </w:r>
          </w:p>
        </w:tc>
        <w:tc>
          <w:tcPr>
            <w:tcW w:w="100" w:type="dxa"/>
            <w:vAlign w:val="bottom"/>
          </w:tcPr>
          <w:p>
            <w:pPr>
              <w:spacing w:after="0"/>
              <w:rPr>
                <w:sz w:val="6"/>
                <w:szCs w:val="6"/>
                <w:color w:val="auto"/>
              </w:rPr>
            </w:pPr>
          </w:p>
        </w:tc>
        <w:tc>
          <w:tcPr>
            <w:tcW w:w="180" w:type="dxa"/>
            <w:vAlign w:val="bottom"/>
            <w:vMerge w:val="restart"/>
          </w:tcPr>
          <w:p>
            <w:pPr>
              <w:jc w:val="right"/>
              <w:ind w:right="30"/>
              <w:spacing w:after="0"/>
              <w:rPr>
                <w:sz w:val="20"/>
                <w:szCs w:val="20"/>
                <w:color w:val="auto"/>
              </w:rPr>
            </w:pPr>
            <w:r>
              <w:rPr>
                <w:rFonts w:ascii="Arial" w:cs="Arial" w:eastAsia="Arial" w:hAnsi="Arial"/>
                <w:sz w:val="14"/>
                <w:szCs w:val="14"/>
                <w:color w:val="auto"/>
                <w:w w:val="76"/>
              </w:rPr>
              <w:t>$</w:t>
            </w: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0.76</w:t>
            </w:r>
          </w:p>
        </w:tc>
        <w:tc>
          <w:tcPr>
            <w:tcW w:w="100" w:type="dxa"/>
            <w:vAlign w:val="bottom"/>
          </w:tcPr>
          <w:p>
            <w:pPr>
              <w:spacing w:after="0"/>
              <w:rPr>
                <w:sz w:val="6"/>
                <w:szCs w:val="6"/>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tcPr>
          <w:p>
            <w:pPr>
              <w:jc w:val="right"/>
              <w:spacing w:after="0"/>
              <w:rPr>
                <w:sz w:val="20"/>
                <w:szCs w:val="20"/>
                <w:color w:val="auto"/>
              </w:rPr>
            </w:pPr>
            <w:r>
              <w:rPr>
                <w:rFonts w:ascii="Arial" w:cs="Arial" w:eastAsia="Arial" w:hAnsi="Arial"/>
                <w:sz w:val="14"/>
                <w:szCs w:val="14"/>
                <w:color w:val="auto"/>
              </w:rPr>
              <w:t>0.75</w:t>
            </w:r>
          </w:p>
        </w:tc>
        <w:tc>
          <w:tcPr>
            <w:tcW w:w="100" w:type="dxa"/>
            <w:vAlign w:val="bottom"/>
          </w:tcPr>
          <w:p>
            <w:pPr>
              <w:spacing w:after="0"/>
              <w:rPr>
                <w:sz w:val="6"/>
                <w:szCs w:val="6"/>
                <w:color w:val="auto"/>
              </w:rPr>
            </w:pPr>
          </w:p>
        </w:tc>
        <w:tc>
          <w:tcPr>
            <w:tcW w:w="140" w:type="dxa"/>
            <w:vAlign w:val="bottom"/>
            <w:vMerge w:val="restart"/>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0.81</w:t>
            </w:r>
          </w:p>
        </w:tc>
        <w:tc>
          <w:tcPr>
            <w:tcW w:w="0" w:type="dxa"/>
            <w:vAlign w:val="bottom"/>
          </w:tcPr>
          <w:p>
            <w:pPr>
              <w:spacing w:after="0"/>
              <w:rPr>
                <w:sz w:val="1"/>
                <w:szCs w:val="1"/>
                <w:color w:val="auto"/>
              </w:rPr>
            </w:pPr>
          </w:p>
        </w:tc>
      </w:tr>
      <w:tr>
        <w:trPr>
          <w:trHeight w:val="163"/>
        </w:trPr>
        <w:tc>
          <w:tcPr>
            <w:tcW w:w="5500" w:type="dxa"/>
            <w:vAlign w:val="bottom"/>
          </w:tcPr>
          <w:p>
            <w:pPr>
              <w:ind w:left="20"/>
              <w:spacing w:after="0" w:line="158" w:lineRule="exact"/>
              <w:rPr>
                <w:sz w:val="20"/>
                <w:szCs w:val="20"/>
                <w:color w:val="auto"/>
              </w:rPr>
            </w:pPr>
            <w:r>
              <w:rPr>
                <w:rFonts w:ascii="Arial" w:cs="Arial" w:eastAsia="Arial" w:hAnsi="Arial"/>
                <w:sz w:val="14"/>
                <w:szCs w:val="14"/>
                <w:color w:val="auto"/>
              </w:rPr>
              <w:t>share - diluted</w:t>
            </w:r>
          </w:p>
        </w:tc>
        <w:tc>
          <w:tcPr>
            <w:tcW w:w="140" w:type="dxa"/>
            <w:vAlign w:val="bottom"/>
            <w:tcBorders>
              <w:bottom w:val="single" w:sz="8" w:color="auto"/>
            </w:tcBorders>
            <w:vMerge w:val="continue"/>
          </w:tcPr>
          <w:p>
            <w:pPr>
              <w:spacing w:after="0"/>
              <w:rPr>
                <w:sz w:val="13"/>
                <w:szCs w:val="13"/>
                <w:color w:val="auto"/>
              </w:rPr>
            </w:pPr>
          </w:p>
        </w:tc>
        <w:tc>
          <w:tcPr>
            <w:tcW w:w="920" w:type="dxa"/>
            <w:vAlign w:val="bottom"/>
            <w:tcBorders>
              <w:bottom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Borders>
              <w:bottom w:val="single" w:sz="8" w:color="auto"/>
            </w:tcBorders>
            <w:vMerge w:val="continue"/>
          </w:tcPr>
          <w:p>
            <w:pPr>
              <w:spacing w:after="0"/>
              <w:rPr>
                <w:sz w:val="13"/>
                <w:szCs w:val="13"/>
                <w:color w:val="auto"/>
              </w:rPr>
            </w:pPr>
          </w:p>
        </w:tc>
        <w:tc>
          <w:tcPr>
            <w:tcW w:w="860" w:type="dxa"/>
            <w:vAlign w:val="bottom"/>
            <w:tcBorders>
              <w:bottom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Borders>
              <w:bottom w:val="single" w:sz="8" w:color="auto"/>
            </w:tcBorders>
            <w:vMerge w:val="continue"/>
          </w:tcPr>
          <w:p>
            <w:pPr>
              <w:spacing w:after="0"/>
              <w:rPr>
                <w:sz w:val="13"/>
                <w:szCs w:val="13"/>
                <w:color w:val="auto"/>
              </w:rPr>
            </w:pPr>
          </w:p>
        </w:tc>
        <w:tc>
          <w:tcPr>
            <w:tcW w:w="880" w:type="dxa"/>
            <w:vAlign w:val="bottom"/>
            <w:tcBorders>
              <w:bottom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Borders>
              <w:bottom w:val="single" w:sz="8" w:color="auto"/>
            </w:tcBorders>
            <w:vMerge w:val="continue"/>
          </w:tcPr>
          <w:p>
            <w:pPr>
              <w:spacing w:after="0"/>
              <w:rPr>
                <w:sz w:val="13"/>
                <w:szCs w:val="13"/>
                <w:color w:val="auto"/>
              </w:rPr>
            </w:pPr>
          </w:p>
        </w:tc>
        <w:tc>
          <w:tcPr>
            <w:tcW w:w="940" w:type="dxa"/>
            <w:vAlign w:val="bottom"/>
            <w:tcBorders>
              <w:bottom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Borders>
              <w:bottom w:val="single" w:sz="8" w:color="auto"/>
            </w:tcBorders>
            <w:vMerge w:val="continue"/>
          </w:tcPr>
          <w:p>
            <w:pPr>
              <w:spacing w:after="0"/>
              <w:rPr>
                <w:sz w:val="13"/>
                <w:szCs w:val="13"/>
                <w:color w:val="auto"/>
              </w:rPr>
            </w:pPr>
          </w:p>
        </w:tc>
        <w:tc>
          <w:tcPr>
            <w:tcW w:w="92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5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240"/>
          </w:cols>
          <w:pgMar w:left="320" w:top="146" w:right="339" w:bottom="1440" w:gutter="0" w:footer="0" w:header="0"/>
        </w:sectPr>
      </w:pPr>
    </w:p>
    <w:bookmarkStart w:id="12" w:name="page13"/>
    <w:bookmarkEnd w:id="12"/>
    <w:p>
      <w:pPr>
        <w:ind w:left="100"/>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Page 10</w:t>
      </w:r>
    </w:p>
    <w:p>
      <w:pPr>
        <w:spacing w:after="0" w:line="200" w:lineRule="exact"/>
        <w:rPr>
          <w:sz w:val="20"/>
          <w:szCs w:val="20"/>
          <w:color w:val="auto"/>
        </w:rPr>
      </w:pPr>
    </w:p>
    <w:p>
      <w:pPr>
        <w:spacing w:after="0" w:line="256" w:lineRule="exact"/>
        <w:rPr>
          <w:sz w:val="20"/>
          <w:szCs w:val="20"/>
          <w:color w:val="auto"/>
        </w:rPr>
      </w:pPr>
    </w:p>
    <w:p>
      <w:pPr>
        <w:jc w:val="center"/>
        <w:ind w:right="360"/>
        <w:spacing w:after="0"/>
        <w:rPr>
          <w:sz w:val="20"/>
          <w:szCs w:val="20"/>
          <w:color w:val="auto"/>
        </w:rPr>
      </w:pPr>
      <w:r>
        <w:rPr>
          <w:rFonts w:ascii="Arial" w:cs="Arial" w:eastAsia="Arial" w:hAnsi="Arial"/>
          <w:sz w:val="14"/>
          <w:szCs w:val="14"/>
          <w:color w:val="auto"/>
        </w:rPr>
        <w:t>AGNC INVESTMENT CORP.</w:t>
      </w:r>
    </w:p>
    <w:p>
      <w:pPr>
        <w:spacing w:after="0" w:line="12" w:lineRule="exact"/>
        <w:rPr>
          <w:sz w:val="20"/>
          <w:szCs w:val="20"/>
          <w:color w:val="auto"/>
        </w:rPr>
      </w:pPr>
    </w:p>
    <w:p>
      <w:pPr>
        <w:jc w:val="center"/>
        <w:ind w:right="360"/>
        <w:spacing w:after="0"/>
        <w:rPr>
          <w:sz w:val="20"/>
          <w:szCs w:val="20"/>
          <w:color w:val="auto"/>
        </w:rPr>
      </w:pPr>
      <w:r>
        <w:rPr>
          <w:rFonts w:ascii="Arial" w:cs="Arial" w:eastAsia="Arial" w:hAnsi="Arial"/>
          <w:sz w:val="14"/>
          <w:szCs w:val="14"/>
          <w:color w:val="auto"/>
        </w:rPr>
        <w:t xml:space="preserve">RECONCILIATION OF GAAP NET INCOME TO ESTIMATED TAXABLE INCOME (NON-GAAP MEASURE) </w:t>
      </w:r>
      <w:r>
        <w:rPr>
          <w:rFonts w:ascii="Arial" w:cs="Arial" w:eastAsia="Arial" w:hAnsi="Arial"/>
          <w:sz w:val="18"/>
          <w:szCs w:val="18"/>
          <w:color w:val="auto"/>
          <w:vertAlign w:val="superscript"/>
        </w:rPr>
        <w:t>2</w:t>
      </w:r>
    </w:p>
    <w:p>
      <w:pPr>
        <w:jc w:val="center"/>
        <w:ind w:right="360"/>
        <w:spacing w:after="0"/>
        <w:rPr>
          <w:sz w:val="20"/>
          <w:szCs w:val="20"/>
          <w:color w:val="auto"/>
        </w:rPr>
      </w:pPr>
      <w:r>
        <w:rPr>
          <w:rFonts w:ascii="Arial" w:cs="Arial" w:eastAsia="Arial" w:hAnsi="Arial"/>
          <w:sz w:val="14"/>
          <w:szCs w:val="14"/>
          <w:color w:val="auto"/>
        </w:rPr>
        <w:t>(in millions, except per share data)</w:t>
      </w:r>
    </w:p>
    <w:p>
      <w:pPr>
        <w:spacing w:after="0" w:line="11" w:lineRule="exact"/>
        <w:rPr>
          <w:sz w:val="20"/>
          <w:szCs w:val="20"/>
          <w:color w:val="auto"/>
        </w:rPr>
      </w:pPr>
    </w:p>
    <w:p>
      <w:pPr>
        <w:jc w:val="center"/>
        <w:ind w:right="360"/>
        <w:spacing w:after="0"/>
        <w:rPr>
          <w:sz w:val="20"/>
          <w:szCs w:val="20"/>
          <w:color w:val="auto"/>
        </w:rPr>
      </w:pPr>
      <w:r>
        <w:rPr>
          <w:rFonts w:ascii="Arial" w:cs="Arial" w:eastAsia="Arial" w:hAnsi="Arial"/>
          <w:sz w:val="14"/>
          <w:szCs w:val="14"/>
          <w:color w:val="auto"/>
        </w:rPr>
        <w:t>(unaudited)</w:t>
      </w:r>
    </w:p>
    <w:p>
      <w:pPr>
        <w:spacing w:after="0" w:line="76" w:lineRule="exact"/>
        <w:rPr>
          <w:sz w:val="20"/>
          <w:szCs w:val="20"/>
          <w:color w:val="auto"/>
        </w:rPr>
      </w:pPr>
    </w:p>
    <w:p>
      <w:pPr>
        <w:ind w:left="7620"/>
        <w:spacing w:after="0"/>
        <w:rPr>
          <w:sz w:val="20"/>
          <w:szCs w:val="20"/>
          <w:color w:val="auto"/>
        </w:rPr>
      </w:pPr>
      <w:r>
        <w:rPr>
          <w:rFonts w:ascii="Arial" w:cs="Arial" w:eastAsia="Arial" w:hAnsi="Arial"/>
          <w:sz w:val="14"/>
          <w:szCs w:val="14"/>
          <w:color w:val="auto"/>
        </w:rPr>
        <w:t>Three Months Ended</w:t>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22"/>
        </w:trPr>
        <w:tc>
          <w:tcPr>
            <w:tcW w:w="420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140" w:type="dxa"/>
            <w:vAlign w:val="bottom"/>
            <w:tcBorders>
              <w:top w:val="single" w:sz="8" w:color="auto"/>
            </w:tcBorders>
            <w:gridSpan w:val="2"/>
          </w:tcPr>
          <w:p>
            <w:pPr>
              <w:spacing w:after="0" w:line="122" w:lineRule="exact"/>
              <w:rPr>
                <w:sz w:val="20"/>
                <w:szCs w:val="20"/>
                <w:color w:val="auto"/>
              </w:rPr>
            </w:pPr>
            <w:r>
              <w:rPr>
                <w:rFonts w:ascii="Arial" w:cs="Arial" w:eastAsia="Arial" w:hAnsi="Arial"/>
                <w:sz w:val="12"/>
                <w:szCs w:val="12"/>
                <w:color w:val="auto"/>
              </w:rPr>
              <w:t>September 30,</w:t>
            </w:r>
          </w:p>
        </w:tc>
        <w:tc>
          <w:tcPr>
            <w:tcW w:w="1140" w:type="dxa"/>
            <w:vAlign w:val="bottom"/>
            <w:tcBorders>
              <w:top w:val="single" w:sz="8" w:color="auto"/>
            </w:tcBorders>
            <w:gridSpan w:val="2"/>
          </w:tcPr>
          <w:p>
            <w:pPr>
              <w:ind w:left="160"/>
              <w:spacing w:after="0" w:line="122" w:lineRule="exact"/>
              <w:rPr>
                <w:sz w:val="20"/>
                <w:szCs w:val="20"/>
                <w:color w:val="auto"/>
              </w:rPr>
            </w:pPr>
            <w:r>
              <w:rPr>
                <w:rFonts w:ascii="Arial" w:cs="Arial" w:eastAsia="Arial" w:hAnsi="Arial"/>
                <w:sz w:val="12"/>
                <w:szCs w:val="12"/>
                <w:color w:val="auto"/>
              </w:rPr>
              <w:t>June 30,</w:t>
            </w:r>
          </w:p>
        </w:tc>
        <w:tc>
          <w:tcPr>
            <w:tcW w:w="1160" w:type="dxa"/>
            <w:vAlign w:val="bottom"/>
            <w:tcBorders>
              <w:top w:val="single" w:sz="8" w:color="auto"/>
            </w:tcBorders>
            <w:gridSpan w:val="2"/>
          </w:tcPr>
          <w:p>
            <w:pPr>
              <w:ind w:left="100"/>
              <w:spacing w:after="0" w:line="122" w:lineRule="exact"/>
              <w:rPr>
                <w:sz w:val="20"/>
                <w:szCs w:val="20"/>
                <w:color w:val="auto"/>
              </w:rPr>
            </w:pPr>
            <w:r>
              <w:rPr>
                <w:rFonts w:ascii="Arial" w:cs="Arial" w:eastAsia="Arial" w:hAnsi="Arial"/>
                <w:sz w:val="12"/>
                <w:szCs w:val="12"/>
                <w:color w:val="auto"/>
              </w:rPr>
              <w:t>March 31,</w:t>
            </w:r>
          </w:p>
        </w:tc>
        <w:tc>
          <w:tcPr>
            <w:tcW w:w="1140" w:type="dxa"/>
            <w:vAlign w:val="bottom"/>
            <w:tcBorders>
              <w:top w:val="single" w:sz="8" w:color="auto"/>
            </w:tcBorders>
            <w:gridSpan w:val="2"/>
          </w:tcPr>
          <w:p>
            <w:pPr>
              <w:spacing w:after="0" w:line="122" w:lineRule="exact"/>
              <w:rPr>
                <w:sz w:val="20"/>
                <w:szCs w:val="20"/>
                <w:color w:val="auto"/>
              </w:rPr>
            </w:pPr>
            <w:r>
              <w:rPr>
                <w:rFonts w:ascii="Arial" w:cs="Arial" w:eastAsia="Arial" w:hAnsi="Arial"/>
                <w:sz w:val="12"/>
                <w:szCs w:val="12"/>
                <w:color w:val="auto"/>
              </w:rPr>
              <w:t>December 31,</w:t>
            </w:r>
          </w:p>
        </w:tc>
        <w:tc>
          <w:tcPr>
            <w:tcW w:w="1040" w:type="dxa"/>
            <w:vAlign w:val="bottom"/>
            <w:tcBorders>
              <w:top w:val="single" w:sz="8" w:color="auto"/>
            </w:tcBorders>
          </w:tcPr>
          <w:p>
            <w:pPr>
              <w:jc w:val="right"/>
              <w:ind w:right="271"/>
              <w:spacing w:after="0" w:line="122" w:lineRule="exact"/>
              <w:rPr>
                <w:sz w:val="20"/>
                <w:szCs w:val="20"/>
                <w:color w:val="auto"/>
              </w:rPr>
            </w:pPr>
            <w:r>
              <w:rPr>
                <w:rFonts w:ascii="Arial" w:cs="Arial" w:eastAsia="Arial" w:hAnsi="Arial"/>
                <w:sz w:val="12"/>
                <w:szCs w:val="12"/>
                <w:color w:val="auto"/>
                <w:w w:val="86"/>
              </w:rPr>
              <w:t>September 30,</w:t>
            </w:r>
          </w:p>
        </w:tc>
        <w:tc>
          <w:tcPr>
            <w:tcW w:w="0" w:type="dxa"/>
            <w:vAlign w:val="bottom"/>
          </w:tcPr>
          <w:p>
            <w:pPr>
              <w:spacing w:after="0"/>
              <w:rPr>
                <w:sz w:val="1"/>
                <w:szCs w:val="1"/>
                <w:color w:val="auto"/>
              </w:rPr>
            </w:pPr>
          </w:p>
        </w:tc>
      </w:tr>
      <w:tr>
        <w:trPr>
          <w:trHeight w:val="164"/>
        </w:trPr>
        <w:tc>
          <w:tcPr>
            <w:tcW w:w="4200" w:type="dxa"/>
            <w:vAlign w:val="bottom"/>
            <w:tcBorders>
              <w:bottom w:val="single" w:sz="8" w:color="CCEEFF"/>
            </w:tcBorders>
          </w:tcPr>
          <w:p>
            <w:pPr>
              <w:spacing w:after="0"/>
              <w:rPr>
                <w:sz w:val="14"/>
                <w:szCs w:val="14"/>
                <w:color w:val="auto"/>
              </w:rPr>
            </w:pPr>
          </w:p>
        </w:tc>
        <w:tc>
          <w:tcPr>
            <w:tcW w:w="1360" w:type="dxa"/>
            <w:vAlign w:val="bottom"/>
            <w:tcBorders>
              <w:bottom w:val="single" w:sz="8" w:color="CCEEFF"/>
            </w:tcBorders>
          </w:tcPr>
          <w:p>
            <w:pPr>
              <w:spacing w:after="0"/>
              <w:rPr>
                <w:sz w:val="14"/>
                <w:szCs w:val="14"/>
                <w:color w:val="auto"/>
              </w:rPr>
            </w:pPr>
          </w:p>
        </w:tc>
        <w:tc>
          <w:tcPr>
            <w:tcW w:w="1040" w:type="dxa"/>
            <w:vAlign w:val="bottom"/>
            <w:tcBorders>
              <w:bottom w:val="single" w:sz="8" w:color="auto"/>
            </w:tcBorders>
          </w:tcPr>
          <w:p>
            <w:pPr>
              <w:jc w:val="right"/>
              <w:ind w:right="491"/>
              <w:spacing w:after="0"/>
              <w:rPr>
                <w:sz w:val="20"/>
                <w:szCs w:val="20"/>
                <w:color w:val="auto"/>
              </w:rPr>
            </w:pPr>
            <w:r>
              <w:rPr>
                <w:rFonts w:ascii="Arial" w:cs="Arial" w:eastAsia="Arial" w:hAnsi="Arial"/>
                <w:sz w:val="12"/>
                <w:szCs w:val="12"/>
                <w:color w:val="auto"/>
              </w:rPr>
              <w:t>2021</w:t>
            </w:r>
          </w:p>
        </w:tc>
        <w:tc>
          <w:tcPr>
            <w:tcW w:w="100" w:type="dxa"/>
            <w:vAlign w:val="bottom"/>
            <w:tcBorders>
              <w:bottom w:val="single" w:sz="8" w:color="CCEEFF"/>
            </w:tcBorders>
          </w:tcPr>
          <w:p>
            <w:pPr>
              <w:spacing w:after="0"/>
              <w:rPr>
                <w:sz w:val="14"/>
                <w:szCs w:val="14"/>
                <w:color w:val="auto"/>
              </w:rPr>
            </w:pPr>
          </w:p>
        </w:tc>
        <w:tc>
          <w:tcPr>
            <w:tcW w:w="1040" w:type="dxa"/>
            <w:vAlign w:val="bottom"/>
            <w:tcBorders>
              <w:bottom w:val="single" w:sz="8" w:color="auto"/>
            </w:tcBorders>
          </w:tcPr>
          <w:p>
            <w:pPr>
              <w:jc w:val="right"/>
              <w:ind w:right="491"/>
              <w:spacing w:after="0"/>
              <w:rPr>
                <w:sz w:val="20"/>
                <w:szCs w:val="20"/>
                <w:color w:val="auto"/>
              </w:rPr>
            </w:pPr>
            <w:r>
              <w:rPr>
                <w:rFonts w:ascii="Arial" w:cs="Arial" w:eastAsia="Arial" w:hAnsi="Arial"/>
                <w:sz w:val="12"/>
                <w:szCs w:val="12"/>
                <w:color w:val="auto"/>
              </w:rPr>
              <w:t>2021</w:t>
            </w:r>
          </w:p>
        </w:tc>
        <w:tc>
          <w:tcPr>
            <w:tcW w:w="100" w:type="dxa"/>
            <w:vAlign w:val="bottom"/>
            <w:tcBorders>
              <w:bottom w:val="single" w:sz="8" w:color="CCEEFF"/>
            </w:tcBorders>
          </w:tcPr>
          <w:p>
            <w:pPr>
              <w:spacing w:after="0"/>
              <w:rPr>
                <w:sz w:val="14"/>
                <w:szCs w:val="14"/>
                <w:color w:val="auto"/>
              </w:rPr>
            </w:pPr>
          </w:p>
        </w:tc>
        <w:tc>
          <w:tcPr>
            <w:tcW w:w="1040" w:type="dxa"/>
            <w:vAlign w:val="bottom"/>
            <w:tcBorders>
              <w:bottom w:val="single" w:sz="8" w:color="auto"/>
            </w:tcBorders>
          </w:tcPr>
          <w:p>
            <w:pPr>
              <w:jc w:val="right"/>
              <w:ind w:right="491"/>
              <w:spacing w:after="0"/>
              <w:rPr>
                <w:sz w:val="20"/>
                <w:szCs w:val="20"/>
                <w:color w:val="auto"/>
              </w:rPr>
            </w:pPr>
            <w:r>
              <w:rPr>
                <w:rFonts w:ascii="Arial" w:cs="Arial" w:eastAsia="Arial" w:hAnsi="Arial"/>
                <w:sz w:val="12"/>
                <w:szCs w:val="12"/>
                <w:color w:val="auto"/>
              </w:rPr>
              <w:t>2021</w:t>
            </w:r>
          </w:p>
        </w:tc>
        <w:tc>
          <w:tcPr>
            <w:tcW w:w="120" w:type="dxa"/>
            <w:vAlign w:val="bottom"/>
            <w:tcBorders>
              <w:bottom w:val="single" w:sz="8" w:color="CCEEFF"/>
            </w:tcBorders>
          </w:tcPr>
          <w:p>
            <w:pPr>
              <w:spacing w:after="0"/>
              <w:rPr>
                <w:sz w:val="14"/>
                <w:szCs w:val="14"/>
                <w:color w:val="auto"/>
              </w:rPr>
            </w:pPr>
          </w:p>
        </w:tc>
        <w:tc>
          <w:tcPr>
            <w:tcW w:w="1020" w:type="dxa"/>
            <w:vAlign w:val="bottom"/>
            <w:tcBorders>
              <w:bottom w:val="single" w:sz="8" w:color="auto"/>
            </w:tcBorders>
          </w:tcPr>
          <w:p>
            <w:pPr>
              <w:jc w:val="right"/>
              <w:ind w:right="491"/>
              <w:spacing w:after="0"/>
              <w:rPr>
                <w:sz w:val="20"/>
                <w:szCs w:val="20"/>
                <w:color w:val="auto"/>
              </w:rPr>
            </w:pPr>
            <w:r>
              <w:rPr>
                <w:rFonts w:ascii="Arial" w:cs="Arial" w:eastAsia="Arial" w:hAnsi="Arial"/>
                <w:sz w:val="12"/>
                <w:szCs w:val="12"/>
                <w:color w:val="auto"/>
              </w:rPr>
              <w:t>2020</w:t>
            </w:r>
          </w:p>
        </w:tc>
        <w:tc>
          <w:tcPr>
            <w:tcW w:w="120" w:type="dxa"/>
            <w:vAlign w:val="bottom"/>
            <w:tcBorders>
              <w:bottom w:val="single" w:sz="8" w:color="CCEEFF"/>
            </w:tcBorders>
          </w:tcPr>
          <w:p>
            <w:pPr>
              <w:spacing w:after="0"/>
              <w:rPr>
                <w:sz w:val="14"/>
                <w:szCs w:val="14"/>
                <w:color w:val="auto"/>
              </w:rPr>
            </w:pPr>
          </w:p>
        </w:tc>
        <w:tc>
          <w:tcPr>
            <w:tcW w:w="1040" w:type="dxa"/>
            <w:vAlign w:val="bottom"/>
            <w:tcBorders>
              <w:bottom w:val="single" w:sz="8" w:color="auto"/>
            </w:tcBorders>
          </w:tcPr>
          <w:p>
            <w:pPr>
              <w:jc w:val="right"/>
              <w:ind w:right="491"/>
              <w:spacing w:after="0"/>
              <w:rPr>
                <w:sz w:val="20"/>
                <w:szCs w:val="20"/>
                <w:color w:val="auto"/>
              </w:rPr>
            </w:pPr>
            <w:r>
              <w:rPr>
                <w:rFonts w:ascii="Arial" w:cs="Arial" w:eastAsia="Arial" w:hAnsi="Arial"/>
                <w:sz w:val="12"/>
                <w:szCs w:val="12"/>
                <w:color w:val="auto"/>
              </w:rPr>
              <w:t>2020</w:t>
            </w:r>
          </w:p>
        </w:tc>
        <w:tc>
          <w:tcPr>
            <w:tcW w:w="0" w:type="dxa"/>
            <w:vAlign w:val="bottom"/>
          </w:tcPr>
          <w:p>
            <w:pPr>
              <w:spacing w:after="0"/>
              <w:rPr>
                <w:sz w:val="1"/>
                <w:szCs w:val="1"/>
                <w:color w:val="auto"/>
              </w:rPr>
            </w:pPr>
          </w:p>
        </w:tc>
      </w:tr>
      <w:tr>
        <w:trPr>
          <w:trHeight w:val="184"/>
        </w:trPr>
        <w:tc>
          <w:tcPr>
            <w:tcW w:w="4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come/(loss)</w:t>
            </w:r>
          </w:p>
        </w:tc>
        <w:tc>
          <w:tcPr>
            <w:tcW w:w="1360" w:type="dxa"/>
            <w:vAlign w:val="bottom"/>
            <w:shd w:val="clear" w:color="auto" w:fill="CCEEFF"/>
          </w:tcPr>
          <w:p>
            <w:pPr>
              <w:jc w:val="right"/>
              <w:ind w:right="17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212$</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(411)$</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975$</w:t>
            </w:r>
          </w:p>
        </w:tc>
        <w:tc>
          <w:tcPr>
            <w:tcW w:w="12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775$</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662</w:t>
            </w:r>
          </w:p>
        </w:tc>
        <w:tc>
          <w:tcPr>
            <w:tcW w:w="0" w:type="dxa"/>
            <w:vAlign w:val="bottom"/>
          </w:tcPr>
          <w:p>
            <w:pPr>
              <w:spacing w:after="0"/>
              <w:rPr>
                <w:sz w:val="1"/>
                <w:szCs w:val="1"/>
                <w:color w:val="auto"/>
              </w:rPr>
            </w:pPr>
          </w:p>
        </w:tc>
      </w:tr>
      <w:tr>
        <w:trPr>
          <w:trHeight w:val="181"/>
        </w:trPr>
        <w:tc>
          <w:tcPr>
            <w:tcW w:w="4200" w:type="dxa"/>
            <w:vAlign w:val="bottom"/>
          </w:tcPr>
          <w:p>
            <w:pPr>
              <w:spacing w:after="0"/>
              <w:rPr>
                <w:sz w:val="20"/>
                <w:szCs w:val="20"/>
                <w:color w:val="auto"/>
              </w:rPr>
            </w:pPr>
            <w:r>
              <w:rPr>
                <w:rFonts w:ascii="Arial" w:cs="Arial" w:eastAsia="Arial" w:hAnsi="Arial"/>
                <w:sz w:val="14"/>
                <w:szCs w:val="14"/>
                <w:color w:val="auto"/>
              </w:rPr>
              <w:t>to tax differences:</w:t>
            </w:r>
          </w:p>
        </w:tc>
        <w:tc>
          <w:tcPr>
            <w:tcW w:w="13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4200" w:type="dxa"/>
            <w:vAlign w:val="bottom"/>
            <w:shd w:val="clear" w:color="auto" w:fill="CCEEFF"/>
          </w:tcPr>
          <w:p>
            <w:pPr>
              <w:spacing w:after="0"/>
              <w:rPr>
                <w:sz w:val="20"/>
                <w:szCs w:val="20"/>
                <w:color w:val="auto"/>
              </w:rPr>
            </w:pPr>
            <w:r>
              <w:rPr>
                <w:rFonts w:ascii="Arial" w:cs="Arial" w:eastAsia="Arial" w:hAnsi="Arial"/>
                <w:sz w:val="14"/>
                <w:szCs w:val="14"/>
                <w:color w:val="auto"/>
              </w:rPr>
              <w:t>mium amortization, net</w:t>
            </w:r>
          </w:p>
        </w:tc>
        <w:tc>
          <w:tcPr>
            <w:tcW w:w="136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(269)</w:t>
            </w:r>
          </w:p>
        </w:tc>
        <w:tc>
          <w:tcPr>
            <w:tcW w:w="12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181"/>
        </w:trPr>
        <w:tc>
          <w:tcPr>
            <w:tcW w:w="4200" w:type="dxa"/>
            <w:vAlign w:val="bottom"/>
          </w:tcPr>
          <w:p>
            <w:pPr>
              <w:spacing w:after="0"/>
              <w:rPr>
                <w:sz w:val="20"/>
                <w:szCs w:val="20"/>
                <w:color w:val="auto"/>
              </w:rPr>
            </w:pPr>
            <w:r>
              <w:rPr>
                <w:rFonts w:ascii="Arial" w:cs="Arial" w:eastAsia="Arial" w:hAnsi="Arial"/>
                <w:sz w:val="14"/>
                <w:szCs w:val="14"/>
                <w:color w:val="auto"/>
              </w:rPr>
              <w:t>lized gain/loss, net</w:t>
            </w:r>
          </w:p>
        </w:tc>
        <w:tc>
          <w:tcPr>
            <w:tcW w:w="136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(342)</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(1,494)</w:t>
            </w:r>
          </w:p>
        </w:tc>
        <w:tc>
          <w:tcPr>
            <w:tcW w:w="12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(548)</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(472)</w:t>
            </w:r>
          </w:p>
        </w:tc>
        <w:tc>
          <w:tcPr>
            <w:tcW w:w="0" w:type="dxa"/>
            <w:vAlign w:val="bottom"/>
          </w:tcPr>
          <w:p>
            <w:pPr>
              <w:spacing w:after="0"/>
              <w:rPr>
                <w:sz w:val="1"/>
                <w:szCs w:val="1"/>
                <w:color w:val="auto"/>
              </w:rPr>
            </w:pPr>
          </w:p>
        </w:tc>
      </w:tr>
      <w:tr>
        <w:trPr>
          <w:trHeight w:val="187"/>
        </w:trPr>
        <w:tc>
          <w:tcPr>
            <w:tcW w:w="4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capital loss/(utilization of net capital loss carryforward)</w:t>
            </w:r>
          </w:p>
        </w:tc>
        <w:tc>
          <w:tcPr>
            <w:tcW w:w="136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w:t>
            </w:r>
          </w:p>
        </w:tc>
        <w:tc>
          <w:tcPr>
            <w:tcW w:w="120" w:type="dxa"/>
            <w:vAlign w:val="bottom"/>
            <w:shd w:val="clear" w:color="auto" w:fill="CCEEFF"/>
          </w:tcPr>
          <w:p>
            <w:pPr>
              <w:spacing w:after="0"/>
              <w:rPr>
                <w:sz w:val="16"/>
                <w:szCs w:val="16"/>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1"/>
        </w:trPr>
        <w:tc>
          <w:tcPr>
            <w:tcW w:w="4200" w:type="dxa"/>
            <w:vAlign w:val="bottom"/>
          </w:tcPr>
          <w:p>
            <w:pPr>
              <w:spacing w:after="0"/>
              <w:rPr>
                <w:sz w:val="20"/>
                <w:szCs w:val="20"/>
                <w:color w:val="auto"/>
              </w:rPr>
            </w:pPr>
            <w:r>
              <w:rPr>
                <w:rFonts w:ascii="Arial" w:cs="Arial" w:eastAsia="Arial" w:hAnsi="Arial"/>
                <w:sz w:val="14"/>
                <w:szCs w:val="14"/>
                <w:color w:val="auto"/>
              </w:rPr>
              <w:t>ealized (gain)/loss, net</w:t>
            </w:r>
          </w:p>
        </w:tc>
        <w:tc>
          <w:tcPr>
            <w:tcW w:w="136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358</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152</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545</w:t>
            </w:r>
          </w:p>
        </w:tc>
        <w:tc>
          <w:tcPr>
            <w:tcW w:w="12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(121)</w:t>
            </w:r>
          </w:p>
        </w:tc>
        <w:tc>
          <w:tcPr>
            <w:tcW w:w="120" w:type="dxa"/>
            <w:vAlign w:val="bottom"/>
          </w:tcPr>
          <w:p>
            <w:pPr>
              <w:spacing w:after="0"/>
              <w:rPr>
                <w:sz w:val="15"/>
                <w:szCs w:val="15"/>
                <w:color w:val="auto"/>
              </w:rPr>
            </w:pPr>
          </w:p>
        </w:tc>
        <w:tc>
          <w:tcPr>
            <w:tcW w:w="1040" w:type="dxa"/>
            <w:vAlign w:val="bottom"/>
          </w:tcPr>
          <w:p>
            <w:pPr>
              <w:jc w:val="right"/>
              <w:ind w:right="11"/>
              <w:spacing w:after="0"/>
              <w:rPr>
                <w:sz w:val="20"/>
                <w:szCs w:val="20"/>
                <w:color w:val="auto"/>
              </w:rPr>
            </w:pPr>
            <w:r>
              <w:rPr>
                <w:rFonts w:ascii="Arial" w:cs="Arial" w:eastAsia="Arial" w:hAnsi="Arial"/>
                <w:sz w:val="14"/>
                <w:szCs w:val="14"/>
                <w:color w:val="auto"/>
              </w:rPr>
              <w:t>354</w:t>
            </w:r>
          </w:p>
        </w:tc>
        <w:tc>
          <w:tcPr>
            <w:tcW w:w="0" w:type="dxa"/>
            <w:vAlign w:val="bottom"/>
          </w:tcPr>
          <w:p>
            <w:pPr>
              <w:spacing w:after="0"/>
              <w:rPr>
                <w:sz w:val="1"/>
                <w:szCs w:val="1"/>
                <w:color w:val="auto"/>
              </w:rPr>
            </w:pPr>
          </w:p>
        </w:tc>
      </w:tr>
      <w:tr>
        <w:trPr>
          <w:trHeight w:val="187"/>
        </w:trPr>
        <w:tc>
          <w:tcPr>
            <w:tcW w:w="4200" w:type="dxa"/>
            <w:vAlign w:val="bottom"/>
            <w:shd w:val="clear" w:color="auto" w:fill="CCEEFF"/>
          </w:tcPr>
          <w:p>
            <w:pPr>
              <w:spacing w:after="0"/>
              <w:rPr>
                <w:sz w:val="20"/>
                <w:szCs w:val="20"/>
                <w:color w:val="auto"/>
              </w:rPr>
            </w:pPr>
            <w:r>
              <w:rPr>
                <w:rFonts w:ascii="Arial" w:cs="Arial" w:eastAsia="Arial" w:hAnsi="Arial"/>
                <w:sz w:val="14"/>
                <w:szCs w:val="14"/>
                <w:color w:val="auto"/>
              </w:rPr>
              <w:t>er</w:t>
            </w:r>
          </w:p>
        </w:tc>
        <w:tc>
          <w:tcPr>
            <w:tcW w:w="1360" w:type="dxa"/>
            <w:vAlign w:val="bottom"/>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5"/>
        </w:trPr>
        <w:tc>
          <w:tcPr>
            <w:tcW w:w="4200" w:type="dxa"/>
            <w:vAlign w:val="bottom"/>
            <w:tcBorders>
              <w:bottom w:val="single" w:sz="8" w:color="CCEEFF"/>
            </w:tcBorders>
          </w:tcPr>
          <w:p>
            <w:pPr>
              <w:ind w:left="260"/>
              <w:spacing w:after="0"/>
              <w:rPr>
                <w:sz w:val="20"/>
                <w:szCs w:val="20"/>
                <w:color w:val="auto"/>
              </w:rPr>
            </w:pPr>
            <w:r>
              <w:rPr>
                <w:rFonts w:ascii="Arial" w:cs="Arial" w:eastAsia="Arial" w:hAnsi="Arial"/>
                <w:sz w:val="14"/>
                <w:szCs w:val="14"/>
                <w:color w:val="auto"/>
              </w:rPr>
              <w:t>Total book to tax differences</w:t>
            </w:r>
          </w:p>
        </w:tc>
        <w:tc>
          <w:tcPr>
            <w:tcW w:w="1360" w:type="dxa"/>
            <w:vAlign w:val="bottom"/>
            <w:tcBorders>
              <w:bottom w:val="single" w:sz="8" w:color="CCEEFF"/>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(167)</w:t>
            </w:r>
          </w:p>
        </w:tc>
        <w:tc>
          <w:tcPr>
            <w:tcW w:w="100" w:type="dxa"/>
            <w:vAlign w:val="bottom"/>
            <w:tcBorders>
              <w:bottom w:val="single" w:sz="8" w:color="CCEEFF"/>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253</w:t>
            </w:r>
          </w:p>
        </w:tc>
        <w:tc>
          <w:tcPr>
            <w:tcW w:w="100" w:type="dxa"/>
            <w:vAlign w:val="bottom"/>
            <w:tcBorders>
              <w:bottom w:val="single" w:sz="8" w:color="CCEEFF"/>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(1,139)</w:t>
            </w:r>
          </w:p>
        </w:tc>
        <w:tc>
          <w:tcPr>
            <w:tcW w:w="120" w:type="dxa"/>
            <w:vAlign w:val="bottom"/>
            <w:tcBorders>
              <w:bottom w:val="single" w:sz="8" w:color="CCEEFF"/>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(620)</w:t>
            </w:r>
          </w:p>
        </w:tc>
        <w:tc>
          <w:tcPr>
            <w:tcW w:w="120" w:type="dxa"/>
            <w:vAlign w:val="bottom"/>
            <w:tcBorders>
              <w:bottom w:val="single" w:sz="8" w:color="CCEEFF"/>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(129)</w:t>
            </w:r>
          </w:p>
        </w:tc>
        <w:tc>
          <w:tcPr>
            <w:tcW w:w="0" w:type="dxa"/>
            <w:vAlign w:val="bottom"/>
          </w:tcPr>
          <w:p>
            <w:pPr>
              <w:spacing w:after="0"/>
              <w:rPr>
                <w:sz w:val="1"/>
                <w:szCs w:val="1"/>
                <w:color w:val="auto"/>
              </w:rPr>
            </w:pPr>
          </w:p>
        </w:tc>
      </w:tr>
      <w:tr>
        <w:trPr>
          <w:trHeight w:val="180"/>
        </w:trPr>
        <w:tc>
          <w:tcPr>
            <w:tcW w:w="4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taxable income (loss)</w:t>
            </w:r>
          </w:p>
        </w:tc>
        <w:tc>
          <w:tcPr>
            <w:tcW w:w="136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0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(158)</w:t>
            </w:r>
          </w:p>
        </w:tc>
        <w:tc>
          <w:tcPr>
            <w:tcW w:w="10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20" w:type="dxa"/>
            <w:vAlign w:val="bottom"/>
            <w:shd w:val="clear" w:color="auto" w:fill="CCEEFF"/>
          </w:tcPr>
          <w:p>
            <w:pPr>
              <w:spacing w:after="0"/>
              <w:rPr>
                <w:sz w:val="15"/>
                <w:szCs w:val="15"/>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155</w:t>
            </w:r>
          </w:p>
        </w:tc>
        <w:tc>
          <w:tcPr>
            <w:tcW w:w="120" w:type="dxa"/>
            <w:vAlign w:val="bottom"/>
            <w:shd w:val="clear" w:color="auto" w:fill="CCEEFF"/>
          </w:tcPr>
          <w:p>
            <w:pPr>
              <w:spacing w:after="0"/>
              <w:rPr>
                <w:sz w:val="15"/>
                <w:szCs w:val="15"/>
                <w:color w:val="auto"/>
              </w:rPr>
            </w:pPr>
          </w:p>
        </w:tc>
        <w:tc>
          <w:tcPr>
            <w:tcW w:w="10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533</w:t>
            </w:r>
          </w:p>
        </w:tc>
        <w:tc>
          <w:tcPr>
            <w:tcW w:w="0" w:type="dxa"/>
            <w:vAlign w:val="bottom"/>
          </w:tcPr>
          <w:p>
            <w:pPr>
              <w:spacing w:after="0"/>
              <w:rPr>
                <w:sz w:val="1"/>
                <w:szCs w:val="1"/>
                <w:color w:val="auto"/>
              </w:rPr>
            </w:pPr>
          </w:p>
        </w:tc>
      </w:tr>
      <w:tr>
        <w:trPr>
          <w:trHeight w:val="181"/>
        </w:trPr>
        <w:tc>
          <w:tcPr>
            <w:tcW w:w="4200" w:type="dxa"/>
            <w:vAlign w:val="bottom"/>
          </w:tcPr>
          <w:p>
            <w:pPr>
              <w:ind w:left="20"/>
              <w:spacing w:after="0"/>
              <w:rPr>
                <w:sz w:val="20"/>
                <w:szCs w:val="20"/>
                <w:color w:val="auto"/>
              </w:rPr>
            </w:pPr>
            <w:r>
              <w:rPr>
                <w:rFonts w:ascii="Arial" w:cs="Arial" w:eastAsia="Arial" w:hAnsi="Arial"/>
                <w:sz w:val="14"/>
                <w:szCs w:val="14"/>
                <w:color w:val="auto"/>
              </w:rPr>
              <w:t>T taxable income attributed to preferred stock</w:t>
            </w:r>
          </w:p>
        </w:tc>
        <w:tc>
          <w:tcPr>
            <w:tcW w:w="1360" w:type="dxa"/>
            <w:vAlign w:val="bottom"/>
          </w:tcPr>
          <w:p>
            <w:pPr>
              <w:spacing w:after="0"/>
              <w:rPr>
                <w:sz w:val="15"/>
                <w:szCs w:val="15"/>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15"/>
                <w:szCs w:val="15"/>
                <w:color w:val="auto"/>
              </w:rPr>
            </w:pPr>
          </w:p>
        </w:tc>
        <w:tc>
          <w:tcPr>
            <w:tcW w:w="1040" w:type="dxa"/>
            <w:vAlign w:val="bottom"/>
          </w:tcPr>
          <w:p>
            <w:pPr>
              <w:jc w:val="right"/>
              <w:ind w:right="11"/>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205"/>
        </w:trPr>
        <w:tc>
          <w:tcPr>
            <w:tcW w:w="42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taxable income (loss), attributed to common stock</w:t>
            </w:r>
          </w:p>
        </w:tc>
        <w:tc>
          <w:tcPr>
            <w:tcW w:w="1360" w:type="dxa"/>
            <w:vAlign w:val="bottom"/>
            <w:tcBorders>
              <w:top w:val="single" w:sz="8" w:color="CCEEFF"/>
              <w:bottom w:val="single" w:sz="8" w:color="CCEEFF"/>
            </w:tcBorders>
            <w:shd w:val="clear" w:color="auto" w:fill="CCEEFF"/>
          </w:tcPr>
          <w:p>
            <w:pPr>
              <w:jc w:val="right"/>
              <w:ind w:right="170"/>
              <w:spacing w:after="0"/>
              <w:rPr>
                <w:sz w:val="20"/>
                <w:szCs w:val="20"/>
                <w:color w:val="auto"/>
              </w:rPr>
            </w:pPr>
            <w:r>
              <w:rPr>
                <w:rFonts w:ascii="Arial" w:cs="Arial" w:eastAsia="Arial" w:hAnsi="Arial"/>
                <w:sz w:val="14"/>
                <w:szCs w:val="14"/>
                <w:color w:val="auto"/>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508</w:t>
            </w: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4200" w:type="dxa"/>
            <w:vAlign w:val="bottom"/>
          </w:tcPr>
          <w:p>
            <w:pPr>
              <w:ind w:left="40"/>
              <w:spacing w:after="0" w:line="157" w:lineRule="exact"/>
              <w:rPr>
                <w:sz w:val="20"/>
                <w:szCs w:val="20"/>
                <w:color w:val="auto"/>
              </w:rPr>
            </w:pPr>
            <w:r>
              <w:rPr>
                <w:rFonts w:ascii="Arial" w:cs="Arial" w:eastAsia="Arial" w:hAnsi="Arial"/>
                <w:sz w:val="14"/>
                <w:szCs w:val="14"/>
                <w:color w:val="auto"/>
              </w:rPr>
              <w:t>ted average common shares outstanding - basic</w:t>
            </w:r>
          </w:p>
        </w:tc>
        <w:tc>
          <w:tcPr>
            <w:tcW w:w="136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526.7</w:t>
            </w:r>
          </w:p>
        </w:tc>
        <w:tc>
          <w:tcPr>
            <w:tcW w:w="10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526.6</w:t>
            </w:r>
          </w:p>
        </w:tc>
        <w:tc>
          <w:tcPr>
            <w:tcW w:w="10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533.7</w:t>
            </w:r>
          </w:p>
        </w:tc>
        <w:tc>
          <w:tcPr>
            <w:tcW w:w="120" w:type="dxa"/>
            <w:vAlign w:val="bottom"/>
          </w:tcPr>
          <w:p>
            <w:pPr>
              <w:spacing w:after="0"/>
              <w:rPr>
                <w:sz w:val="13"/>
                <w:szCs w:val="13"/>
                <w:color w:val="auto"/>
              </w:rPr>
            </w:pPr>
          </w:p>
        </w:tc>
        <w:tc>
          <w:tcPr>
            <w:tcW w:w="10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544.8</w:t>
            </w:r>
          </w:p>
        </w:tc>
        <w:tc>
          <w:tcPr>
            <w:tcW w:w="120" w:type="dxa"/>
            <w:vAlign w:val="bottom"/>
          </w:tcPr>
          <w:p>
            <w:pPr>
              <w:spacing w:after="0"/>
              <w:rPr>
                <w:sz w:val="13"/>
                <w:szCs w:val="13"/>
                <w:color w:val="auto"/>
              </w:rPr>
            </w:pPr>
          </w:p>
        </w:tc>
        <w:tc>
          <w:tcPr>
            <w:tcW w:w="1040" w:type="dxa"/>
            <w:vAlign w:val="bottom"/>
            <w:tcBorders>
              <w:bottom w:val="single" w:sz="8" w:color="auto"/>
            </w:tcBorders>
          </w:tcPr>
          <w:p>
            <w:pPr>
              <w:jc w:val="right"/>
              <w:ind w:right="11"/>
              <w:spacing w:after="0" w:line="157" w:lineRule="exact"/>
              <w:rPr>
                <w:sz w:val="20"/>
                <w:szCs w:val="20"/>
                <w:color w:val="auto"/>
              </w:rPr>
            </w:pPr>
            <w:r>
              <w:rPr>
                <w:rFonts w:ascii="Arial" w:cs="Arial" w:eastAsia="Arial" w:hAnsi="Arial"/>
                <w:sz w:val="14"/>
                <w:szCs w:val="14"/>
                <w:color w:val="auto"/>
              </w:rPr>
              <w:t>553.2</w:t>
            </w:r>
          </w:p>
        </w:tc>
        <w:tc>
          <w:tcPr>
            <w:tcW w:w="0" w:type="dxa"/>
            <w:vAlign w:val="bottom"/>
          </w:tcPr>
          <w:p>
            <w:pPr>
              <w:spacing w:after="0"/>
              <w:rPr>
                <w:sz w:val="1"/>
                <w:szCs w:val="1"/>
                <w:color w:val="auto"/>
              </w:rPr>
            </w:pPr>
          </w:p>
        </w:tc>
      </w:tr>
      <w:tr>
        <w:trPr>
          <w:trHeight w:val="20"/>
        </w:trPr>
        <w:tc>
          <w:tcPr>
            <w:tcW w:w="42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4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ted average common shares outstanding - diluted</w:t>
            </w:r>
          </w:p>
        </w:tc>
        <w:tc>
          <w:tcPr>
            <w:tcW w:w="136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528.6</w:t>
            </w: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526.6</w:t>
            </w: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533.7</w:t>
            </w:r>
          </w:p>
        </w:tc>
        <w:tc>
          <w:tcPr>
            <w:tcW w:w="12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546.4</w:t>
            </w:r>
          </w:p>
        </w:tc>
        <w:tc>
          <w:tcPr>
            <w:tcW w:w="12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554.3</w:t>
            </w: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CCEEFF"/>
            </w:tcBorders>
            <w:vMerge w:val="restart"/>
          </w:tcPr>
          <w:p>
            <w:pPr>
              <w:jc w:val="right"/>
              <w:ind w:right="170"/>
              <w:spacing w:after="0"/>
              <w:rPr>
                <w:sz w:val="20"/>
                <w:szCs w:val="20"/>
                <w:color w:val="auto"/>
              </w:rPr>
            </w:pPr>
            <w:r>
              <w:rPr>
                <w:rFonts w:ascii="Arial" w:cs="Arial" w:eastAsia="Arial" w:hAnsi="Arial"/>
                <w:sz w:val="14"/>
                <w:szCs w:val="14"/>
                <w:color w:val="auto"/>
              </w:rPr>
              <w:t>$</w:t>
            </w: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4200" w:type="dxa"/>
            <w:vAlign w:val="bottom"/>
          </w:tcPr>
          <w:p>
            <w:pPr>
              <w:ind w:left="20"/>
              <w:spacing w:after="0" w:line="157" w:lineRule="exact"/>
              <w:rPr>
                <w:sz w:val="20"/>
                <w:szCs w:val="20"/>
                <w:color w:val="auto"/>
              </w:rPr>
            </w:pPr>
            <w:r>
              <w:rPr>
                <w:rFonts w:ascii="Arial" w:cs="Arial" w:eastAsia="Arial" w:hAnsi="Arial"/>
                <w:sz w:val="14"/>
                <w:szCs w:val="14"/>
                <w:color w:val="auto"/>
              </w:rPr>
              <w:t>taxable income (loss) per common share - basic</w:t>
            </w:r>
          </w:p>
        </w:tc>
        <w:tc>
          <w:tcPr>
            <w:tcW w:w="1360" w:type="dxa"/>
            <w:vAlign w:val="bottom"/>
            <w:vMerge w:val="continue"/>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0.09$</w:t>
            </w:r>
          </w:p>
        </w:tc>
        <w:tc>
          <w:tcPr>
            <w:tcW w:w="10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(0.30)$</w:t>
            </w:r>
          </w:p>
        </w:tc>
        <w:tc>
          <w:tcPr>
            <w:tcW w:w="100" w:type="dxa"/>
            <w:vAlign w:val="bottom"/>
          </w:tcPr>
          <w:p>
            <w:pPr>
              <w:spacing w:after="0"/>
              <w:rPr>
                <w:sz w:val="13"/>
                <w:szCs w:val="13"/>
                <w:color w:val="auto"/>
              </w:rPr>
            </w:pPr>
          </w:p>
        </w:tc>
        <w:tc>
          <w:tcPr>
            <w:tcW w:w="104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(0.31)$</w:t>
            </w:r>
          </w:p>
        </w:tc>
        <w:tc>
          <w:tcPr>
            <w:tcW w:w="120" w:type="dxa"/>
            <w:vAlign w:val="bottom"/>
          </w:tcPr>
          <w:p>
            <w:pPr>
              <w:spacing w:after="0"/>
              <w:rPr>
                <w:sz w:val="13"/>
                <w:szCs w:val="13"/>
                <w:color w:val="auto"/>
              </w:rPr>
            </w:pPr>
          </w:p>
        </w:tc>
        <w:tc>
          <w:tcPr>
            <w:tcW w:w="1020" w:type="dxa"/>
            <w:vAlign w:val="bottom"/>
            <w:tcBorders>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0.24$</w:t>
            </w:r>
          </w:p>
        </w:tc>
        <w:tc>
          <w:tcPr>
            <w:tcW w:w="120" w:type="dxa"/>
            <w:vAlign w:val="bottom"/>
          </w:tcPr>
          <w:p>
            <w:pPr>
              <w:spacing w:after="0"/>
              <w:rPr>
                <w:sz w:val="13"/>
                <w:szCs w:val="13"/>
                <w:color w:val="auto"/>
              </w:rPr>
            </w:pPr>
          </w:p>
        </w:tc>
        <w:tc>
          <w:tcPr>
            <w:tcW w:w="1040" w:type="dxa"/>
            <w:vAlign w:val="bottom"/>
            <w:tcBorders>
              <w:bottom w:val="single" w:sz="8" w:color="auto"/>
            </w:tcBorders>
          </w:tcPr>
          <w:p>
            <w:pPr>
              <w:jc w:val="right"/>
              <w:ind w:right="11"/>
              <w:spacing w:after="0" w:line="157" w:lineRule="exact"/>
              <w:rPr>
                <w:sz w:val="20"/>
                <w:szCs w:val="20"/>
                <w:color w:val="auto"/>
              </w:rPr>
            </w:pPr>
            <w:r>
              <w:rPr>
                <w:rFonts w:ascii="Arial" w:cs="Arial" w:eastAsia="Arial" w:hAnsi="Arial"/>
                <w:sz w:val="14"/>
                <w:szCs w:val="14"/>
                <w:color w:val="auto"/>
              </w:rPr>
              <w:t>0.92</w:t>
            </w:r>
          </w:p>
        </w:tc>
        <w:tc>
          <w:tcPr>
            <w:tcW w:w="0" w:type="dxa"/>
            <w:vAlign w:val="bottom"/>
          </w:tcPr>
          <w:p>
            <w:pPr>
              <w:spacing w:after="0"/>
              <w:rPr>
                <w:sz w:val="1"/>
                <w:szCs w:val="1"/>
                <w:color w:val="auto"/>
              </w:rPr>
            </w:pPr>
          </w:p>
        </w:tc>
      </w:tr>
      <w:tr>
        <w:trPr>
          <w:trHeight w:val="20"/>
        </w:trPr>
        <w:tc>
          <w:tcPr>
            <w:tcW w:w="420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4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taxable income (loss) per common share - diluted</w:t>
            </w:r>
          </w:p>
        </w:tc>
        <w:tc>
          <w:tcPr>
            <w:tcW w:w="13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0.09$</w:t>
            </w: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(0.30)$</w:t>
            </w: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(0.31)$</w:t>
            </w:r>
          </w:p>
        </w:tc>
        <w:tc>
          <w:tcPr>
            <w:tcW w:w="12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0.24$</w:t>
            </w:r>
          </w:p>
        </w:tc>
        <w:tc>
          <w:tcPr>
            <w:tcW w:w="12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0.92</w:t>
            </w: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2"/>
        </w:trPr>
        <w:tc>
          <w:tcPr>
            <w:tcW w:w="420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84"/>
        </w:trPr>
        <w:tc>
          <w:tcPr>
            <w:tcW w:w="4200" w:type="dxa"/>
            <w:vAlign w:val="bottom"/>
            <w:shd w:val="clear" w:color="auto" w:fill="CCEEFF"/>
          </w:tcPr>
          <w:p>
            <w:pPr>
              <w:spacing w:after="0"/>
              <w:rPr>
                <w:sz w:val="20"/>
                <w:szCs w:val="20"/>
                <w:color w:val="auto"/>
              </w:rPr>
            </w:pPr>
            <w:r>
              <w:rPr>
                <w:rFonts w:ascii="Arial" w:cs="Arial" w:eastAsia="Arial" w:hAnsi="Arial"/>
                <w:sz w:val="14"/>
                <w:szCs w:val="14"/>
                <w:color w:val="auto"/>
              </w:rPr>
              <w:t>ning net capital loss carryforward</w:t>
            </w:r>
          </w:p>
        </w:tc>
        <w:tc>
          <w:tcPr>
            <w:tcW w:w="1360" w:type="dxa"/>
            <w:vAlign w:val="bottom"/>
            <w:shd w:val="clear" w:color="auto" w:fill="CCEEFF"/>
          </w:tcPr>
          <w:p>
            <w:pPr>
              <w:jc w:val="right"/>
              <w:ind w:right="17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w:t>
            </w:r>
          </w:p>
        </w:tc>
        <w:tc>
          <w:tcPr>
            <w:tcW w:w="10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1"/>
        </w:trPr>
        <w:tc>
          <w:tcPr>
            <w:tcW w:w="4200" w:type="dxa"/>
            <w:vAlign w:val="bottom"/>
          </w:tcPr>
          <w:p>
            <w:pPr>
              <w:ind w:left="20"/>
              <w:spacing w:after="0"/>
              <w:rPr>
                <w:sz w:val="20"/>
                <w:szCs w:val="20"/>
                <w:color w:val="auto"/>
              </w:rPr>
            </w:pPr>
            <w:r>
              <w:rPr>
                <w:rFonts w:ascii="Arial" w:cs="Arial" w:eastAsia="Arial" w:hAnsi="Arial"/>
                <w:sz w:val="14"/>
                <w:szCs w:val="14"/>
                <w:color w:val="auto"/>
              </w:rPr>
              <w:t>se (decrease) in net capital loss carryforward</w:t>
            </w:r>
          </w:p>
        </w:tc>
        <w:tc>
          <w:tcPr>
            <w:tcW w:w="136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(141)</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52</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89</w:t>
            </w:r>
          </w:p>
        </w:tc>
        <w:tc>
          <w:tcPr>
            <w:tcW w:w="120" w:type="dxa"/>
            <w:vAlign w:val="bottom"/>
          </w:tcPr>
          <w:p>
            <w:pPr>
              <w:spacing w:after="0"/>
              <w:rPr>
                <w:sz w:val="15"/>
                <w:szCs w:val="15"/>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5"/>
        </w:trPr>
        <w:tc>
          <w:tcPr>
            <w:tcW w:w="42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g net capital loss carryforward</w:t>
            </w:r>
          </w:p>
        </w:tc>
        <w:tc>
          <w:tcPr>
            <w:tcW w:w="1360" w:type="dxa"/>
            <w:vAlign w:val="bottom"/>
            <w:tcBorders>
              <w:top w:val="single" w:sz="8" w:color="CCEEFF"/>
              <w:bottom w:val="single" w:sz="8" w:color="CCEEFF"/>
            </w:tcBorders>
            <w:shd w:val="clear" w:color="auto" w:fill="CCEEFF"/>
          </w:tcPr>
          <w:p>
            <w:pPr>
              <w:jc w:val="right"/>
              <w:ind w:right="170"/>
              <w:spacing w:after="0"/>
              <w:rPr>
                <w:sz w:val="20"/>
                <w:szCs w:val="20"/>
                <w:color w:val="auto"/>
              </w:rPr>
            </w:pPr>
            <w:r>
              <w:rPr>
                <w:rFonts w:ascii="Arial" w:cs="Arial" w:eastAsia="Arial" w:hAnsi="Arial"/>
                <w:sz w:val="14"/>
                <w:szCs w:val="14"/>
                <w:color w:val="auto"/>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tcBorders>
            <w:vMerge w:val="restart"/>
          </w:tcPr>
          <w:p>
            <w:pPr>
              <w:jc w:val="right"/>
              <w:ind w:right="170"/>
              <w:spacing w:after="0"/>
              <w:rPr>
                <w:sz w:val="20"/>
                <w:szCs w:val="20"/>
                <w:color w:val="auto"/>
              </w:rPr>
            </w:pPr>
            <w:r>
              <w:rPr>
                <w:rFonts w:ascii="Arial" w:cs="Arial" w:eastAsia="Arial" w:hAnsi="Arial"/>
                <w:sz w:val="14"/>
                <w:szCs w:val="14"/>
                <w:color w:val="auto"/>
              </w:rPr>
              <w:t>$</w:t>
            </w:r>
          </w:p>
        </w:tc>
        <w:tc>
          <w:tcPr>
            <w:tcW w:w="1140" w:type="dxa"/>
            <w:vAlign w:val="bottom"/>
            <w:tcBorders>
              <w:top w:val="single" w:sz="8" w:color="CCEEFF"/>
            </w:tcBorders>
            <w:gridSpan w:val="2"/>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tcBorders>
            <w:gridSpan w:val="2"/>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7"/>
        </w:trPr>
        <w:tc>
          <w:tcPr>
            <w:tcW w:w="4200" w:type="dxa"/>
            <w:vAlign w:val="bottom"/>
          </w:tcPr>
          <w:p>
            <w:pPr>
              <w:spacing w:after="0" w:line="157" w:lineRule="exact"/>
              <w:rPr>
                <w:sz w:val="20"/>
                <w:szCs w:val="20"/>
                <w:color w:val="auto"/>
              </w:rPr>
            </w:pPr>
            <w:r>
              <w:rPr>
                <w:rFonts w:ascii="Arial" w:cs="Arial" w:eastAsia="Arial" w:hAnsi="Arial"/>
                <w:sz w:val="14"/>
                <w:szCs w:val="14"/>
                <w:color w:val="auto"/>
              </w:rPr>
              <w:t>g net capital loss carryforward per common share</w:t>
            </w:r>
          </w:p>
        </w:tc>
        <w:tc>
          <w:tcPr>
            <w:tcW w:w="1360" w:type="dxa"/>
            <w:vAlign w:val="bottom"/>
            <w:tcBorders>
              <w:top w:val="single" w:sz="8" w:color="CCEEFF"/>
            </w:tcBorders>
            <w:vMerge w:val="continue"/>
          </w:tcPr>
          <w:p>
            <w:pPr>
              <w:spacing w:after="0"/>
              <w:rPr>
                <w:sz w:val="13"/>
                <w:szCs w:val="13"/>
                <w:color w:val="auto"/>
              </w:rPr>
            </w:pPr>
          </w:p>
        </w:tc>
        <w:tc>
          <w:tcPr>
            <w:tcW w:w="10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10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0.27$</w:t>
            </w:r>
          </w:p>
        </w:tc>
        <w:tc>
          <w:tcPr>
            <w:tcW w:w="100" w:type="dxa"/>
            <w:vAlign w:val="bottom"/>
          </w:tcPr>
          <w:p>
            <w:pPr>
              <w:spacing w:after="0"/>
              <w:rPr>
                <w:sz w:val="13"/>
                <w:szCs w:val="13"/>
                <w:color w:val="auto"/>
              </w:rPr>
            </w:pPr>
          </w:p>
        </w:tc>
        <w:tc>
          <w:tcPr>
            <w:tcW w:w="104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0.17$</w:t>
            </w:r>
          </w:p>
        </w:tc>
        <w:tc>
          <w:tcPr>
            <w:tcW w:w="120" w:type="dxa"/>
            <w:vAlign w:val="bottom"/>
          </w:tcPr>
          <w:p>
            <w:pPr>
              <w:spacing w:after="0"/>
              <w:rPr>
                <w:sz w:val="13"/>
                <w:szCs w:val="13"/>
                <w:color w:val="auto"/>
              </w:rPr>
            </w:pPr>
          </w:p>
        </w:tc>
        <w:tc>
          <w:tcPr>
            <w:tcW w:w="1020" w:type="dxa"/>
            <w:vAlign w:val="bottom"/>
            <w:tcBorders>
              <w:top w:val="single" w:sz="8" w:color="auto"/>
              <w:bottom w:val="single" w:sz="8" w:color="auto"/>
            </w:tcBorders>
          </w:tcPr>
          <w:p>
            <w:pPr>
              <w:jc w:val="right"/>
              <w:spacing w:after="0" w:line="157"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1040" w:type="dxa"/>
            <w:vAlign w:val="bottom"/>
            <w:tcBorders>
              <w:top w:val="single" w:sz="8" w:color="auto"/>
              <w:bottom w:val="single" w:sz="8" w:color="auto"/>
            </w:tcBorders>
          </w:tcPr>
          <w:p>
            <w:pPr>
              <w:jc w:val="right"/>
              <w:ind w:right="11"/>
              <w:spacing w:after="0" w:line="157"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180"/>
          </w:cols>
          <w:pgMar w:left="220" w:top="146" w:right="499" w:bottom="1440" w:gutter="0" w:footer="0" w:header="0"/>
        </w:sectPr>
      </w:pPr>
    </w:p>
    <w:bookmarkStart w:id="13" w:name="page14"/>
    <w:bookmarkEnd w:id="13"/>
    <w:p>
      <w:pPr>
        <w:ind w:left="100"/>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ind w:left="100"/>
        <w:spacing w:after="0"/>
        <w:rPr>
          <w:sz w:val="20"/>
          <w:szCs w:val="20"/>
          <w:color w:val="auto"/>
        </w:rPr>
      </w:pPr>
      <w:r>
        <w:rPr>
          <w:rFonts w:ascii="Arial" w:cs="Arial" w:eastAsia="Arial" w:hAnsi="Arial"/>
          <w:sz w:val="21"/>
          <w:szCs w:val="21"/>
          <w:color w:val="auto"/>
        </w:rPr>
        <w:t>Page 11</w:t>
      </w:r>
    </w:p>
    <w:p>
      <w:pPr>
        <w:spacing w:after="0" w:line="200" w:lineRule="exact"/>
        <w:rPr>
          <w:sz w:val="20"/>
          <w:szCs w:val="20"/>
          <w:color w:val="auto"/>
        </w:rPr>
      </w:pPr>
    </w:p>
    <w:p>
      <w:pPr>
        <w:spacing w:after="0" w:line="256" w:lineRule="exact"/>
        <w:rPr>
          <w:sz w:val="20"/>
          <w:szCs w:val="20"/>
          <w:color w:val="auto"/>
        </w:rPr>
      </w:pPr>
    </w:p>
    <w:p>
      <w:pPr>
        <w:jc w:val="center"/>
        <w:ind w:right="340"/>
        <w:spacing w:after="0"/>
        <w:rPr>
          <w:sz w:val="20"/>
          <w:szCs w:val="20"/>
          <w:color w:val="auto"/>
        </w:rPr>
      </w:pPr>
      <w:r>
        <w:rPr>
          <w:rFonts w:ascii="Arial" w:cs="Arial" w:eastAsia="Arial" w:hAnsi="Arial"/>
          <w:sz w:val="14"/>
          <w:szCs w:val="14"/>
          <w:color w:val="auto"/>
        </w:rPr>
        <w:t>AGNC INVESTMENT CORP.</w:t>
      </w:r>
    </w:p>
    <w:p>
      <w:pPr>
        <w:spacing w:after="0" w:line="12" w:lineRule="exact"/>
        <w:rPr>
          <w:sz w:val="20"/>
          <w:szCs w:val="20"/>
          <w:color w:val="auto"/>
        </w:rPr>
      </w:pPr>
    </w:p>
    <w:p>
      <w:pPr>
        <w:jc w:val="center"/>
        <w:ind w:right="340"/>
        <w:spacing w:after="0"/>
        <w:rPr>
          <w:sz w:val="20"/>
          <w:szCs w:val="20"/>
          <w:color w:val="auto"/>
        </w:rPr>
      </w:pPr>
      <w:r>
        <w:rPr>
          <w:rFonts w:ascii="Arial" w:cs="Arial" w:eastAsia="Arial" w:hAnsi="Arial"/>
          <w:sz w:val="14"/>
          <w:szCs w:val="14"/>
          <w:color w:val="auto"/>
        </w:rPr>
        <w:t xml:space="preserve">NET INTEREST SPREAD COMPONENTS BY FUNDING SOURCE </w:t>
      </w:r>
      <w:r>
        <w:rPr>
          <w:rFonts w:ascii="Arial" w:cs="Arial" w:eastAsia="Arial" w:hAnsi="Arial"/>
          <w:sz w:val="18"/>
          <w:szCs w:val="18"/>
          <w:color w:val="auto"/>
          <w:vertAlign w:val="superscript"/>
        </w:rPr>
        <w:t>2</w:t>
      </w:r>
    </w:p>
    <w:p>
      <w:pPr>
        <w:jc w:val="center"/>
        <w:ind w:right="340"/>
        <w:spacing w:after="0"/>
        <w:rPr>
          <w:sz w:val="20"/>
          <w:szCs w:val="20"/>
          <w:color w:val="auto"/>
        </w:rPr>
      </w:pPr>
      <w:r>
        <w:rPr>
          <w:rFonts w:ascii="Arial" w:cs="Arial" w:eastAsia="Arial" w:hAnsi="Arial"/>
          <w:sz w:val="14"/>
          <w:szCs w:val="14"/>
          <w:color w:val="auto"/>
        </w:rPr>
        <w:t>(in millions, except per share data)</w:t>
      </w:r>
    </w:p>
    <w:p>
      <w:pPr>
        <w:spacing w:after="0" w:line="11" w:lineRule="exact"/>
        <w:rPr>
          <w:sz w:val="20"/>
          <w:szCs w:val="20"/>
          <w:color w:val="auto"/>
        </w:rPr>
      </w:pPr>
    </w:p>
    <w:p>
      <w:pPr>
        <w:jc w:val="center"/>
        <w:ind w:right="340"/>
        <w:spacing w:after="0"/>
        <w:rPr>
          <w:sz w:val="20"/>
          <w:szCs w:val="20"/>
          <w:color w:val="auto"/>
        </w:rPr>
      </w:pPr>
      <w:r>
        <w:rPr>
          <w:rFonts w:ascii="Arial" w:cs="Arial" w:eastAsia="Arial" w:hAnsi="Arial"/>
          <w:sz w:val="14"/>
          <w:szCs w:val="14"/>
          <w:color w:val="auto"/>
        </w:rPr>
        <w:t>(unaudited)</w:t>
      </w:r>
    </w:p>
    <w:p>
      <w:pPr>
        <w:spacing w:after="0" w:line="76" w:lineRule="exact"/>
        <w:rPr>
          <w:sz w:val="20"/>
          <w:szCs w:val="20"/>
          <w:color w:val="auto"/>
        </w:rPr>
      </w:pPr>
    </w:p>
    <w:p>
      <w:pPr>
        <w:ind w:left="7540"/>
        <w:spacing w:after="0"/>
        <w:rPr>
          <w:sz w:val="20"/>
          <w:szCs w:val="20"/>
          <w:color w:val="auto"/>
        </w:rPr>
      </w:pPr>
      <w:r>
        <w:rPr>
          <w:rFonts w:ascii="Arial" w:cs="Arial" w:eastAsia="Arial" w:hAnsi="Arial"/>
          <w:sz w:val="14"/>
          <w:szCs w:val="14"/>
          <w:color w:val="auto"/>
        </w:rPr>
        <w:t>Three Months Ended</w:t>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22"/>
        </w:trPr>
        <w:tc>
          <w:tcPr>
            <w:tcW w:w="51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180" w:type="dxa"/>
            <w:vAlign w:val="bottom"/>
            <w:tcBorders>
              <w:top w:val="single" w:sz="8" w:color="auto"/>
            </w:tcBorders>
            <w:gridSpan w:val="2"/>
          </w:tcPr>
          <w:p>
            <w:pPr>
              <w:ind w:left="20"/>
              <w:spacing w:after="0" w:line="122" w:lineRule="exact"/>
              <w:rPr>
                <w:sz w:val="20"/>
                <w:szCs w:val="20"/>
                <w:color w:val="auto"/>
              </w:rPr>
            </w:pPr>
            <w:r>
              <w:rPr>
                <w:rFonts w:ascii="Arial" w:cs="Arial" w:eastAsia="Arial" w:hAnsi="Arial"/>
                <w:sz w:val="12"/>
                <w:szCs w:val="12"/>
                <w:color w:val="auto"/>
              </w:rPr>
              <w:t>September 30,</w:t>
            </w:r>
          </w:p>
        </w:tc>
        <w:tc>
          <w:tcPr>
            <w:tcW w:w="1160" w:type="dxa"/>
            <w:vAlign w:val="bottom"/>
            <w:tcBorders>
              <w:top w:val="single" w:sz="8" w:color="auto"/>
            </w:tcBorders>
            <w:gridSpan w:val="2"/>
          </w:tcPr>
          <w:p>
            <w:pPr>
              <w:ind w:left="160"/>
              <w:spacing w:after="0" w:line="122" w:lineRule="exact"/>
              <w:rPr>
                <w:sz w:val="20"/>
                <w:szCs w:val="20"/>
                <w:color w:val="auto"/>
              </w:rPr>
            </w:pPr>
            <w:r>
              <w:rPr>
                <w:rFonts w:ascii="Arial" w:cs="Arial" w:eastAsia="Arial" w:hAnsi="Arial"/>
                <w:sz w:val="12"/>
                <w:szCs w:val="12"/>
                <w:color w:val="auto"/>
              </w:rPr>
              <w:t>June 30,</w:t>
            </w:r>
          </w:p>
        </w:tc>
        <w:tc>
          <w:tcPr>
            <w:tcW w:w="1160" w:type="dxa"/>
            <w:vAlign w:val="bottom"/>
            <w:tcBorders>
              <w:top w:val="single" w:sz="8" w:color="auto"/>
            </w:tcBorders>
            <w:gridSpan w:val="2"/>
          </w:tcPr>
          <w:p>
            <w:pPr>
              <w:ind w:left="120"/>
              <w:spacing w:after="0" w:line="122" w:lineRule="exact"/>
              <w:rPr>
                <w:sz w:val="20"/>
                <w:szCs w:val="20"/>
                <w:color w:val="auto"/>
              </w:rPr>
            </w:pPr>
            <w:r>
              <w:rPr>
                <w:rFonts w:ascii="Arial" w:cs="Arial" w:eastAsia="Arial" w:hAnsi="Arial"/>
                <w:sz w:val="12"/>
                <w:szCs w:val="12"/>
                <w:color w:val="auto"/>
              </w:rPr>
              <w:t>March 31,</w:t>
            </w:r>
          </w:p>
        </w:tc>
        <w:tc>
          <w:tcPr>
            <w:tcW w:w="1180" w:type="dxa"/>
            <w:vAlign w:val="bottom"/>
            <w:tcBorders>
              <w:top w:val="single" w:sz="8" w:color="auto"/>
            </w:tcBorders>
            <w:gridSpan w:val="2"/>
          </w:tcPr>
          <w:p>
            <w:pPr>
              <w:ind w:left="20"/>
              <w:spacing w:after="0" w:line="122" w:lineRule="exact"/>
              <w:rPr>
                <w:sz w:val="20"/>
                <w:szCs w:val="20"/>
                <w:color w:val="auto"/>
              </w:rPr>
            </w:pPr>
            <w:r>
              <w:rPr>
                <w:rFonts w:ascii="Arial" w:cs="Arial" w:eastAsia="Arial" w:hAnsi="Arial"/>
                <w:sz w:val="12"/>
                <w:szCs w:val="12"/>
                <w:color w:val="auto"/>
              </w:rPr>
              <w:t>December 31,</w:t>
            </w:r>
          </w:p>
        </w:tc>
        <w:tc>
          <w:tcPr>
            <w:tcW w:w="1060" w:type="dxa"/>
            <w:vAlign w:val="bottom"/>
            <w:tcBorders>
              <w:top w:val="single" w:sz="8" w:color="auto"/>
            </w:tcBorders>
          </w:tcPr>
          <w:p>
            <w:pPr>
              <w:jc w:val="right"/>
              <w:ind w:right="271"/>
              <w:spacing w:after="0" w:line="122" w:lineRule="exact"/>
              <w:rPr>
                <w:sz w:val="20"/>
                <w:szCs w:val="20"/>
                <w:color w:val="auto"/>
              </w:rPr>
            </w:pPr>
            <w:r>
              <w:rPr>
                <w:rFonts w:ascii="Arial" w:cs="Arial" w:eastAsia="Arial" w:hAnsi="Arial"/>
                <w:sz w:val="12"/>
                <w:szCs w:val="12"/>
                <w:color w:val="auto"/>
                <w:w w:val="88"/>
              </w:rPr>
              <w:t>September 30,</w:t>
            </w:r>
          </w:p>
        </w:tc>
        <w:tc>
          <w:tcPr>
            <w:tcW w:w="0" w:type="dxa"/>
            <w:vAlign w:val="bottom"/>
          </w:tcPr>
          <w:p>
            <w:pPr>
              <w:spacing w:after="0"/>
              <w:rPr>
                <w:sz w:val="1"/>
                <w:szCs w:val="1"/>
                <w:color w:val="auto"/>
              </w:rPr>
            </w:pPr>
          </w:p>
        </w:tc>
      </w:tr>
      <w:tr>
        <w:trPr>
          <w:trHeight w:val="164"/>
        </w:trPr>
        <w:tc>
          <w:tcPr>
            <w:tcW w:w="5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80" w:type="dxa"/>
            <w:vAlign w:val="bottom"/>
            <w:tcBorders>
              <w:bottom w:val="single" w:sz="8" w:color="auto"/>
            </w:tcBorders>
          </w:tcPr>
          <w:p>
            <w:pPr>
              <w:jc w:val="right"/>
              <w:ind w:right="511"/>
              <w:spacing w:after="0"/>
              <w:rPr>
                <w:sz w:val="20"/>
                <w:szCs w:val="20"/>
                <w:color w:val="auto"/>
              </w:rPr>
            </w:pPr>
            <w:r>
              <w:rPr>
                <w:rFonts w:ascii="Arial" w:cs="Arial" w:eastAsia="Arial" w:hAnsi="Arial"/>
                <w:sz w:val="12"/>
                <w:szCs w:val="12"/>
                <w:color w:val="auto"/>
              </w:rPr>
              <w:t>2021</w:t>
            </w:r>
          </w:p>
        </w:tc>
        <w:tc>
          <w:tcPr>
            <w:tcW w:w="100" w:type="dxa"/>
            <w:vAlign w:val="bottom"/>
          </w:tcPr>
          <w:p>
            <w:pPr>
              <w:spacing w:after="0"/>
              <w:rPr>
                <w:sz w:val="14"/>
                <w:szCs w:val="14"/>
                <w:color w:val="auto"/>
              </w:rPr>
            </w:pPr>
          </w:p>
        </w:tc>
        <w:tc>
          <w:tcPr>
            <w:tcW w:w="1040" w:type="dxa"/>
            <w:vAlign w:val="bottom"/>
            <w:tcBorders>
              <w:bottom w:val="single" w:sz="8" w:color="auto"/>
            </w:tcBorders>
          </w:tcPr>
          <w:p>
            <w:pPr>
              <w:jc w:val="right"/>
              <w:ind w:right="491"/>
              <w:spacing w:after="0"/>
              <w:rPr>
                <w:sz w:val="20"/>
                <w:szCs w:val="20"/>
                <w:color w:val="auto"/>
              </w:rPr>
            </w:pPr>
            <w:r>
              <w:rPr>
                <w:rFonts w:ascii="Arial" w:cs="Arial" w:eastAsia="Arial" w:hAnsi="Arial"/>
                <w:sz w:val="12"/>
                <w:szCs w:val="12"/>
                <w:color w:val="auto"/>
              </w:rPr>
              <w:t>2021</w:t>
            </w:r>
          </w:p>
        </w:tc>
        <w:tc>
          <w:tcPr>
            <w:tcW w:w="120" w:type="dxa"/>
            <w:vAlign w:val="bottom"/>
          </w:tcPr>
          <w:p>
            <w:pPr>
              <w:spacing w:after="0"/>
              <w:rPr>
                <w:sz w:val="14"/>
                <w:szCs w:val="14"/>
                <w:color w:val="auto"/>
              </w:rPr>
            </w:pPr>
          </w:p>
        </w:tc>
        <w:tc>
          <w:tcPr>
            <w:tcW w:w="1060" w:type="dxa"/>
            <w:vAlign w:val="bottom"/>
            <w:tcBorders>
              <w:bottom w:val="single" w:sz="8" w:color="auto"/>
            </w:tcBorders>
          </w:tcPr>
          <w:p>
            <w:pPr>
              <w:jc w:val="right"/>
              <w:ind w:right="511"/>
              <w:spacing w:after="0"/>
              <w:rPr>
                <w:sz w:val="20"/>
                <w:szCs w:val="20"/>
                <w:color w:val="auto"/>
              </w:rPr>
            </w:pPr>
            <w:r>
              <w:rPr>
                <w:rFonts w:ascii="Arial" w:cs="Arial" w:eastAsia="Arial" w:hAnsi="Arial"/>
                <w:sz w:val="12"/>
                <w:szCs w:val="12"/>
                <w:color w:val="auto"/>
              </w:rPr>
              <w:t>2021</w:t>
            </w:r>
          </w:p>
        </w:tc>
        <w:tc>
          <w:tcPr>
            <w:tcW w:w="100" w:type="dxa"/>
            <w:vAlign w:val="bottom"/>
          </w:tcPr>
          <w:p>
            <w:pPr>
              <w:spacing w:after="0"/>
              <w:rPr>
                <w:sz w:val="14"/>
                <w:szCs w:val="14"/>
                <w:color w:val="auto"/>
              </w:rPr>
            </w:pPr>
          </w:p>
        </w:tc>
        <w:tc>
          <w:tcPr>
            <w:tcW w:w="1060" w:type="dxa"/>
            <w:vAlign w:val="bottom"/>
            <w:tcBorders>
              <w:bottom w:val="single" w:sz="8" w:color="auto"/>
            </w:tcBorders>
          </w:tcPr>
          <w:p>
            <w:pPr>
              <w:jc w:val="right"/>
              <w:ind w:right="491"/>
              <w:spacing w:after="0"/>
              <w:rPr>
                <w:sz w:val="20"/>
                <w:szCs w:val="20"/>
                <w:color w:val="auto"/>
              </w:rPr>
            </w:pPr>
            <w:r>
              <w:rPr>
                <w:rFonts w:ascii="Arial" w:cs="Arial" w:eastAsia="Arial" w:hAnsi="Arial"/>
                <w:sz w:val="12"/>
                <w:szCs w:val="12"/>
                <w:color w:val="auto"/>
              </w:rPr>
              <w:t>2020</w:t>
            </w:r>
          </w:p>
        </w:tc>
        <w:tc>
          <w:tcPr>
            <w:tcW w:w="120" w:type="dxa"/>
            <w:vAlign w:val="bottom"/>
          </w:tcPr>
          <w:p>
            <w:pPr>
              <w:spacing w:after="0"/>
              <w:rPr>
                <w:sz w:val="14"/>
                <w:szCs w:val="14"/>
                <w:color w:val="auto"/>
              </w:rPr>
            </w:pPr>
          </w:p>
        </w:tc>
        <w:tc>
          <w:tcPr>
            <w:tcW w:w="1060" w:type="dxa"/>
            <w:vAlign w:val="bottom"/>
            <w:tcBorders>
              <w:bottom w:val="single" w:sz="8" w:color="auto"/>
            </w:tcBorders>
          </w:tcPr>
          <w:p>
            <w:pPr>
              <w:jc w:val="right"/>
              <w:ind w:right="511"/>
              <w:spacing w:after="0"/>
              <w:rPr>
                <w:sz w:val="20"/>
                <w:szCs w:val="20"/>
                <w:color w:val="auto"/>
              </w:rPr>
            </w:pPr>
            <w:r>
              <w:rPr>
                <w:rFonts w:ascii="Arial" w:cs="Arial" w:eastAsia="Arial" w:hAnsi="Arial"/>
                <w:sz w:val="12"/>
                <w:szCs w:val="12"/>
                <w:color w:val="auto"/>
              </w:rPr>
              <w:t>2020</w:t>
            </w:r>
          </w:p>
        </w:tc>
        <w:tc>
          <w:tcPr>
            <w:tcW w:w="0" w:type="dxa"/>
            <w:vAlign w:val="bottom"/>
          </w:tcPr>
          <w:p>
            <w:pPr>
              <w:spacing w:after="0"/>
              <w:rPr>
                <w:sz w:val="1"/>
                <w:szCs w:val="1"/>
                <w:color w:val="auto"/>
              </w:rPr>
            </w:pPr>
          </w:p>
        </w:tc>
      </w:tr>
      <w:tr>
        <w:trPr>
          <w:trHeight w:val="166"/>
        </w:trPr>
        <w:tc>
          <w:tcPr>
            <w:tcW w:w="5100" w:type="dxa"/>
            <w:vAlign w:val="bottom"/>
          </w:tcPr>
          <w:p>
            <w:pPr>
              <w:spacing w:after="0"/>
              <w:rPr>
                <w:sz w:val="20"/>
                <w:szCs w:val="20"/>
                <w:color w:val="auto"/>
              </w:rPr>
            </w:pPr>
            <w:r>
              <w:rPr>
                <w:rFonts w:ascii="Arial" w:cs="Arial" w:eastAsia="Arial" w:hAnsi="Arial"/>
                <w:sz w:val="14"/>
                <w:szCs w:val="14"/>
                <w:b w:val="1"/>
                <w:bCs w:val="1"/>
                <w:color w:val="auto"/>
                <w:w w:val="90"/>
              </w:rPr>
              <w:t>sted net interest and dollar roll income, excluding "catch-up" premium amortization:</w:t>
            </w:r>
          </w:p>
        </w:tc>
        <w:tc>
          <w:tcPr>
            <w:tcW w:w="3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5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nomic interest income:</w:t>
            </w:r>
          </w:p>
        </w:tc>
        <w:tc>
          <w:tcPr>
            <w:tcW w:w="32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5100" w:type="dxa"/>
            <w:vAlign w:val="bottom"/>
          </w:tcPr>
          <w:p>
            <w:pPr>
              <w:spacing w:after="0" w:line="184" w:lineRule="exact"/>
              <w:rPr>
                <w:sz w:val="20"/>
                <w:szCs w:val="20"/>
                <w:color w:val="auto"/>
              </w:rPr>
            </w:pPr>
            <w:r>
              <w:rPr>
                <w:rFonts w:ascii="Arial" w:cs="Arial" w:eastAsia="Arial" w:hAnsi="Arial"/>
                <w:sz w:val="14"/>
                <w:szCs w:val="14"/>
                <w:color w:val="auto"/>
              </w:rPr>
              <w:t xml:space="preserve">vestment securities - GAAP interest income </w:t>
            </w:r>
            <w:r>
              <w:rPr>
                <w:rFonts w:ascii="Arial" w:cs="Arial" w:eastAsia="Arial" w:hAnsi="Arial"/>
                <w:sz w:val="18"/>
                <w:szCs w:val="18"/>
                <w:color w:val="auto"/>
                <w:vertAlign w:val="superscript"/>
              </w:rPr>
              <w:t>12</w:t>
            </w:r>
          </w:p>
        </w:tc>
        <w:tc>
          <w:tcPr>
            <w:tcW w:w="320" w:type="dxa"/>
            <w:vAlign w:val="bottom"/>
          </w:tcPr>
          <w:p>
            <w:pPr>
              <w:jc w:val="right"/>
              <w:ind w:right="150"/>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1"/>
              <w:spacing w:after="0"/>
              <w:rPr>
                <w:sz w:val="20"/>
                <w:szCs w:val="20"/>
                <w:color w:val="auto"/>
              </w:rPr>
            </w:pPr>
            <w:r>
              <w:rPr>
                <w:rFonts w:ascii="Arial" w:cs="Arial" w:eastAsia="Arial" w:hAnsi="Arial"/>
                <w:sz w:val="14"/>
                <w:szCs w:val="14"/>
                <w:color w:val="auto"/>
              </w:rPr>
              <w:t>293$</w:t>
            </w:r>
          </w:p>
        </w:tc>
        <w:tc>
          <w:tcPr>
            <w:tcW w:w="1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249$</w:t>
            </w:r>
          </w:p>
        </w:tc>
        <w:tc>
          <w:tcPr>
            <w:tcW w:w="12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557$</w:t>
            </w:r>
          </w:p>
        </w:tc>
        <w:tc>
          <w:tcPr>
            <w:tcW w:w="10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235$</w:t>
            </w:r>
          </w:p>
        </w:tc>
        <w:tc>
          <w:tcPr>
            <w:tcW w:w="12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364</w:t>
            </w:r>
          </w:p>
        </w:tc>
        <w:tc>
          <w:tcPr>
            <w:tcW w:w="0" w:type="dxa"/>
            <w:vAlign w:val="bottom"/>
          </w:tcPr>
          <w:p>
            <w:pPr>
              <w:spacing w:after="0"/>
              <w:rPr>
                <w:sz w:val="1"/>
                <w:szCs w:val="1"/>
                <w:color w:val="auto"/>
              </w:rPr>
            </w:pPr>
          </w:p>
        </w:tc>
      </w:tr>
      <w:tr>
        <w:trPr>
          <w:trHeight w:val="184"/>
        </w:trPr>
        <w:tc>
          <w:tcPr>
            <w:tcW w:w="5100" w:type="dxa"/>
            <w:vAlign w:val="bottom"/>
            <w:shd w:val="clear" w:color="auto" w:fill="CCEEFF"/>
          </w:tcPr>
          <w:p>
            <w:pPr>
              <w:ind w:left="20"/>
              <w:spacing w:after="0" w:line="184" w:lineRule="exact"/>
              <w:rPr>
                <w:sz w:val="20"/>
                <w:szCs w:val="20"/>
                <w:color w:val="auto"/>
              </w:rPr>
            </w:pPr>
            <w:r>
              <w:rPr>
                <w:rFonts w:ascii="Arial" w:cs="Arial" w:eastAsia="Arial" w:hAnsi="Arial"/>
                <w:sz w:val="14"/>
                <w:szCs w:val="14"/>
                <w:color w:val="auto"/>
                <w:w w:val="92"/>
              </w:rPr>
              <w:t xml:space="preserve">timated "catch-up" premium amortization cost (benefit) due to change in CPR forecast </w:t>
            </w:r>
            <w:r>
              <w:rPr>
                <w:rFonts w:ascii="Arial" w:cs="Arial" w:eastAsia="Arial" w:hAnsi="Arial"/>
                <w:sz w:val="18"/>
                <w:szCs w:val="18"/>
                <w:color w:val="auto"/>
                <w:w w:val="92"/>
                <w:vertAlign w:val="superscript"/>
              </w:rPr>
              <w:t>11</w:t>
            </w:r>
          </w:p>
        </w:tc>
        <w:tc>
          <w:tcPr>
            <w:tcW w:w="32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w:t>
            </w:r>
          </w:p>
        </w:tc>
        <w:tc>
          <w:tcPr>
            <w:tcW w:w="12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(213)</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w:t>
            </w:r>
          </w:p>
        </w:tc>
        <w:tc>
          <w:tcPr>
            <w:tcW w:w="12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0" w:type="dxa"/>
            <w:vAlign w:val="bottom"/>
          </w:tcPr>
          <w:p>
            <w:pPr>
              <w:spacing w:after="0"/>
              <w:rPr>
                <w:sz w:val="1"/>
                <w:szCs w:val="1"/>
                <w:color w:val="auto"/>
              </w:rPr>
            </w:pPr>
          </w:p>
        </w:tc>
      </w:tr>
      <w:tr>
        <w:trPr>
          <w:trHeight w:val="184"/>
        </w:trPr>
        <w:tc>
          <w:tcPr>
            <w:tcW w:w="5100" w:type="dxa"/>
            <w:vAlign w:val="bottom"/>
            <w:tcBorders>
              <w:bottom w:val="single" w:sz="8" w:color="CCEEFF"/>
            </w:tcBorders>
          </w:tcPr>
          <w:p>
            <w:pPr>
              <w:spacing w:after="0" w:line="184" w:lineRule="exact"/>
              <w:rPr>
                <w:sz w:val="20"/>
                <w:szCs w:val="20"/>
                <w:color w:val="auto"/>
              </w:rPr>
            </w:pPr>
            <w:r>
              <w:rPr>
                <w:rFonts w:ascii="Arial" w:cs="Arial" w:eastAsia="Arial" w:hAnsi="Arial"/>
                <w:sz w:val="14"/>
                <w:szCs w:val="14"/>
                <w:color w:val="auto"/>
              </w:rPr>
              <w:t xml:space="preserve">BA dollar roll income - implied interest income </w:t>
            </w:r>
            <w:r>
              <w:rPr>
                <w:rFonts w:ascii="Arial" w:cs="Arial" w:eastAsia="Arial" w:hAnsi="Arial"/>
                <w:sz w:val="18"/>
                <w:szCs w:val="18"/>
                <w:color w:val="auto"/>
                <w:vertAlign w:val="superscript"/>
              </w:rPr>
              <w:t>3,6</w:t>
            </w:r>
          </w:p>
        </w:tc>
        <w:tc>
          <w:tcPr>
            <w:tcW w:w="32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142</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139</w:t>
            </w:r>
          </w:p>
        </w:tc>
        <w:tc>
          <w:tcPr>
            <w:tcW w:w="12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116</w:t>
            </w:r>
          </w:p>
        </w:tc>
        <w:tc>
          <w:tcPr>
            <w:tcW w:w="10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129</w:t>
            </w:r>
          </w:p>
        </w:tc>
        <w:tc>
          <w:tcPr>
            <w:tcW w:w="12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114</w:t>
            </w:r>
          </w:p>
        </w:tc>
        <w:tc>
          <w:tcPr>
            <w:tcW w:w="0" w:type="dxa"/>
            <w:vAlign w:val="bottom"/>
          </w:tcPr>
          <w:p>
            <w:pPr>
              <w:spacing w:after="0"/>
              <w:rPr>
                <w:sz w:val="1"/>
                <w:szCs w:val="1"/>
                <w:color w:val="auto"/>
              </w:rPr>
            </w:pPr>
          </w:p>
        </w:tc>
      </w:tr>
      <w:tr>
        <w:trPr>
          <w:trHeight w:val="177"/>
        </w:trPr>
        <w:tc>
          <w:tcPr>
            <w:tcW w:w="5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nomic interest income, excluding "catch-up" premium amortization</w:t>
            </w:r>
          </w:p>
        </w:tc>
        <w:tc>
          <w:tcPr>
            <w:tcW w:w="320" w:type="dxa"/>
            <w:vAlign w:val="bottom"/>
            <w:shd w:val="clear" w:color="auto" w:fill="CCEEFF"/>
          </w:tcPr>
          <w:p>
            <w:pPr>
              <w:spacing w:after="0"/>
              <w:rPr>
                <w:sz w:val="15"/>
                <w:szCs w:val="15"/>
                <w:color w:val="auto"/>
              </w:rPr>
            </w:pPr>
          </w:p>
        </w:tc>
        <w:tc>
          <w:tcPr>
            <w:tcW w:w="10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437</w:t>
            </w:r>
          </w:p>
        </w:tc>
        <w:tc>
          <w:tcPr>
            <w:tcW w:w="100" w:type="dxa"/>
            <w:vAlign w:val="bottom"/>
            <w:shd w:val="clear" w:color="auto" w:fill="CCEEFF"/>
          </w:tcPr>
          <w:p>
            <w:pPr>
              <w:spacing w:after="0"/>
              <w:rPr>
                <w:sz w:val="15"/>
                <w:szCs w:val="15"/>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459</w:t>
            </w:r>
          </w:p>
        </w:tc>
        <w:tc>
          <w:tcPr>
            <w:tcW w:w="120" w:type="dxa"/>
            <w:vAlign w:val="bottom"/>
            <w:shd w:val="clear" w:color="auto" w:fill="CCEEFF"/>
          </w:tcPr>
          <w:p>
            <w:pPr>
              <w:spacing w:after="0"/>
              <w:rPr>
                <w:sz w:val="15"/>
                <w:szCs w:val="15"/>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460</w:t>
            </w:r>
          </w:p>
        </w:tc>
        <w:tc>
          <w:tcPr>
            <w:tcW w:w="100" w:type="dxa"/>
            <w:vAlign w:val="bottom"/>
            <w:shd w:val="clear" w:color="auto" w:fill="CCEEFF"/>
          </w:tcPr>
          <w:p>
            <w:pPr>
              <w:spacing w:after="0"/>
              <w:rPr>
                <w:sz w:val="15"/>
                <w:szCs w:val="15"/>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471</w:t>
            </w:r>
          </w:p>
        </w:tc>
        <w:tc>
          <w:tcPr>
            <w:tcW w:w="120" w:type="dxa"/>
            <w:vAlign w:val="bottom"/>
            <w:shd w:val="clear" w:color="auto" w:fill="CCEEFF"/>
          </w:tcPr>
          <w:p>
            <w:pPr>
              <w:spacing w:after="0"/>
              <w:rPr>
                <w:sz w:val="15"/>
                <w:szCs w:val="15"/>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528</w:t>
            </w:r>
          </w:p>
        </w:tc>
        <w:tc>
          <w:tcPr>
            <w:tcW w:w="0" w:type="dxa"/>
            <w:vAlign w:val="bottom"/>
          </w:tcPr>
          <w:p>
            <w:pPr>
              <w:spacing w:after="0"/>
              <w:rPr>
                <w:sz w:val="1"/>
                <w:szCs w:val="1"/>
                <w:color w:val="auto"/>
              </w:rPr>
            </w:pPr>
          </w:p>
        </w:tc>
      </w:tr>
      <w:tr>
        <w:trPr>
          <w:trHeight w:val="161"/>
        </w:trPr>
        <w:tc>
          <w:tcPr>
            <w:tcW w:w="5100" w:type="dxa"/>
            <w:vAlign w:val="bottom"/>
          </w:tcPr>
          <w:p>
            <w:pPr>
              <w:ind w:left="20"/>
              <w:spacing w:after="0" w:line="159" w:lineRule="exact"/>
              <w:rPr>
                <w:sz w:val="20"/>
                <w:szCs w:val="20"/>
                <w:color w:val="auto"/>
              </w:rPr>
            </w:pPr>
            <w:r>
              <w:rPr>
                <w:rFonts w:ascii="Arial" w:cs="Arial" w:eastAsia="Arial" w:hAnsi="Arial"/>
                <w:sz w:val="14"/>
                <w:szCs w:val="14"/>
                <w:color w:val="auto"/>
              </w:rPr>
              <w:t>nomic interest benefit (expense):</w:t>
            </w:r>
          </w:p>
        </w:tc>
        <w:tc>
          <w:tcPr>
            <w:tcW w:w="3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5100" w:type="dxa"/>
            <w:vAlign w:val="bottom"/>
            <w:shd w:val="clear" w:color="auto" w:fill="CCEEFF"/>
          </w:tcPr>
          <w:p>
            <w:pPr>
              <w:spacing w:after="0"/>
              <w:rPr>
                <w:sz w:val="20"/>
                <w:szCs w:val="20"/>
                <w:color w:val="auto"/>
              </w:rPr>
            </w:pPr>
            <w:r>
              <w:rPr>
                <w:rFonts w:ascii="Arial" w:cs="Arial" w:eastAsia="Arial" w:hAnsi="Arial"/>
                <w:sz w:val="14"/>
                <w:szCs w:val="14"/>
                <w:color w:val="auto"/>
              </w:rPr>
              <w:t>epurchase agreements and other debt - GAAP interest expense</w:t>
            </w:r>
          </w:p>
        </w:tc>
        <w:tc>
          <w:tcPr>
            <w:tcW w:w="32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w:t>
            </w:r>
          </w:p>
        </w:tc>
        <w:tc>
          <w:tcPr>
            <w:tcW w:w="12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w:t>
            </w:r>
          </w:p>
        </w:tc>
        <w:tc>
          <w:tcPr>
            <w:tcW w:w="0" w:type="dxa"/>
            <w:vAlign w:val="bottom"/>
          </w:tcPr>
          <w:p>
            <w:pPr>
              <w:spacing w:after="0"/>
              <w:rPr>
                <w:sz w:val="1"/>
                <w:szCs w:val="1"/>
                <w:color w:val="auto"/>
              </w:rPr>
            </w:pPr>
          </w:p>
        </w:tc>
      </w:tr>
      <w:tr>
        <w:trPr>
          <w:trHeight w:val="184"/>
        </w:trPr>
        <w:tc>
          <w:tcPr>
            <w:tcW w:w="5100" w:type="dxa"/>
            <w:vAlign w:val="bottom"/>
          </w:tcPr>
          <w:p>
            <w:pPr>
              <w:spacing w:after="0" w:line="184" w:lineRule="exact"/>
              <w:rPr>
                <w:sz w:val="20"/>
                <w:szCs w:val="20"/>
                <w:color w:val="auto"/>
              </w:rPr>
            </w:pPr>
            <w:r>
              <w:rPr>
                <w:rFonts w:ascii="Arial" w:cs="Arial" w:eastAsia="Arial" w:hAnsi="Arial"/>
                <w:sz w:val="14"/>
                <w:szCs w:val="14"/>
                <w:color w:val="auto"/>
              </w:rPr>
              <w:t xml:space="preserve">BA dollar roll income - implied interest benefit (expense) </w:t>
            </w:r>
            <w:r>
              <w:rPr>
                <w:rFonts w:ascii="Arial" w:cs="Arial" w:eastAsia="Arial" w:hAnsi="Arial"/>
                <w:sz w:val="18"/>
                <w:szCs w:val="18"/>
                <w:color w:val="auto"/>
                <w:vertAlign w:val="superscript"/>
              </w:rPr>
              <w:t>3,5</w:t>
            </w:r>
          </w:p>
        </w:tc>
        <w:tc>
          <w:tcPr>
            <w:tcW w:w="320" w:type="dxa"/>
            <w:vAlign w:val="bottom"/>
          </w:tcPr>
          <w:p>
            <w:pPr>
              <w:spacing w:after="0"/>
              <w:rPr>
                <w:sz w:val="16"/>
                <w:szCs w:val="16"/>
                <w:color w:val="auto"/>
              </w:rPr>
            </w:pPr>
          </w:p>
        </w:tc>
        <w:tc>
          <w:tcPr>
            <w:tcW w:w="1080" w:type="dxa"/>
            <w:vAlign w:val="bottom"/>
          </w:tcPr>
          <w:p>
            <w:pPr>
              <w:jc w:val="right"/>
              <w:ind w:right="11"/>
              <w:spacing w:after="0"/>
              <w:rPr>
                <w:sz w:val="20"/>
                <w:szCs w:val="20"/>
                <w:color w:val="auto"/>
              </w:rPr>
            </w:pPr>
            <w:r>
              <w:rPr>
                <w:rFonts w:ascii="Arial" w:cs="Arial" w:eastAsia="Arial" w:hAnsi="Arial"/>
                <w:sz w:val="14"/>
                <w:szCs w:val="14"/>
                <w:color w:val="auto"/>
              </w:rPr>
              <w:t>33</w:t>
            </w:r>
          </w:p>
        </w:tc>
        <w:tc>
          <w:tcPr>
            <w:tcW w:w="1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23</w:t>
            </w:r>
          </w:p>
        </w:tc>
        <w:tc>
          <w:tcPr>
            <w:tcW w:w="12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38</w:t>
            </w:r>
          </w:p>
        </w:tc>
        <w:tc>
          <w:tcPr>
            <w:tcW w:w="10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47</w:t>
            </w:r>
          </w:p>
        </w:tc>
        <w:tc>
          <w:tcPr>
            <w:tcW w:w="12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41</w:t>
            </w:r>
          </w:p>
        </w:tc>
        <w:tc>
          <w:tcPr>
            <w:tcW w:w="0" w:type="dxa"/>
            <w:vAlign w:val="bottom"/>
          </w:tcPr>
          <w:p>
            <w:pPr>
              <w:spacing w:after="0"/>
              <w:rPr>
                <w:sz w:val="1"/>
                <w:szCs w:val="1"/>
                <w:color w:val="auto"/>
              </w:rPr>
            </w:pPr>
          </w:p>
        </w:tc>
      </w:tr>
      <w:tr>
        <w:trPr>
          <w:trHeight w:val="184"/>
        </w:trPr>
        <w:tc>
          <w:tcPr>
            <w:tcW w:w="5100" w:type="dxa"/>
            <w:vAlign w:val="bottom"/>
            <w:shd w:val="clear" w:color="auto" w:fill="CCEEFF"/>
          </w:tcPr>
          <w:p>
            <w:pPr>
              <w:spacing w:after="0" w:line="184" w:lineRule="exact"/>
              <w:rPr>
                <w:sz w:val="20"/>
                <w:szCs w:val="20"/>
                <w:color w:val="auto"/>
              </w:rPr>
            </w:pPr>
            <w:r>
              <w:rPr>
                <w:rFonts w:ascii="Arial" w:cs="Arial" w:eastAsia="Arial" w:hAnsi="Arial"/>
                <w:sz w:val="14"/>
                <w:szCs w:val="14"/>
                <w:color w:val="auto"/>
              </w:rPr>
              <w:t xml:space="preserve">terest rate swap periodic cost, net </w:t>
            </w:r>
            <w:r>
              <w:rPr>
                <w:rFonts w:ascii="Arial" w:cs="Arial" w:eastAsia="Arial" w:hAnsi="Arial"/>
                <w:sz w:val="18"/>
                <w:szCs w:val="18"/>
                <w:color w:val="auto"/>
                <w:vertAlign w:val="superscript"/>
              </w:rPr>
              <w:t>3,8</w:t>
            </w:r>
          </w:p>
        </w:tc>
        <w:tc>
          <w:tcPr>
            <w:tcW w:w="320" w:type="dxa"/>
            <w:vAlign w:val="bottom"/>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75"/>
        </w:trPr>
        <w:tc>
          <w:tcPr>
            <w:tcW w:w="51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nomic interest benefit (expense)</w:t>
            </w:r>
          </w:p>
        </w:tc>
        <w:tc>
          <w:tcPr>
            <w:tcW w:w="320" w:type="dxa"/>
            <w:vAlign w:val="bottom"/>
            <w:tcBorders>
              <w:bottom w:val="single" w:sz="8" w:color="CCEEFF"/>
            </w:tcBorders>
          </w:tcPr>
          <w:p>
            <w:pPr>
              <w:spacing w:after="0"/>
              <w:rPr>
                <w:sz w:val="15"/>
                <w:szCs w:val="15"/>
                <w:color w:val="auto"/>
              </w:rPr>
            </w:pPr>
          </w:p>
        </w:tc>
        <w:tc>
          <w:tcPr>
            <w:tcW w:w="108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6</w:t>
            </w:r>
          </w:p>
        </w:tc>
        <w:tc>
          <w:tcPr>
            <w:tcW w:w="100" w:type="dxa"/>
            <w:vAlign w:val="bottom"/>
            <w:tcBorders>
              <w:bottom w:val="single" w:sz="8" w:color="CCEEFF"/>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w:t>
            </w:r>
          </w:p>
        </w:tc>
        <w:tc>
          <w:tcPr>
            <w:tcW w:w="10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2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w:t>
            </w:r>
          </w:p>
        </w:tc>
        <w:tc>
          <w:tcPr>
            <w:tcW w:w="0" w:type="dxa"/>
            <w:vAlign w:val="bottom"/>
          </w:tcPr>
          <w:p>
            <w:pPr>
              <w:spacing w:after="0"/>
              <w:rPr>
                <w:sz w:val="1"/>
                <w:szCs w:val="1"/>
                <w:color w:val="auto"/>
              </w:rPr>
            </w:pPr>
          </w:p>
        </w:tc>
      </w:tr>
      <w:tr>
        <w:trPr>
          <w:trHeight w:val="205"/>
        </w:trPr>
        <w:tc>
          <w:tcPr>
            <w:tcW w:w="5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w w:val="97"/>
              </w:rPr>
              <w:t>usted net interest and dollar roll income, excluding "catch-up" premium amortization</w:t>
            </w:r>
          </w:p>
        </w:tc>
        <w:tc>
          <w:tcPr>
            <w:tcW w:w="32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443$</w:t>
            </w: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446$</w:t>
            </w:r>
          </w:p>
        </w:tc>
        <w:tc>
          <w:tcPr>
            <w:tcW w:w="12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457$</w:t>
            </w:r>
          </w:p>
        </w:tc>
        <w:tc>
          <w:tcPr>
            <w:tcW w:w="1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459$</w:t>
            </w:r>
          </w:p>
        </w:tc>
        <w:tc>
          <w:tcPr>
            <w:tcW w:w="12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494</w:t>
            </w:r>
          </w:p>
        </w:tc>
        <w:tc>
          <w:tcPr>
            <w:tcW w:w="0" w:type="dxa"/>
            <w:vAlign w:val="bottom"/>
          </w:tcPr>
          <w:p>
            <w:pPr>
              <w:spacing w:after="0"/>
              <w:rPr>
                <w:sz w:val="1"/>
                <w:szCs w:val="1"/>
                <w:color w:val="auto"/>
              </w:rPr>
            </w:pPr>
          </w:p>
        </w:tc>
      </w:tr>
      <w:tr>
        <w:trPr>
          <w:trHeight w:val="20"/>
        </w:trPr>
        <w:tc>
          <w:tcPr>
            <w:tcW w:w="51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4"/>
                <w:szCs w:val="14"/>
                <w:b w:val="1"/>
                <w:bCs w:val="1"/>
                <w:color w:val="auto"/>
              </w:rPr>
              <w:t>nterest spread, excluding "catch-up" amortization:</w:t>
            </w:r>
          </w:p>
        </w:tc>
        <w:tc>
          <w:tcPr>
            <w:tcW w:w="3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5"/>
        </w:trPr>
        <w:tc>
          <w:tcPr>
            <w:tcW w:w="510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5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rage asset yield:</w:t>
            </w:r>
          </w:p>
        </w:tc>
        <w:tc>
          <w:tcPr>
            <w:tcW w:w="32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5100" w:type="dxa"/>
            <w:vAlign w:val="bottom"/>
          </w:tcPr>
          <w:p>
            <w:pPr>
              <w:spacing w:after="0"/>
              <w:rPr>
                <w:sz w:val="20"/>
                <w:szCs w:val="20"/>
                <w:color w:val="auto"/>
              </w:rPr>
            </w:pPr>
            <w:r>
              <w:rPr>
                <w:rFonts w:ascii="Arial" w:cs="Arial" w:eastAsia="Arial" w:hAnsi="Arial"/>
                <w:sz w:val="14"/>
                <w:szCs w:val="14"/>
                <w:color w:val="auto"/>
              </w:rPr>
              <w:t>vestment securities - average asset yield</w:t>
            </w:r>
          </w:p>
        </w:tc>
        <w:tc>
          <w:tcPr>
            <w:tcW w:w="32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2.30%</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1.73%</w:t>
            </w:r>
          </w:p>
        </w:tc>
        <w:tc>
          <w:tcPr>
            <w:tcW w:w="12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3.78%</w:t>
            </w:r>
          </w:p>
        </w:tc>
        <w:tc>
          <w:tcPr>
            <w:tcW w:w="10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1.64%</w:t>
            </w:r>
          </w:p>
        </w:tc>
        <w:tc>
          <w:tcPr>
            <w:tcW w:w="12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2.28%</w:t>
            </w:r>
          </w:p>
        </w:tc>
        <w:tc>
          <w:tcPr>
            <w:tcW w:w="0" w:type="dxa"/>
            <w:vAlign w:val="bottom"/>
          </w:tcPr>
          <w:p>
            <w:pPr>
              <w:spacing w:after="0"/>
              <w:rPr>
                <w:sz w:val="1"/>
                <w:szCs w:val="1"/>
                <w:color w:val="auto"/>
              </w:rPr>
            </w:pPr>
          </w:p>
        </w:tc>
      </w:tr>
      <w:tr>
        <w:trPr>
          <w:trHeight w:val="187"/>
        </w:trPr>
        <w:tc>
          <w:tcPr>
            <w:tcW w:w="5100" w:type="dxa"/>
            <w:vAlign w:val="bottom"/>
            <w:shd w:val="clear" w:color="auto" w:fill="CCEEFF"/>
          </w:tcPr>
          <w:p>
            <w:pPr>
              <w:ind w:left="20"/>
              <w:spacing w:after="0"/>
              <w:rPr>
                <w:sz w:val="20"/>
                <w:szCs w:val="20"/>
                <w:color w:val="auto"/>
              </w:rPr>
            </w:pPr>
            <w:r>
              <w:rPr>
                <w:rFonts w:ascii="Arial" w:cs="Arial" w:eastAsia="Arial" w:hAnsi="Arial"/>
                <w:sz w:val="14"/>
                <w:szCs w:val="14"/>
                <w:color w:val="auto"/>
                <w:w w:val="95"/>
              </w:rPr>
              <w:t>timated "catch-up" premium amortization cost (benefit) due to change in CPR forecast</w:t>
            </w:r>
          </w:p>
        </w:tc>
        <w:tc>
          <w:tcPr>
            <w:tcW w:w="320" w:type="dxa"/>
            <w:vAlign w:val="bottom"/>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0.02%</w:t>
            </w:r>
          </w:p>
        </w:tc>
        <w:tc>
          <w:tcPr>
            <w:tcW w:w="100" w:type="dxa"/>
            <w:vAlign w:val="bottom"/>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0.50%</w:t>
            </w:r>
          </w:p>
        </w:tc>
        <w:tc>
          <w:tcPr>
            <w:tcW w:w="12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(1.45)%</w:t>
            </w:r>
          </w:p>
        </w:tc>
        <w:tc>
          <w:tcPr>
            <w:tcW w:w="10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12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0.31%</w:t>
            </w:r>
          </w:p>
        </w:tc>
        <w:tc>
          <w:tcPr>
            <w:tcW w:w="0" w:type="dxa"/>
            <w:vAlign w:val="bottom"/>
          </w:tcPr>
          <w:p>
            <w:pPr>
              <w:spacing w:after="0"/>
              <w:rPr>
                <w:sz w:val="1"/>
                <w:szCs w:val="1"/>
                <w:color w:val="auto"/>
              </w:rPr>
            </w:pPr>
          </w:p>
        </w:tc>
      </w:tr>
      <w:tr>
        <w:trPr>
          <w:trHeight w:val="175"/>
        </w:trPr>
        <w:tc>
          <w:tcPr>
            <w:tcW w:w="5100" w:type="dxa"/>
            <w:vAlign w:val="bottom"/>
          </w:tcPr>
          <w:p>
            <w:pPr>
              <w:spacing w:after="0"/>
              <w:rPr>
                <w:sz w:val="20"/>
                <w:szCs w:val="20"/>
                <w:color w:val="auto"/>
              </w:rPr>
            </w:pPr>
            <w:r>
              <w:rPr>
                <w:rFonts w:ascii="Arial" w:cs="Arial" w:eastAsia="Arial" w:hAnsi="Arial"/>
                <w:sz w:val="14"/>
                <w:szCs w:val="14"/>
                <w:color w:val="auto"/>
                <w:w w:val="98"/>
              </w:rPr>
              <w:t>vestment securities average asset yield, excluding "catch-up" premium amortization</w:t>
            </w:r>
          </w:p>
        </w:tc>
        <w:tc>
          <w:tcPr>
            <w:tcW w:w="32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2.32%</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2.23%</w:t>
            </w:r>
          </w:p>
        </w:tc>
        <w:tc>
          <w:tcPr>
            <w:tcW w:w="12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2.33%</w:t>
            </w:r>
          </w:p>
        </w:tc>
        <w:tc>
          <w:tcPr>
            <w:tcW w:w="10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2.39%</w:t>
            </w:r>
          </w:p>
        </w:tc>
        <w:tc>
          <w:tcPr>
            <w:tcW w:w="12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2.59%</w:t>
            </w:r>
          </w:p>
        </w:tc>
        <w:tc>
          <w:tcPr>
            <w:tcW w:w="0" w:type="dxa"/>
            <w:vAlign w:val="bottom"/>
          </w:tcPr>
          <w:p>
            <w:pPr>
              <w:spacing w:after="0"/>
              <w:rPr>
                <w:sz w:val="1"/>
                <w:szCs w:val="1"/>
                <w:color w:val="auto"/>
              </w:rPr>
            </w:pPr>
          </w:p>
        </w:tc>
      </w:tr>
      <w:tr>
        <w:trPr>
          <w:trHeight w:val="187"/>
        </w:trPr>
        <w:tc>
          <w:tcPr>
            <w:tcW w:w="5100" w:type="dxa"/>
            <w:vAlign w:val="bottom"/>
            <w:shd w:val="clear" w:color="auto" w:fill="CCEEFF"/>
          </w:tcPr>
          <w:p>
            <w:pPr>
              <w:spacing w:after="0" w:line="187" w:lineRule="exact"/>
              <w:rPr>
                <w:sz w:val="20"/>
                <w:szCs w:val="20"/>
                <w:color w:val="auto"/>
              </w:rPr>
            </w:pPr>
            <w:r>
              <w:rPr>
                <w:rFonts w:ascii="Arial" w:cs="Arial" w:eastAsia="Arial" w:hAnsi="Arial"/>
                <w:sz w:val="14"/>
                <w:szCs w:val="14"/>
                <w:color w:val="auto"/>
              </w:rPr>
              <w:t xml:space="preserve">BA securities - average implied asset yield </w:t>
            </w:r>
            <w:r>
              <w:rPr>
                <w:rFonts w:ascii="Arial" w:cs="Arial" w:eastAsia="Arial" w:hAnsi="Arial"/>
                <w:sz w:val="18"/>
                <w:szCs w:val="18"/>
                <w:color w:val="auto"/>
                <w:vertAlign w:val="superscript"/>
              </w:rPr>
              <w:t>6</w:t>
            </w:r>
          </w:p>
        </w:tc>
        <w:tc>
          <w:tcPr>
            <w:tcW w:w="320" w:type="dxa"/>
            <w:vAlign w:val="bottom"/>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1.88%</w:t>
            </w:r>
          </w:p>
        </w:tc>
        <w:tc>
          <w:tcPr>
            <w:tcW w:w="100" w:type="dxa"/>
            <w:vAlign w:val="bottom"/>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1.98%</w:t>
            </w:r>
          </w:p>
        </w:tc>
        <w:tc>
          <w:tcPr>
            <w:tcW w:w="12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1.44%</w:t>
            </w:r>
          </w:p>
        </w:tc>
        <w:tc>
          <w:tcPr>
            <w:tcW w:w="10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1.53%</w:t>
            </w:r>
          </w:p>
        </w:tc>
        <w:tc>
          <w:tcPr>
            <w:tcW w:w="12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0" w:type="dxa"/>
            <w:vAlign w:val="bottom"/>
          </w:tcPr>
          <w:p>
            <w:pPr>
              <w:spacing w:after="0"/>
              <w:rPr>
                <w:sz w:val="1"/>
                <w:szCs w:val="1"/>
                <w:color w:val="auto"/>
              </w:rPr>
            </w:pPr>
          </w:p>
        </w:tc>
      </w:tr>
      <w:tr>
        <w:trPr>
          <w:trHeight w:val="177"/>
        </w:trPr>
        <w:tc>
          <w:tcPr>
            <w:tcW w:w="5100" w:type="dxa"/>
            <w:vAlign w:val="bottom"/>
            <w:tcBorders>
              <w:bottom w:val="single" w:sz="8" w:color="CCEEFF"/>
            </w:tcBorders>
          </w:tcPr>
          <w:p>
            <w:pPr>
              <w:ind w:left="20"/>
              <w:spacing w:after="0" w:line="177" w:lineRule="exact"/>
              <w:rPr>
                <w:sz w:val="20"/>
                <w:szCs w:val="20"/>
                <w:color w:val="auto"/>
              </w:rPr>
            </w:pPr>
            <w:r>
              <w:rPr>
                <w:rFonts w:ascii="Arial" w:cs="Arial" w:eastAsia="Arial" w:hAnsi="Arial"/>
                <w:sz w:val="14"/>
                <w:szCs w:val="14"/>
                <w:color w:val="auto"/>
              </w:rPr>
              <w:t xml:space="preserve">rage asset yield, excluding "catch-up" premium amortization </w:t>
            </w:r>
            <w:r>
              <w:rPr>
                <w:rFonts w:ascii="Arial" w:cs="Arial" w:eastAsia="Arial" w:hAnsi="Arial"/>
                <w:sz w:val="18"/>
                <w:szCs w:val="18"/>
                <w:color w:val="auto"/>
                <w:vertAlign w:val="superscript"/>
              </w:rPr>
              <w:t>7</w:t>
            </w:r>
          </w:p>
        </w:tc>
        <w:tc>
          <w:tcPr>
            <w:tcW w:w="320" w:type="dxa"/>
            <w:vAlign w:val="bottom"/>
            <w:tcBorders>
              <w:bottom w:val="single" w:sz="8" w:color="CCEEFF"/>
            </w:tcBorders>
          </w:tcPr>
          <w:p>
            <w:pPr>
              <w:spacing w:after="0"/>
              <w:rPr>
                <w:sz w:val="15"/>
                <w:szCs w:val="15"/>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2.16%</w:t>
            </w:r>
          </w:p>
        </w:tc>
        <w:tc>
          <w:tcPr>
            <w:tcW w:w="100" w:type="dxa"/>
            <w:vAlign w:val="bottom"/>
            <w:tcBorders>
              <w:bottom w:val="single" w:sz="8" w:color="CCEEFF"/>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2.15%</w:t>
            </w:r>
          </w:p>
        </w:tc>
        <w:tc>
          <w:tcPr>
            <w:tcW w:w="12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2.02%</w:t>
            </w:r>
          </w:p>
        </w:tc>
        <w:tc>
          <w:tcPr>
            <w:tcW w:w="10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2.07%</w:t>
            </w:r>
          </w:p>
        </w:tc>
        <w:tc>
          <w:tcPr>
            <w:tcW w:w="12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2.30%</w:t>
            </w:r>
          </w:p>
        </w:tc>
        <w:tc>
          <w:tcPr>
            <w:tcW w:w="0" w:type="dxa"/>
            <w:vAlign w:val="bottom"/>
          </w:tcPr>
          <w:p>
            <w:pPr>
              <w:spacing w:after="0"/>
              <w:rPr>
                <w:sz w:val="1"/>
                <w:szCs w:val="1"/>
                <w:color w:val="auto"/>
              </w:rPr>
            </w:pPr>
          </w:p>
        </w:tc>
      </w:tr>
      <w:tr>
        <w:trPr>
          <w:trHeight w:val="164"/>
        </w:trPr>
        <w:tc>
          <w:tcPr>
            <w:tcW w:w="5100" w:type="dxa"/>
            <w:vAlign w:val="bottom"/>
            <w:shd w:val="clear" w:color="auto" w:fill="CCEEFF"/>
          </w:tcPr>
          <w:p>
            <w:pPr>
              <w:ind w:left="20"/>
              <w:spacing w:after="0" w:line="159" w:lineRule="exact"/>
              <w:rPr>
                <w:sz w:val="20"/>
                <w:szCs w:val="20"/>
                <w:color w:val="auto"/>
              </w:rPr>
            </w:pPr>
            <w:r>
              <w:rPr>
                <w:rFonts w:ascii="Arial" w:cs="Arial" w:eastAsia="Arial" w:hAnsi="Arial"/>
                <w:sz w:val="14"/>
                <w:szCs w:val="14"/>
                <w:color w:val="auto"/>
              </w:rPr>
              <w:t>rage total cost of funds:</w:t>
            </w:r>
          </w:p>
        </w:tc>
        <w:tc>
          <w:tcPr>
            <w:tcW w:w="32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5100" w:type="dxa"/>
            <w:vAlign w:val="bottom"/>
          </w:tcPr>
          <w:p>
            <w:pPr>
              <w:spacing w:after="0"/>
              <w:rPr>
                <w:sz w:val="20"/>
                <w:szCs w:val="20"/>
                <w:color w:val="auto"/>
              </w:rPr>
            </w:pPr>
            <w:r>
              <w:rPr>
                <w:rFonts w:ascii="Arial" w:cs="Arial" w:eastAsia="Arial" w:hAnsi="Arial"/>
                <w:sz w:val="14"/>
                <w:szCs w:val="14"/>
                <w:color w:val="auto"/>
              </w:rPr>
              <w:t>epurchase agreements and other debt - average funding cost</w:t>
            </w:r>
          </w:p>
        </w:tc>
        <w:tc>
          <w:tcPr>
            <w:tcW w:w="32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0.12%</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0.13%</w:t>
            </w:r>
          </w:p>
        </w:tc>
        <w:tc>
          <w:tcPr>
            <w:tcW w:w="12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0.21%</w:t>
            </w:r>
          </w:p>
        </w:tc>
        <w:tc>
          <w:tcPr>
            <w:tcW w:w="10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0.38%</w:t>
            </w:r>
          </w:p>
        </w:tc>
        <w:tc>
          <w:tcPr>
            <w:tcW w:w="12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0.40%</w:t>
            </w:r>
          </w:p>
        </w:tc>
        <w:tc>
          <w:tcPr>
            <w:tcW w:w="0" w:type="dxa"/>
            <w:vAlign w:val="bottom"/>
          </w:tcPr>
          <w:p>
            <w:pPr>
              <w:spacing w:after="0"/>
              <w:rPr>
                <w:sz w:val="1"/>
                <w:szCs w:val="1"/>
                <w:color w:val="auto"/>
              </w:rPr>
            </w:pPr>
          </w:p>
        </w:tc>
      </w:tr>
      <w:tr>
        <w:trPr>
          <w:trHeight w:val="187"/>
        </w:trPr>
        <w:tc>
          <w:tcPr>
            <w:tcW w:w="5100" w:type="dxa"/>
            <w:vAlign w:val="bottom"/>
            <w:shd w:val="clear" w:color="auto" w:fill="CCEEFF"/>
          </w:tcPr>
          <w:p>
            <w:pPr>
              <w:spacing w:after="0" w:line="187" w:lineRule="exact"/>
              <w:rPr>
                <w:sz w:val="20"/>
                <w:szCs w:val="20"/>
                <w:color w:val="auto"/>
              </w:rPr>
            </w:pPr>
            <w:r>
              <w:rPr>
                <w:rFonts w:ascii="Arial" w:cs="Arial" w:eastAsia="Arial" w:hAnsi="Arial"/>
                <w:sz w:val="14"/>
                <w:szCs w:val="14"/>
                <w:color w:val="auto"/>
              </w:rPr>
              <w:t xml:space="preserve">BA securities - average implied funding (benefit) cost </w:t>
            </w:r>
            <w:r>
              <w:rPr>
                <w:rFonts w:ascii="Arial" w:cs="Arial" w:eastAsia="Arial" w:hAnsi="Arial"/>
                <w:sz w:val="18"/>
                <w:szCs w:val="18"/>
                <w:color w:val="auto"/>
                <w:vertAlign w:val="superscript"/>
              </w:rPr>
              <w:t>5</w:t>
            </w:r>
          </w:p>
        </w:tc>
        <w:tc>
          <w:tcPr>
            <w:tcW w:w="320" w:type="dxa"/>
            <w:vAlign w:val="bottom"/>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(0.42)%</w:t>
            </w:r>
          </w:p>
        </w:tc>
        <w:tc>
          <w:tcPr>
            <w:tcW w:w="100" w:type="dxa"/>
            <w:vAlign w:val="bottom"/>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(0.33)%</w:t>
            </w:r>
          </w:p>
        </w:tc>
        <w:tc>
          <w:tcPr>
            <w:tcW w:w="12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(0.48)%</w:t>
            </w:r>
          </w:p>
        </w:tc>
        <w:tc>
          <w:tcPr>
            <w:tcW w:w="10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(0.54)%</w:t>
            </w:r>
          </w:p>
        </w:tc>
        <w:tc>
          <w:tcPr>
            <w:tcW w:w="12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(0.58)%</w:t>
            </w:r>
          </w:p>
        </w:tc>
        <w:tc>
          <w:tcPr>
            <w:tcW w:w="0" w:type="dxa"/>
            <w:vAlign w:val="bottom"/>
          </w:tcPr>
          <w:p>
            <w:pPr>
              <w:spacing w:after="0"/>
              <w:rPr>
                <w:sz w:val="1"/>
                <w:szCs w:val="1"/>
                <w:color w:val="auto"/>
              </w:rPr>
            </w:pPr>
          </w:p>
        </w:tc>
      </w:tr>
      <w:tr>
        <w:trPr>
          <w:trHeight w:val="177"/>
        </w:trPr>
        <w:tc>
          <w:tcPr>
            <w:tcW w:w="5100" w:type="dxa"/>
            <w:vAlign w:val="bottom"/>
          </w:tcPr>
          <w:p>
            <w:pPr>
              <w:spacing w:after="0" w:line="177" w:lineRule="exact"/>
              <w:rPr>
                <w:sz w:val="20"/>
                <w:szCs w:val="20"/>
                <w:color w:val="auto"/>
              </w:rPr>
            </w:pPr>
            <w:r>
              <w:rPr>
                <w:rFonts w:ascii="Arial" w:cs="Arial" w:eastAsia="Arial" w:hAnsi="Arial"/>
                <w:sz w:val="14"/>
                <w:szCs w:val="14"/>
                <w:color w:val="auto"/>
              </w:rPr>
              <w:t xml:space="preserve">verage cost of funds, before interest rate swap periodic cost, net </w:t>
            </w:r>
            <w:r>
              <w:rPr>
                <w:rFonts w:ascii="Arial" w:cs="Arial" w:eastAsia="Arial" w:hAnsi="Arial"/>
                <w:sz w:val="18"/>
                <w:szCs w:val="18"/>
                <w:color w:val="auto"/>
                <w:vertAlign w:val="superscript"/>
              </w:rPr>
              <w:t>7</w:t>
            </w:r>
          </w:p>
        </w:tc>
        <w:tc>
          <w:tcPr>
            <w:tcW w:w="32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(0.10)%</w:t>
            </w:r>
          </w:p>
        </w:tc>
        <w:tc>
          <w:tcPr>
            <w:tcW w:w="10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(0.03)%</w:t>
            </w:r>
          </w:p>
        </w:tc>
        <w:tc>
          <w:tcPr>
            <w:tcW w:w="12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(0.04)%</w:t>
            </w:r>
          </w:p>
        </w:tc>
        <w:tc>
          <w:tcPr>
            <w:tcW w:w="10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0.02%</w:t>
            </w:r>
          </w:p>
        </w:tc>
        <w:tc>
          <w:tcPr>
            <w:tcW w:w="12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0.09%</w:t>
            </w:r>
          </w:p>
        </w:tc>
        <w:tc>
          <w:tcPr>
            <w:tcW w:w="0" w:type="dxa"/>
            <w:vAlign w:val="bottom"/>
          </w:tcPr>
          <w:p>
            <w:pPr>
              <w:spacing w:after="0"/>
              <w:rPr>
                <w:sz w:val="1"/>
                <w:szCs w:val="1"/>
                <w:color w:val="auto"/>
              </w:rPr>
            </w:pPr>
          </w:p>
        </w:tc>
      </w:tr>
      <w:tr>
        <w:trPr>
          <w:trHeight w:val="184"/>
        </w:trPr>
        <w:tc>
          <w:tcPr>
            <w:tcW w:w="5100" w:type="dxa"/>
            <w:vAlign w:val="bottom"/>
            <w:shd w:val="clear" w:color="auto" w:fill="CCEEFF"/>
          </w:tcPr>
          <w:p>
            <w:pPr>
              <w:spacing w:after="0" w:line="184" w:lineRule="exact"/>
              <w:rPr>
                <w:sz w:val="20"/>
                <w:szCs w:val="20"/>
                <w:color w:val="auto"/>
              </w:rPr>
            </w:pPr>
            <w:r>
              <w:rPr>
                <w:rFonts w:ascii="Arial" w:cs="Arial" w:eastAsia="Arial" w:hAnsi="Arial"/>
                <w:sz w:val="14"/>
                <w:szCs w:val="14"/>
                <w:color w:val="auto"/>
              </w:rPr>
              <w:t xml:space="preserve">terest rate swap periodic cost, net </w:t>
            </w:r>
            <w:r>
              <w:rPr>
                <w:rFonts w:ascii="Arial" w:cs="Arial" w:eastAsia="Arial" w:hAnsi="Arial"/>
                <w:sz w:val="18"/>
                <w:szCs w:val="18"/>
                <w:color w:val="auto"/>
                <w:vertAlign w:val="superscript"/>
              </w:rPr>
              <w:t>10</w:t>
            </w:r>
          </w:p>
        </w:tc>
        <w:tc>
          <w:tcPr>
            <w:tcW w:w="320" w:type="dxa"/>
            <w:vAlign w:val="bottom"/>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0.07%</w:t>
            </w:r>
          </w:p>
        </w:tc>
        <w:tc>
          <w:tcPr>
            <w:tcW w:w="100" w:type="dxa"/>
            <w:vAlign w:val="bottom"/>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0.09%</w:t>
            </w:r>
          </w:p>
        </w:tc>
        <w:tc>
          <w:tcPr>
            <w:tcW w:w="12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0.06%</w:t>
            </w:r>
          </w:p>
        </w:tc>
        <w:tc>
          <w:tcPr>
            <w:tcW w:w="10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0.03%</w:t>
            </w:r>
          </w:p>
        </w:tc>
        <w:tc>
          <w:tcPr>
            <w:tcW w:w="120" w:type="dxa"/>
            <w:vAlign w:val="bottom"/>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0.06%</w:t>
            </w:r>
          </w:p>
        </w:tc>
        <w:tc>
          <w:tcPr>
            <w:tcW w:w="0" w:type="dxa"/>
            <w:vAlign w:val="bottom"/>
          </w:tcPr>
          <w:p>
            <w:pPr>
              <w:spacing w:after="0"/>
              <w:rPr>
                <w:sz w:val="1"/>
                <w:szCs w:val="1"/>
                <w:color w:val="auto"/>
              </w:rPr>
            </w:pPr>
          </w:p>
        </w:tc>
      </w:tr>
      <w:tr>
        <w:trPr>
          <w:trHeight w:val="177"/>
        </w:trPr>
        <w:tc>
          <w:tcPr>
            <w:tcW w:w="5100" w:type="dxa"/>
            <w:vAlign w:val="bottom"/>
            <w:tcBorders>
              <w:bottom w:val="single" w:sz="8" w:color="CCEEFF"/>
            </w:tcBorders>
          </w:tcPr>
          <w:p>
            <w:pPr>
              <w:ind w:left="20"/>
              <w:spacing w:after="0" w:line="177" w:lineRule="exact"/>
              <w:rPr>
                <w:sz w:val="20"/>
                <w:szCs w:val="20"/>
                <w:color w:val="auto"/>
              </w:rPr>
            </w:pPr>
            <w:r>
              <w:rPr>
                <w:rFonts w:ascii="Arial" w:cs="Arial" w:eastAsia="Arial" w:hAnsi="Arial"/>
                <w:sz w:val="14"/>
                <w:szCs w:val="14"/>
                <w:color w:val="auto"/>
              </w:rPr>
              <w:t xml:space="preserve">rage total cost of funds </w:t>
            </w:r>
            <w:r>
              <w:rPr>
                <w:rFonts w:ascii="Arial" w:cs="Arial" w:eastAsia="Arial" w:hAnsi="Arial"/>
                <w:sz w:val="18"/>
                <w:szCs w:val="18"/>
                <w:color w:val="auto"/>
                <w:vertAlign w:val="superscript"/>
              </w:rPr>
              <w:t>9</w:t>
            </w:r>
          </w:p>
        </w:tc>
        <w:tc>
          <w:tcPr>
            <w:tcW w:w="320" w:type="dxa"/>
            <w:vAlign w:val="bottom"/>
            <w:tcBorders>
              <w:bottom w:val="single" w:sz="8" w:color="CCEEFF"/>
            </w:tcBorders>
          </w:tcPr>
          <w:p>
            <w:pPr>
              <w:spacing w:after="0"/>
              <w:rPr>
                <w:sz w:val="15"/>
                <w:szCs w:val="15"/>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(0.03)%</w:t>
            </w:r>
          </w:p>
        </w:tc>
        <w:tc>
          <w:tcPr>
            <w:tcW w:w="100" w:type="dxa"/>
            <w:vAlign w:val="bottom"/>
            <w:tcBorders>
              <w:bottom w:val="single" w:sz="8" w:color="CCEEFF"/>
            </w:tcBorders>
          </w:tcPr>
          <w:p>
            <w:pPr>
              <w:spacing w:after="0"/>
              <w:rPr>
                <w:sz w:val="15"/>
                <w:szCs w:val="15"/>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0.06%</w:t>
            </w:r>
          </w:p>
        </w:tc>
        <w:tc>
          <w:tcPr>
            <w:tcW w:w="12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0.02%</w:t>
            </w:r>
          </w:p>
        </w:tc>
        <w:tc>
          <w:tcPr>
            <w:tcW w:w="10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0.05%</w:t>
            </w:r>
          </w:p>
        </w:tc>
        <w:tc>
          <w:tcPr>
            <w:tcW w:w="12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0.15%</w:t>
            </w:r>
          </w:p>
        </w:tc>
        <w:tc>
          <w:tcPr>
            <w:tcW w:w="0" w:type="dxa"/>
            <w:vAlign w:val="bottom"/>
          </w:tcPr>
          <w:p>
            <w:pPr>
              <w:spacing w:after="0"/>
              <w:rPr>
                <w:sz w:val="1"/>
                <w:szCs w:val="1"/>
                <w:color w:val="auto"/>
              </w:rPr>
            </w:pPr>
          </w:p>
        </w:tc>
      </w:tr>
      <w:tr>
        <w:trPr>
          <w:trHeight w:val="202"/>
        </w:trPr>
        <w:tc>
          <w:tcPr>
            <w:tcW w:w="5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rage net interest spread, excluding "catch-up" premium amortization</w:t>
            </w:r>
          </w:p>
        </w:tc>
        <w:tc>
          <w:tcPr>
            <w:tcW w:w="320" w:type="dxa"/>
            <w:vAlign w:val="bottom"/>
            <w:tcBorders>
              <w:bottom w:val="single" w:sz="8" w:color="CCEEFF"/>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2.19%</w:t>
            </w: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2.09%</w:t>
            </w:r>
          </w:p>
        </w:tc>
        <w:tc>
          <w:tcPr>
            <w:tcW w:w="12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2.00%</w:t>
            </w:r>
          </w:p>
        </w:tc>
        <w:tc>
          <w:tcPr>
            <w:tcW w:w="1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2.02%</w:t>
            </w:r>
          </w:p>
        </w:tc>
        <w:tc>
          <w:tcPr>
            <w:tcW w:w="12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2.15%</w:t>
            </w:r>
          </w:p>
        </w:tc>
        <w:tc>
          <w:tcPr>
            <w:tcW w:w="0" w:type="dxa"/>
            <w:vAlign w:val="bottom"/>
          </w:tcPr>
          <w:p>
            <w:pPr>
              <w:spacing w:after="0"/>
              <w:rPr>
                <w:sz w:val="1"/>
                <w:szCs w:val="1"/>
                <w:color w:val="auto"/>
              </w:rPr>
            </w:pPr>
          </w:p>
        </w:tc>
      </w:tr>
      <w:tr>
        <w:trPr>
          <w:trHeight w:val="20"/>
        </w:trPr>
        <w:tc>
          <w:tcPr>
            <w:tcW w:w="5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160"/>
          </w:cols>
          <w:pgMar w:left="220" w:top="146" w:right="519" w:bottom="1440" w:gutter="0" w:footer="0" w:header="0"/>
        </w:sectPr>
      </w:pPr>
    </w:p>
    <w:bookmarkStart w:id="14" w:name="page15"/>
    <w:bookmarkEnd w:id="14"/>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12</w:t>
      </w: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AGNC INVESTMENT CORP.</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KEY STATISTICS*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(in millions, except per share data)</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7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color w:val="auto"/>
                <w:w w:val="99"/>
              </w:rPr>
              <w:t>Three Months Ended</w:t>
            </w: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47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Key Balance Sheet Statistics:</w:t>
            </w:r>
          </w:p>
        </w:tc>
        <w:tc>
          <w:tcPr>
            <w:tcW w:w="14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4"/>
                <w:szCs w:val="14"/>
                <w:color w:val="auto"/>
              </w:rPr>
              <w:t>September 30,</w:t>
            </w:r>
          </w:p>
        </w:tc>
        <w:tc>
          <w:tcPr>
            <w:tcW w:w="240" w:type="dxa"/>
            <w:vAlign w:val="bottom"/>
          </w:tcPr>
          <w:p>
            <w:pPr>
              <w:spacing w:after="0"/>
              <w:rPr>
                <w:sz w:val="11"/>
                <w:szCs w:val="11"/>
                <w:color w:val="auto"/>
              </w:rPr>
            </w:pPr>
          </w:p>
        </w:tc>
        <w:tc>
          <w:tcPr>
            <w:tcW w:w="1080" w:type="dxa"/>
            <w:vAlign w:val="bottom"/>
            <w:gridSpan w:val="2"/>
          </w:tcPr>
          <w:p>
            <w:pPr>
              <w:ind w:left="140"/>
              <w:spacing w:after="0" w:line="130" w:lineRule="exact"/>
              <w:rPr>
                <w:sz w:val="20"/>
                <w:szCs w:val="20"/>
                <w:color w:val="auto"/>
              </w:rPr>
            </w:pPr>
            <w:r>
              <w:rPr>
                <w:rFonts w:ascii="Arial" w:cs="Arial" w:eastAsia="Arial" w:hAnsi="Arial"/>
                <w:sz w:val="14"/>
                <w:szCs w:val="14"/>
                <w:color w:val="auto"/>
              </w:rPr>
              <w:t>June 30,</w:t>
            </w:r>
          </w:p>
        </w:tc>
        <w:tc>
          <w:tcPr>
            <w:tcW w:w="220" w:type="dxa"/>
            <w:vAlign w:val="bottom"/>
          </w:tcPr>
          <w:p>
            <w:pPr>
              <w:spacing w:after="0"/>
              <w:rPr>
                <w:sz w:val="11"/>
                <w:szCs w:val="11"/>
                <w:color w:val="auto"/>
              </w:rPr>
            </w:pPr>
          </w:p>
        </w:tc>
        <w:tc>
          <w:tcPr>
            <w:tcW w:w="1120" w:type="dxa"/>
            <w:vAlign w:val="bottom"/>
            <w:gridSpan w:val="2"/>
          </w:tcPr>
          <w:p>
            <w:pPr>
              <w:ind w:left="100"/>
              <w:spacing w:after="0" w:line="130" w:lineRule="exact"/>
              <w:rPr>
                <w:sz w:val="20"/>
                <w:szCs w:val="20"/>
                <w:color w:val="auto"/>
              </w:rPr>
            </w:pPr>
            <w:r>
              <w:rPr>
                <w:rFonts w:ascii="Arial" w:cs="Arial" w:eastAsia="Arial" w:hAnsi="Arial"/>
                <w:sz w:val="14"/>
                <w:szCs w:val="14"/>
                <w:color w:val="auto"/>
              </w:rPr>
              <w:t>March 31,</w:t>
            </w:r>
          </w:p>
        </w:tc>
        <w:tc>
          <w:tcPr>
            <w:tcW w:w="1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4"/>
                <w:szCs w:val="14"/>
                <w:color w:val="auto"/>
              </w:rPr>
              <w:t>December 31,</w:t>
            </w:r>
          </w:p>
        </w:tc>
        <w:tc>
          <w:tcPr>
            <w:tcW w:w="140" w:type="dxa"/>
            <w:vAlign w:val="bottom"/>
          </w:tcPr>
          <w:p>
            <w:pPr>
              <w:spacing w:after="0"/>
              <w:rPr>
                <w:sz w:val="11"/>
                <w:szCs w:val="11"/>
                <w:color w:val="auto"/>
              </w:rPr>
            </w:pPr>
          </w:p>
        </w:tc>
        <w:tc>
          <w:tcPr>
            <w:tcW w:w="1080" w:type="dxa"/>
            <w:vAlign w:val="bottom"/>
          </w:tcPr>
          <w:p>
            <w:pPr>
              <w:jc w:val="right"/>
              <w:ind w:right="150"/>
              <w:spacing w:after="0" w:line="130" w:lineRule="exact"/>
              <w:rPr>
                <w:sz w:val="20"/>
                <w:szCs w:val="20"/>
                <w:color w:val="auto"/>
              </w:rPr>
            </w:pPr>
            <w:r>
              <w:rPr>
                <w:rFonts w:ascii="Arial" w:cs="Arial" w:eastAsia="Arial" w:hAnsi="Arial"/>
                <w:sz w:val="14"/>
                <w:szCs w:val="14"/>
                <w:color w:val="auto"/>
                <w:w w:val="91"/>
              </w:rPr>
              <w:t>September 30,</w:t>
            </w:r>
          </w:p>
        </w:tc>
        <w:tc>
          <w:tcPr>
            <w:tcW w:w="0" w:type="dxa"/>
            <w:vAlign w:val="bottom"/>
          </w:tcPr>
          <w:p>
            <w:pPr>
              <w:spacing w:after="0"/>
              <w:rPr>
                <w:sz w:val="1"/>
                <w:szCs w:val="1"/>
                <w:color w:val="auto"/>
              </w:rPr>
            </w:pPr>
          </w:p>
        </w:tc>
      </w:tr>
      <w:tr>
        <w:trPr>
          <w:trHeight w:val="181"/>
        </w:trPr>
        <w:tc>
          <w:tcPr>
            <w:tcW w:w="4720" w:type="dxa"/>
            <w:vAlign w:val="bottom"/>
            <w:tcBorders>
              <w:bottom w:val="single" w:sz="8" w:color="CCEEFF"/>
            </w:tcBorders>
            <w:vMerge w:val="continue"/>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10"/>
              <w:spacing w:after="0"/>
              <w:rPr>
                <w:sz w:val="20"/>
                <w:szCs w:val="20"/>
                <w:color w:val="auto"/>
              </w:rPr>
            </w:pPr>
            <w:r>
              <w:rPr>
                <w:rFonts w:ascii="Arial" w:cs="Arial" w:eastAsia="Arial" w:hAnsi="Arial"/>
                <w:sz w:val="14"/>
                <w:szCs w:val="14"/>
                <w:color w:val="auto"/>
              </w:rPr>
              <w:t>2021</w:t>
            </w:r>
          </w:p>
        </w:tc>
        <w:tc>
          <w:tcPr>
            <w:tcW w:w="1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right"/>
              <w:ind w:right="410"/>
              <w:spacing w:after="0"/>
              <w:rPr>
                <w:sz w:val="20"/>
                <w:szCs w:val="20"/>
                <w:color w:val="auto"/>
              </w:rPr>
            </w:pPr>
            <w:r>
              <w:rPr>
                <w:rFonts w:ascii="Arial" w:cs="Arial" w:eastAsia="Arial" w:hAnsi="Arial"/>
                <w:sz w:val="14"/>
                <w:szCs w:val="14"/>
                <w:color w:val="auto"/>
              </w:rPr>
              <w:t>2021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390"/>
              <w:spacing w:after="0"/>
              <w:rPr>
                <w:sz w:val="20"/>
                <w:szCs w:val="20"/>
                <w:color w:val="auto"/>
              </w:rPr>
            </w:pPr>
            <w:r>
              <w:rPr>
                <w:rFonts w:ascii="Arial" w:cs="Arial" w:eastAsia="Arial" w:hAnsi="Arial"/>
                <w:sz w:val="14"/>
                <w:szCs w:val="14"/>
                <w:color w:val="auto"/>
              </w:rPr>
              <w:t>2021</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370"/>
              <w:spacing w:after="0"/>
              <w:rPr>
                <w:sz w:val="20"/>
                <w:szCs w:val="20"/>
                <w:color w:val="auto"/>
              </w:rPr>
            </w:pPr>
            <w:r>
              <w:rPr>
                <w:rFonts w:ascii="Arial" w:cs="Arial" w:eastAsia="Arial" w:hAnsi="Arial"/>
                <w:sz w:val="14"/>
                <w:szCs w:val="14"/>
                <w:color w:val="auto"/>
              </w:rPr>
              <w:t>2020</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10"/>
              <w:spacing w:after="0"/>
              <w:rPr>
                <w:sz w:val="20"/>
                <w:szCs w:val="20"/>
                <w:color w:val="auto"/>
              </w:rPr>
            </w:pPr>
            <w:r>
              <w:rPr>
                <w:rFonts w:ascii="Arial" w:cs="Arial" w:eastAsia="Arial" w:hAnsi="Arial"/>
                <w:sz w:val="14"/>
                <w:szCs w:val="14"/>
                <w:color w:val="auto"/>
              </w:rPr>
              <w:t>2020</w:t>
            </w:r>
          </w:p>
        </w:tc>
        <w:tc>
          <w:tcPr>
            <w:tcW w:w="0" w:type="dxa"/>
            <w:vAlign w:val="bottom"/>
          </w:tcPr>
          <w:p>
            <w:pPr>
              <w:spacing w:after="0"/>
              <w:rPr>
                <w:sz w:val="1"/>
                <w:szCs w:val="1"/>
                <w:color w:val="auto"/>
              </w:rPr>
            </w:pPr>
          </w:p>
        </w:tc>
      </w:tr>
      <w:tr>
        <w:trPr>
          <w:trHeight w:val="167"/>
        </w:trPr>
        <w:tc>
          <w:tcPr>
            <w:tcW w:w="4720" w:type="dxa"/>
            <w:vAlign w:val="bottom"/>
            <w:shd w:val="clear" w:color="auto" w:fill="CCEEFF"/>
          </w:tcPr>
          <w:p>
            <w:pPr>
              <w:ind w:left="20"/>
              <w:spacing w:after="0" w:line="167" w:lineRule="exact"/>
              <w:rPr>
                <w:sz w:val="20"/>
                <w:szCs w:val="20"/>
                <w:color w:val="auto"/>
              </w:rPr>
            </w:pPr>
            <w:r>
              <w:rPr>
                <w:rFonts w:ascii="Arial" w:cs="Arial" w:eastAsia="Arial" w:hAnsi="Arial"/>
                <w:sz w:val="14"/>
                <w:szCs w:val="14"/>
                <w:color w:val="auto"/>
              </w:rPr>
              <w:t xml:space="preserve">Investment securities: </w:t>
            </w:r>
            <w:r>
              <w:rPr>
                <w:rFonts w:ascii="Arial" w:cs="Arial" w:eastAsia="Arial" w:hAnsi="Arial"/>
                <w:sz w:val="18"/>
                <w:szCs w:val="18"/>
                <w:color w:val="auto"/>
                <w:vertAlign w:val="superscript"/>
              </w:rPr>
              <w:t>12</w:t>
            </w:r>
          </w:p>
        </w:tc>
        <w:tc>
          <w:tcPr>
            <w:tcW w:w="14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Fixed-rate Agency MBS, at fair value - as of period end</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53,395</w:t>
            </w:r>
          </w:p>
        </w:tc>
        <w:tc>
          <w:tcPr>
            <w:tcW w:w="100" w:type="dxa"/>
            <w:vAlign w:val="bottom"/>
          </w:tcPr>
          <w:p>
            <w:pPr>
              <w:spacing w:after="0"/>
              <w:rPr>
                <w:sz w:val="15"/>
                <w:szCs w:val="15"/>
                <w:color w:val="auto"/>
              </w:rPr>
            </w:pP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57,757</w:t>
            </w:r>
          </w:p>
        </w:tc>
        <w:tc>
          <w:tcPr>
            <w:tcW w:w="100" w:type="dxa"/>
            <w:vAlign w:val="bottom"/>
          </w:tcPr>
          <w:p>
            <w:pPr>
              <w:spacing w:after="0"/>
              <w:rPr>
                <w:sz w:val="15"/>
                <w:szCs w:val="15"/>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63,122</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64,615</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66,278</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Other Agency MBS, at fair value - as of period end</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348</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384</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434</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516</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601</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Credit risk transfer securities, at fair value - as of period end</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1,072</w:t>
            </w:r>
          </w:p>
        </w:tc>
        <w:tc>
          <w:tcPr>
            <w:tcW w:w="100" w:type="dxa"/>
            <w:vAlign w:val="bottom"/>
          </w:tcPr>
          <w:p>
            <w:pPr>
              <w:spacing w:after="0"/>
              <w:rPr>
                <w:sz w:val="15"/>
                <w:szCs w:val="15"/>
                <w:color w:val="auto"/>
              </w:rPr>
            </w:pP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1,105</w:t>
            </w:r>
          </w:p>
        </w:tc>
        <w:tc>
          <w:tcPr>
            <w:tcW w:w="100" w:type="dxa"/>
            <w:vAlign w:val="bottom"/>
          </w:tcPr>
          <w:p>
            <w:pPr>
              <w:spacing w:after="0"/>
              <w:rPr>
                <w:sz w:val="15"/>
                <w:szCs w:val="15"/>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1,073</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737</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653</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Non-Agency MBS, at fair value - as of period end</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578</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553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868</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546</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512</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Total investment securities, at fair value - as of period end</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55,393</w:t>
            </w:r>
          </w:p>
        </w:tc>
        <w:tc>
          <w:tcPr>
            <w:tcW w:w="100" w:type="dxa"/>
            <w:vAlign w:val="bottom"/>
          </w:tcPr>
          <w:p>
            <w:pPr>
              <w:spacing w:after="0"/>
              <w:rPr>
                <w:sz w:val="15"/>
                <w:szCs w:val="15"/>
                <w:color w:val="auto"/>
              </w:rPr>
            </w:pP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59,799</w:t>
            </w:r>
          </w:p>
        </w:tc>
        <w:tc>
          <w:tcPr>
            <w:tcW w:w="100" w:type="dxa"/>
            <w:vAlign w:val="bottom"/>
          </w:tcPr>
          <w:p>
            <w:pPr>
              <w:spacing w:after="0"/>
              <w:rPr>
                <w:sz w:val="15"/>
                <w:szCs w:val="15"/>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65,497</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66,414</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68,044</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Total investment securities, at cost - as of period end</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54,112</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58,379</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63,975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63,701</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65,024</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Total investment securities, at par - as of period end</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52,223</w:t>
            </w:r>
          </w:p>
        </w:tc>
        <w:tc>
          <w:tcPr>
            <w:tcW w:w="100" w:type="dxa"/>
            <w:vAlign w:val="bottom"/>
          </w:tcPr>
          <w:p>
            <w:pPr>
              <w:spacing w:after="0"/>
              <w:rPr>
                <w:sz w:val="15"/>
                <w:szCs w:val="15"/>
                <w:color w:val="auto"/>
              </w:rPr>
            </w:pP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56,309</w:t>
            </w:r>
          </w:p>
        </w:tc>
        <w:tc>
          <w:tcPr>
            <w:tcW w:w="100" w:type="dxa"/>
            <w:vAlign w:val="bottom"/>
          </w:tcPr>
          <w:p>
            <w:pPr>
              <w:spacing w:after="0"/>
              <w:rPr>
                <w:sz w:val="15"/>
                <w:szCs w:val="15"/>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61,454</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61,270</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62,449</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investment securities, at cost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50,866</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57,420</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58,948</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57,194</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63,893</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Average investment securities, at par</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49,077</w:t>
            </w:r>
          </w:p>
        </w:tc>
        <w:tc>
          <w:tcPr>
            <w:tcW w:w="100" w:type="dxa"/>
            <w:vAlign w:val="bottom"/>
          </w:tcPr>
          <w:p>
            <w:pPr>
              <w:spacing w:after="0"/>
              <w:rPr>
                <w:sz w:val="15"/>
                <w:szCs w:val="15"/>
                <w:color w:val="auto"/>
              </w:rPr>
            </w:pP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55,246</w:t>
            </w:r>
          </w:p>
        </w:tc>
        <w:tc>
          <w:tcPr>
            <w:tcW w:w="100" w:type="dxa"/>
            <w:vAlign w:val="bottom"/>
          </w:tcPr>
          <w:p>
            <w:pPr>
              <w:spacing w:after="0"/>
              <w:rPr>
                <w:sz w:val="15"/>
                <w:szCs w:val="15"/>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56,641</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54,983</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61,398</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20"/>
              <w:spacing w:after="0" w:line="187" w:lineRule="exact"/>
              <w:rPr>
                <w:sz w:val="20"/>
                <w:szCs w:val="20"/>
                <w:color w:val="auto"/>
              </w:rPr>
            </w:pPr>
            <w:r>
              <w:rPr>
                <w:rFonts w:ascii="Arial" w:cs="Arial" w:eastAsia="Arial" w:hAnsi="Arial"/>
                <w:sz w:val="14"/>
                <w:szCs w:val="14"/>
                <w:color w:val="auto"/>
              </w:rPr>
              <w:t xml:space="preserve">TBA securities: </w:t>
            </w:r>
            <w:r>
              <w:rPr>
                <w:rFonts w:ascii="Arial" w:cs="Arial" w:eastAsia="Arial" w:hAnsi="Arial"/>
                <w:sz w:val="18"/>
                <w:szCs w:val="18"/>
                <w:color w:val="auto"/>
                <w:vertAlign w:val="superscript"/>
              </w:rPr>
              <w:t>20</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Net TBA portfolio - as of period end, at fair value</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28,741</w:t>
            </w:r>
          </w:p>
        </w:tc>
        <w:tc>
          <w:tcPr>
            <w:tcW w:w="100" w:type="dxa"/>
            <w:vAlign w:val="bottom"/>
          </w:tcPr>
          <w:p>
            <w:pPr>
              <w:spacing w:after="0"/>
              <w:rPr>
                <w:sz w:val="15"/>
                <w:szCs w:val="15"/>
                <w:color w:val="auto"/>
              </w:rPr>
            </w:pP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27,689</w:t>
            </w:r>
          </w:p>
        </w:tc>
        <w:tc>
          <w:tcPr>
            <w:tcW w:w="100" w:type="dxa"/>
            <w:vAlign w:val="bottom"/>
          </w:tcPr>
          <w:p>
            <w:pPr>
              <w:spacing w:after="0"/>
              <w:rPr>
                <w:sz w:val="15"/>
                <w:szCs w:val="15"/>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24,779</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31,479</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29,536</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Net TBA portfolio - as of period end, at cost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28,912</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27,611</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25,355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31,204</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29,460</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Net TBA portfolio - as of period end, carrying value</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90"/>
              <w:spacing w:after="0"/>
              <w:rPr>
                <w:sz w:val="20"/>
                <w:szCs w:val="20"/>
                <w:color w:val="auto"/>
              </w:rPr>
            </w:pPr>
            <w:r>
              <w:rPr>
                <w:rFonts w:ascii="Arial" w:cs="Arial" w:eastAsia="Arial" w:hAnsi="Arial"/>
                <w:sz w:val="14"/>
                <w:szCs w:val="14"/>
                <w:color w:val="auto"/>
              </w:rPr>
              <w:t>(171)</w:t>
            </w:r>
          </w:p>
        </w:tc>
        <w:tc>
          <w:tcPr>
            <w:tcW w:w="100" w:type="dxa"/>
            <w:vAlign w:val="bottom"/>
          </w:tcPr>
          <w:p>
            <w:pPr>
              <w:spacing w:after="0"/>
              <w:rPr>
                <w:sz w:val="15"/>
                <w:szCs w:val="15"/>
                <w:color w:val="auto"/>
              </w:rPr>
            </w:pP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79</w:t>
            </w:r>
          </w:p>
        </w:tc>
        <w:tc>
          <w:tcPr>
            <w:tcW w:w="100" w:type="dxa"/>
            <w:vAlign w:val="bottom"/>
          </w:tcPr>
          <w:p>
            <w:pPr>
              <w:spacing w:after="0"/>
              <w:rPr>
                <w:sz w:val="15"/>
                <w:szCs w:val="15"/>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70"/>
              <w:spacing w:after="0"/>
              <w:rPr>
                <w:sz w:val="20"/>
                <w:szCs w:val="20"/>
                <w:color w:val="auto"/>
              </w:rPr>
            </w:pPr>
            <w:r>
              <w:rPr>
                <w:rFonts w:ascii="Arial" w:cs="Arial" w:eastAsia="Arial" w:hAnsi="Arial"/>
                <w:sz w:val="14"/>
                <w:szCs w:val="14"/>
                <w:color w:val="auto"/>
              </w:rPr>
              <w:t>(576)</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275</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76</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net TBA portfolio, at cost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30,312</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28,082</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32,022</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33,753</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27,785</w:t>
            </w:r>
          </w:p>
        </w:tc>
        <w:tc>
          <w:tcPr>
            <w:tcW w:w="0" w:type="dxa"/>
            <w:vAlign w:val="bottom"/>
          </w:tcPr>
          <w:p>
            <w:pPr>
              <w:spacing w:after="0"/>
              <w:rPr>
                <w:sz w:val="1"/>
                <w:szCs w:val="1"/>
                <w:color w:val="auto"/>
              </w:rPr>
            </w:pPr>
          </w:p>
        </w:tc>
      </w:tr>
      <w:tr>
        <w:trPr>
          <w:trHeight w:val="184"/>
        </w:trPr>
        <w:tc>
          <w:tcPr>
            <w:tcW w:w="4720" w:type="dxa"/>
            <w:vAlign w:val="bottom"/>
          </w:tcPr>
          <w:p>
            <w:pPr>
              <w:ind w:left="20"/>
              <w:spacing w:after="0" w:line="184" w:lineRule="exact"/>
              <w:rPr>
                <w:sz w:val="20"/>
                <w:szCs w:val="20"/>
                <w:color w:val="auto"/>
              </w:rPr>
            </w:pPr>
            <w:r>
              <w:rPr>
                <w:rFonts w:ascii="Arial" w:cs="Arial" w:eastAsia="Arial" w:hAnsi="Arial"/>
                <w:sz w:val="14"/>
                <w:szCs w:val="14"/>
                <w:color w:val="auto"/>
              </w:rPr>
              <w:t xml:space="preserve">Average repurchase agreements and other debt </w:t>
            </w:r>
            <w:r>
              <w:rPr>
                <w:rFonts w:ascii="Arial" w:cs="Arial" w:eastAsia="Arial" w:hAnsi="Arial"/>
                <w:sz w:val="18"/>
                <w:szCs w:val="18"/>
                <w:color w:val="auto"/>
                <w:vertAlign w:val="superscript"/>
              </w:rPr>
              <w:t>13</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45,847</w:t>
            </w:r>
          </w:p>
        </w:tc>
        <w:tc>
          <w:tcPr>
            <w:tcW w:w="100" w:type="dxa"/>
            <w:vAlign w:val="bottom"/>
          </w:tcPr>
          <w:p>
            <w:pPr>
              <w:spacing w:after="0"/>
              <w:rPr>
                <w:sz w:val="16"/>
                <w:szCs w:val="16"/>
                <w:color w:val="auto"/>
              </w:rPr>
            </w:pP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52,374</w:t>
            </w:r>
          </w:p>
        </w:tc>
        <w:tc>
          <w:tcPr>
            <w:tcW w:w="100" w:type="dxa"/>
            <w:vAlign w:val="bottom"/>
          </w:tcPr>
          <w:p>
            <w:pPr>
              <w:spacing w:after="0"/>
              <w:rPr>
                <w:sz w:val="16"/>
                <w:szCs w:val="16"/>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54,602</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53,645</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61,008</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20"/>
              <w:spacing w:after="0" w:line="184" w:lineRule="exact"/>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18"/>
                <w:szCs w:val="18"/>
                <w:color w:val="auto"/>
                <w:vertAlign w:val="superscript"/>
              </w:rPr>
              <w:t>14</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10,638</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11,103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11,312</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10,918</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10,527</w:t>
            </w:r>
          </w:p>
        </w:tc>
        <w:tc>
          <w:tcPr>
            <w:tcW w:w="0" w:type="dxa"/>
            <w:vAlign w:val="bottom"/>
          </w:tcPr>
          <w:p>
            <w:pPr>
              <w:spacing w:after="0"/>
              <w:rPr>
                <w:sz w:val="1"/>
                <w:szCs w:val="1"/>
                <w:color w:val="auto"/>
              </w:rPr>
            </w:pPr>
          </w:p>
        </w:tc>
      </w:tr>
      <w:tr>
        <w:trPr>
          <w:trHeight w:val="184"/>
        </w:trPr>
        <w:tc>
          <w:tcPr>
            <w:tcW w:w="4720" w:type="dxa"/>
            <w:vAlign w:val="bottom"/>
          </w:tcPr>
          <w:p>
            <w:pPr>
              <w:ind w:left="20"/>
              <w:spacing w:after="0" w:line="184" w:lineRule="exact"/>
              <w:rPr>
                <w:sz w:val="20"/>
                <w:szCs w:val="20"/>
                <w:color w:val="auto"/>
              </w:rPr>
            </w:pPr>
            <w:r>
              <w:rPr>
                <w:rFonts w:ascii="Arial" w:cs="Arial" w:eastAsia="Arial" w:hAnsi="Arial"/>
                <w:sz w:val="14"/>
                <w:szCs w:val="14"/>
                <w:color w:val="auto"/>
              </w:rPr>
              <w:t xml:space="preserve">Tangible net book value per common share </w:t>
            </w:r>
            <w:r>
              <w:rPr>
                <w:rFonts w:ascii="Arial" w:cs="Arial" w:eastAsia="Arial" w:hAnsi="Arial"/>
                <w:sz w:val="18"/>
                <w:szCs w:val="18"/>
                <w:color w:val="auto"/>
                <w:vertAlign w:val="superscript"/>
              </w:rPr>
              <w:t>1</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16.41</w:t>
            </w:r>
          </w:p>
        </w:tc>
        <w:tc>
          <w:tcPr>
            <w:tcW w:w="100" w:type="dxa"/>
            <w:vAlign w:val="bottom"/>
          </w:tcPr>
          <w:p>
            <w:pPr>
              <w:spacing w:after="0"/>
              <w:rPr>
                <w:sz w:val="16"/>
                <w:szCs w:val="16"/>
                <w:color w:val="auto"/>
              </w:rPr>
            </w:pP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16.39</w:t>
            </w:r>
          </w:p>
        </w:tc>
        <w:tc>
          <w:tcPr>
            <w:tcW w:w="100" w:type="dxa"/>
            <w:vAlign w:val="bottom"/>
          </w:tcPr>
          <w:p>
            <w:pPr>
              <w:spacing w:after="0"/>
              <w:rPr>
                <w:sz w:val="16"/>
                <w:szCs w:val="16"/>
                <w:color w:val="auto"/>
              </w:rPr>
            </w:pPr>
          </w:p>
        </w:tc>
        <w:tc>
          <w:tcPr>
            <w:tcW w:w="220" w:type="dxa"/>
            <w:vAlign w:val="bottom"/>
          </w:tcPr>
          <w:p>
            <w:pPr>
              <w:ind w:left="2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110"/>
              <w:spacing w:after="0"/>
              <w:rPr>
                <w:sz w:val="20"/>
                <w:szCs w:val="20"/>
                <w:color w:val="auto"/>
              </w:rPr>
            </w:pPr>
            <w:r>
              <w:rPr>
                <w:rFonts w:ascii="Arial" w:cs="Arial" w:eastAsia="Arial" w:hAnsi="Arial"/>
                <w:sz w:val="14"/>
                <w:szCs w:val="14"/>
                <w:color w:val="auto"/>
              </w:rPr>
              <w:t>17.72</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110"/>
              <w:spacing w:after="0"/>
              <w:rPr>
                <w:sz w:val="20"/>
                <w:szCs w:val="20"/>
                <w:color w:val="auto"/>
              </w:rPr>
            </w:pPr>
            <w:r>
              <w:rPr>
                <w:rFonts w:ascii="Arial" w:cs="Arial" w:eastAsia="Arial" w:hAnsi="Arial"/>
                <w:sz w:val="14"/>
                <w:szCs w:val="14"/>
                <w:color w:val="auto"/>
              </w:rPr>
              <w:t>16.71</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Pr>
          <w:p>
            <w:pPr>
              <w:jc w:val="right"/>
              <w:ind w:right="110"/>
              <w:spacing w:after="0"/>
              <w:rPr>
                <w:sz w:val="20"/>
                <w:szCs w:val="20"/>
                <w:color w:val="auto"/>
              </w:rPr>
            </w:pPr>
            <w:r>
              <w:rPr>
                <w:rFonts w:ascii="Arial" w:cs="Arial" w:eastAsia="Arial" w:hAnsi="Arial"/>
                <w:sz w:val="14"/>
                <w:szCs w:val="14"/>
                <w:color w:val="auto"/>
              </w:rPr>
              <w:t>15.88</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20"/>
              <w:spacing w:after="0" w:line="184" w:lineRule="exact"/>
              <w:rPr>
                <w:sz w:val="20"/>
                <w:szCs w:val="20"/>
                <w:color w:val="auto"/>
              </w:rPr>
            </w:pPr>
            <w:r>
              <w:rPr>
                <w:rFonts w:ascii="Arial" w:cs="Arial" w:eastAsia="Arial" w:hAnsi="Arial"/>
                <w:sz w:val="14"/>
                <w:szCs w:val="14"/>
                <w:color w:val="auto"/>
              </w:rPr>
              <w:t xml:space="preserve">Tangible net book value "at risk" leverage - average </w:t>
            </w:r>
            <w:r>
              <w:rPr>
                <w:rFonts w:ascii="Arial" w:cs="Arial" w:eastAsia="Arial" w:hAnsi="Arial"/>
                <w:sz w:val="18"/>
                <w:szCs w:val="18"/>
                <w:color w:val="auto"/>
                <w:vertAlign w:val="superscript"/>
              </w:rPr>
              <w:t>15</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410"/>
              <w:spacing w:after="0"/>
              <w:rPr>
                <w:sz w:val="20"/>
                <w:szCs w:val="20"/>
                <w:color w:val="auto"/>
              </w:rPr>
            </w:pPr>
            <w:r>
              <w:rPr>
                <w:rFonts w:ascii="Arial" w:cs="Arial" w:eastAsia="Arial" w:hAnsi="Arial"/>
                <w:sz w:val="14"/>
                <w:szCs w:val="14"/>
                <w:color w:val="auto"/>
              </w:rPr>
              <w:t>7.5:1</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390"/>
              <w:spacing w:after="0"/>
              <w:rPr>
                <w:sz w:val="20"/>
                <w:szCs w:val="20"/>
                <w:color w:val="auto"/>
              </w:rPr>
            </w:pPr>
            <w:r>
              <w:rPr>
                <w:rFonts w:ascii="Arial" w:cs="Arial" w:eastAsia="Arial" w:hAnsi="Arial"/>
                <w:sz w:val="14"/>
                <w:szCs w:val="14"/>
                <w:color w:val="auto"/>
              </w:rPr>
              <w:t>7.6:1</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390"/>
              <w:spacing w:after="0"/>
              <w:rPr>
                <w:sz w:val="20"/>
                <w:szCs w:val="20"/>
                <w:color w:val="auto"/>
              </w:rPr>
            </w:pPr>
            <w:r>
              <w:rPr>
                <w:rFonts w:ascii="Arial" w:cs="Arial" w:eastAsia="Arial" w:hAnsi="Arial"/>
                <w:sz w:val="14"/>
                <w:szCs w:val="14"/>
                <w:color w:val="auto"/>
              </w:rPr>
              <w:t>8.0:1</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370"/>
              <w:spacing w:after="0"/>
              <w:rPr>
                <w:sz w:val="20"/>
                <w:szCs w:val="20"/>
                <w:color w:val="auto"/>
              </w:rPr>
            </w:pPr>
            <w:r>
              <w:rPr>
                <w:rFonts w:ascii="Arial" w:cs="Arial" w:eastAsia="Arial" w:hAnsi="Arial"/>
                <w:sz w:val="14"/>
                <w:szCs w:val="14"/>
                <w:color w:val="auto"/>
              </w:rPr>
              <w:t>8.4:1</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410"/>
              <w:spacing w:after="0"/>
              <w:rPr>
                <w:sz w:val="20"/>
                <w:szCs w:val="20"/>
                <w:color w:val="auto"/>
              </w:rPr>
            </w:pPr>
            <w:r>
              <w:rPr>
                <w:rFonts w:ascii="Arial" w:cs="Arial" w:eastAsia="Arial" w:hAnsi="Arial"/>
                <w:sz w:val="14"/>
                <w:szCs w:val="14"/>
                <w:color w:val="auto"/>
              </w:rPr>
              <w:t>8.9:1</w:t>
            </w:r>
          </w:p>
        </w:tc>
        <w:tc>
          <w:tcPr>
            <w:tcW w:w="0" w:type="dxa"/>
            <w:vAlign w:val="bottom"/>
          </w:tcPr>
          <w:p>
            <w:pPr>
              <w:spacing w:after="0"/>
              <w:rPr>
                <w:sz w:val="1"/>
                <w:szCs w:val="1"/>
                <w:color w:val="auto"/>
              </w:rPr>
            </w:pPr>
          </w:p>
        </w:tc>
      </w:tr>
      <w:tr>
        <w:trPr>
          <w:trHeight w:val="184"/>
        </w:trPr>
        <w:tc>
          <w:tcPr>
            <w:tcW w:w="4720" w:type="dxa"/>
            <w:vAlign w:val="bottom"/>
          </w:tcPr>
          <w:p>
            <w:pPr>
              <w:ind w:left="20"/>
              <w:spacing w:after="0" w:line="184" w:lineRule="exact"/>
              <w:rPr>
                <w:sz w:val="20"/>
                <w:szCs w:val="20"/>
                <w:color w:val="auto"/>
              </w:rPr>
            </w:pPr>
            <w:r>
              <w:rPr>
                <w:rFonts w:ascii="Arial" w:cs="Arial" w:eastAsia="Arial" w:hAnsi="Arial"/>
                <w:sz w:val="14"/>
                <w:szCs w:val="14"/>
                <w:color w:val="auto"/>
              </w:rPr>
              <w:t xml:space="preserve">Tangible net book value "at risk" leverage - as of period end </w:t>
            </w:r>
            <w:r>
              <w:rPr>
                <w:rFonts w:ascii="Arial" w:cs="Arial" w:eastAsia="Arial" w:hAnsi="Arial"/>
                <w:sz w:val="18"/>
                <w:szCs w:val="18"/>
                <w:color w:val="auto"/>
                <w:vertAlign w:val="superscript"/>
              </w:rPr>
              <w:t>16</w:t>
            </w:r>
          </w:p>
        </w:tc>
        <w:tc>
          <w:tcPr>
            <w:tcW w:w="140" w:type="dxa"/>
            <w:vAlign w:val="bottom"/>
          </w:tcPr>
          <w:p>
            <w:pPr>
              <w:spacing w:after="0"/>
              <w:rPr>
                <w:sz w:val="16"/>
                <w:szCs w:val="16"/>
                <w:color w:val="auto"/>
              </w:rPr>
            </w:pPr>
          </w:p>
        </w:tc>
        <w:tc>
          <w:tcPr>
            <w:tcW w:w="1080" w:type="dxa"/>
            <w:vAlign w:val="bottom"/>
          </w:tcPr>
          <w:p>
            <w:pPr>
              <w:jc w:val="right"/>
              <w:ind w:right="410"/>
              <w:spacing w:after="0"/>
              <w:rPr>
                <w:sz w:val="20"/>
                <w:szCs w:val="20"/>
                <w:color w:val="auto"/>
              </w:rPr>
            </w:pPr>
            <w:r>
              <w:rPr>
                <w:rFonts w:ascii="Arial" w:cs="Arial" w:eastAsia="Arial" w:hAnsi="Arial"/>
                <w:sz w:val="14"/>
                <w:szCs w:val="14"/>
                <w:color w:val="auto"/>
              </w:rPr>
              <w:t>7.5:1</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tcPr>
          <w:p>
            <w:pPr>
              <w:jc w:val="right"/>
              <w:ind w:right="390"/>
              <w:spacing w:after="0"/>
              <w:rPr>
                <w:sz w:val="20"/>
                <w:szCs w:val="20"/>
                <w:color w:val="auto"/>
              </w:rPr>
            </w:pPr>
            <w:r>
              <w:rPr>
                <w:rFonts w:ascii="Arial" w:cs="Arial" w:eastAsia="Arial" w:hAnsi="Arial"/>
                <w:sz w:val="14"/>
                <w:szCs w:val="14"/>
                <w:color w:val="auto"/>
              </w:rPr>
              <w:t>7.9:1</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jc w:val="right"/>
              <w:ind w:right="390"/>
              <w:spacing w:after="0"/>
              <w:rPr>
                <w:sz w:val="20"/>
                <w:szCs w:val="20"/>
                <w:color w:val="auto"/>
              </w:rPr>
            </w:pPr>
            <w:r>
              <w:rPr>
                <w:rFonts w:ascii="Arial" w:cs="Arial" w:eastAsia="Arial" w:hAnsi="Arial"/>
                <w:sz w:val="14"/>
                <w:szCs w:val="14"/>
                <w:color w:val="auto"/>
              </w:rPr>
              <w:t>7.7:1</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jc w:val="right"/>
              <w:ind w:right="370"/>
              <w:spacing w:after="0"/>
              <w:rPr>
                <w:sz w:val="20"/>
                <w:szCs w:val="20"/>
                <w:color w:val="auto"/>
              </w:rPr>
            </w:pPr>
            <w:r>
              <w:rPr>
                <w:rFonts w:ascii="Arial" w:cs="Arial" w:eastAsia="Arial" w:hAnsi="Arial"/>
                <w:sz w:val="14"/>
                <w:szCs w:val="14"/>
                <w:color w:val="auto"/>
              </w:rPr>
              <w:t>8.5:1</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410"/>
              <w:spacing w:after="0"/>
              <w:rPr>
                <w:sz w:val="20"/>
                <w:szCs w:val="20"/>
                <w:color w:val="auto"/>
              </w:rPr>
            </w:pPr>
            <w:r>
              <w:rPr>
                <w:rFonts w:ascii="Arial" w:cs="Arial" w:eastAsia="Arial" w:hAnsi="Arial"/>
                <w:sz w:val="14"/>
                <w:szCs w:val="14"/>
                <w:color w:val="auto"/>
              </w:rPr>
              <w:t>8.8:1</w:t>
            </w:r>
          </w:p>
        </w:tc>
        <w:tc>
          <w:tcPr>
            <w:tcW w:w="0" w:type="dxa"/>
            <w:vAlign w:val="bottom"/>
          </w:tcPr>
          <w:p>
            <w:pPr>
              <w:spacing w:after="0"/>
              <w:rPr>
                <w:sz w:val="1"/>
                <w:szCs w:val="1"/>
                <w:color w:val="auto"/>
              </w:rPr>
            </w:pPr>
          </w:p>
        </w:tc>
      </w:tr>
      <w:tr>
        <w:trPr>
          <w:trHeight w:val="197"/>
        </w:trPr>
        <w:tc>
          <w:tcPr>
            <w:tcW w:w="4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3"/>
        </w:trPr>
        <w:tc>
          <w:tcPr>
            <w:tcW w:w="4720" w:type="dxa"/>
            <w:vAlign w:val="bottom"/>
          </w:tcPr>
          <w:p>
            <w:pPr>
              <w:ind w:left="20"/>
              <w:spacing w:after="0"/>
              <w:rPr>
                <w:sz w:val="20"/>
                <w:szCs w:val="20"/>
                <w:color w:val="auto"/>
              </w:rPr>
            </w:pPr>
            <w:r>
              <w:rPr>
                <w:rFonts w:ascii="Arial" w:cs="Arial" w:eastAsia="Arial" w:hAnsi="Arial"/>
                <w:sz w:val="14"/>
                <w:szCs w:val="14"/>
                <w:b w:val="1"/>
                <w:bCs w:val="1"/>
                <w:color w:val="auto"/>
              </w:rPr>
              <w:t>Key Performance Statistics:</w:t>
            </w:r>
          </w:p>
        </w:tc>
        <w:tc>
          <w:tcPr>
            <w:tcW w:w="1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4720" w:type="dxa"/>
            <w:vAlign w:val="bottom"/>
            <w:shd w:val="clear" w:color="auto" w:fill="CCEEFF"/>
          </w:tcPr>
          <w:p>
            <w:pPr>
              <w:ind w:left="20"/>
              <w:spacing w:after="0" w:line="185" w:lineRule="exact"/>
              <w:rPr>
                <w:sz w:val="20"/>
                <w:szCs w:val="20"/>
                <w:color w:val="auto"/>
              </w:rPr>
            </w:pPr>
            <w:r>
              <w:rPr>
                <w:rFonts w:ascii="Arial" w:cs="Arial" w:eastAsia="Arial" w:hAnsi="Arial"/>
                <w:sz w:val="14"/>
                <w:szCs w:val="14"/>
                <w:color w:val="auto"/>
              </w:rPr>
              <w:t xml:space="preserve">Investment securities: </w:t>
            </w:r>
            <w:r>
              <w:rPr>
                <w:rFonts w:ascii="Arial" w:cs="Arial" w:eastAsia="Arial" w:hAnsi="Arial"/>
                <w:sz w:val="18"/>
                <w:szCs w:val="18"/>
                <w:color w:val="auto"/>
                <w:vertAlign w:val="superscript"/>
              </w:rPr>
              <w:t>12</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Average coupon</w:t>
            </w: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3.25 %</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3.28 %</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3.40 %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3.64 %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3.73 %</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asset yield</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2.30 %</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3.78 %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2.28 %</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Average asset yield, excluding "catch-up" premium amortization</w:t>
            </w: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2.32 %</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2.23 %</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2.33 %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2.39 %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2.59 %</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coupon - as of period end</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3.15 %</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3.19 %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3.23 %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3.39 %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3.59 %</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Average asset yield - as of period end</w:t>
            </w: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2.48 %</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2.42 %</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2.39 %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2.33 %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2.56 %</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Average actual CPR for securities held during the period</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22.5 %</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25.7 %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24.6 %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27.6 %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24.3 %</w:t>
            </w: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Average forecasted CPR - as of period end</w:t>
            </w: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10.7 %</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11.6 %</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11.3 %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17.6 %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15.9 %</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Total premium amortization (cost) benefit, net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(106)</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(202)</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77</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(266)</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rPr>
              <w:t>(209)</w:t>
            </w:r>
          </w:p>
        </w:tc>
        <w:tc>
          <w:tcPr>
            <w:tcW w:w="0" w:type="dxa"/>
            <w:vAlign w:val="bottom"/>
          </w:tcPr>
          <w:p>
            <w:pPr>
              <w:spacing w:after="0"/>
              <w:rPr>
                <w:sz w:val="1"/>
                <w:szCs w:val="1"/>
                <w:color w:val="auto"/>
              </w:rPr>
            </w:pPr>
          </w:p>
        </w:tc>
      </w:tr>
      <w:tr>
        <w:trPr>
          <w:trHeight w:val="181"/>
        </w:trPr>
        <w:tc>
          <w:tcPr>
            <w:tcW w:w="4720" w:type="dxa"/>
            <w:vAlign w:val="bottom"/>
          </w:tcPr>
          <w:p>
            <w:pPr>
              <w:ind w:left="20"/>
              <w:spacing w:after="0"/>
              <w:rPr>
                <w:sz w:val="20"/>
                <w:szCs w:val="20"/>
                <w:color w:val="auto"/>
              </w:rPr>
            </w:pPr>
            <w:r>
              <w:rPr>
                <w:rFonts w:ascii="Arial" w:cs="Arial" w:eastAsia="Arial" w:hAnsi="Arial"/>
                <w:sz w:val="14"/>
                <w:szCs w:val="14"/>
                <w:color w:val="auto"/>
              </w:rPr>
              <w:t>TBA securities:</w:t>
            </w:r>
          </w:p>
        </w:tc>
        <w:tc>
          <w:tcPr>
            <w:tcW w:w="1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line="187" w:lineRule="exact"/>
              <w:rPr>
                <w:sz w:val="20"/>
                <w:szCs w:val="20"/>
                <w:color w:val="auto"/>
              </w:rPr>
            </w:pPr>
            <w:r>
              <w:rPr>
                <w:rFonts w:ascii="Arial" w:cs="Arial" w:eastAsia="Arial" w:hAnsi="Arial"/>
                <w:sz w:val="14"/>
                <w:szCs w:val="14"/>
                <w:color w:val="auto"/>
              </w:rPr>
              <w:t xml:space="preserve">Average coupon - as of period end </w:t>
            </w:r>
            <w:r>
              <w:rPr>
                <w:rFonts w:ascii="Arial" w:cs="Arial" w:eastAsia="Arial" w:hAnsi="Arial"/>
                <w:sz w:val="18"/>
                <w:szCs w:val="18"/>
                <w:color w:val="auto"/>
                <w:vertAlign w:val="superscript"/>
              </w:rPr>
              <w:t>17</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2.41 %</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2.50 %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2.35 %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1.98 %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2.06 %</w:t>
            </w:r>
          </w:p>
        </w:tc>
        <w:tc>
          <w:tcPr>
            <w:tcW w:w="0" w:type="dxa"/>
            <w:vAlign w:val="bottom"/>
          </w:tcPr>
          <w:p>
            <w:pPr>
              <w:spacing w:after="0"/>
              <w:rPr>
                <w:sz w:val="1"/>
                <w:szCs w:val="1"/>
                <w:color w:val="auto"/>
              </w:rPr>
            </w:pPr>
          </w:p>
        </w:tc>
      </w:tr>
      <w:tr>
        <w:trPr>
          <w:trHeight w:val="184"/>
        </w:trPr>
        <w:tc>
          <w:tcPr>
            <w:tcW w:w="4720" w:type="dxa"/>
            <w:vAlign w:val="bottom"/>
          </w:tcPr>
          <w:p>
            <w:pPr>
              <w:ind w:left="180"/>
              <w:spacing w:after="0" w:line="184" w:lineRule="exact"/>
              <w:rPr>
                <w:sz w:val="20"/>
                <w:szCs w:val="20"/>
                <w:color w:val="auto"/>
              </w:rPr>
            </w:pPr>
            <w:r>
              <w:rPr>
                <w:rFonts w:ascii="Arial" w:cs="Arial" w:eastAsia="Arial" w:hAnsi="Arial"/>
                <w:sz w:val="14"/>
                <w:szCs w:val="14"/>
                <w:color w:val="auto"/>
              </w:rPr>
              <w:t xml:space="preserve">Average implied asset yield </w:t>
            </w:r>
            <w:r>
              <w:rPr>
                <w:rFonts w:ascii="Arial" w:cs="Arial" w:eastAsia="Arial" w:hAnsi="Arial"/>
                <w:sz w:val="18"/>
                <w:szCs w:val="18"/>
                <w:color w:val="auto"/>
                <w:vertAlign w:val="superscript"/>
              </w:rPr>
              <w:t>6</w:t>
            </w:r>
          </w:p>
        </w:tc>
        <w:tc>
          <w:tcPr>
            <w:tcW w:w="14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1.88 %</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1.98 %</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1.44 %</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1.53 %</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1.64 %</w:t>
            </w:r>
          </w:p>
        </w:tc>
        <w:tc>
          <w:tcPr>
            <w:tcW w:w="0" w:type="dxa"/>
            <w:vAlign w:val="bottom"/>
          </w:tcPr>
          <w:p>
            <w:pPr>
              <w:spacing w:after="0"/>
              <w:rPr>
                <w:sz w:val="1"/>
                <w:szCs w:val="1"/>
                <w:color w:val="auto"/>
              </w:rPr>
            </w:pPr>
          </w:p>
        </w:tc>
      </w:tr>
      <w:tr>
        <w:trPr>
          <w:trHeight w:val="131"/>
        </w:trPr>
        <w:tc>
          <w:tcPr>
            <w:tcW w:w="4720" w:type="dxa"/>
            <w:vAlign w:val="bottom"/>
            <w:shd w:val="clear" w:color="auto" w:fill="CCEEFF"/>
          </w:tcPr>
          <w:p>
            <w:pPr>
              <w:ind w:left="20"/>
              <w:spacing w:after="0" w:line="131" w:lineRule="exact"/>
              <w:rPr>
                <w:sz w:val="20"/>
                <w:szCs w:val="20"/>
                <w:color w:val="auto"/>
              </w:rPr>
            </w:pPr>
            <w:r>
              <w:rPr>
                <w:rFonts w:ascii="Arial" w:cs="Arial" w:eastAsia="Arial" w:hAnsi="Arial"/>
                <w:sz w:val="14"/>
                <w:szCs w:val="14"/>
                <w:color w:val="auto"/>
                <w:w w:val="92"/>
              </w:rPr>
              <w:t>Combined investment and TBA securities - average asset yield, excluding "catch-</w:t>
            </w:r>
          </w:p>
        </w:tc>
        <w:tc>
          <w:tcPr>
            <w:tcW w:w="140" w:type="dxa"/>
            <w:vAlign w:val="bottom"/>
            <w:shd w:val="clear" w:color="auto" w:fill="CCEEFF"/>
          </w:tcPr>
          <w:p>
            <w:pPr>
              <w:spacing w:after="0"/>
              <w:rPr>
                <w:sz w:val="11"/>
                <w:szCs w:val="11"/>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2.16 %</w:t>
            </w: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2.15 %</w:t>
            </w: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2.02 %</w:t>
            </w: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2.07 %</w:t>
            </w: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2.30 %</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20"/>
              <w:spacing w:after="0" w:line="184" w:lineRule="exact"/>
              <w:rPr>
                <w:sz w:val="20"/>
                <w:szCs w:val="20"/>
                <w:color w:val="auto"/>
              </w:rPr>
            </w:pPr>
            <w:r>
              <w:rPr>
                <w:rFonts w:ascii="Arial" w:cs="Arial" w:eastAsia="Arial" w:hAnsi="Arial"/>
                <w:sz w:val="14"/>
                <w:szCs w:val="14"/>
                <w:color w:val="auto"/>
              </w:rPr>
              <w:t xml:space="preserve">up" premium amortization </w:t>
            </w:r>
            <w:r>
              <w:rPr>
                <w:rFonts w:ascii="Arial" w:cs="Arial" w:eastAsia="Arial" w:hAnsi="Arial"/>
                <w:sz w:val="18"/>
                <w:szCs w:val="18"/>
                <w:color w:val="auto"/>
                <w:vertAlign w:val="superscript"/>
              </w:rPr>
              <w:t>7</w:t>
            </w:r>
          </w:p>
        </w:tc>
        <w:tc>
          <w:tcPr>
            <w:tcW w:w="140" w:type="dxa"/>
            <w:vAlign w:val="bottom"/>
            <w:shd w:val="clear" w:color="auto" w:fill="CCEEFF"/>
          </w:tcPr>
          <w:p>
            <w:pPr>
              <w:spacing w:after="0"/>
              <w:rPr>
                <w:sz w:val="16"/>
                <w:szCs w:val="16"/>
                <w:color w:val="auto"/>
              </w:rPr>
            </w:pPr>
          </w:p>
        </w:tc>
        <w:tc>
          <w:tcPr>
            <w:tcW w:w="10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20"/>
              <w:spacing w:after="0"/>
              <w:rPr>
                <w:sz w:val="20"/>
                <w:szCs w:val="20"/>
                <w:color w:val="auto"/>
              </w:rPr>
            </w:pPr>
            <w:r>
              <w:rPr>
                <w:rFonts w:ascii="Arial" w:cs="Arial" w:eastAsia="Arial" w:hAnsi="Arial"/>
                <w:sz w:val="14"/>
                <w:szCs w:val="14"/>
                <w:color w:val="auto"/>
              </w:rPr>
              <w:t>Cost of funds:</w:t>
            </w:r>
          </w:p>
        </w:tc>
        <w:tc>
          <w:tcPr>
            <w:tcW w:w="1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Repurchase agreements - average funding cost</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0.12 %</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0.13 %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0.21 %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0.38 %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0.40 %</w:t>
            </w:r>
          </w:p>
        </w:tc>
        <w:tc>
          <w:tcPr>
            <w:tcW w:w="0" w:type="dxa"/>
            <w:vAlign w:val="bottom"/>
          </w:tcPr>
          <w:p>
            <w:pPr>
              <w:spacing w:after="0"/>
              <w:rPr>
                <w:sz w:val="1"/>
                <w:szCs w:val="1"/>
                <w:color w:val="auto"/>
              </w:rPr>
            </w:pPr>
          </w:p>
        </w:tc>
      </w:tr>
      <w:tr>
        <w:trPr>
          <w:trHeight w:val="184"/>
        </w:trPr>
        <w:tc>
          <w:tcPr>
            <w:tcW w:w="4720" w:type="dxa"/>
            <w:vAlign w:val="bottom"/>
          </w:tcPr>
          <w:p>
            <w:pPr>
              <w:ind w:left="180"/>
              <w:spacing w:after="0" w:line="184" w:lineRule="exact"/>
              <w:rPr>
                <w:sz w:val="20"/>
                <w:szCs w:val="20"/>
                <w:color w:val="auto"/>
              </w:rPr>
            </w:pPr>
            <w:r>
              <w:rPr>
                <w:rFonts w:ascii="Arial" w:cs="Arial" w:eastAsia="Arial" w:hAnsi="Arial"/>
                <w:sz w:val="14"/>
                <w:szCs w:val="14"/>
                <w:color w:val="auto"/>
              </w:rPr>
              <w:t xml:space="preserve">TBA securities - average implied funding cost (benefit) </w:t>
            </w:r>
            <w:r>
              <w:rPr>
                <w:rFonts w:ascii="Arial" w:cs="Arial" w:eastAsia="Arial" w:hAnsi="Arial"/>
                <w:sz w:val="18"/>
                <w:szCs w:val="18"/>
                <w:color w:val="auto"/>
                <w:vertAlign w:val="superscript"/>
              </w:rPr>
              <w:t>5</w:t>
            </w:r>
          </w:p>
        </w:tc>
        <w:tc>
          <w:tcPr>
            <w:tcW w:w="14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(0.42)%</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(0.33)%</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(0.48)%</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(0.54)%</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(0.58)%</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180"/>
              <w:spacing w:after="0" w:line="184" w:lineRule="exact"/>
              <w:rPr>
                <w:sz w:val="20"/>
                <w:szCs w:val="20"/>
                <w:color w:val="auto"/>
              </w:rPr>
            </w:pPr>
            <w:r>
              <w:rPr>
                <w:rFonts w:ascii="Arial" w:cs="Arial" w:eastAsia="Arial" w:hAnsi="Arial"/>
                <w:sz w:val="14"/>
                <w:szCs w:val="14"/>
                <w:color w:val="auto"/>
              </w:rPr>
              <w:t xml:space="preserve">Interest rate swaps - average periodic expense, net </w:t>
            </w:r>
            <w:r>
              <w:rPr>
                <w:rFonts w:ascii="Arial" w:cs="Arial" w:eastAsia="Arial" w:hAnsi="Arial"/>
                <w:sz w:val="18"/>
                <w:szCs w:val="18"/>
                <w:color w:val="auto"/>
                <w:vertAlign w:val="superscript"/>
              </w:rPr>
              <w:t>10</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0.07 %</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0.09 %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0.06 %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0.03 %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0.06 %</w:t>
            </w:r>
          </w:p>
        </w:tc>
        <w:tc>
          <w:tcPr>
            <w:tcW w:w="0" w:type="dxa"/>
            <w:vAlign w:val="bottom"/>
          </w:tcPr>
          <w:p>
            <w:pPr>
              <w:spacing w:after="0"/>
              <w:rPr>
                <w:sz w:val="1"/>
                <w:szCs w:val="1"/>
                <w:color w:val="auto"/>
              </w:rPr>
            </w:pPr>
          </w:p>
        </w:tc>
      </w:tr>
      <w:tr>
        <w:trPr>
          <w:trHeight w:val="131"/>
        </w:trPr>
        <w:tc>
          <w:tcPr>
            <w:tcW w:w="4720" w:type="dxa"/>
            <w:vAlign w:val="bottom"/>
          </w:tcPr>
          <w:p>
            <w:pPr>
              <w:ind w:left="180"/>
              <w:spacing w:after="0" w:line="131" w:lineRule="exact"/>
              <w:rPr>
                <w:sz w:val="20"/>
                <w:szCs w:val="20"/>
                <w:color w:val="auto"/>
              </w:rPr>
            </w:pPr>
            <w:r>
              <w:rPr>
                <w:rFonts w:ascii="Arial" w:cs="Arial" w:eastAsia="Arial" w:hAnsi="Arial"/>
                <w:sz w:val="14"/>
                <w:szCs w:val="14"/>
                <w:color w:val="auto"/>
                <w:w w:val="95"/>
              </w:rPr>
              <w:t>Average total cost of funds, inclusive of TBAs and interest rate swap periodic</w:t>
            </w:r>
          </w:p>
        </w:tc>
        <w:tc>
          <w:tcPr>
            <w:tcW w:w="140" w:type="dxa"/>
            <w:vAlign w:val="bottom"/>
          </w:tcPr>
          <w:p>
            <w:pPr>
              <w:spacing w:after="0"/>
              <w:rPr>
                <w:sz w:val="11"/>
                <w:szCs w:val="11"/>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(0.03)%</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80" w:type="dxa"/>
            <w:vAlign w:val="bottom"/>
            <w:vMerge w:val="restart"/>
          </w:tcPr>
          <w:p>
            <w:pPr>
              <w:jc w:val="right"/>
              <w:spacing w:after="0"/>
              <w:rPr>
                <w:sz w:val="20"/>
                <w:szCs w:val="20"/>
                <w:color w:val="auto"/>
              </w:rPr>
            </w:pPr>
            <w:r>
              <w:rPr>
                <w:rFonts w:ascii="Arial" w:cs="Arial" w:eastAsia="Arial" w:hAnsi="Arial"/>
                <w:sz w:val="14"/>
                <w:szCs w:val="14"/>
                <w:color w:val="auto"/>
              </w:rPr>
              <w:t>0.06 %</w:t>
            </w: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0.02 %</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0.05 %</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vMerge w:val="restart"/>
          </w:tcPr>
          <w:p>
            <w:pPr>
              <w:jc w:val="right"/>
              <w:spacing w:after="0"/>
              <w:rPr>
                <w:sz w:val="20"/>
                <w:szCs w:val="20"/>
                <w:color w:val="auto"/>
              </w:rPr>
            </w:pPr>
            <w:r>
              <w:rPr>
                <w:rFonts w:ascii="Arial" w:cs="Arial" w:eastAsia="Arial" w:hAnsi="Arial"/>
                <w:sz w:val="14"/>
                <w:szCs w:val="14"/>
                <w:color w:val="auto"/>
              </w:rPr>
              <w:t>0.15 %</w:t>
            </w:r>
          </w:p>
        </w:tc>
        <w:tc>
          <w:tcPr>
            <w:tcW w:w="0" w:type="dxa"/>
            <w:vAlign w:val="bottom"/>
          </w:tcPr>
          <w:p>
            <w:pPr>
              <w:spacing w:after="0"/>
              <w:rPr>
                <w:sz w:val="1"/>
                <w:szCs w:val="1"/>
                <w:color w:val="auto"/>
              </w:rPr>
            </w:pPr>
          </w:p>
        </w:tc>
      </w:tr>
      <w:tr>
        <w:trPr>
          <w:trHeight w:val="184"/>
        </w:trPr>
        <w:tc>
          <w:tcPr>
            <w:tcW w:w="4720" w:type="dxa"/>
            <w:vAlign w:val="bottom"/>
          </w:tcPr>
          <w:p>
            <w:pPr>
              <w:ind w:left="180"/>
              <w:spacing w:after="0" w:line="184" w:lineRule="exact"/>
              <w:rPr>
                <w:sz w:val="20"/>
                <w:szCs w:val="20"/>
                <w:color w:val="auto"/>
              </w:rPr>
            </w:pPr>
            <w:r>
              <w:rPr>
                <w:rFonts w:ascii="Arial" w:cs="Arial" w:eastAsia="Arial" w:hAnsi="Arial"/>
                <w:sz w:val="14"/>
                <w:szCs w:val="14"/>
                <w:color w:val="auto"/>
              </w:rPr>
              <w:t xml:space="preserve">expense, net </w:t>
            </w:r>
            <w:r>
              <w:rPr>
                <w:rFonts w:ascii="Arial" w:cs="Arial" w:eastAsia="Arial" w:hAnsi="Arial"/>
                <w:sz w:val="18"/>
                <w:szCs w:val="18"/>
                <w:color w:val="auto"/>
                <w:vertAlign w:val="superscript"/>
              </w:rPr>
              <w:t>7,9</w:t>
            </w:r>
          </w:p>
        </w:tc>
        <w:tc>
          <w:tcPr>
            <w:tcW w:w="140" w:type="dxa"/>
            <w:vAlign w:val="bottom"/>
          </w:tcPr>
          <w:p>
            <w:pPr>
              <w:spacing w:after="0"/>
              <w:rPr>
                <w:sz w:val="16"/>
                <w:szCs w:val="16"/>
                <w:color w:val="auto"/>
              </w:rPr>
            </w:pPr>
          </w:p>
        </w:tc>
        <w:tc>
          <w:tcPr>
            <w:tcW w:w="10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Repurchase agreements - average funding cost as of period end</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0.12 %</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0.11 %</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0.15 %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0.24 %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0.37 %</w:t>
            </w:r>
          </w:p>
        </w:tc>
        <w:tc>
          <w:tcPr>
            <w:tcW w:w="0" w:type="dxa"/>
            <w:vAlign w:val="bottom"/>
          </w:tcPr>
          <w:p>
            <w:pPr>
              <w:spacing w:after="0"/>
              <w:rPr>
                <w:sz w:val="1"/>
                <w:szCs w:val="1"/>
                <w:color w:val="auto"/>
              </w:rPr>
            </w:pPr>
          </w:p>
        </w:tc>
      </w:tr>
      <w:tr>
        <w:trPr>
          <w:trHeight w:val="184"/>
        </w:trPr>
        <w:tc>
          <w:tcPr>
            <w:tcW w:w="4720" w:type="dxa"/>
            <w:vAlign w:val="bottom"/>
          </w:tcPr>
          <w:p>
            <w:pPr>
              <w:ind w:left="180"/>
              <w:spacing w:after="0" w:line="184" w:lineRule="exact"/>
              <w:rPr>
                <w:sz w:val="20"/>
                <w:szCs w:val="20"/>
                <w:color w:val="auto"/>
              </w:rPr>
            </w:pPr>
            <w:r>
              <w:rPr>
                <w:rFonts w:ascii="Arial" w:cs="Arial" w:eastAsia="Arial" w:hAnsi="Arial"/>
                <w:sz w:val="14"/>
                <w:szCs w:val="14"/>
                <w:color w:val="auto"/>
              </w:rPr>
              <w:t xml:space="preserve">Interest rate swaps - average net pay/(receive) rate as of period end </w:t>
            </w:r>
            <w:r>
              <w:rPr>
                <w:rFonts w:ascii="Arial" w:cs="Arial" w:eastAsia="Arial" w:hAnsi="Arial"/>
                <w:sz w:val="18"/>
                <w:szCs w:val="18"/>
                <w:color w:val="auto"/>
                <w:vertAlign w:val="superscript"/>
              </w:rPr>
              <w:t>18</w:t>
            </w:r>
          </w:p>
        </w:tc>
        <w:tc>
          <w:tcPr>
            <w:tcW w:w="14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0.12 %</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0.12 %</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0.16 %</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0.07 %</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0.07 %</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spread:</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180"/>
              <w:spacing w:after="0"/>
              <w:rPr>
                <w:sz w:val="20"/>
                <w:szCs w:val="20"/>
                <w:color w:val="auto"/>
              </w:rPr>
            </w:pPr>
            <w:r>
              <w:rPr>
                <w:rFonts w:ascii="Arial" w:cs="Arial" w:eastAsia="Arial" w:hAnsi="Arial"/>
                <w:sz w:val="14"/>
                <w:szCs w:val="14"/>
                <w:color w:val="auto"/>
              </w:rPr>
              <w:t>Combined investment and TBA securities average net interest spread</w:t>
            </w: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2.17 %</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1.75 %</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2.95 %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1.55 %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1.94 %</w:t>
            </w:r>
          </w:p>
        </w:tc>
        <w:tc>
          <w:tcPr>
            <w:tcW w:w="0" w:type="dxa"/>
            <w:vAlign w:val="bottom"/>
          </w:tcPr>
          <w:p>
            <w:pPr>
              <w:spacing w:after="0"/>
              <w:rPr>
                <w:sz w:val="1"/>
                <w:szCs w:val="1"/>
                <w:color w:val="auto"/>
              </w:rPr>
            </w:pPr>
          </w:p>
        </w:tc>
      </w:tr>
      <w:tr>
        <w:trPr>
          <w:trHeight w:val="134"/>
        </w:trPr>
        <w:tc>
          <w:tcPr>
            <w:tcW w:w="4720" w:type="dxa"/>
            <w:vAlign w:val="bottom"/>
            <w:shd w:val="clear" w:color="auto" w:fill="CCEEFF"/>
          </w:tcPr>
          <w:p>
            <w:pPr>
              <w:ind w:left="180"/>
              <w:spacing w:after="0" w:line="134" w:lineRule="exact"/>
              <w:rPr>
                <w:sz w:val="20"/>
                <w:szCs w:val="20"/>
                <w:color w:val="auto"/>
              </w:rPr>
            </w:pPr>
            <w:r>
              <w:rPr>
                <w:rFonts w:ascii="Arial" w:cs="Arial" w:eastAsia="Arial" w:hAnsi="Arial"/>
                <w:sz w:val="14"/>
                <w:szCs w:val="14"/>
                <w:color w:val="auto"/>
                <w:w w:val="90"/>
              </w:rPr>
              <w:t>Combined investment and TBA securities average net interest spread, excluding</w:t>
            </w:r>
          </w:p>
        </w:tc>
        <w:tc>
          <w:tcPr>
            <w:tcW w:w="140" w:type="dxa"/>
            <w:vAlign w:val="bottom"/>
            <w:shd w:val="clear" w:color="auto" w:fill="CCEEFF"/>
          </w:tcPr>
          <w:p>
            <w:pPr>
              <w:spacing w:after="0"/>
              <w:rPr>
                <w:sz w:val="11"/>
                <w:szCs w:val="11"/>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2.19 %</w:t>
            </w: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2.09 %</w:t>
            </w: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2.00 %</w:t>
            </w: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2.02 %</w:t>
            </w: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2.15 %</w:t>
            </w:r>
          </w:p>
        </w:tc>
        <w:tc>
          <w:tcPr>
            <w:tcW w:w="0" w:type="dxa"/>
            <w:vAlign w:val="bottom"/>
          </w:tcPr>
          <w:p>
            <w:pPr>
              <w:spacing w:after="0"/>
              <w:rPr>
                <w:sz w:val="1"/>
                <w:szCs w:val="1"/>
                <w:color w:val="auto"/>
              </w:rPr>
            </w:pPr>
          </w:p>
        </w:tc>
      </w:tr>
      <w:tr>
        <w:trPr>
          <w:trHeight w:val="184"/>
        </w:trPr>
        <w:tc>
          <w:tcPr>
            <w:tcW w:w="47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"catch-up" premium amortization</w:t>
            </w:r>
          </w:p>
        </w:tc>
        <w:tc>
          <w:tcPr>
            <w:tcW w:w="140" w:type="dxa"/>
            <w:vAlign w:val="bottom"/>
            <w:shd w:val="clear" w:color="auto" w:fill="CCEEFF"/>
          </w:tcPr>
          <w:p>
            <w:pPr>
              <w:spacing w:after="0"/>
              <w:rPr>
                <w:sz w:val="16"/>
                <w:szCs w:val="16"/>
                <w:color w:val="auto"/>
              </w:rPr>
            </w:pPr>
          </w:p>
        </w:tc>
        <w:tc>
          <w:tcPr>
            <w:tcW w:w="10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4720" w:type="dxa"/>
            <w:vAlign w:val="bottom"/>
          </w:tcPr>
          <w:p>
            <w:pPr>
              <w:ind w:left="20"/>
              <w:spacing w:after="0"/>
              <w:rPr>
                <w:sz w:val="20"/>
                <w:szCs w:val="20"/>
                <w:color w:val="auto"/>
              </w:rPr>
            </w:pPr>
            <w:r>
              <w:rPr>
                <w:rFonts w:ascii="Arial" w:cs="Arial" w:eastAsia="Arial" w:hAnsi="Arial"/>
                <w:sz w:val="14"/>
                <w:szCs w:val="14"/>
                <w:color w:val="auto"/>
              </w:rPr>
              <w:t>Expenses % of average stockholders' equity - annualized</w:t>
            </w: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0.83 %</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0.79 %</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0.85 %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0.92 %</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0.80 %</w:t>
            </w:r>
          </w:p>
        </w:tc>
        <w:tc>
          <w:tcPr>
            <w:tcW w:w="0" w:type="dxa"/>
            <w:vAlign w:val="bottom"/>
          </w:tcPr>
          <w:p>
            <w:pPr>
              <w:spacing w:after="0"/>
              <w:rPr>
                <w:sz w:val="1"/>
                <w:szCs w:val="1"/>
                <w:color w:val="auto"/>
              </w:rPr>
            </w:pPr>
          </w:p>
        </w:tc>
      </w:tr>
      <w:tr>
        <w:trPr>
          <w:trHeight w:val="187"/>
        </w:trPr>
        <w:tc>
          <w:tcPr>
            <w:tcW w:w="4720" w:type="dxa"/>
            <w:vAlign w:val="bottom"/>
            <w:shd w:val="clear" w:color="auto" w:fill="CCEEFF"/>
          </w:tcPr>
          <w:p>
            <w:pPr>
              <w:ind w:left="20"/>
              <w:spacing w:after="0" w:line="187" w:lineRule="exact"/>
              <w:rPr>
                <w:sz w:val="20"/>
                <w:szCs w:val="20"/>
                <w:color w:val="auto"/>
              </w:rPr>
            </w:pPr>
            <w:r>
              <w:rPr>
                <w:rFonts w:ascii="Arial" w:cs="Arial" w:eastAsia="Arial" w:hAnsi="Arial"/>
                <w:sz w:val="14"/>
                <w:szCs w:val="14"/>
                <w:color w:val="auto"/>
              </w:rPr>
              <w:t xml:space="preserve">Economic return (loss) on tangible common equity - unannualized </w:t>
            </w:r>
            <w:r>
              <w:rPr>
                <w:rFonts w:ascii="Arial" w:cs="Arial" w:eastAsia="Arial" w:hAnsi="Arial"/>
                <w:sz w:val="18"/>
                <w:szCs w:val="18"/>
                <w:color w:val="auto"/>
                <w:vertAlign w:val="superscript"/>
              </w:rPr>
              <w:t>19</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2.3 %</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7.5 %</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8.8 %</w:t>
            </w:r>
          </w:p>
        </w:tc>
        <w:tc>
          <w:tcPr>
            <w:tcW w:w="0" w:type="dxa"/>
            <w:vAlign w:val="bottom"/>
          </w:tcPr>
          <w:p>
            <w:pPr>
              <w:spacing w:after="0"/>
              <w:rPr>
                <w:sz w:val="1"/>
                <w:szCs w:val="1"/>
                <w:color w:val="auto"/>
              </w:rPr>
            </w:pPr>
          </w:p>
        </w:tc>
      </w:tr>
    </w:tbl>
    <w:p>
      <w:pPr>
        <w:sectPr>
          <w:pgSz w:w="11900" w:h="16838" w:orient="portrait"/>
          <w:cols w:equalWidth="0" w:num="1">
            <w:col w:w="11220"/>
          </w:cols>
          <w:pgMar w:left="320" w:top="146" w:right="359" w:bottom="1440" w:gutter="0" w:footer="0" w:header="0"/>
        </w:sectPr>
      </w:pPr>
    </w:p>
    <w:bookmarkStart w:id="15" w:name="page16"/>
    <w:bookmarkEnd w:id="15"/>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13</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6"/>
          <w:szCs w:val="16"/>
          <w:color w:val="auto"/>
        </w:rPr>
        <w:t>*Except as noted below, average numbers for each period are weighted based on days on the Company's books and records. All percentages are annualized, unless otherwise noted.</w:t>
      </w:r>
    </w:p>
    <w:p>
      <w:pPr>
        <w:spacing w:after="0"/>
        <w:rPr>
          <w:sz w:val="20"/>
          <w:szCs w:val="20"/>
          <w:color w:val="auto"/>
        </w:rPr>
      </w:pPr>
      <w:r>
        <w:rPr>
          <w:rFonts w:ascii="Arial" w:cs="Arial" w:eastAsia="Arial" w:hAnsi="Arial"/>
          <w:sz w:val="16"/>
          <w:szCs w:val="16"/>
          <w:color w:val="auto"/>
        </w:rPr>
        <w:t>Numbers in financial tables may not total due to rounding.</w:t>
      </w:r>
    </w:p>
    <w:p>
      <w:pPr>
        <w:spacing w:after="0" w:line="237" w:lineRule="exact"/>
        <w:rPr>
          <w:sz w:val="20"/>
          <w:szCs w:val="20"/>
          <w:color w:val="auto"/>
        </w:rPr>
      </w:pP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Tangible net book value per common share excludes preferred stock liquidation preference and goodwill.</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Table includes non-GAAP financial measures and/or amounts derived from non-GAAP measures. Refer to "Use of Non-GAAP Financial Information" for additional discussion of non-GAAP financial measures.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Amount reported in gain (loss) on derivatives instruments and other securities, net in the accompanying consolidated statements of operations.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Dollar roll income represents the price differential, or "price drop," between the TBA price for current month settlement versus the TBA price for forward month settlement. Amount includes dollar roll income (loss) on long and short TBA securities. Amount excludes TBA mark-to-market adjustments.</w:t>
      </w:r>
    </w:p>
    <w:p>
      <w:pPr>
        <w:jc w:val="both"/>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implied funding cost/benefit of TBA dollar roll transactions is determined using the "price drop" (Note 4) and market based assumptions regarding the "cheapest-to-deliver" collateral that can be delivered to satisfy the TBA contract, such as the anticipated collateral’s weighted average coupon, weighted average maturity and projected 1-month CPR. The average implied funding cost/benefit for all TBA transactions is weighted based on the Company’s daily average TBA balance outstanding for the period.</w:t>
      </w:r>
    </w:p>
    <w:p>
      <w:pPr>
        <w:ind w:left="320" w:hanging="315"/>
        <w:spacing w:after="0" w:line="256" w:lineRule="auto"/>
        <w:tabs>
          <w:tab w:leader="none" w:pos="320" w:val="left"/>
        </w:tabs>
        <w:numPr>
          <w:ilvl w:val="0"/>
          <w:numId w:val="9"/>
        </w:numPr>
        <w:rPr>
          <w:rFonts w:ascii="Arial" w:cs="Arial" w:eastAsia="Arial" w:hAnsi="Arial"/>
          <w:sz w:val="15"/>
          <w:szCs w:val="15"/>
          <w:color w:val="auto"/>
        </w:rPr>
      </w:pPr>
      <w:r>
        <w:rPr>
          <w:rFonts w:ascii="Arial" w:cs="Arial" w:eastAsia="Arial" w:hAnsi="Arial"/>
          <w:sz w:val="15"/>
          <w:szCs w:val="15"/>
          <w:color w:val="auto"/>
        </w:rPr>
        <w:t>The average implied asset yield for TBA dollar roll transactions is extrapolated by adding the average TBA implied funding cost (Note 5) to the net dollar roll yield. The net dollar roll yield is calculated by dividing dollar roll income (Note 4) by the average net TBA balance (cost basis) outstanding for the period.</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Amount calculated on a weighted average basis based on average balances outstanding during the period and their respective asset yield/funding cost.</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Represents periodic interest rate swap settlements. Amount excludes interest rate swap termination fees and mark-to-market adjustments.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Cost of funds excludes other supplemental hedges used to hedge a portion of the Company's interest rate risk (such as swaptions and U.S. Treasury positions) and U.S. Treasury repurchase agreements.</w:t>
      </w:r>
    </w:p>
    <w:p>
      <w:pPr>
        <w:ind w:left="320" w:hanging="315"/>
        <w:spacing w:after="0"/>
        <w:tabs>
          <w:tab w:leader="none" w:pos="316" w:val="left"/>
        </w:tabs>
        <w:numPr>
          <w:ilvl w:val="0"/>
          <w:numId w:val="9"/>
        </w:numPr>
        <w:rPr>
          <w:rFonts w:ascii="Arial" w:cs="Arial" w:eastAsia="Arial" w:hAnsi="Arial"/>
          <w:sz w:val="16"/>
          <w:szCs w:val="16"/>
          <w:color w:val="auto"/>
        </w:rPr>
      </w:pPr>
      <w:r>
        <w:rPr>
          <w:rFonts w:ascii="Arial" w:cs="Arial" w:eastAsia="Arial" w:hAnsi="Arial"/>
          <w:sz w:val="16"/>
          <w:szCs w:val="16"/>
          <w:color w:val="auto"/>
        </w:rPr>
        <w:t>Represents interest rate swap periodic cost measured as a percent of total mortgage funding (Agency repurchase agreements, other debt and net TBA securities).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"Catch-up" premium amortization cost/benefit is reported in interest income on the accompanying consolidated statements of operations.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Investment securities include Agency MBS, CRT and non-Agency securities. Amounts exclude TBA and forward settling securities.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repurchase agreements and other debt excludes U.S. Treasury repurchase agreements.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stockholders' equity calculated as the average month-ended stockholders' equity during the quarter.</w:t>
      </w:r>
    </w:p>
    <w:p>
      <w:pPr>
        <w:jc w:val="both"/>
        <w:ind w:left="320" w:hanging="315"/>
        <w:spacing w:after="0"/>
        <w:tabs>
          <w:tab w:leader="none" w:pos="316"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tangible net book value "at risk" leverage during the period was calculated by dividing the sum of the daily weighted average Agency repurchase agreements, other debt, and TBA and forward settling securities (at cost) outstanding for the period by the sum of average stockholders' equity adjusted to exclude goodwill. Leverage excludes U.S. Treasury repurchase agreements.</w:t>
      </w:r>
    </w:p>
    <w:p>
      <w:pPr>
        <w:jc w:val="both"/>
        <w:ind w:left="320" w:hanging="315"/>
        <w:spacing w:after="0"/>
        <w:tabs>
          <w:tab w:leader="none" w:pos="316" w:val="left"/>
        </w:tabs>
        <w:numPr>
          <w:ilvl w:val="0"/>
          <w:numId w:val="9"/>
        </w:numPr>
        <w:rPr>
          <w:rFonts w:ascii="Arial" w:cs="Arial" w:eastAsia="Arial" w:hAnsi="Arial"/>
          <w:sz w:val="16"/>
          <w:szCs w:val="16"/>
          <w:color w:val="auto"/>
        </w:rPr>
      </w:pPr>
      <w:r>
        <w:rPr>
          <w:rFonts w:ascii="Arial" w:cs="Arial" w:eastAsia="Arial" w:hAnsi="Arial"/>
          <w:sz w:val="16"/>
          <w:szCs w:val="16"/>
          <w:color w:val="auto"/>
        </w:rPr>
        <w:t>Tangible net book value "at risk" leverage as of period end was calculated by dividing the sum of the amount outstanding under repurchase agreements, other debt, net TBA position and forward settling securities (at cost), and net receivable / payable for unsettled investment securities outstanding by the sum of total stockholders' equity adjusted to exclude goodwill. Leverage excludes U.S. Treasury repurchase agreements.</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Average TBA coupon is for the long TBA position only.</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Includes forward starting swaps not yet in effect as of reported period-end.</w:t>
      </w:r>
    </w:p>
    <w:p>
      <w:pPr>
        <w:ind w:left="320" w:hanging="315"/>
        <w:spacing w:after="0"/>
        <w:tabs>
          <w:tab w:leader="none" w:pos="316" w:val="left"/>
        </w:tabs>
        <w:numPr>
          <w:ilvl w:val="0"/>
          <w:numId w:val="9"/>
        </w:numPr>
        <w:rPr>
          <w:rFonts w:ascii="Arial" w:cs="Arial" w:eastAsia="Arial" w:hAnsi="Arial"/>
          <w:sz w:val="16"/>
          <w:szCs w:val="16"/>
          <w:color w:val="auto"/>
        </w:rPr>
      </w:pPr>
      <w:r>
        <w:rPr>
          <w:rFonts w:ascii="Arial" w:cs="Arial" w:eastAsia="Arial" w:hAnsi="Arial"/>
          <w:sz w:val="16"/>
          <w:szCs w:val="16"/>
          <w:color w:val="auto"/>
        </w:rPr>
        <w:t>Economic return (loss) on tangible common equity represents the sum of the change in tangible net book value per common share and dividends declared on common stock during the period over the beginning tangible net book value per common share.</w:t>
      </w:r>
    </w:p>
    <w:p>
      <w:pPr>
        <w:ind w:left="320" w:hanging="315"/>
        <w:spacing w:after="0"/>
        <w:tabs>
          <w:tab w:leader="none" w:pos="320" w:val="left"/>
        </w:tabs>
        <w:numPr>
          <w:ilvl w:val="0"/>
          <w:numId w:val="9"/>
        </w:numPr>
        <w:rPr>
          <w:rFonts w:ascii="Arial" w:cs="Arial" w:eastAsia="Arial" w:hAnsi="Arial"/>
          <w:sz w:val="16"/>
          <w:szCs w:val="16"/>
          <w:color w:val="auto"/>
        </w:rPr>
      </w:pPr>
      <w:r>
        <w:rPr>
          <w:rFonts w:ascii="Arial" w:cs="Arial" w:eastAsia="Arial" w:hAnsi="Arial"/>
          <w:sz w:val="16"/>
          <w:szCs w:val="16"/>
          <w:color w:val="auto"/>
        </w:rPr>
        <w:t>Includes net TBA dollar roll position and forward settling securities.</w:t>
      </w:r>
    </w:p>
    <w:p>
      <w:pPr>
        <w:spacing w:after="0" w:line="21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STOCKHOLDER CALL</w:t>
      </w:r>
    </w:p>
    <w:p>
      <w:pPr>
        <w:spacing w:after="0" w:line="192"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 xml:space="preserve">AGNC invites stockholders, prospective stockholders and analysts to attend the AGNC stockholder call on October 26, 2021 at 8:30 am ET. Interested persons who do not plan on asking a question and have internet access are encouraged to utilize the free webcast at </w:t>
      </w:r>
      <w:r>
        <w:rPr>
          <w:rFonts w:ascii="Arial" w:cs="Arial" w:eastAsia="Arial" w:hAnsi="Arial"/>
          <w:sz w:val="21"/>
          <w:szCs w:val="21"/>
          <w:u w:val="single" w:color="auto"/>
          <w:color w:val="0563C1"/>
        </w:rPr>
        <w:t>www.AGNC.com</w:t>
      </w:r>
      <w:r>
        <w:rPr>
          <w:rFonts w:ascii="Arial" w:cs="Arial" w:eastAsia="Arial" w:hAnsi="Arial"/>
          <w:sz w:val="21"/>
          <w:szCs w:val="21"/>
          <w:color w:val="auto"/>
        </w:rPr>
        <w:t>. Those who plan on participating in the Q&amp;A or do not have internet available may access the call by dialing (877) 300-5922 (U.S. domestic) or (412) 902-6621 (international). Please advise the operator you are dialing in for the AGNC Investment Corp. stockholder call.</w:t>
      </w:r>
    </w:p>
    <w:p>
      <w:pPr>
        <w:sectPr>
          <w:pgSz w:w="11900" w:h="16838" w:orient="portrait"/>
          <w:cols w:equalWidth="0" w:num="1">
            <w:col w:w="11240"/>
          </w:cols>
          <w:pgMar w:left="320" w:top="146" w:right="339" w:bottom="1440" w:gutter="0" w:footer="0" w:header="0"/>
        </w:sectPr>
      </w:pPr>
    </w:p>
    <w:bookmarkStart w:id="16" w:name="page17"/>
    <w:bookmarkEnd w:id="16"/>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14</w:t>
      </w:r>
    </w:p>
    <w:p>
      <w:pPr>
        <w:spacing w:after="0" w:line="200" w:lineRule="exact"/>
        <w:rPr>
          <w:sz w:val="20"/>
          <w:szCs w:val="20"/>
          <w:color w:val="auto"/>
        </w:rPr>
      </w:pPr>
    </w:p>
    <w:p>
      <w:pPr>
        <w:spacing w:after="0" w:line="400" w:lineRule="exact"/>
        <w:rPr>
          <w:sz w:val="20"/>
          <w:szCs w:val="20"/>
          <w:color w:val="auto"/>
        </w:rPr>
      </w:pPr>
    </w:p>
    <w:p>
      <w:pPr>
        <w:jc w:val="both"/>
        <w:spacing w:after="0" w:line="258" w:lineRule="auto"/>
        <w:rPr>
          <w:sz w:val="20"/>
          <w:szCs w:val="20"/>
          <w:color w:val="auto"/>
        </w:rPr>
      </w:pPr>
      <w:r>
        <w:rPr>
          <w:rFonts w:ascii="Arial" w:cs="Arial" w:eastAsia="Arial" w:hAnsi="Arial"/>
          <w:sz w:val="21"/>
          <w:szCs w:val="21"/>
          <w:color w:val="auto"/>
        </w:rPr>
        <w:t xml:space="preserve">A slide presentation will accompany the call and will be available at </w:t>
      </w:r>
      <w:r>
        <w:rPr>
          <w:rFonts w:ascii="Arial" w:cs="Arial" w:eastAsia="Arial" w:hAnsi="Arial"/>
          <w:sz w:val="21"/>
          <w:szCs w:val="21"/>
          <w:u w:val="single" w:color="auto"/>
          <w:color w:val="0563C1"/>
        </w:rPr>
        <w:t>www.AGNC.com</w:t>
      </w:r>
      <w:r>
        <w:rPr>
          <w:rFonts w:ascii="Arial" w:cs="Arial" w:eastAsia="Arial" w:hAnsi="Arial"/>
          <w:sz w:val="21"/>
          <w:szCs w:val="21"/>
          <w:color w:val="auto"/>
        </w:rPr>
        <w:t>. Select the Q3 2021 Earnings Presentation link to download and print the presentation in advance of the stockholder call.</w:t>
      </w:r>
    </w:p>
    <w:p>
      <w:pPr>
        <w:spacing w:after="0" w:line="138" w:lineRule="exact"/>
        <w:rPr>
          <w:sz w:val="20"/>
          <w:szCs w:val="20"/>
          <w:color w:val="auto"/>
        </w:rPr>
      </w:pPr>
    </w:p>
    <w:p>
      <w:pPr>
        <w:jc w:val="both"/>
        <w:spacing w:after="0" w:line="251" w:lineRule="auto"/>
        <w:rPr>
          <w:sz w:val="20"/>
          <w:szCs w:val="20"/>
          <w:color w:val="auto"/>
        </w:rPr>
      </w:pPr>
      <w:r>
        <w:rPr>
          <w:rFonts w:ascii="Arial" w:cs="Arial" w:eastAsia="Arial" w:hAnsi="Arial"/>
          <w:sz w:val="21"/>
          <w:szCs w:val="21"/>
          <w:color w:val="auto"/>
        </w:rPr>
        <w:t>An archived audio of the stockholder call combined with the slide presentation will be available on the AGNC website after the call on October 26, 2021. In addition, there will be a phone recording available one hour after the call on October 26, 2021 through November 9, 2021. Those who are interested in hearing the recording of the presentation, can access it by dialing (877) 344-7529 (U.S. domestic) or (412) 317-0088 (international), passcode 10160332</w:t>
      </w:r>
      <w:r>
        <w:rPr>
          <w:rFonts w:ascii="Arial" w:cs="Arial" w:eastAsia="Arial" w:hAnsi="Arial"/>
          <w:sz w:val="21"/>
          <w:szCs w:val="21"/>
          <w:b w:val="1"/>
          <w:bCs w:val="1"/>
          <w:color w:val="auto"/>
        </w:rPr>
        <w:t>.</w:t>
      </w:r>
    </w:p>
    <w:p>
      <w:pPr>
        <w:spacing w:after="0" w:line="146" w:lineRule="exact"/>
        <w:rPr>
          <w:sz w:val="20"/>
          <w:szCs w:val="20"/>
          <w:color w:val="auto"/>
        </w:rPr>
      </w:pPr>
    </w:p>
    <w:p>
      <w:pPr>
        <w:spacing w:after="0"/>
        <w:rPr>
          <w:sz w:val="20"/>
          <w:szCs w:val="20"/>
          <w:color w:val="auto"/>
        </w:rPr>
      </w:pPr>
      <w:r>
        <w:rPr>
          <w:rFonts w:ascii="Arial" w:cs="Arial" w:eastAsia="Arial" w:hAnsi="Arial"/>
          <w:sz w:val="21"/>
          <w:szCs w:val="21"/>
          <w:color w:val="auto"/>
        </w:rPr>
        <w:t>For further information, please contact Investor Relations at (301) 968-9300 or IR@AGNC.com.</w:t>
      </w:r>
    </w:p>
    <w:p>
      <w:pPr>
        <w:spacing w:after="0" w:line="21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ABOUT AGNC INVESTMENT CORP.</w:t>
      </w:r>
    </w:p>
    <w:p>
      <w:pPr>
        <w:sectPr>
          <w:pgSz w:w="11900" w:h="16838" w:orient="portrait"/>
          <w:cols w:equalWidth="0" w:num="1">
            <w:col w:w="11240"/>
          </w:cols>
          <w:pgMar w:left="320" w:top="146" w:right="339" w:bottom="1440" w:gutter="0" w:footer="0" w:header="0"/>
        </w:sectPr>
      </w:pPr>
    </w:p>
    <w:p>
      <w:pPr>
        <w:spacing w:after="0" w:line="192" w:lineRule="exact"/>
        <w:rPr>
          <w:sz w:val="20"/>
          <w:szCs w:val="20"/>
          <w:color w:val="auto"/>
        </w:rPr>
      </w:pPr>
    </w:p>
    <w:p>
      <w:pPr>
        <w:spacing w:after="0" w:line="251" w:lineRule="auto"/>
        <w:rPr>
          <w:sz w:val="20"/>
          <w:szCs w:val="20"/>
          <w:color w:val="auto"/>
        </w:rPr>
      </w:pPr>
      <w:r>
        <w:rPr>
          <w:rFonts w:ascii="Arial" w:cs="Arial" w:eastAsia="Arial" w:hAnsi="Arial"/>
          <w:sz w:val="21"/>
          <w:szCs w:val="21"/>
          <w:color w:val="auto"/>
        </w:rPr>
        <w:t xml:space="preserve">AGNC Investment Corp. is an internally-managed real estate investment residential mortgage-backed securities for which the principal and interest Government-sponsored enterprise or a U.S. Government agency. For </w:t>
      </w:r>
      <w:r>
        <w:rPr>
          <w:rFonts w:ascii="Arial" w:cs="Arial" w:eastAsia="Arial" w:hAnsi="Arial"/>
          <w:sz w:val="21"/>
          <w:szCs w:val="21"/>
          <w:u w:val="single" w:color="auto"/>
          <w:color w:val="0563C1"/>
        </w:rPr>
        <w:t>www.AGNC.com</w:t>
      </w:r>
      <w:r>
        <w:rPr>
          <w:rFonts w:ascii="Arial" w:cs="Arial" w:eastAsia="Arial" w:hAnsi="Arial"/>
          <w:sz w:val="21"/>
          <w:szCs w:val="21"/>
          <w:color w:val="000000"/>
        </w:rPr>
        <w:t>.</w:t>
      </w:r>
    </w:p>
    <w:p>
      <w:pPr>
        <w:spacing w:after="0" w:line="20" w:lineRule="exact"/>
        <w:rPr>
          <w:sz w:val="20"/>
          <w:szCs w:val="20"/>
          <w:color w:val="auto"/>
        </w:rPr>
      </w:pPr>
      <w:r>
        <w:rPr>
          <w:sz w:val="20"/>
          <w:szCs w:val="20"/>
          <w:color w:val="auto"/>
        </w:rPr>
        <w:br w:type="column"/>
      </w:r>
    </w:p>
    <w:p>
      <w:pPr>
        <w:spacing w:after="0" w:line="172" w:lineRule="exact"/>
        <w:rPr>
          <w:sz w:val="20"/>
          <w:szCs w:val="20"/>
          <w:color w:val="auto"/>
        </w:rPr>
      </w:pPr>
    </w:p>
    <w:p>
      <w:pPr>
        <w:jc w:val="right"/>
        <w:spacing w:after="0" w:line="253" w:lineRule="auto"/>
        <w:rPr>
          <w:sz w:val="20"/>
          <w:szCs w:val="20"/>
          <w:color w:val="auto"/>
        </w:rPr>
      </w:pPr>
      <w:r>
        <w:rPr>
          <w:rFonts w:ascii="Arial" w:cs="Arial" w:eastAsia="Arial" w:hAnsi="Arial"/>
          <w:sz w:val="21"/>
          <w:szCs w:val="21"/>
          <w:color w:val="auto"/>
        </w:rPr>
        <w:t>trust ("REIT") that invests primarily in payments are guaranteed by a U.S. further  information,  please  refer  to</w:t>
      </w:r>
    </w:p>
    <w:p>
      <w:pPr>
        <w:spacing w:after="0" w:line="445" w:lineRule="exact"/>
        <w:rPr>
          <w:sz w:val="20"/>
          <w:szCs w:val="20"/>
          <w:color w:val="auto"/>
        </w:rPr>
      </w:pPr>
    </w:p>
    <w:p>
      <w:pPr>
        <w:sectPr>
          <w:pgSz w:w="11900" w:h="16838" w:orient="portrait"/>
          <w:cols w:equalWidth="0" w:num="2">
            <w:col w:w="7420" w:space="20"/>
            <w:col w:w="3800"/>
          </w:cols>
          <w:pgMar w:left="320" w:top="146" w:right="339" w:bottom="1440" w:gutter="0" w:footer="0" w:header="0"/>
          <w:type w:val="continuous"/>
        </w:sectPr>
      </w:pPr>
    </w:p>
    <w:p>
      <w:pPr>
        <w:spacing w:after="0"/>
        <w:rPr>
          <w:sz w:val="20"/>
          <w:szCs w:val="20"/>
          <w:color w:val="auto"/>
        </w:rPr>
      </w:pPr>
      <w:r>
        <w:rPr>
          <w:rFonts w:ascii="Arial" w:cs="Arial" w:eastAsia="Arial" w:hAnsi="Arial"/>
          <w:sz w:val="21"/>
          <w:szCs w:val="21"/>
          <w:b w:val="1"/>
          <w:bCs w:val="1"/>
          <w:color w:val="auto"/>
        </w:rPr>
        <w:t>FORWARD LOOKING STATEMENTS</w:t>
      </w:r>
    </w:p>
    <w:p>
      <w:pPr>
        <w:spacing w:after="0" w:line="192" w:lineRule="exact"/>
        <w:rPr>
          <w:sz w:val="20"/>
          <w:szCs w:val="20"/>
          <w:color w:val="auto"/>
        </w:rPr>
      </w:pPr>
    </w:p>
    <w:p>
      <w:pPr>
        <w:jc w:val="both"/>
        <w:spacing w:after="0" w:line="249" w:lineRule="auto"/>
        <w:rPr>
          <w:sz w:val="20"/>
          <w:szCs w:val="20"/>
          <w:color w:val="auto"/>
        </w:rPr>
      </w:pPr>
      <w:r>
        <w:rPr>
          <w:rFonts w:ascii="Arial" w:cs="Arial" w:eastAsia="Arial" w:hAnsi="Arial"/>
          <w:sz w:val="21"/>
          <w:szCs w:val="21"/>
          <w:color w:val="auto"/>
        </w:rPr>
        <w:t>This press release contains forward-looking statements within the meaning of the Private Securities Litigation Reform Act. Forward-looking statements are based on estimates, projections, beliefs and assumptions of management of the Company at the time of such statements and are not guarantees of future performance. Forward-looking statements involve risks and uncertainties in predicting future results and conditions. Actual results could differ materially from those projected in these forward-looking statements due to a variety of important factors, including, without limitation, changes in interest rates, changes in MBS spreads to benchmark interest rates, changes in the yield curve, changes in prepayment rates, the availability and terms of financing, changes in the market value of the Company's assets, general economic conditions, market conditions, conditions in the market for Agency securities, any of which may be materially impacted by changes in the Federal Reserve’s bond buying program or other monetary policy changes, and legislative and regulatory changes that could adversely affect the business of the Company. Certain factors that could cause actual results to differ materially from those contained in the forward-looking statements, are included in the Company's periodic reports filed with the Securities and Exchange Commission ("SEC"). Copies are available on the SEC's website, www.sec.gov. The Company disclaims any obligation to update or revise any forward-looking statements based on the occurrence of future events, the receipt of new information, or otherwise.</w:t>
      </w:r>
    </w:p>
    <w:p>
      <w:pPr>
        <w:spacing w:after="0" w:line="19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USE OF NON-GAAP FINANCIAL INFORMATION</w:t>
      </w:r>
    </w:p>
    <w:p>
      <w:pPr>
        <w:spacing w:after="0" w:line="192"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In addition to the results presented in accordance with GAAP, the Company's results of operations discussed in this release include certain non-GAAP financial information, including "net spread and dollar roll income," "net spread and dollar roll income, excluding 'catch-up' premium amortization," "economic interest income" and "economic interest expense" (both components of "net spread and dollar roll income"), "estimated taxable income" and the related per common share measures and certain financial metrics derived from such non-GAAP information, such as "cost of funds" and "net interest spread."</w:t>
      </w:r>
    </w:p>
    <w:p>
      <w:pPr>
        <w:sectPr>
          <w:pgSz w:w="11900" w:h="16838" w:orient="portrait"/>
          <w:cols w:equalWidth="0" w:num="1">
            <w:col w:w="11240"/>
          </w:cols>
          <w:pgMar w:left="320" w:top="146" w:right="339" w:bottom="1440" w:gutter="0" w:footer="0" w:header="0"/>
          <w:type w:val="continuous"/>
        </w:sectPr>
      </w:pPr>
    </w:p>
    <w:bookmarkStart w:id="17" w:name="page18"/>
    <w:bookmarkEnd w:id="17"/>
    <w:p>
      <w:pPr>
        <w:spacing w:after="0"/>
        <w:rPr>
          <w:sz w:val="20"/>
          <w:szCs w:val="20"/>
          <w:color w:val="auto"/>
        </w:rPr>
      </w:pPr>
      <w:r>
        <w:rPr>
          <w:rFonts w:ascii="Arial" w:cs="Arial" w:eastAsia="Arial" w:hAnsi="Arial"/>
          <w:sz w:val="21"/>
          <w:szCs w:val="21"/>
          <w:color w:val="auto"/>
        </w:rPr>
        <w:t>AGNC Investment Corp.</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October 25, 2021</w:t>
      </w:r>
    </w:p>
    <w:p>
      <w:pPr>
        <w:spacing w:after="0" w:line="8" w:lineRule="exact"/>
        <w:rPr>
          <w:sz w:val="20"/>
          <w:szCs w:val="20"/>
          <w:color w:val="auto"/>
        </w:rPr>
      </w:pPr>
    </w:p>
    <w:p>
      <w:pPr>
        <w:spacing w:after="0"/>
        <w:rPr>
          <w:sz w:val="20"/>
          <w:szCs w:val="20"/>
          <w:color w:val="auto"/>
        </w:rPr>
      </w:pPr>
      <w:r>
        <w:rPr>
          <w:rFonts w:ascii="Arial" w:cs="Arial" w:eastAsia="Arial" w:hAnsi="Arial"/>
          <w:sz w:val="21"/>
          <w:szCs w:val="21"/>
          <w:color w:val="auto"/>
        </w:rPr>
        <w:t>Page 15</w:t>
      </w:r>
    </w:p>
    <w:p>
      <w:pPr>
        <w:spacing w:after="0" w:line="200" w:lineRule="exact"/>
        <w:rPr>
          <w:sz w:val="20"/>
          <w:szCs w:val="20"/>
          <w:color w:val="auto"/>
        </w:rPr>
      </w:pPr>
    </w:p>
    <w:p>
      <w:pPr>
        <w:spacing w:after="0" w:line="400"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"Net spread and dollar roll income" is measured as (i) net interest income (GAAP measure) adjusted to include TBA dollar roll income, interest rate swap periodic cost and other interest and dividend income (referred to as "adjusted net interest and dollar roll income") less (ii) total operating expense (GAAP measure). "Net spread and dollar roll income, excluding 'catch-up' premium amortization," further excludes retrospective "catch-up" adjustments to premium amortization cost due to changes in projected CPR estimates.</w:t>
      </w:r>
    </w:p>
    <w:p>
      <w:pPr>
        <w:spacing w:after="0" w:line="149" w:lineRule="exact"/>
        <w:rPr>
          <w:sz w:val="20"/>
          <w:szCs w:val="20"/>
          <w:color w:val="auto"/>
        </w:rPr>
      </w:pPr>
    </w:p>
    <w:p>
      <w:pPr>
        <w:jc w:val="both"/>
        <w:spacing w:after="0" w:line="250" w:lineRule="auto"/>
        <w:rPr>
          <w:sz w:val="20"/>
          <w:szCs w:val="20"/>
          <w:color w:val="auto"/>
        </w:rPr>
      </w:pPr>
      <w:r>
        <w:rPr>
          <w:rFonts w:ascii="Arial" w:cs="Arial" w:eastAsia="Arial" w:hAnsi="Arial"/>
          <w:sz w:val="21"/>
          <w:szCs w:val="21"/>
          <w:color w:val="auto"/>
        </w:rPr>
        <w:t>By providing users of the Company's financial information with such measures in addition to the related GAAP measures, the Company believes users will have greater transparency into the information used by the Company's management in its financial and operational decision-making. The Company also believes that it is important for users of its financial information to consider information related to the Company's current financial performance without the effects of certain transactions that are not necessarily indicative of its current investment portfolio performance and operations.</w:t>
      </w:r>
    </w:p>
    <w:p>
      <w:pPr>
        <w:spacing w:after="0" w:line="398" w:lineRule="exact"/>
        <w:rPr>
          <w:sz w:val="20"/>
          <w:szCs w:val="20"/>
          <w:color w:val="auto"/>
        </w:rPr>
      </w:pPr>
    </w:p>
    <w:p>
      <w:pPr>
        <w:jc w:val="both"/>
        <w:spacing w:after="0" w:line="249" w:lineRule="auto"/>
        <w:rPr>
          <w:sz w:val="20"/>
          <w:szCs w:val="20"/>
          <w:color w:val="auto"/>
        </w:rPr>
      </w:pPr>
      <w:r>
        <w:rPr>
          <w:rFonts w:ascii="Arial" w:cs="Arial" w:eastAsia="Arial" w:hAnsi="Arial"/>
          <w:sz w:val="21"/>
          <w:szCs w:val="21"/>
          <w:color w:val="auto"/>
        </w:rPr>
        <w:t>Specifically, in the case of "adjusted net interest and dollar roll income," the Company believes the inclusion of TBA dollar roll income is meaningful as TBAs, which are accounted for under GAAP as derivative instruments with gains and losses recognized in other gain (loss) in the Company’s statement of operations, are economically equivalent to holding and financing generic Agency MBS using short-term repurchase agreements. Similarly, the Company believes that the inclusion of periodic interest rate swap settlements in such measure, which are recognized under GAAP in other gain (loss), is meaningful as interest rate swaps are the primary instrument the Company uses to economically hedge against fluctuations in the Company’s borrowing costs and inclusion of periodic interest rate swap settlements is more indicative of the Company’s total cost of funds than interest expense alone. In the case of "net spread and dollar roll income, excluding 'catch-up' premium amortization," the Company believes the exclusion of "catch-up" adjustments to premium amortization cost is meaningful as it excludes the cumulative effect from prior reporting periods due to current changes in future prepayment expectations and, therefore, exclusion of such "catch-up" cost or benefit is more indicative of the current earnings potential of the Company’s investment portfolio. In the case of estimated taxable income, the Company believes it is meaningful information as it is directly related to the amount of dividends the Company is required to distribute in order to maintain its REIT qualification status.</w:t>
      </w:r>
    </w:p>
    <w:p>
      <w:pPr>
        <w:spacing w:after="0" w:line="146" w:lineRule="exact"/>
        <w:rPr>
          <w:sz w:val="20"/>
          <w:szCs w:val="20"/>
          <w:color w:val="auto"/>
        </w:rPr>
      </w:pPr>
    </w:p>
    <w:p>
      <w:pPr>
        <w:jc w:val="both"/>
        <w:spacing w:after="0" w:line="249" w:lineRule="auto"/>
        <w:rPr>
          <w:sz w:val="20"/>
          <w:szCs w:val="20"/>
          <w:color w:val="auto"/>
        </w:rPr>
      </w:pPr>
      <w:r>
        <w:rPr>
          <w:rFonts w:ascii="Arial" w:cs="Arial" w:eastAsia="Arial" w:hAnsi="Arial"/>
          <w:sz w:val="21"/>
          <w:szCs w:val="21"/>
          <w:color w:val="auto"/>
        </w:rPr>
        <w:t>However, because such measures are incomplete measures of the Company's financial performance and involve differences from results computed in accordance with GAAP, they should be considered as supplementary to, and not as a substitute for, results computed in accordance with GAAP. In addition, because not all companies use identical calculations, the Company's presentation of such non-GAAP measures may not be comparable to other similarly-titled measures of other companies. Furthermore, estimated taxable income can include certain information that is subject to potential adjustments up to the time of filing the Company's income tax returns, which occurs after the end of its fiscal year.</w:t>
      </w:r>
    </w:p>
    <w:p>
      <w:pPr>
        <w:spacing w:after="0" w:line="152" w:lineRule="exact"/>
        <w:rPr>
          <w:sz w:val="20"/>
          <w:szCs w:val="20"/>
          <w:color w:val="auto"/>
        </w:rPr>
      </w:pPr>
    </w:p>
    <w:p>
      <w:pPr>
        <w:jc w:val="both"/>
        <w:spacing w:after="0" w:line="253" w:lineRule="auto"/>
        <w:rPr>
          <w:sz w:val="20"/>
          <w:szCs w:val="20"/>
          <w:color w:val="auto"/>
        </w:rPr>
      </w:pPr>
      <w:r>
        <w:rPr>
          <w:rFonts w:ascii="Arial" w:cs="Arial" w:eastAsia="Arial" w:hAnsi="Arial"/>
          <w:sz w:val="21"/>
          <w:szCs w:val="21"/>
          <w:color w:val="auto"/>
        </w:rPr>
        <w:t>A reconciliation of GAAP net interest income to non-GAAP "net spread and dollar roll income, excluding 'catch-up' premium amortization" and a reconciliation of GAAP net income to non-GAAP "estimated taxable income" is included in this release.</w:t>
      </w:r>
    </w:p>
    <w:sectPr>
      <w:pgSz w:w="11900" w:h="16838" w:orient="portrait"/>
      <w:cols w:equalWidth="0" w:num="1">
        <w:col w:w="11240"/>
      </w:cols>
      <w:pgMar w:left="320" w:top="14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lowerLetter"/>
      <w:start w:val="1"/>
    </w:lvl>
  </w:abstractNum>
  <w:abstractNum w:abstractNumId="1">
    <w:nsid w:val="3D1B58BA"/>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2">
    <w:nsid w:val="507ED7AB"/>
    <w:multiLevelType w:val="hybridMultilevel"/>
    <w:lvl w:ilvl="0">
      <w:lvlJc w:val="left"/>
      <w:lvlText w:val="•"/>
      <w:numFmt w:val="bullet"/>
      <w:start w:val="1"/>
    </w:lvl>
    <w:lvl w:ilvl="1">
      <w:lvlJc w:val="left"/>
      <w:lvlText w:val="◦"/>
      <w:numFmt w:val="bullet"/>
      <w:start w:val="1"/>
    </w:lvl>
  </w:abstractNum>
  <w:abstractNum w:abstractNumId="3">
    <w:nsid w:val="2EB141F2"/>
    <w:multiLevelType w:val="hybridMultilevel"/>
    <w:lvl w:ilvl="0">
      <w:lvlJc w:val="left"/>
      <w:lvlText w:val="%1."/>
      <w:numFmt w:val="decimal"/>
      <w:start w:val="1"/>
    </w:lvl>
  </w:abstractNum>
  <w:abstractNum w:abstractNumId="4">
    <w:nsid w:val="41B71EF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5">
    <w:nsid w:val="79E2A9E3"/>
    <w:multiLevelType w:val="hybridMultilevel"/>
    <w:lvl w:ilvl="0">
      <w:lvlJc w:val="left"/>
      <w:lvlText w:val="•"/>
      <w:numFmt w:val="bullet"/>
      <w:start w:val="1"/>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
      <w:numFmt w:val="bullet"/>
      <w:start w:val="1"/>
    </w:lvl>
  </w:abstractNum>
  <w:abstractNum w:abstractNumId="8">
    <w:nsid w:val="5BD062C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2021-10-25T15:10:19Z</dcterms:created>
  <dcterms:modified xsi:type="dcterms:W3CDTF">2021-10-25T15:10:19Z</dcterms:modified>
</cp:coreProperties>
</file>