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850900</wp:posOffset>
            </wp:positionH>
            <wp:positionV relativeFrom="page">
              <wp:posOffset>757555</wp:posOffset>
            </wp:positionV>
            <wp:extent cx="585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page">
              <wp:posOffset>850900</wp:posOffset>
            </wp:positionH>
            <wp:positionV relativeFrom="page">
              <wp:posOffset>723265</wp:posOffset>
            </wp:positionV>
            <wp:extent cx="585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70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__________________________________________________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4"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__________________________________________________</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July 1, 2021</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635</wp:posOffset>
            </wp:positionV>
            <wp:extent cx="183451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AGNC INVESTMENT CORP.</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__________________________________________________</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120" w:type="dxa"/>
            <w:vAlign w:val="bottom"/>
          </w:tcPr>
          <w:p>
            <w:pPr>
              <w:jc w:val="center"/>
              <w:ind w:right="351"/>
              <w:spacing w:after="0"/>
              <w:rPr>
                <w:sz w:val="20"/>
                <w:szCs w:val="20"/>
                <w:color w:val="auto"/>
              </w:rPr>
            </w:pPr>
            <w:r>
              <w:rPr>
                <w:rFonts w:ascii="Arial" w:cs="Arial" w:eastAsia="Arial" w:hAnsi="Arial"/>
                <w:sz w:val="16"/>
                <w:szCs w:val="16"/>
                <w:b w:val="1"/>
                <w:bCs w:val="1"/>
                <w:color w:val="auto"/>
                <w:w w:val="93"/>
              </w:rPr>
              <w:t>Delaware</w:t>
            </w:r>
          </w:p>
        </w:tc>
        <w:tc>
          <w:tcPr>
            <w:tcW w:w="378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001-34057</w:t>
            </w:r>
          </w:p>
        </w:tc>
        <w:tc>
          <w:tcPr>
            <w:tcW w:w="1580" w:type="dxa"/>
            <w:vAlign w:val="bottom"/>
          </w:tcPr>
          <w:p>
            <w:pPr>
              <w:jc w:val="center"/>
              <w:ind w:left="531"/>
              <w:spacing w:after="0"/>
              <w:rPr>
                <w:sz w:val="20"/>
                <w:szCs w:val="20"/>
                <w:color w:val="auto"/>
              </w:rPr>
            </w:pPr>
            <w:r>
              <w:rPr>
                <w:rFonts w:ascii="Arial" w:cs="Arial" w:eastAsia="Arial" w:hAnsi="Arial"/>
                <w:sz w:val="16"/>
                <w:szCs w:val="16"/>
                <w:b w:val="1"/>
                <w:bCs w:val="1"/>
                <w:color w:val="auto"/>
                <w:w w:val="91"/>
              </w:rPr>
              <w:t>26-1701984</w:t>
            </w:r>
          </w:p>
        </w:tc>
        <w:tc>
          <w:tcPr>
            <w:tcW w:w="0" w:type="dxa"/>
            <w:vAlign w:val="bottom"/>
          </w:tcPr>
          <w:p>
            <w:pPr>
              <w:spacing w:after="0"/>
              <w:rPr>
                <w:sz w:val="1"/>
                <w:szCs w:val="1"/>
                <w:color w:val="auto"/>
              </w:rPr>
            </w:pPr>
          </w:p>
        </w:tc>
      </w:tr>
      <w:tr>
        <w:trPr>
          <w:trHeight w:val="141"/>
        </w:trPr>
        <w:tc>
          <w:tcPr>
            <w:tcW w:w="2120" w:type="dxa"/>
            <w:vAlign w:val="bottom"/>
          </w:tcPr>
          <w:p>
            <w:pPr>
              <w:jc w:val="center"/>
              <w:ind w:right="351"/>
              <w:spacing w:after="0" w:line="141" w:lineRule="exact"/>
              <w:rPr>
                <w:sz w:val="20"/>
                <w:szCs w:val="20"/>
                <w:color w:val="auto"/>
              </w:rPr>
            </w:pPr>
            <w:r>
              <w:rPr>
                <w:rFonts w:ascii="Arial" w:cs="Arial" w:eastAsia="Arial" w:hAnsi="Arial"/>
                <w:sz w:val="13"/>
                <w:szCs w:val="13"/>
                <w:b w:val="1"/>
                <w:bCs w:val="1"/>
                <w:color w:val="auto"/>
                <w:w w:val="87"/>
              </w:rPr>
              <w:t>(State or Other Jurisdiction of</w:t>
            </w:r>
          </w:p>
        </w:tc>
        <w:tc>
          <w:tcPr>
            <w:tcW w:w="3780" w:type="dxa"/>
            <w:vAlign w:val="bottom"/>
            <w:vMerge w:val="restart"/>
          </w:tcPr>
          <w:p>
            <w:pPr>
              <w:jc w:val="center"/>
              <w:ind w:right="127"/>
              <w:spacing w:after="0"/>
              <w:rPr>
                <w:sz w:val="20"/>
                <w:szCs w:val="20"/>
                <w:color w:val="auto"/>
              </w:rPr>
            </w:pPr>
            <w:r>
              <w:rPr>
                <w:rFonts w:ascii="Arial" w:cs="Arial" w:eastAsia="Arial" w:hAnsi="Arial"/>
                <w:sz w:val="13"/>
                <w:szCs w:val="13"/>
                <w:b w:val="1"/>
                <w:bCs w:val="1"/>
                <w:color w:val="auto"/>
                <w:w w:val="88"/>
              </w:rPr>
              <w:t>(Commission File Number)</w:t>
            </w:r>
          </w:p>
        </w:tc>
        <w:tc>
          <w:tcPr>
            <w:tcW w:w="1580" w:type="dxa"/>
            <w:vAlign w:val="bottom"/>
          </w:tcPr>
          <w:p>
            <w:pPr>
              <w:jc w:val="center"/>
              <w:ind w:left="511"/>
              <w:spacing w:after="0" w:line="141"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2120" w:type="dxa"/>
            <w:vAlign w:val="bottom"/>
          </w:tcPr>
          <w:p>
            <w:pPr>
              <w:jc w:val="center"/>
              <w:ind w:right="351"/>
              <w:spacing w:after="0"/>
              <w:rPr>
                <w:sz w:val="20"/>
                <w:szCs w:val="20"/>
                <w:color w:val="auto"/>
              </w:rPr>
            </w:pPr>
            <w:r>
              <w:rPr>
                <w:rFonts w:ascii="Arial" w:cs="Arial" w:eastAsia="Arial" w:hAnsi="Arial"/>
                <w:sz w:val="13"/>
                <w:szCs w:val="13"/>
                <w:b w:val="1"/>
                <w:bCs w:val="1"/>
                <w:color w:val="auto"/>
                <w:w w:val="90"/>
              </w:rPr>
              <w:t>Incorporation or Organization)</w:t>
            </w:r>
          </w:p>
        </w:tc>
        <w:tc>
          <w:tcPr>
            <w:tcW w:w="3780" w:type="dxa"/>
            <w:vAlign w:val="bottom"/>
            <w:vMerge w:val="continue"/>
          </w:tcPr>
          <w:p>
            <w:pPr>
              <w:spacing w:after="0"/>
              <w:rPr>
                <w:sz w:val="14"/>
                <w:szCs w:val="14"/>
                <w:color w:val="auto"/>
              </w:rPr>
            </w:pPr>
          </w:p>
        </w:tc>
        <w:tc>
          <w:tcPr>
            <w:tcW w:w="1580" w:type="dxa"/>
            <w:vAlign w:val="bottom"/>
          </w:tcPr>
          <w:p>
            <w:pPr>
              <w:jc w:val="center"/>
              <w:ind w:left="511"/>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21"/>
        </w:trPr>
        <w:tc>
          <w:tcPr>
            <w:tcW w:w="2120" w:type="dxa"/>
            <w:vAlign w:val="bottom"/>
          </w:tcPr>
          <w:p>
            <w:pPr>
              <w:spacing w:after="0"/>
              <w:rPr>
                <w:sz w:val="24"/>
                <w:szCs w:val="24"/>
                <w:color w:val="auto"/>
              </w:rPr>
            </w:pPr>
          </w:p>
        </w:tc>
        <w:tc>
          <w:tcPr>
            <w:tcW w:w="3780" w:type="dxa"/>
            <w:vAlign w:val="bottom"/>
          </w:tcPr>
          <w:p>
            <w:pPr>
              <w:jc w:val="center"/>
              <w:ind w:right="107"/>
              <w:spacing w:after="0"/>
              <w:rPr>
                <w:sz w:val="20"/>
                <w:szCs w:val="20"/>
                <w:color w:val="auto"/>
              </w:rPr>
            </w:pPr>
            <w:r>
              <w:rPr>
                <w:rFonts w:ascii="Arial" w:cs="Arial" w:eastAsia="Arial" w:hAnsi="Arial"/>
                <w:sz w:val="16"/>
                <w:szCs w:val="16"/>
                <w:b w:val="1"/>
                <w:bCs w:val="1"/>
                <w:color w:val="auto"/>
                <w:w w:val="91"/>
              </w:rPr>
              <w:t>2 Bethesda Metro Center, 12th Floor</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3780" w:type="dxa"/>
            <w:vAlign w:val="bottom"/>
          </w:tcPr>
          <w:p>
            <w:pPr>
              <w:jc w:val="center"/>
              <w:ind w:right="107"/>
              <w:spacing w:after="0"/>
              <w:rPr>
                <w:sz w:val="20"/>
                <w:szCs w:val="20"/>
                <w:color w:val="auto"/>
              </w:rPr>
            </w:pPr>
            <w:r>
              <w:rPr>
                <w:rFonts w:ascii="Arial" w:cs="Arial" w:eastAsia="Arial" w:hAnsi="Arial"/>
                <w:sz w:val="16"/>
                <w:szCs w:val="16"/>
                <w:b w:val="1"/>
                <w:bCs w:val="1"/>
                <w:color w:val="auto"/>
                <w:w w:val="91"/>
              </w:rPr>
              <w:t>Bethesda, Maryland 20814</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3780" w:type="dxa"/>
            <w:vAlign w:val="bottom"/>
          </w:tcPr>
          <w:p>
            <w:pPr>
              <w:jc w:val="center"/>
              <w:ind w:right="87"/>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120" w:type="dxa"/>
            <w:vAlign w:val="bottom"/>
          </w:tcPr>
          <w:p>
            <w:pPr>
              <w:spacing w:after="0"/>
              <w:rPr>
                <w:sz w:val="24"/>
                <w:szCs w:val="24"/>
                <w:color w:val="auto"/>
              </w:rPr>
            </w:pPr>
          </w:p>
        </w:tc>
        <w:tc>
          <w:tcPr>
            <w:tcW w:w="3780" w:type="dxa"/>
            <w:vAlign w:val="bottom"/>
          </w:tcPr>
          <w:p>
            <w:pPr>
              <w:jc w:val="center"/>
              <w:ind w:right="107"/>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3780" w:type="dxa"/>
            <w:vAlign w:val="bottom"/>
          </w:tcPr>
          <w:p>
            <w:pPr>
              <w:jc w:val="center"/>
              <w:ind w:right="87"/>
              <w:spacing w:after="0"/>
              <w:rPr>
                <w:sz w:val="20"/>
                <w:szCs w:val="20"/>
                <w:color w:val="auto"/>
              </w:rPr>
            </w:pPr>
            <w:r>
              <w:rPr>
                <w:rFonts w:ascii="Arial" w:cs="Arial" w:eastAsia="Arial" w:hAnsi="Arial"/>
                <w:sz w:val="16"/>
                <w:szCs w:val="16"/>
                <w:b w:val="1"/>
                <w:bCs w:val="1"/>
                <w:color w:val="auto"/>
                <w:w w:val="93"/>
              </w:rPr>
              <w:t>(301) 968-9300</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__________________________________________________</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220"/>
          </w:cols>
          <w:pgMar w:left="320" w:top="1255" w:right="359" w:bottom="1440" w:gutter="0" w:footer="0" w:header="0"/>
        </w:sectPr>
      </w:pPr>
    </w:p>
    <w:p>
      <w:pPr>
        <w:spacing w:after="0" w:line="161" w:lineRule="exact"/>
        <w:rPr>
          <w:sz w:val="24"/>
          <w:szCs w:val="24"/>
          <w:color w:val="auto"/>
        </w:rPr>
      </w:pPr>
    </w:p>
    <w:p>
      <w:pPr>
        <w:ind w:left="160"/>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ind w:left="1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0"/>
          <w:szCs w:val="10"/>
          <w:color w:val="auto"/>
        </w:rPr>
        <w:t>Written communications pursuant to Rule 425 under the Securities Act (17 CFR 230.425)</w:t>
      </w:r>
    </w:p>
    <w:p>
      <w:pPr>
        <w:spacing w:after="0" w:line="155" w:lineRule="exact"/>
        <w:rPr>
          <w:sz w:val="24"/>
          <w:szCs w:val="24"/>
          <w:color w:val="auto"/>
        </w:rPr>
      </w:pPr>
    </w:p>
    <w:p>
      <w:pPr>
        <w:spacing w:after="0"/>
        <w:rPr>
          <w:sz w:val="20"/>
          <w:szCs w:val="20"/>
          <w:color w:val="auto"/>
        </w:rPr>
      </w:pPr>
      <w:r>
        <w:rPr>
          <w:rFonts w:ascii="Arial" w:cs="Arial" w:eastAsia="Arial" w:hAnsi="Arial"/>
          <w:sz w:val="10"/>
          <w:szCs w:val="10"/>
          <w:color w:val="auto"/>
        </w:rPr>
        <w:t>Soliciting material pursuant to Rule 14a-12 under the Exchange Act (17 CFR 240.14a-12)</w:t>
      </w:r>
    </w:p>
    <w:p>
      <w:pPr>
        <w:spacing w:after="0" w:line="171" w:lineRule="exact"/>
        <w:rPr>
          <w:sz w:val="24"/>
          <w:szCs w:val="24"/>
          <w:color w:val="auto"/>
        </w:rPr>
      </w:pPr>
    </w:p>
    <w:p>
      <w:pPr>
        <w:sectPr>
          <w:pgSz w:w="11900" w:h="16838" w:orient="portrait"/>
          <w:cols w:equalWidth="0" w:num="2">
            <w:col w:w="1580" w:space="720"/>
            <w:col w:w="8920"/>
          </w:cols>
          <w:pgMar w:left="320" w:top="1255" w:right="359" w:bottom="1440" w:gutter="0" w:footer="0" w:header="0"/>
          <w:type w:val="continuous"/>
        </w:sectPr>
      </w:pPr>
    </w:p>
    <w:p>
      <w:pPr>
        <w:ind w:left="160"/>
        <w:spacing w:after="0"/>
        <w:tabs>
          <w:tab w:leader="none" w:pos="2280"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Pre-commencement communications pursuant to Rule 14d-2(b) under the Exchange Act </w:t>
      </w:r>
      <w:r>
        <w:rPr>
          <w:rFonts w:ascii="Arial" w:cs="Arial" w:eastAsia="Arial" w:hAnsi="Arial"/>
          <w:sz w:val="10"/>
          <w:szCs w:val="10"/>
          <w:i w:val="1"/>
          <w:iCs w:val="1"/>
          <w:color w:val="auto"/>
        </w:rPr>
        <w:t>(</w:t>
      </w:r>
      <w:r>
        <w:rPr>
          <w:rFonts w:ascii="Arial" w:cs="Arial" w:eastAsia="Arial" w:hAnsi="Arial"/>
          <w:sz w:val="10"/>
          <w:szCs w:val="10"/>
          <w:color w:val="auto"/>
        </w:rPr>
        <w:t>17 CFR 240.14d-2(b))</w:t>
      </w:r>
    </w:p>
    <w:p>
      <w:pPr>
        <w:spacing w:after="0" w:line="146" w:lineRule="exact"/>
        <w:rPr>
          <w:sz w:val="24"/>
          <w:szCs w:val="24"/>
          <w:color w:val="auto"/>
        </w:rPr>
      </w:pPr>
    </w:p>
    <w:p>
      <w:pPr>
        <w:ind w:left="160"/>
        <w:spacing w:after="0"/>
        <w:tabs>
          <w:tab w:leader="none" w:pos="2280"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Pre-commencement communications pursuant to Rule 13e-4(c) under the Exchange Act (17 CFR 240.13e-4(c))</w:t>
      </w:r>
    </w:p>
    <w:p>
      <w:pPr>
        <w:sectPr>
          <w:pgSz w:w="11900" w:h="16838" w:orient="portrait"/>
          <w:cols w:equalWidth="0" w:num="1">
            <w:col w:w="11220"/>
          </w:cols>
          <w:pgMar w:left="320" w:top="1255" w:right="359" w:bottom="1440" w:gutter="0" w:footer="0" w:header="0"/>
          <w:type w:val="continuous"/>
        </w:sectPr>
      </w:pP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260" w:type="dxa"/>
            <w:vAlign w:val="bottom"/>
            <w:gridSpan w:val="4"/>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60" w:type="dxa"/>
            <w:vAlign w:val="bottom"/>
            <w:gridSpan w:val="2"/>
          </w:tcPr>
          <w:p>
            <w:pPr>
              <w:jc w:val="center"/>
              <w:ind w:right="1580"/>
              <w:spacing w:after="0"/>
              <w:rPr>
                <w:sz w:val="20"/>
                <w:szCs w:val="20"/>
                <w:color w:val="auto"/>
              </w:rPr>
            </w:pPr>
            <w:r>
              <w:rPr>
                <w:rFonts w:ascii="Arial" w:cs="Arial" w:eastAsia="Arial" w:hAnsi="Arial"/>
                <w:sz w:val="13"/>
                <w:szCs w:val="13"/>
                <w:b w:val="1"/>
                <w:bCs w:val="1"/>
                <w:color w:val="auto"/>
                <w:w w:val="88"/>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Trading Symbol(s)</w:t>
            </w:r>
          </w:p>
        </w:tc>
        <w:tc>
          <w:tcPr>
            <w:tcW w:w="428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3660" w:type="dxa"/>
            <w:vAlign w:val="bottom"/>
            <w:tcBorders>
              <w:top w:val="single" w:sz="8" w:color="auto"/>
            </w:tcBorders>
          </w:tcPr>
          <w:p>
            <w:pPr>
              <w:jc w:val="center"/>
              <w:ind w:right="1437"/>
              <w:spacing w:after="0"/>
              <w:rPr>
                <w:sz w:val="20"/>
                <w:szCs w:val="20"/>
                <w:color w:val="auto"/>
              </w:rPr>
            </w:pPr>
            <w:r>
              <w:rPr>
                <w:rFonts w:ascii="Arial" w:cs="Arial" w:eastAsia="Arial" w:hAnsi="Arial"/>
                <w:sz w:val="13"/>
                <w:szCs w:val="13"/>
                <w:color w:val="auto"/>
                <w:w w:val="86"/>
              </w:rPr>
              <w:t>Common Stock, par value $0.01 per share</w:t>
            </w:r>
          </w:p>
        </w:tc>
        <w:tc>
          <w:tcPr>
            <w:tcW w:w="100" w:type="dxa"/>
            <w:vAlign w:val="bottom"/>
          </w:tcPr>
          <w:p>
            <w:pPr>
              <w:spacing w:after="0"/>
              <w:rPr>
                <w:sz w:val="13"/>
                <w:szCs w:val="13"/>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AGNC</w:t>
            </w:r>
          </w:p>
        </w:tc>
        <w:tc>
          <w:tcPr>
            <w:tcW w:w="100" w:type="dxa"/>
            <w:vAlign w:val="bottom"/>
          </w:tcPr>
          <w:p>
            <w:pPr>
              <w:spacing w:after="0"/>
              <w:rPr>
                <w:sz w:val="13"/>
                <w:szCs w:val="13"/>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220" w:type="dxa"/>
            <w:vAlign w:val="bottom"/>
            <w:gridSpan w:val="3"/>
          </w:tcPr>
          <w:p>
            <w:pPr>
              <w:jc w:val="center"/>
              <w:ind w:right="120"/>
              <w:spacing w:after="0" w:line="137" w:lineRule="exact"/>
              <w:rPr>
                <w:sz w:val="20"/>
                <w:szCs w:val="20"/>
                <w:color w:val="auto"/>
              </w:rPr>
            </w:pPr>
            <w:r>
              <w:rPr>
                <w:rFonts w:ascii="Arial" w:cs="Arial" w:eastAsia="Arial" w:hAnsi="Arial"/>
                <w:sz w:val="13"/>
                <w:szCs w:val="13"/>
                <w:color w:val="auto"/>
                <w:w w:val="87"/>
              </w:rPr>
              <w:t>Depositary shares of 7.000% Series C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3"/>
              </w:rPr>
              <w:t>AGNCN</w:t>
            </w:r>
          </w:p>
        </w:tc>
        <w:tc>
          <w:tcPr>
            <w:tcW w:w="4280" w:type="dxa"/>
            <w:vAlign w:val="bottom"/>
            <w:vMerge w:val="restart"/>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60" w:type="dxa"/>
            <w:vAlign w:val="bottom"/>
            <w:gridSpan w:val="2"/>
            <w:vMerge w:val="restart"/>
          </w:tcPr>
          <w:p>
            <w:pPr>
              <w:jc w:val="center"/>
              <w:ind w:right="1580"/>
              <w:spacing w:after="0"/>
              <w:rPr>
                <w:sz w:val="20"/>
                <w:szCs w:val="20"/>
                <w:color w:val="auto"/>
              </w:rPr>
            </w:pPr>
            <w:r>
              <w:rPr>
                <w:rFonts w:ascii="Arial" w:cs="Arial" w:eastAsia="Arial" w:hAnsi="Arial"/>
                <w:sz w:val="13"/>
                <w:szCs w:val="13"/>
                <w:color w:val="auto"/>
                <w:w w:val="92"/>
              </w:rPr>
              <w:t>Stock</w:t>
            </w:r>
          </w:p>
        </w:tc>
        <w:tc>
          <w:tcPr>
            <w:tcW w:w="168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220" w:type="dxa"/>
            <w:vAlign w:val="bottom"/>
            <w:gridSpan w:val="3"/>
          </w:tcPr>
          <w:p>
            <w:pPr>
              <w:jc w:val="center"/>
              <w:ind w:right="120"/>
              <w:spacing w:after="0" w:line="137" w:lineRule="exact"/>
              <w:rPr>
                <w:sz w:val="20"/>
                <w:szCs w:val="20"/>
                <w:color w:val="auto"/>
              </w:rPr>
            </w:pPr>
            <w:r>
              <w:rPr>
                <w:rFonts w:ascii="Arial" w:cs="Arial" w:eastAsia="Arial" w:hAnsi="Arial"/>
                <w:sz w:val="13"/>
                <w:szCs w:val="13"/>
                <w:color w:val="auto"/>
                <w:w w:val="87"/>
              </w:rPr>
              <w:t>Depositary shares of 6.875% Series D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9"/>
              </w:rPr>
              <w:t>AGNCM</w:t>
            </w:r>
          </w:p>
        </w:tc>
        <w:tc>
          <w:tcPr>
            <w:tcW w:w="4280" w:type="dxa"/>
            <w:vAlign w:val="bottom"/>
            <w:vMerge w:val="restart"/>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60" w:type="dxa"/>
            <w:vAlign w:val="bottom"/>
            <w:gridSpan w:val="2"/>
            <w:vMerge w:val="restart"/>
          </w:tcPr>
          <w:p>
            <w:pPr>
              <w:jc w:val="center"/>
              <w:ind w:right="1580"/>
              <w:spacing w:after="0"/>
              <w:rPr>
                <w:sz w:val="20"/>
                <w:szCs w:val="20"/>
                <w:color w:val="auto"/>
              </w:rPr>
            </w:pPr>
            <w:r>
              <w:rPr>
                <w:rFonts w:ascii="Arial" w:cs="Arial" w:eastAsia="Arial" w:hAnsi="Arial"/>
                <w:sz w:val="13"/>
                <w:szCs w:val="13"/>
                <w:color w:val="auto"/>
                <w:w w:val="92"/>
              </w:rPr>
              <w:t>Stock</w:t>
            </w:r>
          </w:p>
        </w:tc>
        <w:tc>
          <w:tcPr>
            <w:tcW w:w="168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220" w:type="dxa"/>
            <w:vAlign w:val="bottom"/>
            <w:gridSpan w:val="3"/>
          </w:tcPr>
          <w:p>
            <w:pPr>
              <w:jc w:val="center"/>
              <w:ind w:right="140"/>
              <w:spacing w:after="0" w:line="137" w:lineRule="exact"/>
              <w:rPr>
                <w:sz w:val="20"/>
                <w:szCs w:val="20"/>
                <w:color w:val="auto"/>
              </w:rPr>
            </w:pPr>
            <w:r>
              <w:rPr>
                <w:rFonts w:ascii="Arial" w:cs="Arial" w:eastAsia="Arial" w:hAnsi="Arial"/>
                <w:sz w:val="13"/>
                <w:szCs w:val="13"/>
                <w:color w:val="auto"/>
                <w:w w:val="87"/>
              </w:rPr>
              <w:t>Depositary shares of 6.50% Series E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2"/>
              </w:rPr>
              <w:t>AGNCO</w:t>
            </w:r>
          </w:p>
        </w:tc>
        <w:tc>
          <w:tcPr>
            <w:tcW w:w="4280" w:type="dxa"/>
            <w:vAlign w:val="bottom"/>
            <w:vMerge w:val="restart"/>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60" w:type="dxa"/>
            <w:vAlign w:val="bottom"/>
            <w:gridSpan w:val="2"/>
            <w:vMerge w:val="restart"/>
          </w:tcPr>
          <w:p>
            <w:pPr>
              <w:jc w:val="center"/>
              <w:ind w:right="1580"/>
              <w:spacing w:after="0"/>
              <w:rPr>
                <w:sz w:val="20"/>
                <w:szCs w:val="20"/>
                <w:color w:val="auto"/>
              </w:rPr>
            </w:pPr>
            <w:r>
              <w:rPr>
                <w:rFonts w:ascii="Arial" w:cs="Arial" w:eastAsia="Arial" w:hAnsi="Arial"/>
                <w:sz w:val="13"/>
                <w:szCs w:val="13"/>
                <w:color w:val="auto"/>
                <w:w w:val="92"/>
              </w:rPr>
              <w:t>Stock</w:t>
            </w:r>
          </w:p>
        </w:tc>
        <w:tc>
          <w:tcPr>
            <w:tcW w:w="168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220" w:type="dxa"/>
            <w:vAlign w:val="bottom"/>
            <w:gridSpan w:val="3"/>
          </w:tcPr>
          <w:p>
            <w:pPr>
              <w:jc w:val="center"/>
              <w:ind w:right="120"/>
              <w:spacing w:after="0" w:line="137" w:lineRule="exact"/>
              <w:rPr>
                <w:sz w:val="20"/>
                <w:szCs w:val="20"/>
                <w:color w:val="auto"/>
              </w:rPr>
            </w:pPr>
            <w:r>
              <w:rPr>
                <w:rFonts w:ascii="Arial" w:cs="Arial" w:eastAsia="Arial" w:hAnsi="Arial"/>
                <w:sz w:val="13"/>
                <w:szCs w:val="13"/>
                <w:color w:val="auto"/>
                <w:w w:val="87"/>
              </w:rPr>
              <w:t>Depositary shares of 6.125% Series F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AGNCP</w:t>
            </w:r>
          </w:p>
        </w:tc>
        <w:tc>
          <w:tcPr>
            <w:tcW w:w="4280" w:type="dxa"/>
            <w:vAlign w:val="bottom"/>
            <w:vMerge w:val="restart"/>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60" w:type="dxa"/>
            <w:vAlign w:val="bottom"/>
            <w:gridSpan w:val="2"/>
            <w:vMerge w:val="restart"/>
          </w:tcPr>
          <w:p>
            <w:pPr>
              <w:jc w:val="center"/>
              <w:ind w:right="1580"/>
              <w:spacing w:after="0"/>
              <w:rPr>
                <w:sz w:val="20"/>
                <w:szCs w:val="20"/>
                <w:color w:val="auto"/>
              </w:rPr>
            </w:pPr>
            <w:r>
              <w:rPr>
                <w:rFonts w:ascii="Arial" w:cs="Arial" w:eastAsia="Arial" w:hAnsi="Arial"/>
                <w:sz w:val="13"/>
                <w:szCs w:val="13"/>
                <w:color w:val="auto"/>
                <w:w w:val="92"/>
              </w:rPr>
              <w:t>Stock</w:t>
            </w:r>
          </w:p>
        </w:tc>
        <w:tc>
          <w:tcPr>
            <w:tcW w:w="168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1220" w:type="dxa"/>
            <w:vAlign w:val="bottom"/>
            <w:gridSpan w:val="7"/>
          </w:tcPr>
          <w:p>
            <w:pPr>
              <w:ind w:left="2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w:t>
            </w:r>
          </w:p>
        </w:tc>
        <w:tc>
          <w:tcPr>
            <w:tcW w:w="0" w:type="dxa"/>
            <w:vAlign w:val="bottom"/>
          </w:tcPr>
          <w:p>
            <w:pPr>
              <w:spacing w:after="0"/>
              <w:rPr>
                <w:sz w:val="1"/>
                <w:szCs w:val="1"/>
                <w:color w:val="auto"/>
              </w:rPr>
            </w:pPr>
          </w:p>
        </w:tc>
      </w:tr>
      <w:tr>
        <w:trPr>
          <w:trHeight w:val="160"/>
        </w:trPr>
        <w:tc>
          <w:tcPr>
            <w:tcW w:w="5260" w:type="dxa"/>
            <w:vAlign w:val="bottom"/>
            <w:gridSpan w:val="4"/>
          </w:tcPr>
          <w:p>
            <w:pPr>
              <w:ind w:left="20"/>
              <w:spacing w:after="0"/>
              <w:rPr>
                <w:sz w:val="20"/>
                <w:szCs w:val="20"/>
                <w:color w:val="auto"/>
              </w:rPr>
            </w:pPr>
            <w:r>
              <w:rPr>
                <w:rFonts w:ascii="Arial" w:cs="Arial" w:eastAsia="Arial" w:hAnsi="Arial"/>
                <w:sz w:val="13"/>
                <w:szCs w:val="13"/>
                <w:color w:val="auto"/>
              </w:rPr>
              <w:t>Securities Exchange Act of 1934 (§240.12b-2 of this chapter).</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500" w:type="dxa"/>
            <w:vAlign w:val="bottom"/>
            <w:gridSpan w:val="2"/>
          </w:tcPr>
          <w:p>
            <w:pPr>
              <w:ind w:left="20"/>
              <w:spacing w:after="0"/>
              <w:rPr>
                <w:sz w:val="20"/>
                <w:szCs w:val="20"/>
                <w:color w:val="auto"/>
              </w:rPr>
            </w:pPr>
            <w:r>
              <w:rPr>
                <w:rFonts w:ascii="Arial" w:cs="Arial" w:eastAsia="Arial" w:hAnsi="Arial"/>
                <w:sz w:val="13"/>
                <w:szCs w:val="13"/>
                <w:color w:val="auto"/>
                <w:w w:val="91"/>
              </w:rPr>
              <w:t>Emerging Growth Company</w:t>
            </w:r>
          </w:p>
        </w:tc>
        <w:tc>
          <w:tcPr>
            <w:tcW w:w="3760" w:type="dxa"/>
            <w:vAlign w:val="bottom"/>
            <w:gridSpan w:val="2"/>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right="30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116205</wp:posOffset>
            </wp:positionV>
            <wp:extent cx="5854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470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81915</wp:posOffset>
            </wp:positionV>
            <wp:extent cx="5854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4700" cy="8890"/>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type w:val="continuous"/>
        </w:sectPr>
      </w:pPr>
    </w:p>
    <w:bookmarkStart w:id="1" w:name="page2"/>
    <w:bookmarkEnd w:id="1"/>
    <w:p>
      <w:pPr>
        <w:ind w:right="1080"/>
        <w:spacing w:after="0" w:line="267" w:lineRule="auto"/>
        <w:rPr>
          <w:sz w:val="20"/>
          <w:szCs w:val="20"/>
          <w:color w:val="auto"/>
        </w:rPr>
      </w:pPr>
      <w:r>
        <w:rPr>
          <w:rFonts w:ascii="Arial" w:cs="Arial" w:eastAsia="Arial" w:hAnsi="Arial"/>
          <w:sz w:val="20"/>
          <w:szCs w:val="20"/>
          <w:b w:val="1"/>
          <w:bCs w:val="1"/>
          <w:color w:val="auto"/>
        </w:rPr>
        <w:t>Item 5.02. Departure of Directors or Certain Executive Officers; Election of Directors; Appointment of Certain Officers; Compensatory Arrangements with Certain Officers.</w:t>
      </w:r>
    </w:p>
    <w:p>
      <w:pPr>
        <w:spacing w:after="0" w:line="1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part of the previously announced transition, as of July 1, 2021, Peter Federico, previously President and Chief Operating Officer, was appointed President and Chief Executive Officer of AGNC Investment Corp. (the "Company") and Christopher Kuehl, previously Executive Vice President, Agency Portfolio Investments, was appointed Executive Vice President and Chief Investment Officer. In the transition, Gary Kain was appointed Executive Chair of the Board of Directors (the "Board") of the Company, and Prue Larocca, previously the Board’s Chair, was elected as Vice Chair of the Board and will continue as the Company’s Lead Independent Director.</w:t>
      </w:r>
    </w:p>
    <w:p>
      <w:pPr>
        <w:spacing w:after="0" w:line="189"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By written consent executed as of July 1, 2021, the Board set the number of directors who constitute the Board to eight and appointed Mr. Federico, 55, to the Board, effective immediately. Mr. Federico was elected to a term that continues until the Company’s 2022 annual meeting of stockholders and until his successor is duly elected and qualified, or until his earlier death, resignation or removal. In connection with his appointment as Chief Executive Officer, Mr. Federico is now the Company's principal executive officer. Mr. Federico has served as the Company’s President since March 2018, as Chief Operating Officer from March 2018 until July 2021, and as Executive Vice President and Chief Financial Officer from July 2016 until March 2018. Mr. Federico was the Company’s Senior Vice President and Chief Risk Officer from June 2011 until July 2016.</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There are no arrangements or understandings between Mr. Federico and any other person pursuant to which he was appointed as a director, nor are there any family relationships between Mr. Federico and any other executive officer or director of the Company. Mr. Federico is not a party to any transaction with the Company that would require disclosure under Item 404(a) of Regulation S-K.</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Company has entered into its standard form of indemnification agreement with each of Messrs. Federico and Kuehl, substantially in the form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820" w:type="dxa"/>
            <w:vAlign w:val="bottom"/>
          </w:tcPr>
          <w:p>
            <w:pPr>
              <w:spacing w:after="0"/>
              <w:rPr>
                <w:sz w:val="21"/>
                <w:szCs w:val="21"/>
                <w:color w:val="auto"/>
              </w:rPr>
            </w:pPr>
          </w:p>
        </w:tc>
      </w:tr>
      <w:tr>
        <w:trPr>
          <w:trHeight w:val="320"/>
        </w:trPr>
        <w:tc>
          <w:tcPr>
            <w:tcW w:w="1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Exhibit No.</w:t>
            </w:r>
          </w:p>
        </w:tc>
        <w:tc>
          <w:tcPr>
            <w:tcW w:w="9700" w:type="dxa"/>
            <w:vAlign w:val="bottom"/>
            <w:gridSpan w:val="3"/>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66"/>
        </w:trPr>
        <w:tc>
          <w:tcPr>
            <w:tcW w:w="1140" w:type="dxa"/>
            <w:vAlign w:val="bottom"/>
            <w:gridSpan w:val="2"/>
          </w:tcPr>
          <w:p>
            <w:pPr>
              <w:ind w:left="180"/>
              <w:spacing w:after="0"/>
              <w:rPr>
                <w:sz w:val="20"/>
                <w:szCs w:val="20"/>
                <w:color w:val="auto"/>
              </w:rPr>
            </w:pPr>
            <w:r>
              <w:rPr>
                <w:rFonts w:ascii="Arial" w:cs="Arial" w:eastAsia="Arial" w:hAnsi="Arial"/>
                <w:sz w:val="20"/>
                <w:szCs w:val="20"/>
                <w:color w:val="auto"/>
              </w:rPr>
              <w:t>10.1</w:t>
            </w:r>
          </w:p>
        </w:tc>
        <w:tc>
          <w:tcPr>
            <w:tcW w:w="40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Form of Indemnification Agreement</w:t>
              </w:r>
            </w:hyperlink>
          </w:p>
        </w:tc>
      </w:tr>
      <w:tr>
        <w:trPr>
          <w:trHeight w:val="20"/>
        </w:trPr>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67"/>
        </w:trPr>
        <w:tc>
          <w:tcPr>
            <w:tcW w:w="1140" w:type="dxa"/>
            <w:vAlign w:val="bottom"/>
            <w:gridSpan w:val="2"/>
          </w:tcPr>
          <w:p>
            <w:pPr>
              <w:ind w:left="180"/>
              <w:spacing w:after="0"/>
              <w:rPr>
                <w:sz w:val="20"/>
                <w:szCs w:val="20"/>
                <w:color w:val="auto"/>
              </w:rPr>
            </w:pPr>
            <w:r>
              <w:rPr>
                <w:rFonts w:ascii="Arial" w:cs="Arial" w:eastAsia="Arial" w:hAnsi="Arial"/>
                <w:sz w:val="20"/>
                <w:szCs w:val="20"/>
                <w:color w:val="auto"/>
              </w:rPr>
              <w:t>104</w:t>
            </w:r>
          </w:p>
        </w:tc>
        <w:tc>
          <w:tcPr>
            <w:tcW w:w="400" w:type="dxa"/>
            <w:vAlign w:val="bottom"/>
          </w:tcPr>
          <w:p>
            <w:pPr>
              <w:spacing w:after="0"/>
              <w:rPr>
                <w:sz w:val="23"/>
                <w:szCs w:val="23"/>
                <w:color w:val="auto"/>
              </w:rPr>
            </w:pPr>
          </w:p>
        </w:tc>
        <w:tc>
          <w:tcPr>
            <w:tcW w:w="9700" w:type="dxa"/>
            <w:vAlign w:val="bottom"/>
            <w:gridSpan w:val="3"/>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637"/>
        </w:trPr>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AGNC INVESTMENT CORP.</w:t>
            </w:r>
          </w:p>
        </w:tc>
      </w:tr>
      <w:tr>
        <w:trPr>
          <w:trHeight w:val="283"/>
        </w:trPr>
        <w:tc>
          <w:tcPr>
            <w:tcW w:w="2920" w:type="dxa"/>
            <w:vAlign w:val="bottom"/>
          </w:tcPr>
          <w:p>
            <w:pPr>
              <w:spacing w:after="0"/>
              <w:rPr>
                <w:sz w:val="20"/>
                <w:szCs w:val="20"/>
                <w:color w:val="auto"/>
              </w:rPr>
            </w:pPr>
            <w:r>
              <w:rPr>
                <w:rFonts w:ascii="Arial" w:cs="Arial" w:eastAsia="Arial" w:hAnsi="Arial"/>
                <w:sz w:val="18"/>
                <w:szCs w:val="18"/>
                <w:color w:val="auto"/>
              </w:rPr>
              <w:t>Dated: July 1, 2021</w:t>
            </w:r>
          </w:p>
        </w:tc>
        <w:tc>
          <w:tcPr>
            <w:tcW w:w="8260" w:type="dxa"/>
            <w:vAlign w:val="bottom"/>
            <w:gridSpan w:val="2"/>
          </w:tcPr>
          <w:p>
            <w:pPr>
              <w:ind w:left="1500"/>
              <w:spacing w:after="0"/>
              <w:rPr>
                <w:sz w:val="20"/>
                <w:szCs w:val="20"/>
                <w:color w:val="auto"/>
              </w:rPr>
            </w:pPr>
            <w:r>
              <w:rPr>
                <w:rFonts w:ascii="Arial" w:cs="Arial" w:eastAsia="Arial" w:hAnsi="Arial"/>
                <w:sz w:val="18"/>
                <w:szCs w:val="18"/>
                <w:color w:val="auto"/>
              </w:rPr>
              <w:t>By:   /s/ Kenneth L. Pollack</w:t>
            </w:r>
          </w:p>
        </w:tc>
      </w:tr>
      <w:tr>
        <w:trPr>
          <w:trHeight w:val="222"/>
        </w:trPr>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Kenneth L. Pollack</w:t>
            </w:r>
          </w:p>
        </w:tc>
      </w:tr>
      <w:tr>
        <w:trPr>
          <w:trHeight w:val="230"/>
        </w:trPr>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w w:val="96"/>
              </w:rPr>
              <w:t>Senior Vice President, Chief Compliance Officer, General Counsel and Secretary</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40" w:type="dxa"/>
            <w:vAlign w:val="bottom"/>
            <w:gridSpan w:val="4"/>
          </w:tcPr>
          <w:p>
            <w:pPr>
              <w:spacing w:after="0"/>
              <w:rPr>
                <w:sz w:val="20"/>
                <w:szCs w:val="20"/>
                <w:color w:val="auto"/>
              </w:rPr>
            </w:pPr>
            <w:r>
              <w:rPr>
                <w:rFonts w:ascii="Arial" w:cs="Arial" w:eastAsia="Arial" w:hAnsi="Arial"/>
                <w:sz w:val="22"/>
                <w:szCs w:val="22"/>
                <w:b w:val="1"/>
                <w:bCs w:val="1"/>
                <w:color w:val="auto"/>
              </w:rPr>
              <w:t>INDEMNIFICATION AGREEMENT</w:t>
            </w:r>
          </w:p>
        </w:tc>
      </w:tr>
      <w:tr>
        <w:trPr>
          <w:trHeight w:val="20"/>
        </w:trPr>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3080" w:type="dxa"/>
            <w:vAlign w:val="bottom"/>
            <w:gridSpan w:val="4"/>
          </w:tcPr>
          <w:p>
            <w:pPr>
              <w:ind w:left="320"/>
              <w:spacing w:after="0"/>
              <w:rPr>
                <w:sz w:val="20"/>
                <w:szCs w:val="20"/>
                <w:color w:val="auto"/>
              </w:rPr>
            </w:pPr>
            <w:r>
              <w:rPr>
                <w:rFonts w:ascii="Arial" w:cs="Arial" w:eastAsia="Arial" w:hAnsi="Arial"/>
                <w:sz w:val="22"/>
                <w:szCs w:val="22"/>
                <w:color w:val="auto"/>
              </w:rPr>
              <w:t>AGREEMENT, dated as of [</w:t>
            </w:r>
          </w:p>
        </w:tc>
        <w:tc>
          <w:tcPr>
            <w:tcW w:w="7520" w:type="dxa"/>
            <w:vAlign w:val="bottom"/>
            <w:gridSpan w:val="6"/>
          </w:tcPr>
          <w:p>
            <w:pPr>
              <w:ind w:left="160"/>
              <w:spacing w:after="0"/>
              <w:rPr>
                <w:sz w:val="20"/>
                <w:szCs w:val="20"/>
                <w:color w:val="auto"/>
              </w:rPr>
            </w:pPr>
            <w:r>
              <w:rPr>
                <w:rFonts w:ascii="Arial" w:cs="Arial" w:eastAsia="Arial" w:hAnsi="Arial"/>
                <w:sz w:val="22"/>
                <w:szCs w:val="22"/>
                <w:color w:val="auto"/>
                <w:w w:val="90"/>
              </w:rPr>
              <w:t>] (this “Agreement”), between AGNC Investment Corp., a Delaware corporation (the</w:t>
            </w:r>
          </w:p>
        </w:tc>
      </w:tr>
      <w:tr>
        <w:trPr>
          <w:trHeight w:val="237"/>
        </w:trPr>
        <w:tc>
          <w:tcPr>
            <w:tcW w:w="1880" w:type="dxa"/>
            <w:vAlign w:val="bottom"/>
            <w:gridSpan w:val="3"/>
          </w:tcPr>
          <w:p>
            <w:pPr>
              <w:spacing w:after="0" w:line="237" w:lineRule="exact"/>
              <w:rPr>
                <w:sz w:val="20"/>
                <w:szCs w:val="20"/>
                <w:color w:val="auto"/>
              </w:rPr>
            </w:pPr>
            <w:r>
              <w:rPr>
                <w:rFonts w:ascii="Arial" w:cs="Arial" w:eastAsia="Arial" w:hAnsi="Arial"/>
                <w:sz w:val="22"/>
                <w:szCs w:val="22"/>
                <w:color w:val="auto"/>
              </w:rPr>
              <w:t>“Company”), and [</w:t>
            </w:r>
          </w:p>
        </w:tc>
        <w:tc>
          <w:tcPr>
            <w:tcW w:w="2120" w:type="dxa"/>
            <w:vAlign w:val="bottom"/>
            <w:gridSpan w:val="5"/>
          </w:tcPr>
          <w:p>
            <w:pPr>
              <w:ind w:left="200"/>
              <w:spacing w:after="0" w:line="237" w:lineRule="exact"/>
              <w:rPr>
                <w:sz w:val="20"/>
                <w:szCs w:val="20"/>
                <w:color w:val="auto"/>
              </w:rPr>
            </w:pPr>
            <w:r>
              <w:rPr>
                <w:rFonts w:ascii="Arial" w:cs="Arial" w:eastAsia="Arial" w:hAnsi="Arial"/>
                <w:sz w:val="22"/>
                <w:szCs w:val="22"/>
                <w:color w:val="auto"/>
                <w:w w:val="98"/>
              </w:rPr>
              <w:t>] (the “Indemnitee”).</w:t>
            </w:r>
          </w:p>
        </w:tc>
        <w:tc>
          <w:tcPr>
            <w:tcW w:w="960" w:type="dxa"/>
            <w:vAlign w:val="bottom"/>
            <w:tcBorders>
              <w:top w:val="single" w:sz="8" w:color="auto"/>
            </w:tcBorders>
          </w:tcPr>
          <w:p>
            <w:pPr>
              <w:spacing w:after="0"/>
              <w:rPr>
                <w:sz w:val="20"/>
                <w:szCs w:val="20"/>
                <w:color w:val="auto"/>
              </w:rPr>
            </w:pPr>
          </w:p>
        </w:tc>
        <w:tc>
          <w:tcPr>
            <w:tcW w:w="5740" w:type="dxa"/>
            <w:vAlign w:val="bottom"/>
            <w:gridSpan w:val="2"/>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r>
      <w:tr>
        <w:trPr>
          <w:trHeight w:val="530"/>
        </w:trPr>
        <w:tc>
          <w:tcPr>
            <w:tcW w:w="100" w:type="dxa"/>
            <w:vAlign w:val="bottom"/>
          </w:tcPr>
          <w:p>
            <w:pPr>
              <w:spacing w:after="0"/>
              <w:rPr>
                <w:sz w:val="24"/>
                <w:szCs w:val="24"/>
                <w:color w:val="auto"/>
              </w:rPr>
            </w:pPr>
          </w:p>
        </w:tc>
        <w:tc>
          <w:tcPr>
            <w:tcW w:w="10600" w:type="dxa"/>
            <w:vAlign w:val="bottom"/>
            <w:gridSpan w:val="10"/>
          </w:tcPr>
          <w:p>
            <w:pPr>
              <w:ind w:left="340"/>
              <w:spacing w:after="0"/>
              <w:rPr>
                <w:sz w:val="20"/>
                <w:szCs w:val="20"/>
                <w:color w:val="auto"/>
              </w:rPr>
            </w:pPr>
            <w:r>
              <w:rPr>
                <w:rFonts w:ascii="Arial" w:cs="Arial" w:eastAsia="Arial" w:hAnsi="Arial"/>
                <w:sz w:val="22"/>
                <w:szCs w:val="22"/>
                <w:color w:val="auto"/>
              </w:rPr>
              <w:t>WHEREAS, it is essential to the Company to retain and attract as [ ] the most capable persons available;</w:t>
            </w:r>
          </w:p>
        </w:tc>
      </w:tr>
      <w:tr>
        <w:trPr>
          <w:trHeight w:val="499"/>
        </w:trPr>
        <w:tc>
          <w:tcPr>
            <w:tcW w:w="100" w:type="dxa"/>
            <w:vAlign w:val="bottom"/>
          </w:tcPr>
          <w:p>
            <w:pPr>
              <w:spacing w:after="0"/>
              <w:rPr>
                <w:sz w:val="24"/>
                <w:szCs w:val="24"/>
                <w:color w:val="auto"/>
              </w:rPr>
            </w:pPr>
          </w:p>
        </w:tc>
        <w:tc>
          <w:tcPr>
            <w:tcW w:w="3080" w:type="dxa"/>
            <w:vAlign w:val="bottom"/>
            <w:gridSpan w:val="4"/>
          </w:tcPr>
          <w:p>
            <w:pPr>
              <w:ind w:left="340"/>
              <w:spacing w:after="0"/>
              <w:rPr>
                <w:sz w:val="20"/>
                <w:szCs w:val="20"/>
                <w:color w:val="auto"/>
              </w:rPr>
            </w:pPr>
            <w:r>
              <w:rPr>
                <w:rFonts w:ascii="Arial" w:cs="Arial" w:eastAsia="Arial" w:hAnsi="Arial"/>
                <w:sz w:val="22"/>
                <w:szCs w:val="22"/>
                <w:color w:val="auto"/>
                <w:w w:val="95"/>
              </w:rPr>
              <w:t>WHEREAS, Indemnitee is a [</w:t>
            </w:r>
          </w:p>
        </w:tc>
        <w:tc>
          <w:tcPr>
            <w:tcW w:w="7520" w:type="dxa"/>
            <w:vAlign w:val="bottom"/>
            <w:gridSpan w:val="6"/>
          </w:tcPr>
          <w:p>
            <w:pPr>
              <w:ind w:left="280"/>
              <w:spacing w:after="0"/>
              <w:rPr>
                <w:sz w:val="20"/>
                <w:szCs w:val="20"/>
                <w:color w:val="auto"/>
              </w:rPr>
            </w:pPr>
            <w:r>
              <w:rPr>
                <w:rFonts w:ascii="Arial" w:cs="Arial" w:eastAsia="Arial" w:hAnsi="Arial"/>
                <w:sz w:val="22"/>
                <w:szCs w:val="22"/>
                <w:color w:val="auto"/>
              </w:rPr>
              <w:t>] of the Company;</w:t>
            </w:r>
          </w:p>
        </w:tc>
      </w:tr>
    </w:tbl>
    <w:p>
      <w:pPr>
        <w:spacing w:after="0" w:line="225" w:lineRule="exact"/>
        <w:rPr>
          <w:sz w:val="20"/>
          <w:szCs w:val="20"/>
          <w:color w:val="auto"/>
        </w:rPr>
      </w:pPr>
    </w:p>
    <w:p>
      <w:pPr>
        <w:ind w:right="380" w:firstLine="428"/>
        <w:spacing w:after="0" w:line="263" w:lineRule="auto"/>
        <w:rPr>
          <w:sz w:val="20"/>
          <w:szCs w:val="20"/>
          <w:color w:val="auto"/>
        </w:rPr>
      </w:pPr>
      <w:r>
        <w:rPr>
          <w:rFonts w:ascii="Arial" w:cs="Arial" w:eastAsia="Arial" w:hAnsi="Arial"/>
          <w:sz w:val="22"/>
          <w:szCs w:val="22"/>
          <w:color w:val="auto"/>
        </w:rPr>
        <w:t>WHEREAS, both the Company and Indemnitee recognize the increased risk of litigation and other claims being asserted against directors [and officers] of public companies in today’s environment;</w:t>
      </w:r>
    </w:p>
    <w:p>
      <w:pPr>
        <w:spacing w:after="0" w:line="202" w:lineRule="exact"/>
        <w:rPr>
          <w:sz w:val="20"/>
          <w:szCs w:val="20"/>
          <w:color w:val="auto"/>
        </w:rPr>
      </w:pPr>
    </w:p>
    <w:p>
      <w:pPr>
        <w:ind w:right="100" w:firstLine="428"/>
        <w:spacing w:after="0" w:line="292" w:lineRule="auto"/>
        <w:rPr>
          <w:sz w:val="20"/>
          <w:szCs w:val="20"/>
          <w:color w:val="auto"/>
        </w:rPr>
      </w:pPr>
      <w:r>
        <w:rPr>
          <w:rFonts w:ascii="Arial" w:cs="Arial" w:eastAsia="Arial" w:hAnsi="Arial"/>
          <w:sz w:val="19"/>
          <w:szCs w:val="19"/>
          <w:color w:val="auto"/>
        </w:rPr>
        <w:t>WHEREAS, in recognition of Indemnitee’s need for protection against personal liability, and in part to provide Indemnitee with specific contractual assurance of indemnification (regardless of, among other things, any amendment to or revocation of the Corporation’s Certificate of Incorporation or By-laws (collectively, the “</w:t>
      </w:r>
      <w:r>
        <w:rPr>
          <w:rFonts w:ascii="Arial" w:cs="Arial" w:eastAsia="Arial" w:hAnsi="Arial"/>
          <w:sz w:val="19"/>
          <w:szCs w:val="19"/>
          <w:u w:val="single" w:color="auto"/>
          <w:color w:val="auto"/>
        </w:rPr>
        <w:t>Governing Documents</w:t>
      </w:r>
      <w:r>
        <w:rPr>
          <w:rFonts w:ascii="Arial" w:cs="Arial" w:eastAsia="Arial" w:hAnsi="Arial"/>
          <w:sz w:val="19"/>
          <w:szCs w:val="19"/>
          <w:color w:val="auto"/>
        </w:rPr>
        <w:t>”)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78" w:lineRule="exact"/>
        <w:rPr>
          <w:sz w:val="20"/>
          <w:szCs w:val="20"/>
          <w:color w:val="auto"/>
        </w:rPr>
      </w:pPr>
    </w:p>
    <w:p>
      <w:pPr>
        <w:ind w:right="80" w:firstLine="432"/>
        <w:spacing w:after="0" w:line="287" w:lineRule="auto"/>
        <w:rPr>
          <w:sz w:val="20"/>
          <w:szCs w:val="20"/>
          <w:color w:val="auto"/>
        </w:rPr>
      </w:pPr>
      <w:r>
        <w:rPr>
          <w:rFonts w:ascii="Arial" w:cs="Arial" w:eastAsia="Arial" w:hAnsi="Arial"/>
          <w:sz w:val="21"/>
          <w:szCs w:val="21"/>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78" w:lineRule="exact"/>
        <w:rPr>
          <w:sz w:val="20"/>
          <w:szCs w:val="20"/>
          <w:color w:val="auto"/>
        </w:rPr>
      </w:pPr>
    </w:p>
    <w:p>
      <w:pPr>
        <w:ind w:right="780" w:firstLine="656"/>
        <w:spacing w:after="0" w:line="263" w:lineRule="auto"/>
        <w:tabs>
          <w:tab w:leader="none" w:pos="1296"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In addition to terms defined elsewhere herein, the following terms have the following meanings when used in this Agreement:</w:t>
      </w:r>
    </w:p>
    <w:p>
      <w:pPr>
        <w:spacing w:after="0" w:line="202" w:lineRule="exact"/>
        <w:rPr>
          <w:sz w:val="20"/>
          <w:szCs w:val="20"/>
          <w:color w:val="auto"/>
        </w:rPr>
      </w:pPr>
    </w:p>
    <w:p>
      <w:pPr>
        <w:ind w:right="100" w:firstLine="656"/>
        <w:spacing w:after="0" w:line="246" w:lineRule="auto"/>
        <w:tabs>
          <w:tab w:leader="none" w:pos="1293"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have occurred if (i) any “person” (as such term is used in Sections 13(d) and 14(d)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other the Company and its affiliates and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w:t>
      </w:r>
    </w:p>
    <w:p>
      <w:pPr>
        <w:sectPr>
          <w:pgSz w:w="11900" w:h="16838" w:orient="portrait"/>
          <w:cols w:equalWidth="0" w:num="1">
            <w:col w:w="11240"/>
          </w:cols>
          <w:pgMar w:left="320" w:top="132" w:right="339" w:bottom="1440" w:gutter="0" w:footer="0" w:header="0"/>
        </w:sectPr>
      </w:pPr>
    </w:p>
    <w:bookmarkStart w:id="4" w:name="page5"/>
    <w:bookmarkEnd w:id="4"/>
    <w:p>
      <w:pPr>
        <w:ind w:right="40"/>
        <w:spacing w:after="0" w:line="287" w:lineRule="auto"/>
        <w:rPr>
          <w:sz w:val="20"/>
          <w:szCs w:val="20"/>
          <w:color w:val="auto"/>
        </w:rPr>
      </w:pPr>
      <w:r>
        <w:rPr>
          <w:rFonts w:ascii="Arial" w:cs="Arial" w:eastAsia="Arial" w:hAnsi="Arial"/>
          <w:sz w:val="19"/>
          <w:szCs w:val="19"/>
          <w:color w:val="auto"/>
        </w:rPr>
        <w:t>Securities, or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90" w:lineRule="exact"/>
        <w:rPr>
          <w:sz w:val="20"/>
          <w:szCs w:val="20"/>
          <w:color w:val="auto"/>
        </w:rPr>
      </w:pPr>
    </w:p>
    <w:p>
      <w:pPr>
        <w:ind w:firstLine="656"/>
        <w:spacing w:after="0" w:line="247" w:lineRule="auto"/>
        <w:tabs>
          <w:tab w:leader="none" w:pos="1291"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Claim</w:t>
      </w:r>
      <w:r>
        <w:rPr>
          <w:rFonts w:ascii="Arial" w:cs="Arial" w:eastAsia="Arial" w:hAnsi="Arial"/>
          <w:sz w:val="22"/>
          <w:szCs w:val="22"/>
          <w:color w:val="auto"/>
        </w:rPr>
        <w:t>: any threatened, asserted, pending or completed action, suit or proceeding, including a request to waive or toll a statute of limitations, whether civil, criminal, administrative, investigative or other, including any arbitration, mediation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 and which is first threatened, noticed, brought or asserted on or after the date of this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w:t>
      </w:r>
    </w:p>
    <w:p>
      <w:pPr>
        <w:spacing w:after="0" w:line="246" w:lineRule="exact"/>
        <w:rPr>
          <w:rFonts w:ascii="Arial" w:cs="Arial" w:eastAsia="Arial" w:hAnsi="Arial"/>
          <w:sz w:val="22"/>
          <w:szCs w:val="22"/>
          <w:color w:val="auto"/>
        </w:rPr>
      </w:pPr>
    </w:p>
    <w:p>
      <w:pPr>
        <w:ind w:right="40" w:firstLine="656"/>
        <w:spacing w:after="0" w:line="258" w:lineRule="auto"/>
        <w:tabs>
          <w:tab w:leader="none" w:pos="1291"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28" w:right="339" w:bottom="1440" w:gutter="0" w:footer="0" w:header="0"/>
        </w:sectPr>
      </w:pPr>
    </w:p>
    <w:bookmarkStart w:id="5" w:name="page6"/>
    <w:bookmarkEnd w:id="5"/>
    <w:p>
      <w:pPr>
        <w:ind w:right="20" w:firstLine="656"/>
        <w:spacing w:after="0" w:line="287" w:lineRule="auto"/>
        <w:tabs>
          <w:tab w:leader="none" w:pos="1293"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Indemnifiable Amounts</w:t>
      </w:r>
      <w:r>
        <w:rPr>
          <w:rFonts w:ascii="Arial" w:cs="Arial" w:eastAsia="Arial" w:hAnsi="Arial"/>
          <w:sz w:val="19"/>
          <w:szCs w:val="19"/>
          <w:color w:val="auto"/>
        </w:rPr>
        <w:t>: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 to such a plan or trust or other funding mechanism or to a participant or beneficiary of such plan, trust or other funding mechanism, or otherwise).</w:t>
      </w:r>
    </w:p>
    <w:p>
      <w:pPr>
        <w:spacing w:after="0" w:line="190" w:lineRule="exact"/>
        <w:rPr>
          <w:rFonts w:ascii="Arial" w:cs="Arial" w:eastAsia="Arial" w:hAnsi="Arial"/>
          <w:sz w:val="19"/>
          <w:szCs w:val="19"/>
          <w:color w:val="auto"/>
        </w:rPr>
      </w:pPr>
    </w:p>
    <w:p>
      <w:pPr>
        <w:ind w:firstLine="656"/>
        <w:spacing w:after="0" w:line="258" w:lineRule="auto"/>
        <w:tabs>
          <w:tab w:leader="none" w:pos="1296"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Indemnifiable Event</w:t>
      </w:r>
      <w:r>
        <w:rPr>
          <w:rFonts w:ascii="Arial" w:cs="Arial" w:eastAsia="Arial" w:hAnsi="Arial"/>
          <w:sz w:val="21"/>
          <w:szCs w:val="21"/>
          <w:color w:val="auto"/>
        </w:rPr>
        <w:t>: any event or occurrence, whether occurring before, on or after the date of this Agreement, related to the fact that Indemnitee is or was a director and/or officer or fiduciary of the Company, or is or was serving on behalf of the Company or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shall be construed to include such other company, corporation, limited liability company, partnership, joint venture, employee benefit plan, trust or other entity or enterprise.</w:t>
      </w:r>
    </w:p>
    <w:p>
      <w:pPr>
        <w:spacing w:after="0" w:line="212" w:lineRule="exact"/>
        <w:rPr>
          <w:rFonts w:ascii="Arial" w:cs="Arial" w:eastAsia="Arial" w:hAnsi="Arial"/>
          <w:sz w:val="21"/>
          <w:szCs w:val="21"/>
          <w:color w:val="auto"/>
        </w:rPr>
      </w:pPr>
    </w:p>
    <w:p>
      <w:pPr>
        <w:ind w:right="620" w:firstLine="656"/>
        <w:spacing w:after="0" w:line="302" w:lineRule="auto"/>
        <w:tabs>
          <w:tab w:leader="none" w:pos="1291"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Independent Legal Counsel</w:t>
      </w:r>
      <w:r>
        <w:rPr>
          <w:rFonts w:ascii="Arial" w:cs="Arial" w:eastAsia="Arial" w:hAnsi="Arial"/>
          <w:sz w:val="19"/>
          <w:szCs w:val="19"/>
          <w:color w:val="auto"/>
        </w:rPr>
        <w:t>: an attorney or firm of attorneys (following a Change in Control, selected in accordance with the provisions of Section 3 hereof) who is experienced in matters of corporate law and who shall not have otherwise performed services for the Company or Indemnitee within the last three years (other than with respect to matters concerning the rights of Indemnitee under this Agreement, or of other indemnitees under similar indemnity agreements).</w:t>
      </w:r>
    </w:p>
    <w:p>
      <w:pPr>
        <w:spacing w:after="0" w:line="169" w:lineRule="exact"/>
        <w:rPr>
          <w:rFonts w:ascii="Arial" w:cs="Arial" w:eastAsia="Arial" w:hAnsi="Arial"/>
          <w:sz w:val="19"/>
          <w:szCs w:val="19"/>
          <w:color w:val="auto"/>
        </w:rPr>
      </w:pPr>
    </w:p>
    <w:p>
      <w:pPr>
        <w:jc w:val="both"/>
        <w:ind w:right="120" w:firstLine="656"/>
        <w:spacing w:after="0" w:line="253" w:lineRule="auto"/>
        <w:tabs>
          <w:tab w:leader="none" w:pos="1291"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Reviewing Party</w:t>
      </w:r>
      <w:r>
        <w:rPr>
          <w:rFonts w:ascii="Arial" w:cs="Arial" w:eastAsia="Arial" w:hAnsi="Arial"/>
          <w:sz w:val="22"/>
          <w:szCs w:val="22"/>
          <w:color w:val="auto"/>
        </w:rPr>
        <w:t>: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28" w:right="339" w:bottom="1440" w:gutter="0" w:footer="0" w:header="0"/>
        </w:sectPr>
      </w:pPr>
    </w:p>
    <w:bookmarkStart w:id="6" w:name="page7"/>
    <w:bookmarkEnd w:id="6"/>
    <w:p>
      <w:pPr>
        <w:ind w:left="1300" w:hanging="644"/>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Voting Securities</w:t>
      </w:r>
      <w:r>
        <w:rPr>
          <w:rFonts w:ascii="Arial" w:cs="Arial" w:eastAsia="Arial" w:hAnsi="Arial"/>
          <w:sz w:val="22"/>
          <w:szCs w:val="22"/>
          <w:color w:val="auto"/>
        </w:rPr>
        <w:t>: any securities of the Company which vote generally in the election of directors.</w:t>
      </w:r>
    </w:p>
    <w:p>
      <w:pPr>
        <w:spacing w:after="0" w:line="24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Basic Indemnification Arrangement; Advancement of Expenses</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48" w:lineRule="auto"/>
        <w:tabs>
          <w:tab w:leader="none" w:pos="1293"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w:t>
      </w:r>
    </w:p>
    <w:p>
      <w:pPr>
        <w:spacing w:after="0" w:line="218" w:lineRule="exact"/>
        <w:rPr>
          <w:rFonts w:ascii="Arial" w:cs="Arial" w:eastAsia="Arial" w:hAnsi="Arial"/>
          <w:sz w:val="22"/>
          <w:szCs w:val="22"/>
          <w:color w:val="auto"/>
        </w:rPr>
      </w:pPr>
    </w:p>
    <w:p>
      <w:pPr>
        <w:ind w:right="80" w:firstLine="656"/>
        <w:spacing w:after="0" w:line="261" w:lineRule="auto"/>
        <w:tabs>
          <w:tab w:leader="none" w:pos="1291" w:val="left"/>
        </w:tabs>
        <w:numPr>
          <w:ilvl w:val="0"/>
          <w:numId w:val="7"/>
        </w:numPr>
        <w:rPr>
          <w:rFonts w:ascii="Arial" w:cs="Arial" w:eastAsia="Arial" w:hAnsi="Arial"/>
          <w:sz w:val="21"/>
          <w:szCs w:val="21"/>
          <w:color w:val="auto"/>
        </w:rPr>
      </w:pPr>
      <w:r>
        <w:rPr>
          <w:rFonts w:ascii="Arial" w:cs="Arial" w:eastAsia="Arial" w:hAnsi="Arial"/>
          <w:sz w:val="21"/>
          <w:szCs w:val="21"/>
          <w:color w:val="auto"/>
        </w:rPr>
        <w:t>If so requested by Indemnitee, the Company shall advance, or cause to be advanced (within five (5) business days of such request), any and all Expenses incurred by Indemnitee (an “</w:t>
      </w:r>
      <w:r>
        <w:rPr>
          <w:rFonts w:ascii="Arial" w:cs="Arial" w:eastAsia="Arial" w:hAnsi="Arial"/>
          <w:sz w:val="21"/>
          <w:szCs w:val="21"/>
          <w:u w:val="single" w:color="auto"/>
          <w:color w:val="auto"/>
        </w:rPr>
        <w:t>Expense Advance</w:t>
      </w:r>
      <w:r>
        <w:rPr>
          <w:rFonts w:ascii="Arial" w:cs="Arial" w:eastAsia="Arial" w:hAnsi="Arial"/>
          <w:sz w:val="21"/>
          <w:szCs w:val="21"/>
          <w:color w:val="auto"/>
        </w:rPr>
        <w:t>”).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Indemnitee has satisfied any applicable standard of conduct for indemnification.</w:t>
      </w:r>
    </w:p>
    <w:p>
      <w:pPr>
        <w:spacing w:after="0" w:line="206" w:lineRule="exact"/>
        <w:rPr>
          <w:rFonts w:ascii="Arial" w:cs="Arial" w:eastAsia="Arial" w:hAnsi="Arial"/>
          <w:sz w:val="21"/>
          <w:szCs w:val="21"/>
          <w:color w:val="auto"/>
        </w:rPr>
      </w:pPr>
    </w:p>
    <w:p>
      <w:pPr>
        <w:ind w:right="60" w:firstLine="656"/>
        <w:spacing w:after="0" w:line="250" w:lineRule="auto"/>
        <w:tabs>
          <w:tab w:leader="none" w:pos="1293" w:val="left"/>
        </w:tabs>
        <w:numPr>
          <w:ilvl w:val="0"/>
          <w:numId w:val="7"/>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w:t>
      </w:r>
    </w:p>
    <w:p>
      <w:pPr>
        <w:spacing w:after="0" w:line="214" w:lineRule="exact"/>
        <w:rPr>
          <w:rFonts w:ascii="Arial" w:cs="Arial" w:eastAsia="Arial" w:hAnsi="Arial"/>
          <w:sz w:val="22"/>
          <w:szCs w:val="22"/>
          <w:color w:val="auto"/>
        </w:rPr>
      </w:pPr>
    </w:p>
    <w:p>
      <w:pPr>
        <w:ind w:firstLine="656"/>
        <w:spacing w:after="0" w:line="287" w:lineRule="auto"/>
        <w:tabs>
          <w:tab w:leader="none" w:pos="1291" w:val="left"/>
        </w:tabs>
        <w:numPr>
          <w:ilvl w:val="0"/>
          <w:numId w:val="7"/>
        </w:numPr>
        <w:rPr>
          <w:rFonts w:ascii="Arial" w:cs="Arial" w:eastAsia="Arial" w:hAnsi="Arial"/>
          <w:sz w:val="19"/>
          <w:szCs w:val="19"/>
          <w:color w:val="auto"/>
        </w:rPr>
      </w:pPr>
      <w:r>
        <w:rPr>
          <w:rFonts w:ascii="Arial" w:cs="Arial" w:eastAsia="Arial" w:hAnsi="Arial"/>
          <w:sz w:val="19"/>
          <w:szCs w:val="19"/>
          <w:color w:val="auto"/>
        </w:rPr>
        <w:t>Notwithstanding the foregoing, (i) the indemnification obligations of the Company under Section 2(a) shall be subject to the condition that the Reviewing Party shall not have determined (in a written legal opinion, in any case in which the Independent Legal Counsel is involved as required by Section 3 hereof) that Indemnitee would not be permitted to be indemnified under applicable law, and (ii) the obligation of the Company to make an Expense Advance pursuant to Section 2(b) shall be subject to the condition that, if, when and to the extent that the Reviewing Party determines (in a written legal opinion, in any case in which the Independent Legal Counsel is involved as required by Section 3 hereof) that Indemnitee would not be permitted to be so indemnified under applicable law, the Company shall be entitled to be reimbursed by Indemnitee (who, by execution of this Agreement,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Indemnitee is not entitled to indemnification under applicable law); provided, however, that if Indemnitee has commenced or thereafter commences legal proceedings in a court of competent jurisdiction to secure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428" w:right="35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9"/>
          <w:szCs w:val="19"/>
          <w:color w:val="auto"/>
        </w:rPr>
        <w:t>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within thirty days after written demand is presented to the Company or if the Reviewing Party determines that Indemnitee would not be permitted to be indemnified in whole or in part under applicable law, Indemnitee shall have the right to commence litigation in any court in the State of Maryland or the State of Delaware having subject matter jurisdiction thereof and in which venue is proper seeking an initial determination by the court or challenging any such determination by the Reviewing Party or any aspect thereof, including the legal or factual basis therefor, and the Company hereby consents to service of process and to appear in any such proceeding. Any determination by the Reviewing Party otherwise shall be conclusive and binding on the Company and Indemnitee.</w:t>
      </w:r>
    </w:p>
    <w:p>
      <w:pPr>
        <w:spacing w:after="0" w:line="200" w:lineRule="exact"/>
        <w:rPr>
          <w:sz w:val="20"/>
          <w:szCs w:val="20"/>
          <w:color w:val="auto"/>
        </w:rPr>
      </w:pPr>
    </w:p>
    <w:p>
      <w:pPr>
        <w:spacing w:after="0" w:line="245" w:lineRule="exact"/>
        <w:rPr>
          <w:sz w:val="20"/>
          <w:szCs w:val="20"/>
          <w:color w:val="auto"/>
        </w:rPr>
      </w:pPr>
    </w:p>
    <w:p>
      <w:pPr>
        <w:ind w:right="20" w:firstLine="656"/>
        <w:spacing w:after="0" w:line="288" w:lineRule="auto"/>
        <w:tabs>
          <w:tab w:leader="none" w:pos="1296"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provision of the Governing Documents now or hereafter in effect relating to Claims for Indemnifiable Events, the Company shall seek legal advice only from Independent Legal Counsel selected by Indemnitee and approved by the Company (which approval shall not be unreasonably delayed, conditioned or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and to indemnify fully such counsel against any and all expenses (including attorneys’ fees), claims, liabilities and damages arising out of or relating to this Agreement or its engagement pursuant hereto.</w:t>
      </w:r>
    </w:p>
    <w:p>
      <w:pPr>
        <w:spacing w:after="0" w:line="186" w:lineRule="exact"/>
        <w:rPr>
          <w:rFonts w:ascii="Arial" w:cs="Arial" w:eastAsia="Arial" w:hAnsi="Arial"/>
          <w:sz w:val="19"/>
          <w:szCs w:val="19"/>
          <w:color w:val="auto"/>
        </w:rPr>
      </w:pPr>
    </w:p>
    <w:p>
      <w:pPr>
        <w:ind w:right="140" w:firstLine="656"/>
        <w:spacing w:after="0" w:line="288" w:lineRule="auto"/>
        <w:tabs>
          <w:tab w:leader="none" w:pos="1296"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Indemnification for Additional Expenses.</w:t>
      </w:r>
      <w:r>
        <w:rPr>
          <w:rFonts w:ascii="Arial" w:cs="Arial" w:eastAsia="Arial" w:hAnsi="Arial"/>
          <w:sz w:val="19"/>
          <w:szCs w:val="19"/>
          <w:color w:val="auto"/>
        </w:rPr>
        <w:t xml:space="preserve">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w:t>
      </w:r>
    </w:p>
    <w:p>
      <w:pPr>
        <w:ind w:right="40" w:firstLine="8"/>
        <w:spacing w:after="0" w:line="246" w:lineRule="auto"/>
        <w:tabs>
          <w:tab w:leader="none" w:pos="258" w:val="left"/>
        </w:tabs>
        <w:numPr>
          <w:ilvl w:val="0"/>
          <w:numId w:val="9"/>
        </w:numPr>
        <w:rPr>
          <w:rFonts w:ascii="Arial" w:cs="Arial" w:eastAsia="Arial" w:hAnsi="Arial"/>
          <w:sz w:val="22"/>
          <w:szCs w:val="22"/>
          <w:color w:val="auto"/>
        </w:rPr>
      </w:pPr>
      <w:r>
        <w:rPr>
          <w:rFonts w:ascii="Arial" w:cs="Arial" w:eastAsia="Arial" w:hAnsi="Arial"/>
          <w:sz w:val="22"/>
          <w:szCs w:val="22"/>
          <w:color w:val="auto"/>
        </w:rPr>
        <w:t>indemnification or an Expense Advance by the Company under this Agreement or any provision of the Governing Documents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428" w:right="359" w:bottom="1440" w:gutter="0" w:footer="0" w:header="0"/>
        </w:sectPr>
      </w:pPr>
    </w:p>
    <w:bookmarkStart w:id="8" w:name="page9"/>
    <w:bookmarkEnd w:id="8"/>
    <w:p>
      <w:pPr>
        <w:ind w:right="60"/>
        <w:spacing w:after="0" w:line="294" w:lineRule="auto"/>
        <w:rPr>
          <w:sz w:val="20"/>
          <w:szCs w:val="20"/>
          <w:color w:val="auto"/>
        </w:rPr>
      </w:pPr>
      <w:r>
        <w:rPr>
          <w:rFonts w:ascii="Arial" w:cs="Arial" w:eastAsia="Arial" w:hAnsi="Arial"/>
          <w:sz w:val="19"/>
          <w:szCs w:val="19"/>
          <w:color w:val="auto"/>
        </w:rPr>
        <w:t>hereafter in effect relating to Claims for Indemnifiable Events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(and by execution of this Agreement does hereby agree)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w:t>
      </w:r>
    </w:p>
    <w:p>
      <w:pPr>
        <w:spacing w:after="0" w:line="176" w:lineRule="exact"/>
        <w:rPr>
          <w:sz w:val="20"/>
          <w:szCs w:val="20"/>
          <w:color w:val="auto"/>
        </w:rPr>
      </w:pPr>
    </w:p>
    <w:p>
      <w:pPr>
        <w:ind w:firstLine="656"/>
        <w:spacing w:after="0" w:line="260"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Partial Indemnity, Etc.</w:t>
      </w:r>
      <w:r>
        <w:rPr>
          <w:rFonts w:ascii="Arial" w:cs="Arial" w:eastAsia="Arial" w:hAnsi="Arial"/>
          <w:sz w:val="21"/>
          <w:szCs w:val="21"/>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207" w:lineRule="exact"/>
        <w:rPr>
          <w:rFonts w:ascii="Arial" w:cs="Arial" w:eastAsia="Arial" w:hAnsi="Arial"/>
          <w:sz w:val="21"/>
          <w:szCs w:val="21"/>
          <w:color w:val="auto"/>
        </w:rPr>
      </w:pPr>
    </w:p>
    <w:p>
      <w:pPr>
        <w:ind w:right="300" w:firstLine="656"/>
        <w:spacing w:after="0" w:line="248"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Burden of Proof.</w:t>
      </w:r>
      <w:r>
        <w:rPr>
          <w:rFonts w:ascii="Arial" w:cs="Arial" w:eastAsia="Arial" w:hAnsi="Arial"/>
          <w:sz w:val="22"/>
          <w:szCs w:val="22"/>
          <w:color w:val="auto"/>
        </w:rPr>
        <w:t xml:space="preserve"> In connection with any determination by the Reviewing Party or otherwise as to whether Indemnitee is entitled to be indemnified hereunder the Reviewing Party, court, any finder of fact or other relevant person shall presume that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218" w:lineRule="exact"/>
        <w:rPr>
          <w:rFonts w:ascii="Arial" w:cs="Arial" w:eastAsia="Arial" w:hAnsi="Arial"/>
          <w:sz w:val="22"/>
          <w:szCs w:val="22"/>
          <w:color w:val="auto"/>
        </w:rPr>
      </w:pPr>
    </w:p>
    <w:p>
      <w:pPr>
        <w:ind w:firstLine="656"/>
        <w:spacing w:after="0" w:line="289" w:lineRule="auto"/>
        <w:tabs>
          <w:tab w:leader="none" w:pos="129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Reliance as Safe Harbor.</w:t>
      </w:r>
      <w:r>
        <w:rPr>
          <w:rFonts w:ascii="Arial" w:cs="Arial" w:eastAsia="Arial" w:hAnsi="Arial"/>
          <w:sz w:val="19"/>
          <w:szCs w:val="19"/>
          <w:color w:val="auto"/>
        </w:rPr>
        <w:t xml:space="preserve">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indemnification hereunder.</w:t>
      </w:r>
    </w:p>
    <w:p>
      <w:pPr>
        <w:spacing w:after="0" w:line="183" w:lineRule="exact"/>
        <w:rPr>
          <w:rFonts w:ascii="Arial" w:cs="Arial" w:eastAsia="Arial" w:hAnsi="Arial"/>
          <w:sz w:val="19"/>
          <w:szCs w:val="19"/>
          <w:color w:val="auto"/>
        </w:rPr>
      </w:pPr>
    </w:p>
    <w:p>
      <w:pPr>
        <w:ind w:right="680" w:firstLine="656"/>
        <w:spacing w:after="0" w:line="26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No Other Presumptions.</w:t>
      </w:r>
      <w:r>
        <w:rPr>
          <w:rFonts w:ascii="Arial" w:cs="Arial" w:eastAsia="Arial" w:hAnsi="Arial"/>
          <w:sz w:val="22"/>
          <w:szCs w:val="22"/>
          <w:color w:val="auto"/>
        </w:rPr>
        <w:t xml:space="preserve"> For purposes of this Agreement, the termination of any Claim by judgment, order, settlement (whether with or without court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1428" w:right="35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21"/>
          <w:szCs w:val="21"/>
          <w:color w:val="auto"/>
        </w:rPr>
        <w:t>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210" w:lineRule="exact"/>
        <w:rPr>
          <w:sz w:val="20"/>
          <w:szCs w:val="20"/>
          <w:color w:val="auto"/>
        </w:rPr>
      </w:pPr>
    </w:p>
    <w:p>
      <w:pPr>
        <w:ind w:right="40" w:firstLine="656"/>
        <w:spacing w:after="0" w:line="289"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Nonexclusivity, etc.</w:t>
      </w:r>
      <w:r>
        <w:rPr>
          <w:rFonts w:ascii="Arial" w:cs="Arial" w:eastAsia="Arial" w:hAnsi="Arial"/>
          <w:sz w:val="19"/>
          <w:szCs w:val="19"/>
          <w:color w:val="auto"/>
        </w:rPr>
        <w:t xml:space="preserve"> The rights of the Indemnitee hereunder shall be in addition to any other rights Indemnitee may have under the Company’s Governing Documents or the Delaware General Corporation Law or otherwise. To the extent that a change in the Delaware General Corporation Law (whether by statute or judicial decision) permits greater indemnification by agreement than would be afforded currently under the Company’s Governing Documents and this Agreement, it is the intent of the parties hereto that Indemnitee shall enjoy by this Agreement the greater benefits so afforded by such change. To the extent that there is a conflict or inconsistency between the terms of this Agreement and the Company’s Governing Documents, it is the intent of the parties hereto that Indemnitee shall enjoy the greater benefits regardless of whether contained herein or in the Company’s Governing Documents. No amendment or alteration of the Company’s Governing Documents or any other agreement shall adversely affect the rights provided to Indemnitee under this Agreement.</w:t>
      </w:r>
    </w:p>
    <w:p>
      <w:pPr>
        <w:spacing w:after="0" w:line="183" w:lineRule="exact"/>
        <w:rPr>
          <w:rFonts w:ascii="Arial" w:cs="Arial" w:eastAsia="Arial" w:hAnsi="Arial"/>
          <w:sz w:val="19"/>
          <w:szCs w:val="19"/>
          <w:color w:val="auto"/>
        </w:rPr>
      </w:pPr>
    </w:p>
    <w:p>
      <w:pPr>
        <w:ind w:right="120" w:firstLine="656"/>
        <w:spacing w:after="0" w:line="253"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Liability Insurance.</w:t>
      </w:r>
      <w:r>
        <w:rPr>
          <w:rFonts w:ascii="Arial" w:cs="Arial" w:eastAsia="Arial" w:hAnsi="Arial"/>
          <w:sz w:val="22"/>
          <w:szCs w:val="22"/>
          <w:color w:val="auto"/>
        </w:rPr>
        <w:t xml:space="preserve"> To the extent the Company maintains an insurance policy or policies providing directors’ and officers’ liability insurance, Indemnitee shall be covered by such policy or policies, in accordance with its or their terms, to the maximum extent of the coverage available for the Company’s directors and officers.</w:t>
      </w:r>
    </w:p>
    <w:p>
      <w:pPr>
        <w:spacing w:after="0" w:line="212" w:lineRule="exact"/>
        <w:rPr>
          <w:rFonts w:ascii="Arial" w:cs="Arial" w:eastAsia="Arial" w:hAnsi="Arial"/>
          <w:sz w:val="22"/>
          <w:szCs w:val="22"/>
          <w:color w:val="auto"/>
        </w:rPr>
      </w:pPr>
    </w:p>
    <w:p>
      <w:pPr>
        <w:ind w:firstLine="656"/>
        <w:spacing w:after="0" w:line="312" w:lineRule="auto"/>
        <w:tabs>
          <w:tab w:leader="none" w:pos="128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60" w:lineRule="exact"/>
        <w:rPr>
          <w:rFonts w:ascii="Arial" w:cs="Arial" w:eastAsia="Arial" w:hAnsi="Arial"/>
          <w:sz w:val="19"/>
          <w:szCs w:val="19"/>
          <w:color w:val="auto"/>
        </w:rPr>
      </w:pPr>
    </w:p>
    <w:p>
      <w:pPr>
        <w:ind w:firstLine="656"/>
        <w:spacing w:after="0" w:line="263" w:lineRule="auto"/>
        <w:tabs>
          <w:tab w:leader="none" w:pos="129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Subrogation.</w:t>
      </w:r>
      <w:r>
        <w:rPr>
          <w:rFonts w:ascii="Arial" w:cs="Arial" w:eastAsia="Arial" w:hAnsi="Arial"/>
          <w:sz w:val="21"/>
          <w:szCs w:val="21"/>
          <w:color w:val="auto"/>
        </w:rPr>
        <w:t xml:space="preserve">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28" w:right="339" w:bottom="1440" w:gutter="0" w:footer="0" w:header="0"/>
        </w:sectPr>
      </w:pPr>
    </w:p>
    <w:bookmarkStart w:id="10" w:name="page11"/>
    <w:bookmarkEnd w:id="10"/>
    <w:p>
      <w:pPr>
        <w:ind w:right="200" w:firstLine="656"/>
        <w:spacing w:after="0" w:line="250" w:lineRule="auto"/>
        <w:tabs>
          <w:tab w:leader="none" w:pos="129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 Duplication of Payments.</w:t>
      </w:r>
      <w:r>
        <w:rPr>
          <w:rFonts w:ascii="Arial" w:cs="Arial" w:eastAsia="Arial" w:hAnsi="Arial"/>
          <w:sz w:val="22"/>
          <w:szCs w:val="22"/>
          <w:color w:val="auto"/>
        </w:rPr>
        <w:t xml:space="preserve"> The Company shall not be liable under this Agreement to make any payment in connection with any Claim made against Indemnitee to the extent payment has otherwise actually been made by or on behalf of Indemnitee (under any insurance policy, any provision of the Governing Documents or otherwise) of the amounts otherwise indemnifiable hereunder.</w:t>
      </w:r>
    </w:p>
    <w:p>
      <w:pPr>
        <w:spacing w:after="0" w:line="214" w:lineRule="exact"/>
        <w:rPr>
          <w:rFonts w:ascii="Arial" w:cs="Arial" w:eastAsia="Arial" w:hAnsi="Arial"/>
          <w:sz w:val="22"/>
          <w:szCs w:val="22"/>
          <w:color w:val="auto"/>
        </w:rPr>
      </w:pPr>
    </w:p>
    <w:p>
      <w:pPr>
        <w:ind w:firstLine="656"/>
        <w:spacing w:after="0" w:line="284"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Defense of Claims.</w:t>
      </w:r>
      <w:r>
        <w:rPr>
          <w:rFonts w:ascii="Arial" w:cs="Arial" w:eastAsia="Arial" w:hAnsi="Arial"/>
          <w:sz w:val="19"/>
          <w:szCs w:val="19"/>
          <w:color w:val="auto"/>
        </w:rPr>
        <w:t xml:space="preserve"> The Company shall be entitled to participate in the defense of any Claim relating to an Indemnifiable Event or to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that, if Indemnitee reasonably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or series of related Claims)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Indemnitee, effect any settlement of any Claim relating to an Indemnifiable Event which Indemnitee is or could have been a party unless such settlement involves solely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provided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right="460" w:firstLine="656"/>
        <w:spacing w:after="0" w:line="253" w:lineRule="auto"/>
        <w:tabs>
          <w:tab w:leader="none" w:pos="129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 Adverse Settlement.</w:t>
      </w:r>
      <w:r>
        <w:rPr>
          <w:rFonts w:ascii="Arial" w:cs="Arial" w:eastAsia="Arial" w:hAnsi="Arial"/>
          <w:sz w:val="22"/>
          <w:szCs w:val="22"/>
          <w:color w:val="auto"/>
        </w:rPr>
        <w:t xml:space="preserve">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428" w:right="339" w:bottom="1440" w:gutter="0" w:footer="0" w:header="0"/>
        </w:sectPr>
      </w:pPr>
    </w:p>
    <w:bookmarkStart w:id="11" w:name="page12"/>
    <w:bookmarkEnd w:id="11"/>
    <w:p>
      <w:pPr>
        <w:jc w:val="both"/>
        <w:ind w:right="300"/>
        <w:spacing w:after="0" w:line="253" w:lineRule="auto"/>
        <w:rPr>
          <w:sz w:val="20"/>
          <w:szCs w:val="20"/>
          <w:color w:val="auto"/>
        </w:rPr>
      </w:pPr>
      <w:r>
        <w:rPr>
          <w:rFonts w:ascii="Arial" w:cs="Arial" w:eastAsia="Arial" w:hAnsi="Arial"/>
          <w:sz w:val="22"/>
          <w:szCs w:val="22"/>
          <w:color w:val="auto"/>
        </w:rPr>
        <w:t>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w:t>
      </w:r>
    </w:p>
    <w:p>
      <w:pPr>
        <w:spacing w:after="0" w:line="212" w:lineRule="exact"/>
        <w:rPr>
          <w:sz w:val="20"/>
          <w:szCs w:val="20"/>
          <w:color w:val="auto"/>
        </w:rPr>
      </w:pPr>
    </w:p>
    <w:p>
      <w:pPr>
        <w:ind w:right="200" w:firstLine="656"/>
        <w:spacing w:after="0" w:line="297" w:lineRule="auto"/>
        <w:tabs>
          <w:tab w:leader="none" w:pos="1296"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Binding Effect, Etc.</w:t>
      </w:r>
      <w:r>
        <w:rPr>
          <w:rFonts w:ascii="Arial" w:cs="Arial" w:eastAsia="Arial" w:hAnsi="Arial"/>
          <w:sz w:val="19"/>
          <w:szCs w:val="19"/>
          <w:color w:val="auto"/>
        </w:rPr>
        <w:t xml:space="preserve">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spouses, heirs, executors and personal and legal representatives. This Agreement shall continue in effect regardless of whether Indemnitee continues to serve as a director of the Company or of any other enterprise at the Company’s request.</w:t>
      </w:r>
    </w:p>
    <w:p>
      <w:pPr>
        <w:spacing w:after="0" w:line="173" w:lineRule="exact"/>
        <w:rPr>
          <w:rFonts w:ascii="Arial" w:cs="Arial" w:eastAsia="Arial" w:hAnsi="Arial"/>
          <w:sz w:val="19"/>
          <w:szCs w:val="19"/>
          <w:color w:val="auto"/>
        </w:rPr>
      </w:pPr>
    </w:p>
    <w:p>
      <w:pPr>
        <w:ind w:right="20" w:firstLine="656"/>
        <w:spacing w:after="0" w:line="286" w:lineRule="auto"/>
        <w:tabs>
          <w:tab w:leader="none" w:pos="1296"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w:t>
      </w:r>
    </w:p>
    <w:p>
      <w:pPr>
        <w:spacing w:after="0" w:line="2" w:lineRule="exact"/>
        <w:rPr>
          <w:rFonts w:ascii="Arial" w:cs="Arial" w:eastAsia="Arial" w:hAnsi="Arial"/>
          <w:sz w:val="19"/>
          <w:szCs w:val="19"/>
          <w:color w:val="auto"/>
        </w:rPr>
      </w:pPr>
    </w:p>
    <w:p>
      <w:pPr>
        <w:jc w:val="both"/>
        <w:ind w:right="40" w:firstLine="8"/>
        <w:spacing w:after="0" w:line="281" w:lineRule="auto"/>
        <w:tabs>
          <w:tab w:leader="none" w:pos="30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w:t>
      </w:r>
    </w:p>
    <w:p>
      <w:pPr>
        <w:spacing w:after="0" w:line="2" w:lineRule="exact"/>
        <w:rPr>
          <w:rFonts w:ascii="Arial" w:cs="Arial" w:eastAsia="Arial" w:hAnsi="Arial"/>
          <w:sz w:val="19"/>
          <w:szCs w:val="19"/>
          <w:color w:val="auto"/>
        </w:rPr>
      </w:pPr>
    </w:p>
    <w:p>
      <w:pPr>
        <w:ind w:firstLine="656"/>
        <w:spacing w:after="0" w:line="244" w:lineRule="auto"/>
        <w:tabs>
          <w:tab w:leader="none" w:pos="1296"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Specific Performance, Etc.</w:t>
      </w:r>
      <w:r>
        <w:rPr>
          <w:rFonts w:ascii="Arial" w:cs="Arial" w:eastAsia="Arial" w:hAnsi="Arial"/>
          <w:sz w:val="22"/>
          <w:szCs w:val="22"/>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221" w:lineRule="exact"/>
        <w:rPr>
          <w:rFonts w:ascii="Arial" w:cs="Arial" w:eastAsia="Arial" w:hAnsi="Arial"/>
          <w:sz w:val="22"/>
          <w:szCs w:val="22"/>
          <w:color w:val="auto"/>
        </w:rPr>
      </w:pPr>
    </w:p>
    <w:p>
      <w:pPr>
        <w:ind w:right="200" w:firstLine="656"/>
        <w:spacing w:after="0" w:line="302" w:lineRule="auto"/>
        <w:tabs>
          <w:tab w:leader="none" w:pos="1296"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consents and other communications hereunder to any party shall be deemed to be sufficient if contained in a written document delivered in person or sent by electronic mail, nationally recognized overnight courier or personal delivery, addressed to such party at the address set forth below or such other address as may hereafter be designated on the signature pages of this Agreement or in writing by such party to the other parties: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If to the Company, to:</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AGNC Investment Corp.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 Bethesda Metro Center, 12th Fl.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Bethesda, MD 20814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20" w:top="1428" w:right="419" w:bottom="1440" w:gutter="0" w:footer="0" w:header="0"/>
        </w:sectPr>
      </w:pPr>
    </w:p>
    <w:bookmarkStart w:id="12" w:name="page13"/>
    <w:bookmarkEnd w:id="12"/>
    <w:p>
      <w:pPr>
        <w:ind w:left="1300"/>
        <w:spacing w:after="0"/>
        <w:rPr>
          <w:sz w:val="20"/>
          <w:szCs w:val="20"/>
          <w:color w:val="auto"/>
        </w:rPr>
      </w:pPr>
      <w:r>
        <w:rPr>
          <w:rFonts w:ascii="Arial" w:cs="Arial" w:eastAsia="Arial" w:hAnsi="Arial"/>
          <w:sz w:val="22"/>
          <w:szCs w:val="22"/>
          <w:color w:val="auto"/>
        </w:rPr>
        <w:t>Attention: Kenneth Pollack</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Skadden, Arps, Slate, Meagher &amp; Flom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Four Times Square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10036-6522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David J. Goldschmidt, Esq.</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 If to Indemnitee, to:</w:t>
      </w:r>
    </w:p>
    <w:p>
      <w:pPr>
        <w:spacing w:after="0" w:line="21" w:lineRule="exact"/>
        <w:rPr>
          <w:sz w:val="20"/>
          <w:szCs w:val="20"/>
          <w:color w:val="auto"/>
        </w:rPr>
      </w:pPr>
    </w:p>
    <w:p>
      <w:pPr>
        <w:ind w:left="2020" w:hanging="716"/>
        <w:spacing w:after="0"/>
        <w:tabs>
          <w:tab w:leader="none" w:pos="20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All such notices, requests, consents and other communications shall be deemed to have been given or made if and when received (including by overnight courier) by the parties at the above addresses or sent by electronic transmission, with confirmation received, to the emails specified above (or at such other address for a party as shall be specified by like notice). Any notice delivered by any party hereto to any other party hereto shall also be delivered to each other party hereto simultaneously with delivery to the first party receiving such notice.</w:t>
      </w:r>
    </w:p>
    <w:p>
      <w:pPr>
        <w:spacing w:after="0" w:line="219" w:lineRule="exact"/>
        <w:rPr>
          <w:sz w:val="20"/>
          <w:szCs w:val="20"/>
          <w:color w:val="auto"/>
        </w:rPr>
      </w:pPr>
    </w:p>
    <w:p>
      <w:pPr>
        <w:ind w:firstLine="656"/>
        <w:spacing w:after="0" w:line="312" w:lineRule="auto"/>
        <w:tabs>
          <w:tab w:leader="none" w:pos="129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0" w:lineRule="exact"/>
        <w:rPr>
          <w:rFonts w:ascii="Arial" w:cs="Arial" w:eastAsia="Arial" w:hAnsi="Arial"/>
          <w:sz w:val="19"/>
          <w:szCs w:val="19"/>
          <w:color w:val="auto"/>
        </w:rPr>
      </w:pPr>
    </w:p>
    <w:p>
      <w:pPr>
        <w:ind w:right="200" w:firstLine="656"/>
        <w:spacing w:after="0" w:line="287" w:lineRule="auto"/>
        <w:tabs>
          <w:tab w:leader="none" w:pos="129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and paragraphs of this Agreement are inserted for convenience only and shall not be deemed to constitute part of this Agreement or to affect the construction or interpretation thereof.</w:t>
      </w:r>
    </w:p>
    <w:p>
      <w:pPr>
        <w:spacing w:after="0" w:line="178" w:lineRule="exact"/>
        <w:rPr>
          <w:rFonts w:ascii="Arial" w:cs="Arial" w:eastAsia="Arial" w:hAnsi="Arial"/>
          <w:sz w:val="21"/>
          <w:szCs w:val="21"/>
          <w:color w:val="auto"/>
        </w:rPr>
      </w:pPr>
    </w:p>
    <w:p>
      <w:pPr>
        <w:ind w:right="20" w:firstLine="656"/>
        <w:spacing w:after="0" w:line="253" w:lineRule="auto"/>
        <w:tabs>
          <w:tab w:leader="none" w:pos="129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60"/>
          </w:cols>
          <w:pgMar w:left="320" w:top="1428" w:right="419" w:bottom="1440" w:gutter="0" w:footer="0" w:header="0"/>
        </w:sectPr>
      </w:pPr>
    </w:p>
    <w:bookmarkStart w:id="13" w:name="page14"/>
    <w:bookmarkEnd w:id="13"/>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699"/>
          </w:cols>
          <w:pgMar w:left="760" w:top="1440" w:right="1440" w:bottom="1440" w:gutter="0" w:footer="0" w:header="0"/>
        </w:sectPr>
      </w:pPr>
    </w:p>
    <w:p>
      <w:pPr>
        <w:spacing w:after="0" w:line="28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AGNC INVESTMENT CORP.</w:t>
      </w:r>
    </w:p>
    <w:p>
      <w:pPr>
        <w:spacing w:after="0" w:line="200" w:lineRule="exact"/>
        <w:rPr>
          <w:sz w:val="20"/>
          <w:szCs w:val="20"/>
          <w:color w:val="auto"/>
        </w:rPr>
      </w:pPr>
    </w:p>
    <w:p>
      <w:pPr>
        <w:spacing w:after="0" w:line="290"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639"/>
        <w:spacing w:after="0"/>
        <w:rPr>
          <w:sz w:val="20"/>
          <w:szCs w:val="20"/>
          <w:color w:val="auto"/>
        </w:rPr>
      </w:pPr>
      <w:r>
        <w:rPr>
          <w:rFonts w:ascii="Arial" w:cs="Arial" w:eastAsia="Arial" w:hAnsi="Arial"/>
          <w:sz w:val="20"/>
          <w:szCs w:val="20"/>
          <w:color w:val="auto"/>
        </w:rPr>
        <w:t>[Signature Page to Indemnification Agreement]</w:t>
      </w:r>
    </w:p>
    <w:sectPr>
      <w:pgSz w:w="11900" w:h="16838" w:orient="portrait"/>
      <w:cols w:equalWidth="0" w:num="1">
        <w:col w:w="9699"/>
      </w:cols>
      <w:pgMar w:left="76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5"/>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Roman"/>
      <w:start w:val="1"/>
    </w:lvl>
    <w:lvl w:ilvl="1">
      <w:lvlJc w:val="left"/>
      <w:lvlText w:val="%2."/>
      <w:numFmt w:val="decimal"/>
      <w:start w:val="3"/>
    </w:lvl>
  </w:abstractNum>
  <w:abstractNum w:abstractNumId="8">
    <w:nsid w:val="140E0F76"/>
    <w:multiLevelType w:val="hybridMultilevel"/>
    <w:lvl w:ilvl="0">
      <w:lvlJc w:val="left"/>
      <w:lvlText w:val="(%1)"/>
      <w:numFmt w:val="lowerRoman"/>
      <w:start w:val="1"/>
    </w:lvl>
    <w:lvl w:ilvl="1">
      <w:lvlJc w:val="left"/>
      <w:lvlText w:val="%2"/>
      <w:numFmt w:val="decimal"/>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lowerLetter"/>
      <w:start w:val="1"/>
    </w:lvl>
    <w:lvl w:ilvl="1">
      <w:lvlJc w:val="left"/>
      <w:lvlText w:val="%2."/>
      <w:numFmt w:val="decimal"/>
      <w:start w:val="16"/>
    </w:lvl>
  </w:abstractNum>
  <w:abstractNum w:abstractNumId="13">
    <w:nsid w:val="1BEFD79F"/>
    <w:multiLevelType w:val="hybridMultilevel"/>
    <w:lvl w:ilvl="0">
      <w:lvlJc w:val="left"/>
      <w:lvlText w:val="(%1)"/>
      <w:numFmt w:val="lowerLetter"/>
      <w:start w:val="2"/>
    </w:lvl>
    <w:lvl w:ilvl="1">
      <w:lvlJc w:val="left"/>
      <w:lvlText w:val="%2."/>
      <w:numFmt w:val="decimal"/>
      <w:start w:val="18"/>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2021-07-01T15:56:28Z</dcterms:created>
  <dcterms:modified xsi:type="dcterms:W3CDTF">2021-07-01T15:56:28Z</dcterms:modified>
</cp:coreProperties>
</file>