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333-225628</w:t>
      </w:r>
    </w:p>
    <w:p>
      <w:pPr>
        <w:spacing w:after="0" w:line="200" w:lineRule="exact"/>
        <w:rPr>
          <w:sz w:val="24"/>
          <w:szCs w:val="24"/>
          <w:color w:val="auto"/>
        </w:rPr>
      </w:pPr>
    </w:p>
    <w:p>
      <w:pPr>
        <w:spacing w:after="0" w:line="201" w:lineRule="exact"/>
        <w:rPr>
          <w:sz w:val="24"/>
          <w:szCs w:val="24"/>
          <w:color w:val="auto"/>
        </w:rPr>
      </w:pPr>
    </w:p>
    <w:p>
      <w:pPr>
        <w:ind w:left="80" w:right="140"/>
        <w:spacing w:after="0" w:line="261" w:lineRule="auto"/>
        <w:rPr>
          <w:sz w:val="20"/>
          <w:szCs w:val="20"/>
          <w:color w:val="auto"/>
        </w:rPr>
      </w:pPr>
      <w:r>
        <w:rPr>
          <w:rFonts w:ascii="Arial" w:cs="Arial" w:eastAsia="Arial" w:hAnsi="Arial"/>
          <w:sz w:val="18"/>
          <w:szCs w:val="18"/>
          <w:b w:val="1"/>
          <w:bCs w:val="1"/>
          <w:color w:val="FF4237"/>
        </w:rPr>
        <w:t>This preliminary prospectus supplement and the accompanying prospectus relate to an effective registration statement under the Securities Act of 1933. The information in this preliminary prospectus supplement is not complete and may be changed. This preliminary prospectus supplement and the accompanying prospectus do not constitute an offer to sell these securities and are not soliciting an offer to buy these securities in any jurisdiction where an offer or sale is not permitted.</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14, 2018</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43180</wp:posOffset>
            </wp:positionV>
            <wp:extent cx="3679190" cy="1106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1106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40,000,000 Shares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42"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5"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is a public offering of common stock of AGNC Investment Corp. We are offering 40,000,000 shares of our common stock. Our common stock is listed on The Nasdaq Global Select Market under the symbol “AGNC.” On November 13, 2018, the last reported sale price of our common stock was $17.88 per share.</w:t>
      </w:r>
    </w:p>
    <w:p>
      <w:pPr>
        <w:spacing w:after="0" w:line="181" w:lineRule="exact"/>
        <w:rPr>
          <w:sz w:val="24"/>
          <w:szCs w:val="24"/>
          <w:color w:val="auto"/>
        </w:rPr>
      </w:pPr>
    </w:p>
    <w:p>
      <w:pPr>
        <w:ind w:right="340" w:firstLine="486"/>
        <w:spacing w:after="0" w:line="312" w:lineRule="auto"/>
        <w:rPr>
          <w:sz w:val="20"/>
          <w:szCs w:val="20"/>
          <w:color w:val="auto"/>
        </w:rPr>
      </w:pPr>
      <w:r>
        <w:rPr>
          <w:rFonts w:ascii="Arial" w:cs="Arial" w:eastAsia="Arial" w:hAnsi="Arial"/>
          <w:sz w:val="16"/>
          <w:szCs w:val="16"/>
          <w:color w:val="auto"/>
        </w:rPr>
        <w:t>The underwriters have agreed to purchase our common stock from us at a price of $ per share, which will result in approximately $ of total net proceeds to us before deducting expenses for this offering. The underwriters may offer our common stock in transactions on The Nasdaq Global Select Market, in the over-the-counter market or through negotiated transactions at market prices or at negotiated prices. See “Underwriting.”</w:t>
      </w:r>
    </w:p>
    <w:p>
      <w:pPr>
        <w:spacing w:after="0" w:line="147" w:lineRule="exact"/>
        <w:rPr>
          <w:sz w:val="24"/>
          <w:szCs w:val="24"/>
          <w:color w:val="auto"/>
        </w:rPr>
      </w:pPr>
    </w:p>
    <w:p>
      <w:pPr>
        <w:jc w:val="center"/>
        <w:ind w:right="320"/>
        <w:spacing w:after="0"/>
        <w:tabs>
          <w:tab w:leader="none" w:pos="160" w:val="left"/>
        </w:tabs>
        <w:rPr>
          <w:sz w:val="20"/>
          <w:szCs w:val="20"/>
          <w:color w:val="auto"/>
        </w:rPr>
      </w:pPr>
      <w:r>
        <w:rPr>
          <w:rFonts w:ascii="Arial" w:cs="Arial" w:eastAsia="Arial" w:hAnsi="Arial"/>
          <w:sz w:val="17"/>
          <w:szCs w:val="17"/>
          <w:color w:val="auto"/>
        </w:rPr>
        <w:t>We have granted the underwriters a 30-day option to purchase up to 6,000,000 additional shares of common stock at a price of $</w:t>
      </w:r>
      <w:r>
        <w:rPr>
          <w:sz w:val="20"/>
          <w:szCs w:val="20"/>
          <w:color w:val="auto"/>
        </w:rPr>
        <w:tab/>
      </w:r>
      <w:r>
        <w:rPr>
          <w:rFonts w:ascii="Arial" w:cs="Arial" w:eastAsia="Arial" w:hAnsi="Arial"/>
          <w:sz w:val="15"/>
          <w:szCs w:val="15"/>
          <w:color w:val="auto"/>
        </w:rPr>
        <w:t>per share.</w:t>
      </w:r>
    </w:p>
    <w:p>
      <w:pPr>
        <w:spacing w:after="0" w:line="7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62" w:lineRule="exact"/>
        <w:rPr>
          <w:sz w:val="24"/>
          <w:szCs w:val="24"/>
          <w:color w:val="auto"/>
        </w:rPr>
      </w:pPr>
    </w:p>
    <w:p>
      <w:pPr>
        <w:ind w:right="660" w:firstLine="486"/>
        <w:spacing w:after="0" w:line="313" w:lineRule="auto"/>
        <w:rPr>
          <w:sz w:val="20"/>
          <w:szCs w:val="20"/>
          <w:color w:val="auto"/>
        </w:rPr>
      </w:pPr>
      <w:r>
        <w:rPr>
          <w:rFonts w:ascii="Arial" w:cs="Arial" w:eastAsia="Arial" w:hAnsi="Arial"/>
          <w:sz w:val="17"/>
          <w:szCs w:val="17"/>
          <w:b w:val="1"/>
          <w:bCs w:val="1"/>
          <w:color w:val="auto"/>
        </w:rPr>
        <w:t>Investing in our common stock involves a high degree of risk. See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on page S-5 of this prospectus supplement and in the documents incorporated by reference in this prospectus supplement and the accompanying prospectus.</w:t>
      </w:r>
    </w:p>
    <w:p>
      <w:pPr>
        <w:spacing w:after="0" w:line="138" w:lineRule="exact"/>
        <w:rPr>
          <w:sz w:val="24"/>
          <w:szCs w:val="24"/>
          <w:color w:val="auto"/>
        </w:rPr>
      </w:pPr>
    </w:p>
    <w:p>
      <w:pPr>
        <w:ind w:right="200" w:firstLine="486"/>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6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of common stock on or about November , 2018.</w:t>
      </w:r>
    </w:p>
    <w:p>
      <w:pPr>
        <w:sectPr>
          <w:pgSz w:w="11900" w:h="16838" w:orient="portrait"/>
          <w:cols w:equalWidth="0" w:num="1">
            <w:col w:w="11420"/>
          </w:cols>
          <w:pgMar w:left="240" w:top="283" w:right="239" w:bottom="1440" w:gutter="0" w:footer="0" w:header="0"/>
        </w:sectPr>
      </w:pPr>
    </w:p>
    <w:bookmarkStart w:id="1" w:name="page2"/>
    <w:bookmarkEnd w:id="1"/>
    <w:p>
      <w:pPr>
        <w:ind w:left="4700"/>
        <w:spacing w:after="0"/>
        <w:rPr>
          <w:sz w:val="20"/>
          <w:szCs w:val="20"/>
          <w:color w:val="auto"/>
        </w:rPr>
      </w:pPr>
      <w:r>
        <w:rPr>
          <w:rFonts w:ascii="Arial" w:cs="Arial" w:eastAsia="Arial" w:hAnsi="Arial"/>
          <w:sz w:val="18"/>
          <w:szCs w:val="18"/>
          <w:color w:val="auto"/>
        </w:rPr>
        <w:t>_________________</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0840"/>
          </w:cols>
          <w:pgMar w:left="480" w:top="422" w:right="57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Suisse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77" w:lineRule="exact"/>
        <w:rPr>
          <w:sz w:val="20"/>
          <w:szCs w:val="20"/>
          <w:color w:val="auto"/>
        </w:rPr>
      </w:pPr>
    </w:p>
    <w:p>
      <w:pPr>
        <w:sectPr>
          <w:pgSz w:w="11900" w:h="16838" w:orient="portrait"/>
          <w:cols w:equalWidth="0" w:num="4">
            <w:col w:w="2980" w:space="720"/>
            <w:col w:w="1800" w:space="720"/>
            <w:col w:w="2540" w:space="720"/>
            <w:col w:w="1360"/>
          </w:cols>
          <w:pgMar w:left="480" w:top="422" w:right="579" w:bottom="1440" w:gutter="0" w:footer="0" w:header="0"/>
          <w:type w:val="continuous"/>
        </w:sectPr>
      </w:pPr>
    </w:p>
    <w:p>
      <w:pPr>
        <w:ind w:left="1640"/>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11" w:lineRule="exact"/>
        <w:rPr>
          <w:sz w:val="20"/>
          <w:szCs w:val="20"/>
          <w:color w:val="auto"/>
        </w:rPr>
      </w:pPr>
    </w:p>
    <w:p>
      <w:pPr>
        <w:sectPr>
          <w:pgSz w:w="11900" w:h="16838" w:orient="portrait"/>
          <w:cols w:equalWidth="0" w:num="2">
            <w:col w:w="6240" w:space="720"/>
            <w:col w:w="3880"/>
          </w:cols>
          <w:pgMar w:left="480" w:top="422" w:right="579" w:bottom="1440" w:gutter="0" w:footer="0" w:header="0"/>
          <w:type w:val="continuous"/>
        </w:sectPr>
      </w:pPr>
    </w:p>
    <w:p>
      <w:pPr>
        <w:spacing w:after="0" w:line="230" w:lineRule="exact"/>
        <w:rPr>
          <w:sz w:val="20"/>
          <w:szCs w:val="20"/>
          <w:color w:val="auto"/>
        </w:rPr>
      </w:pPr>
    </w:p>
    <w:p>
      <w:pPr>
        <w:ind w:left="2080"/>
        <w:spacing w:after="0"/>
        <w:rPr>
          <w:sz w:val="20"/>
          <w:szCs w:val="20"/>
          <w:color w:val="auto"/>
        </w:rPr>
      </w:pPr>
      <w:r>
        <w:rPr>
          <w:rFonts w:ascii="Arial" w:cs="Arial" w:eastAsia="Arial" w:hAnsi="Arial"/>
          <w:sz w:val="13"/>
          <w:szCs w:val="13"/>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980"/>
        <w:spacing w:after="0"/>
        <w:rPr>
          <w:sz w:val="20"/>
          <w:szCs w:val="20"/>
          <w:color w:val="auto"/>
        </w:rPr>
      </w:pPr>
      <w:r>
        <w:rPr>
          <w:rFonts w:ascii="Arial" w:cs="Arial" w:eastAsia="Arial" w:hAnsi="Arial"/>
          <w:sz w:val="13"/>
          <w:szCs w:val="13"/>
          <w:b w:val="1"/>
          <w:bCs w:val="1"/>
          <w:color w:val="auto"/>
        </w:rPr>
        <w:t>RBC Capital Markets</w:t>
      </w:r>
    </w:p>
    <w:p>
      <w:pPr>
        <w:spacing w:after="0" w:line="57" w:lineRule="exact"/>
        <w:rPr>
          <w:sz w:val="20"/>
          <w:szCs w:val="20"/>
          <w:color w:val="auto"/>
        </w:rPr>
      </w:pPr>
    </w:p>
    <w:p>
      <w:pPr>
        <w:sectPr>
          <w:pgSz w:w="11900" w:h="16838" w:orient="portrait"/>
          <w:cols w:equalWidth="0" w:num="2">
            <w:col w:w="5780" w:space="720"/>
            <w:col w:w="4340"/>
          </w:cols>
          <w:pgMar w:left="480" w:top="422" w:right="579" w:bottom="1440" w:gutter="0" w:footer="0" w:header="0"/>
          <w:type w:val="continuous"/>
        </w:sectPr>
      </w:pPr>
    </w:p>
    <w:p>
      <w:pPr>
        <w:ind w:left="2600"/>
        <w:spacing w:after="0"/>
        <w:rPr>
          <w:sz w:val="20"/>
          <w:szCs w:val="20"/>
          <w:color w:val="auto"/>
        </w:rPr>
      </w:pPr>
      <w:r>
        <w:rPr>
          <w:rFonts w:ascii="Arial" w:cs="Arial" w:eastAsia="Arial" w:hAnsi="Arial"/>
          <w:sz w:val="14"/>
          <w:szCs w:val="14"/>
          <w:b w:val="1"/>
          <w:bCs w:val="1"/>
          <w:i w:val="1"/>
          <w:iCs w:val="1"/>
          <w:color w:val="auto"/>
        </w:rPr>
        <w:t>A Stifel Company</w:t>
      </w:r>
    </w:p>
    <w:p>
      <w:pPr>
        <w:spacing w:after="0" w:line="87" w:lineRule="exact"/>
        <w:rPr>
          <w:sz w:val="20"/>
          <w:szCs w:val="20"/>
          <w:color w:val="auto"/>
        </w:rPr>
      </w:pPr>
    </w:p>
    <w:p>
      <w:pPr>
        <w:ind w:left="4940"/>
        <w:spacing w:after="0"/>
        <w:rPr>
          <w:sz w:val="20"/>
          <w:szCs w:val="20"/>
          <w:color w:val="auto"/>
        </w:rPr>
      </w:pPr>
      <w:r>
        <w:rPr>
          <w:rFonts w:ascii="Arial" w:cs="Arial" w:eastAsia="Arial" w:hAnsi="Arial"/>
          <w:sz w:val="11"/>
          <w:szCs w:val="11"/>
          <w:color w:val="auto"/>
        </w:rPr>
        <w:t>_________________</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2018</w:t>
      </w:r>
    </w:p>
    <w:p>
      <w:pPr>
        <w:sectPr>
          <w:pgSz w:w="11900" w:h="16838" w:orient="portrait"/>
          <w:cols w:equalWidth="0" w:num="1">
            <w:col w:w="10840"/>
          </w:cols>
          <w:pgMar w:left="480" w:top="422" w:right="5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60" w:type="dxa"/>
            <w:vAlign w:val="bottom"/>
            <w:gridSpan w:val="9"/>
          </w:tcPr>
          <w:p>
            <w:pPr>
              <w:jc w:val="center"/>
              <w:ind w:right="4540"/>
              <w:spacing w:after="0"/>
              <w:rPr>
                <w:sz w:val="20"/>
                <w:szCs w:val="20"/>
                <w:color w:val="auto"/>
              </w:rPr>
            </w:pPr>
            <w:r>
              <w:rPr>
                <w:rFonts w:ascii="Arial" w:cs="Arial" w:eastAsia="Arial" w:hAnsi="Arial"/>
                <w:sz w:val="18"/>
                <w:szCs w:val="18"/>
                <w:b w:val="1"/>
                <w:bCs w:val="1"/>
                <w:color w:val="auto"/>
                <w:w w:val="98"/>
              </w:rPr>
              <w:t>TABLE OF CONTENTS</w:t>
            </w:r>
          </w:p>
        </w:tc>
      </w:tr>
      <w:tr>
        <w:trPr>
          <w:trHeight w:val="41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60" w:type="dxa"/>
            <w:vAlign w:val="bottom"/>
            <w:gridSpan w:val="9"/>
          </w:tcPr>
          <w:p>
            <w:pPr>
              <w:jc w:val="center"/>
              <w:ind w:right="4500"/>
              <w:spacing w:after="0"/>
              <w:rPr>
                <w:sz w:val="20"/>
                <w:szCs w:val="20"/>
                <w:color w:val="auto"/>
              </w:rPr>
            </w:pPr>
            <w:r>
              <w:rPr>
                <w:rFonts w:ascii="Arial" w:cs="Arial" w:eastAsia="Arial" w:hAnsi="Arial"/>
                <w:sz w:val="16"/>
                <w:szCs w:val="16"/>
                <w:color w:val="auto"/>
                <w:w w:val="89"/>
              </w:rPr>
              <w:t>Prospectus Supplement</w:t>
            </w:r>
          </w:p>
        </w:tc>
      </w:tr>
      <w:tr>
        <w:trPr>
          <w:trHeight w:val="64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Page</w:t>
            </w:r>
          </w:p>
        </w:tc>
      </w:tr>
      <w:tr>
        <w:trPr>
          <w:trHeight w:val="202"/>
        </w:trPr>
        <w:tc>
          <w:tcPr>
            <w:tcW w:w="2540" w:type="dxa"/>
            <w:vAlign w:val="bottom"/>
            <w:gridSpan w:val="13"/>
          </w:tcPr>
          <w:p>
            <w:pPr>
              <w:spacing w:after="0" w:line="202" w:lineRule="exact"/>
              <w:rPr>
                <w:sz w:val="20"/>
                <w:szCs w:val="20"/>
                <w:color w:val="auto"/>
              </w:rPr>
            </w:pPr>
            <w:r>
              <w:rPr>
                <w:rFonts w:ascii="Arial" w:cs="Arial" w:eastAsia="Arial" w:hAnsi="Arial"/>
                <w:sz w:val="18"/>
                <w:szCs w:val="18"/>
                <w:color w:val="0000EE"/>
                <w:w w:val="88"/>
              </w:rPr>
              <w:t>About This Prospectus Supplement</w:t>
            </w:r>
          </w:p>
        </w:tc>
        <w:tc>
          <w:tcPr>
            <w:tcW w:w="1980" w:type="dxa"/>
            <w:vAlign w:val="bottom"/>
            <w:gridSpan w:val="6"/>
          </w:tcPr>
          <w:p>
            <w:pPr>
              <w:spacing w:after="0"/>
              <w:rPr>
                <w:sz w:val="17"/>
                <w:szCs w:val="17"/>
                <w:color w:val="auto"/>
              </w:rPr>
            </w:pPr>
          </w:p>
        </w:tc>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6"/>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S- i</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EE"/>
                <w:w w:val="90"/>
              </w:rPr>
              <w:t>Cautionary Statement Regarding Forward-Looking Statements</w:t>
            </w: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S- i</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Summary</w:t>
            </w:r>
          </w:p>
        </w:tc>
        <w:tc>
          <w:tcPr>
            <w:tcW w:w="3820" w:type="dxa"/>
            <w:vAlign w:val="bottom"/>
            <w:gridSpan w:val="17"/>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S- 1</w:t>
              </w:r>
            </w:hyperlink>
          </w:p>
        </w:tc>
        <w:tc>
          <w:tcPr>
            <w:tcW w:w="20" w:type="dxa"/>
            <w:vAlign w:val="bottom"/>
          </w:tcPr>
          <w:p>
            <w:pPr>
              <w:spacing w:after="0"/>
              <w:rPr>
                <w:sz w:val="21"/>
                <w:szCs w:val="21"/>
                <w:color w:val="auto"/>
              </w:rPr>
            </w:pPr>
          </w:p>
        </w:tc>
      </w:tr>
      <w:tr>
        <w:trPr>
          <w:trHeight w:val="250"/>
        </w:trPr>
        <w:tc>
          <w:tcPr>
            <w:tcW w:w="9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The Offering</w:t>
            </w:r>
          </w:p>
        </w:tc>
        <w:tc>
          <w:tcPr>
            <w:tcW w:w="3580" w:type="dxa"/>
            <w:vAlign w:val="bottom"/>
            <w:gridSpan w:val="1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S- 2</w:t>
              </w:r>
            </w:hyperlink>
          </w:p>
        </w:tc>
        <w:tc>
          <w:tcPr>
            <w:tcW w:w="20" w:type="dxa"/>
            <w:vAlign w:val="bottom"/>
          </w:tcPr>
          <w:p>
            <w:pPr>
              <w:spacing w:after="0"/>
              <w:rPr>
                <w:sz w:val="21"/>
                <w:szCs w:val="2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EE"/>
              </w:rPr>
              <w:t>Use of Proceeds</w:t>
            </w: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Arial" w:cs="Arial" w:eastAsia="Arial" w:hAnsi="Arial"/>
                <w:sz w:val="18"/>
                <w:szCs w:val="18"/>
                <w:color w:val="0000EE"/>
                <w:w w:val="84"/>
              </w:rPr>
            </w:pPr>
            <w:hyperlink w:anchor="page8">
              <w:r>
                <w:rPr>
                  <w:rFonts w:ascii="Arial" w:cs="Arial" w:eastAsia="Arial" w:hAnsi="Arial"/>
                  <w:sz w:val="18"/>
                  <w:szCs w:val="18"/>
                  <w:color w:val="0000EE"/>
                  <w:w w:val="84"/>
                </w:rPr>
                <w:t>S- 3</w:t>
              </w:r>
            </w:hyperlink>
          </w:p>
        </w:tc>
      </w:tr>
      <w:tr>
        <w:trPr>
          <w:trHeight w:val="250"/>
        </w:trPr>
        <w:tc>
          <w:tcPr>
            <w:tcW w:w="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Risk Factors</w:t>
            </w:r>
          </w:p>
        </w:tc>
        <w:tc>
          <w:tcPr>
            <w:tcW w:w="260" w:type="dxa"/>
            <w:vAlign w:val="bottom"/>
            <w:tcBorders>
              <w:top w:val="single" w:sz="8" w:color="0000EE"/>
            </w:tcBorders>
            <w:gridSpan w:val="3"/>
          </w:tcPr>
          <w:p>
            <w:pPr>
              <w:spacing w:after="0"/>
              <w:rPr>
                <w:sz w:val="21"/>
                <w:szCs w:val="21"/>
                <w:color w:val="auto"/>
              </w:rPr>
            </w:pPr>
          </w:p>
        </w:tc>
        <w:tc>
          <w:tcPr>
            <w:tcW w:w="3360" w:type="dxa"/>
            <w:vAlign w:val="bottom"/>
            <w:gridSpan w:val="13"/>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right"/>
              <w:spacing w:after="0"/>
              <w:rPr>
                <w:rFonts w:ascii="Arial" w:cs="Arial" w:eastAsia="Arial" w:hAnsi="Arial"/>
                <w:sz w:val="18"/>
                <w:szCs w:val="18"/>
                <w:color w:val="0000EE"/>
                <w:w w:val="84"/>
              </w:rPr>
            </w:pPr>
            <w:hyperlink w:anchor="page9">
              <w:r>
                <w:rPr>
                  <w:rFonts w:ascii="Arial" w:cs="Arial" w:eastAsia="Arial" w:hAnsi="Arial"/>
                  <w:sz w:val="18"/>
                  <w:szCs w:val="18"/>
                  <w:color w:val="0000EE"/>
                  <w:w w:val="84"/>
                </w:rPr>
                <w:t>S- 4</w:t>
              </w:r>
            </w:hyperlink>
          </w:p>
        </w:tc>
        <w:tc>
          <w:tcPr>
            <w:tcW w:w="20" w:type="dxa"/>
            <w:vAlign w:val="bottom"/>
          </w:tcPr>
          <w:p>
            <w:pPr>
              <w:spacing w:after="0"/>
              <w:rPr>
                <w:sz w:val="21"/>
                <w:szCs w:val="21"/>
                <w:color w:val="auto"/>
              </w:rPr>
            </w:pPr>
          </w:p>
        </w:tc>
      </w:tr>
      <w:tr>
        <w:trPr>
          <w:trHeight w:val="250"/>
        </w:trPr>
        <w:tc>
          <w:tcPr>
            <w:tcW w:w="22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Market Price and Distributions</w:t>
            </w:r>
          </w:p>
        </w:tc>
        <w:tc>
          <w:tcPr>
            <w:tcW w:w="2300" w:type="dxa"/>
            <w:vAlign w:val="bottom"/>
            <w:gridSpan w:val="9"/>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10">
              <w:r>
                <w:rPr>
                  <w:rFonts w:ascii="Arial" w:cs="Arial" w:eastAsia="Arial" w:hAnsi="Arial"/>
                  <w:sz w:val="18"/>
                  <w:szCs w:val="18"/>
                  <w:color w:val="0000EE"/>
                  <w:w w:val="84"/>
                </w:rPr>
                <w:t>S- 5</w:t>
              </w:r>
            </w:hyperlink>
          </w:p>
        </w:tc>
        <w:tc>
          <w:tcPr>
            <w:tcW w:w="20" w:type="dxa"/>
            <w:vAlign w:val="bottom"/>
          </w:tcPr>
          <w:p>
            <w:pPr>
              <w:spacing w:after="0"/>
              <w:rPr>
                <w:sz w:val="21"/>
                <w:szCs w:val="21"/>
                <w:color w:val="auto"/>
              </w:rPr>
            </w:pPr>
          </w:p>
        </w:tc>
      </w:tr>
      <w:tr>
        <w:trPr>
          <w:trHeight w:val="250"/>
        </w:trPr>
        <w:tc>
          <w:tcPr>
            <w:tcW w:w="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5"/>
              </w:rPr>
              <w:t>Capitalization</w:t>
            </w:r>
          </w:p>
        </w:tc>
        <w:tc>
          <w:tcPr>
            <w:tcW w:w="3560" w:type="dxa"/>
            <w:vAlign w:val="bottom"/>
            <w:gridSpan w:val="14"/>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11">
              <w:r>
                <w:rPr>
                  <w:rFonts w:ascii="Arial" w:cs="Arial" w:eastAsia="Arial" w:hAnsi="Arial"/>
                  <w:sz w:val="18"/>
                  <w:szCs w:val="18"/>
                  <w:color w:val="0000EE"/>
                  <w:w w:val="84"/>
                </w:rPr>
                <w:t>S- 6</w:t>
              </w:r>
            </w:hyperlink>
          </w:p>
        </w:tc>
        <w:tc>
          <w:tcPr>
            <w:tcW w:w="20" w:type="dxa"/>
            <w:vAlign w:val="bottom"/>
          </w:tcPr>
          <w:p>
            <w:pPr>
              <w:spacing w:after="0"/>
              <w:rPr>
                <w:sz w:val="21"/>
                <w:szCs w:val="2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EE"/>
              </w:rPr>
              <w:t>Underwriting</w:t>
            </w: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Arial" w:cs="Arial" w:eastAsia="Arial" w:hAnsi="Arial"/>
                <w:sz w:val="18"/>
                <w:szCs w:val="18"/>
                <w:color w:val="0000EE"/>
                <w:w w:val="84"/>
              </w:rPr>
            </w:pPr>
            <w:hyperlink w:anchor="page12">
              <w:r>
                <w:rPr>
                  <w:rFonts w:ascii="Arial" w:cs="Arial" w:eastAsia="Arial" w:hAnsi="Arial"/>
                  <w:sz w:val="18"/>
                  <w:szCs w:val="18"/>
                  <w:color w:val="0000EE"/>
                  <w:w w:val="84"/>
                </w:rPr>
                <w:t>S- 7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4"/>
              </w:rPr>
              <w:t>Legal Matters</w:t>
            </w:r>
          </w:p>
        </w:tc>
        <w:tc>
          <w:tcPr>
            <w:tcW w:w="3560" w:type="dxa"/>
            <w:vAlign w:val="bottom"/>
            <w:gridSpan w:val="14"/>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Borders>
              <w:bottom w:val="single" w:sz="8" w:color="0000EE"/>
            </w:tcBorders>
            <w:gridSpan w:val="6"/>
          </w:tcPr>
          <w:p>
            <w:pPr>
              <w:jc w:val="right"/>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S- 12</w:t>
              </w:r>
            </w:hyperlink>
          </w:p>
        </w:tc>
        <w:tc>
          <w:tcPr>
            <w:tcW w:w="20" w:type="dxa"/>
            <w:vAlign w:val="bottom"/>
          </w:tcPr>
          <w:p>
            <w:pPr>
              <w:spacing w:after="0"/>
              <w:rPr>
                <w:sz w:val="21"/>
                <w:szCs w:val="2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EE"/>
              </w:rPr>
              <w:t>Experts</w:t>
            </w:r>
          </w:p>
        </w:tc>
        <w:tc>
          <w:tcPr>
            <w:tcW w:w="4920" w:type="dxa"/>
            <w:vAlign w:val="bottom"/>
          </w:tcPr>
          <w:p>
            <w:pPr>
              <w:spacing w:after="0"/>
              <w:rPr>
                <w:sz w:val="21"/>
                <w:szCs w:val="21"/>
                <w:color w:val="auto"/>
              </w:rPr>
            </w:pPr>
          </w:p>
        </w:tc>
        <w:tc>
          <w:tcPr>
            <w:tcW w:w="1940" w:type="dxa"/>
            <w:vAlign w:val="bottom"/>
            <w:gridSpan w:val="8"/>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S- 12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Where You Can Find More Information</w:t>
            </w:r>
          </w:p>
        </w:tc>
        <w:tc>
          <w:tcPr>
            <w:tcW w:w="1640" w:type="dxa"/>
            <w:vAlign w:val="bottom"/>
            <w:gridSpan w:val="4"/>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Borders>
              <w:bottom w:val="single" w:sz="8" w:color="0000EE"/>
            </w:tcBorders>
            <w:gridSpan w:val="6"/>
          </w:tcPr>
          <w:p>
            <w:pPr>
              <w:jc w:val="right"/>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S- 12</w:t>
              </w:r>
            </w:hyperlink>
          </w:p>
        </w:tc>
        <w:tc>
          <w:tcPr>
            <w:tcW w:w="20" w:type="dxa"/>
            <w:vAlign w:val="bottom"/>
          </w:tcPr>
          <w:p>
            <w:pPr>
              <w:spacing w:after="0"/>
              <w:rPr>
                <w:sz w:val="21"/>
                <w:szCs w:val="2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EE"/>
              </w:rPr>
              <w:t>Incorporation of Documents By Reference</w:t>
            </w:r>
          </w:p>
        </w:tc>
        <w:tc>
          <w:tcPr>
            <w:tcW w:w="4920" w:type="dxa"/>
            <w:vAlign w:val="bottom"/>
          </w:tcPr>
          <w:p>
            <w:pPr>
              <w:spacing w:after="0"/>
              <w:rPr>
                <w:sz w:val="21"/>
                <w:szCs w:val="21"/>
                <w:color w:val="auto"/>
              </w:rPr>
            </w:pPr>
          </w:p>
        </w:tc>
        <w:tc>
          <w:tcPr>
            <w:tcW w:w="1940" w:type="dxa"/>
            <w:vAlign w:val="bottom"/>
            <w:gridSpan w:val="8"/>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S- 12</w:t>
              </w:r>
            </w:hyperlink>
          </w:p>
        </w:tc>
      </w:tr>
      <w:tr>
        <w:trPr>
          <w:trHeight w:val="43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40" w:type="dxa"/>
            <w:vAlign w:val="bottom"/>
            <w:gridSpan w:val="2"/>
          </w:tcPr>
          <w:p>
            <w:pPr>
              <w:jc w:val="center"/>
              <w:ind w:right="4059"/>
              <w:spacing w:after="0"/>
              <w:rPr>
                <w:sz w:val="20"/>
                <w:szCs w:val="20"/>
                <w:color w:val="auto"/>
              </w:rPr>
            </w:pPr>
            <w:r>
              <w:rPr>
                <w:rFonts w:ascii="Arial" w:cs="Arial" w:eastAsia="Arial" w:hAnsi="Arial"/>
                <w:sz w:val="16"/>
                <w:szCs w:val="16"/>
                <w:color w:val="auto"/>
                <w:w w:val="87"/>
              </w:rPr>
              <w:t>Prospectus</w:t>
            </w:r>
          </w:p>
        </w:tc>
        <w:tc>
          <w:tcPr>
            <w:tcW w:w="400" w:type="dxa"/>
            <w:vAlign w:val="bottom"/>
            <w:tcBorders>
              <w:top w:val="single" w:sz="8" w:color="0000EE"/>
            </w:tcBorders>
            <w:gridSpan w:val="6"/>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Page</w:t>
            </w:r>
          </w:p>
        </w:tc>
      </w:tr>
      <w:tr>
        <w:trPr>
          <w:trHeight w:val="196"/>
        </w:trPr>
        <w:tc>
          <w:tcPr>
            <w:tcW w:w="2180" w:type="dxa"/>
            <w:vAlign w:val="bottom"/>
            <w:tcBorders>
              <w:bottom w:val="single" w:sz="8" w:color="0000FF"/>
            </w:tcBorders>
            <w:gridSpan w:val="9"/>
          </w:tcPr>
          <w:p>
            <w:pPr>
              <w:spacing w:after="0" w:line="170" w:lineRule="exact"/>
              <w:rPr>
                <w:sz w:val="20"/>
                <w:szCs w:val="20"/>
                <w:color w:val="auto"/>
              </w:rPr>
            </w:pPr>
            <w:r>
              <w:rPr>
                <w:rFonts w:ascii="Arial" w:cs="Arial" w:eastAsia="Arial" w:hAnsi="Arial"/>
                <w:sz w:val="18"/>
                <w:szCs w:val="18"/>
                <w:color w:val="0000FF"/>
              </w:rPr>
              <w:t>About this Prospectus</w:t>
            </w:r>
          </w:p>
        </w:tc>
        <w:tc>
          <w:tcPr>
            <w:tcW w:w="2340" w:type="dxa"/>
            <w:vAlign w:val="bottom"/>
            <w:gridSpan w:val="10"/>
          </w:tcPr>
          <w:p>
            <w:pPr>
              <w:spacing w:after="0"/>
              <w:rPr>
                <w:sz w:val="17"/>
                <w:szCs w:val="17"/>
                <w:color w:val="auto"/>
              </w:rPr>
            </w:pPr>
          </w:p>
        </w:tc>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gridSpan w:val="2"/>
          </w:tcPr>
          <w:p>
            <w:pPr>
              <w:jc w:val="right"/>
              <w:spacing w:after="0" w:line="170"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ii</w:t>
              </w:r>
            </w:hyperlink>
          </w:p>
        </w:tc>
        <w:tc>
          <w:tcPr>
            <w:tcW w:w="20" w:type="dxa"/>
            <w:vAlign w:val="bottom"/>
          </w:tcPr>
          <w:p>
            <w:pPr>
              <w:spacing w:after="0"/>
              <w:rPr>
                <w:sz w:val="17"/>
                <w:szCs w:val="17"/>
                <w:color w:val="auto"/>
              </w:rPr>
            </w:pPr>
          </w:p>
        </w:tc>
      </w:tr>
      <w:tr>
        <w:trPr>
          <w:trHeight w:val="257"/>
        </w:trPr>
        <w:tc>
          <w:tcPr>
            <w:tcW w:w="960" w:type="dxa"/>
            <w:vAlign w:val="bottom"/>
            <w:gridSpan w:val="5"/>
          </w:tcPr>
          <w:p>
            <w:pPr>
              <w:spacing w:after="0"/>
              <w:rPr>
                <w:sz w:val="20"/>
                <w:szCs w:val="20"/>
                <w:color w:val="auto"/>
              </w:rPr>
            </w:pPr>
            <w:r>
              <w:rPr>
                <w:rFonts w:ascii="Arial" w:cs="Arial" w:eastAsia="Arial" w:hAnsi="Arial"/>
                <w:sz w:val="18"/>
                <w:szCs w:val="18"/>
                <w:color w:val="0000FF"/>
                <w:w w:val="81"/>
              </w:rPr>
              <w:t>The Company</w:t>
            </w:r>
          </w:p>
        </w:tc>
        <w:tc>
          <w:tcPr>
            <w:tcW w:w="3560" w:type="dxa"/>
            <w:vAlign w:val="bottom"/>
            <w:gridSpan w:val="14"/>
          </w:tcPr>
          <w:p>
            <w:pPr>
              <w:spacing w:after="0"/>
              <w:rPr>
                <w:sz w:val="22"/>
                <w:szCs w:val="22"/>
                <w:color w:val="auto"/>
              </w:rPr>
            </w:pPr>
          </w:p>
        </w:tc>
        <w:tc>
          <w:tcPr>
            <w:tcW w:w="6860" w:type="dxa"/>
            <w:vAlign w:val="bottom"/>
            <w:gridSpan w:val="9"/>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60" w:type="dxa"/>
            <w:vAlign w:val="bottom"/>
            <w:gridSpan w:val="2"/>
          </w:tcPr>
          <w:p>
            <w:pPr>
              <w:spacing w:after="0"/>
              <w:rPr>
                <w:sz w:val="21"/>
                <w:szCs w:val="21"/>
                <w:color w:val="auto"/>
              </w:rPr>
            </w:pPr>
          </w:p>
        </w:tc>
        <w:tc>
          <w:tcPr>
            <w:tcW w:w="3560" w:type="dxa"/>
            <w:vAlign w:val="bottom"/>
            <w:gridSpan w:val="14"/>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Use of Proceeds</w:t>
            </w:r>
          </w:p>
        </w:tc>
        <w:tc>
          <w:tcPr>
            <w:tcW w:w="6860" w:type="dxa"/>
            <w:vAlign w:val="bottom"/>
            <w:gridSpan w:val="9"/>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w:t>
              </w:r>
            </w:hyperlink>
          </w:p>
        </w:tc>
      </w:tr>
      <w:tr>
        <w:trPr>
          <w:trHeight w:val="20"/>
        </w:trPr>
        <w:tc>
          <w:tcPr>
            <w:tcW w:w="116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Ratios of Earnings to Fixed Charges</w:t>
            </w:r>
          </w:p>
        </w:tc>
        <w:tc>
          <w:tcPr>
            <w:tcW w:w="6860" w:type="dxa"/>
            <w:vAlign w:val="bottom"/>
            <w:gridSpan w:val="9"/>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40" w:type="dxa"/>
            <w:vAlign w:val="bottom"/>
            <w:gridSpan w:val="13"/>
          </w:tcPr>
          <w:p>
            <w:pPr>
              <w:spacing w:after="0"/>
              <w:rPr>
                <w:sz w:val="20"/>
                <w:szCs w:val="20"/>
                <w:color w:val="auto"/>
              </w:rPr>
            </w:pPr>
            <w:r>
              <w:rPr>
                <w:rFonts w:ascii="Arial" w:cs="Arial" w:eastAsia="Arial" w:hAnsi="Arial"/>
                <w:sz w:val="18"/>
                <w:szCs w:val="18"/>
                <w:color w:val="0000FF"/>
              </w:rPr>
              <w:t>Plan of Distribution</w:t>
            </w:r>
          </w:p>
        </w:tc>
        <w:tc>
          <w:tcPr>
            <w:tcW w:w="1980" w:type="dxa"/>
            <w:vAlign w:val="bottom"/>
            <w:gridSpan w:val="6"/>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3</w:t>
              </w:r>
            </w:hyperlink>
          </w:p>
        </w:tc>
      </w:tr>
      <w:tr>
        <w:trPr>
          <w:trHeight w:val="20"/>
        </w:trPr>
        <w:tc>
          <w:tcPr>
            <w:tcW w:w="1420" w:type="dxa"/>
            <w:vAlign w:val="bottom"/>
            <w:gridSpan w:val="7"/>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Description of Equity Securities</w:t>
            </w:r>
          </w:p>
        </w:tc>
        <w:tc>
          <w:tcPr>
            <w:tcW w:w="6860" w:type="dxa"/>
            <w:vAlign w:val="bottom"/>
            <w:gridSpan w:val="9"/>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gridSpan w:val="9"/>
          </w:tcPr>
          <w:p>
            <w:pPr>
              <w:spacing w:after="0"/>
              <w:rPr>
                <w:sz w:val="20"/>
                <w:szCs w:val="20"/>
                <w:color w:val="auto"/>
              </w:rPr>
            </w:pPr>
            <w:r>
              <w:rPr>
                <w:rFonts w:ascii="Arial" w:cs="Arial" w:eastAsia="Arial" w:hAnsi="Arial"/>
                <w:sz w:val="18"/>
                <w:szCs w:val="18"/>
                <w:color w:val="0000FF"/>
                <w:w w:val="91"/>
              </w:rPr>
              <w:t>Description of Debt Securities</w:t>
            </w:r>
          </w:p>
        </w:tc>
        <w:tc>
          <w:tcPr>
            <w:tcW w:w="120" w:type="dxa"/>
            <w:vAlign w:val="bottom"/>
            <w:gridSpan w:val="2"/>
          </w:tcPr>
          <w:p>
            <w:pPr>
              <w:spacing w:after="0"/>
              <w:rPr>
                <w:sz w:val="21"/>
                <w:szCs w:val="21"/>
                <w:color w:val="auto"/>
              </w:rPr>
            </w:pPr>
          </w:p>
        </w:tc>
        <w:tc>
          <w:tcPr>
            <w:tcW w:w="2220" w:type="dxa"/>
            <w:vAlign w:val="bottom"/>
            <w:gridSpan w:val="8"/>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13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Description of Depositary Shares</w:t>
            </w:r>
          </w:p>
        </w:tc>
        <w:tc>
          <w:tcPr>
            <w:tcW w:w="6860" w:type="dxa"/>
            <w:vAlign w:val="bottom"/>
            <w:gridSpan w:val="9"/>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18</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U.S. Federal Income Tax Considerations</w:t>
            </w:r>
          </w:p>
        </w:tc>
        <w:tc>
          <w:tcPr>
            <w:tcW w:w="6860" w:type="dxa"/>
            <w:vAlign w:val="bottom"/>
            <w:gridSpan w:val="9"/>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21</w:t>
              </w:r>
            </w:hyperlink>
          </w:p>
        </w:tc>
      </w:tr>
      <w:tr>
        <w:trPr>
          <w:trHeight w:val="20"/>
        </w:trPr>
        <w:tc>
          <w:tcPr>
            <w:tcW w:w="2860" w:type="dxa"/>
            <w:vAlign w:val="bottom"/>
            <w:gridSpan w:val="1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gridSpan w:val="5"/>
          </w:tcPr>
          <w:p>
            <w:pPr>
              <w:spacing w:after="0"/>
              <w:rPr>
                <w:sz w:val="20"/>
                <w:szCs w:val="20"/>
                <w:color w:val="auto"/>
              </w:rPr>
            </w:pPr>
            <w:r>
              <w:rPr>
                <w:rFonts w:ascii="Arial" w:cs="Arial" w:eastAsia="Arial" w:hAnsi="Arial"/>
                <w:sz w:val="18"/>
                <w:szCs w:val="18"/>
                <w:color w:val="0000FF"/>
                <w:w w:val="84"/>
              </w:rPr>
              <w:t>Legal Matters</w:t>
            </w:r>
          </w:p>
        </w:tc>
        <w:tc>
          <w:tcPr>
            <w:tcW w:w="1960" w:type="dxa"/>
            <w:vAlign w:val="bottom"/>
            <w:gridSpan w:val="11"/>
          </w:tcPr>
          <w:p>
            <w:pPr>
              <w:spacing w:after="0"/>
              <w:rPr>
                <w:sz w:val="21"/>
                <w:szCs w:val="21"/>
                <w:color w:val="auto"/>
              </w:rPr>
            </w:pPr>
          </w:p>
        </w:tc>
        <w:tc>
          <w:tcPr>
            <w:tcW w:w="1600" w:type="dxa"/>
            <w:vAlign w:val="bottom"/>
            <w:gridSpan w:val="3"/>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37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gridSpan w:val="5"/>
          </w:tcPr>
          <w:p>
            <w:pPr>
              <w:spacing w:after="0"/>
              <w:rPr>
                <w:sz w:val="20"/>
                <w:szCs w:val="20"/>
                <w:color w:val="auto"/>
              </w:rPr>
            </w:pPr>
            <w:r>
              <w:rPr>
                <w:rFonts w:ascii="Arial" w:cs="Arial" w:eastAsia="Arial" w:hAnsi="Arial"/>
                <w:sz w:val="18"/>
                <w:szCs w:val="18"/>
                <w:color w:val="0000FF"/>
              </w:rPr>
              <w:t>Experts</w:t>
            </w:r>
          </w:p>
        </w:tc>
        <w:tc>
          <w:tcPr>
            <w:tcW w:w="3560" w:type="dxa"/>
            <w:vAlign w:val="bottom"/>
            <w:gridSpan w:val="14"/>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37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Where You Can Find More Information</w:t>
            </w:r>
          </w:p>
        </w:tc>
        <w:tc>
          <w:tcPr>
            <w:tcW w:w="6860" w:type="dxa"/>
            <w:vAlign w:val="bottom"/>
            <w:gridSpan w:val="9"/>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37</w:t>
              </w:r>
            </w:hyperlink>
          </w:p>
        </w:tc>
      </w:tr>
      <w:tr>
        <w:trPr>
          <w:trHeight w:val="20"/>
        </w:trPr>
        <w:tc>
          <w:tcPr>
            <w:tcW w:w="2860" w:type="dxa"/>
            <w:vAlign w:val="bottom"/>
            <w:gridSpan w:val="1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19"/>
          </w:tcPr>
          <w:p>
            <w:pPr>
              <w:spacing w:after="0"/>
              <w:rPr>
                <w:sz w:val="20"/>
                <w:szCs w:val="20"/>
                <w:color w:val="auto"/>
              </w:rPr>
            </w:pPr>
            <w:r>
              <w:rPr>
                <w:rFonts w:ascii="Arial" w:cs="Arial" w:eastAsia="Arial" w:hAnsi="Arial"/>
                <w:sz w:val="18"/>
                <w:szCs w:val="18"/>
                <w:color w:val="0000FF"/>
              </w:rPr>
              <w:t>Incorporation of Certain Documents by Reference</w:t>
            </w:r>
          </w:p>
        </w:tc>
        <w:tc>
          <w:tcPr>
            <w:tcW w:w="6860" w:type="dxa"/>
            <w:vAlign w:val="bottom"/>
            <w:gridSpan w:val="9"/>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37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ABOUT THIS PROSPECTUS SUPPLEMENT</w:t>
      </w:r>
    </w:p>
    <w:p>
      <w:pPr>
        <w:spacing w:after="0" w:line="224"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the securities offered hereby, and also adds to and updates information contained in the accompanying base prospectus and the documents incorporated by reference into this prospectus supplement and the accompanying prospectus. The second part, the base prospectus, gives more general information and disclosure. When we refer to the prospectus, we are referring to both parts combined, and when we refer to the accompanying prospectus, we are referring to the base prospectus.</w:t>
      </w:r>
    </w:p>
    <w:p>
      <w:pPr>
        <w:spacing w:after="0" w:line="15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If there is any inconsistency between information in or incorporated by reference into the base prospectus and information in or incorporated by reference into this prospectus supplement, you should rely only on the information contained in or incorporated by reference into this prospectus supplement. This prospectus supplement, the accompanying prospectus and the documents incorporated into each by reference include important information about us, the common stock being offered and other information you should know before investing. You should read this prospectus supplement and the accompanying prospectus together with the additional information described under the heading, “Where You Can Find More Information” before investing in our common stock.</w:t>
      </w:r>
    </w:p>
    <w:p>
      <w:pPr>
        <w:spacing w:after="0" w:line="189" w:lineRule="exact"/>
        <w:rPr>
          <w:sz w:val="20"/>
          <w:szCs w:val="20"/>
          <w:color w:val="auto"/>
        </w:rPr>
      </w:pPr>
    </w:p>
    <w:p>
      <w:pPr>
        <w:ind w:right="120" w:firstLine="486"/>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and the accompanying prospectus. We have not, and the underwriters have not, authorized any other person to provide you with different information. If anyone provides you with different or inconsistent information, you should not rely on it. Neither we nor the underwriters are making an offer of these securities in any jurisdiction where the offer or sale thereof is not permitted. You should assume that the information appearing in this prospectus supplement, the accompanying prospectus and the documents incorporated into each by reference is accurate only as of their respective dates. Our business, financial condition, results of operations and prospects may have changed since those dates.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24" w:lineRule="exact"/>
        <w:rPr>
          <w:sz w:val="20"/>
          <w:szCs w:val="20"/>
          <w:color w:val="auto"/>
        </w:rPr>
      </w:pPr>
    </w:p>
    <w:p>
      <w:pPr>
        <w:ind w:left="80" w:firstLine="378"/>
        <w:spacing w:after="0" w:line="273" w:lineRule="auto"/>
        <w:rPr>
          <w:sz w:val="20"/>
          <w:szCs w:val="20"/>
          <w:color w:val="auto"/>
        </w:rPr>
      </w:pPr>
      <w:r>
        <w:rPr>
          <w:rFonts w:ascii="Arial" w:cs="Arial" w:eastAsia="Arial" w:hAnsi="Arial"/>
          <w:sz w:val="17"/>
          <w:szCs w:val="17"/>
          <w:color w:val="auto"/>
        </w:rPr>
        <w:t>This prospectus supplement and the accompanying prospectus, including the documents incorporated by reference herein and therein, contain forward-looking statements within the meaning of Section 27A of the Securities Act of 1933, as amended, or the Securities Act, Section 21E of the Securities Exchange Act of 1934, as amended, or the Exchange Act, and the Private Securities Litigation Reform Act of 1995. These forward-looking statements include information about possible or assumed future results of our business and our financial condition, liquidity, results of operations, plans and objectives. They also include, among other things, statements concerning anticipated revenues, income or loss, capital expenditures, dividends, capital structure, or other financial terms, as well as statements regarding subjects that are forward looking by their nature, such as:</w:t>
      </w:r>
    </w:p>
    <w:p>
      <w:pPr>
        <w:spacing w:after="0" w:line="124" w:lineRule="exact"/>
        <w:rPr>
          <w:sz w:val="20"/>
          <w:szCs w:val="20"/>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market value of our assets;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net interest rate spreads;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prepayment rates of the mortgage loans underlying our securities;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occurrence, extent and timing of credit losses within our portfolio;</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conditions in the market for Agency and other mortgage securities;</w:t>
      </w:r>
    </w:p>
    <w:p>
      <w:pPr>
        <w:spacing w:after="0" w:line="63" w:lineRule="exact"/>
        <w:rPr>
          <w:rFonts w:ascii="Arial" w:cs="Arial" w:eastAsia="Arial" w:hAnsi="Arial"/>
          <w:sz w:val="18"/>
          <w:szCs w:val="18"/>
          <w:color w:val="auto"/>
        </w:rPr>
      </w:pPr>
    </w:p>
    <w:p>
      <w:pPr>
        <w:ind w:left="880" w:right="1080" w:hanging="19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state of the credit markets and other general economic conditions, including home prices, particularly as they affect the price of earning assets and the credit status of borrowers;</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our hedging activities and the effectiveness of our risk mitigation strategies;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and terms of financing arrangements;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business or investment strategy;</w:t>
      </w:r>
    </w:p>
    <w:p>
      <w:pPr>
        <w:spacing w:after="0" w:line="63" w:lineRule="exact"/>
        <w:rPr>
          <w:rFonts w:ascii="Arial" w:cs="Arial" w:eastAsia="Arial" w:hAnsi="Arial"/>
          <w:sz w:val="18"/>
          <w:szCs w:val="18"/>
          <w:color w:val="auto"/>
        </w:rPr>
      </w:pPr>
    </w:p>
    <w:p>
      <w:pPr>
        <w:ind w:left="880" w:right="1220" w:hanging="19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legislative and regulatory changes (including changes to laws governing the taxation of REITs or applicable exemptions from the Investment Company Act of 1940, as amended (the “Investment Company Act”);</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the net proceeds from this offering;</w:t>
      </w:r>
    </w:p>
    <w:p>
      <w:pPr>
        <w:spacing w:after="0" w:line="63" w:lineRule="exact"/>
        <w:rPr>
          <w:rFonts w:ascii="Arial" w:cs="Arial" w:eastAsia="Arial" w:hAnsi="Arial"/>
          <w:sz w:val="18"/>
          <w:szCs w:val="18"/>
          <w:color w:val="auto"/>
        </w:rPr>
      </w:pPr>
    </w:p>
    <w:p>
      <w:pPr>
        <w:ind w:left="880" w:right="900" w:hanging="19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qualification as a REIT (including income and asset requirements for federal income tax purposes) and the limitations imposed on our business by our status as a REIT; and</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remain exempt from registration under the Investment Company Act.</w:t>
      </w:r>
    </w:p>
    <w:p>
      <w:pPr>
        <w:spacing w:after="0" w:line="252" w:lineRule="exact"/>
        <w:rPr>
          <w:sz w:val="20"/>
          <w:szCs w:val="20"/>
          <w:color w:val="auto"/>
        </w:rPr>
      </w:pPr>
    </w:p>
    <w:p>
      <w:pPr>
        <w:ind w:left="80" w:right="60" w:firstLine="378"/>
        <w:spacing w:after="0" w:line="27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the information currently available to us. These beliefs, assumptions, and expectations may change as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i</w:t>
      </w:r>
    </w:p>
    <w:p>
      <w:pPr>
        <w:sectPr>
          <w:pgSz w:w="11900" w:h="16838" w:orient="portrait"/>
          <w:cols w:equalWidth="0" w:num="1">
            <w:col w:w="11400"/>
          </w:cols>
          <w:pgMar w:left="240" w:top="360" w:right="259" w:bottom="1440" w:gutter="0" w:footer="0" w:header="0"/>
        </w:sectPr>
      </w:pPr>
    </w:p>
    <w:bookmarkStart w:id="4" w:name="page5"/>
    <w:bookmarkEnd w:id="4"/>
    <w:p>
      <w:pPr>
        <w:ind w:left="80"/>
        <w:spacing w:after="0" w:line="259" w:lineRule="auto"/>
        <w:rPr>
          <w:sz w:val="20"/>
          <w:szCs w:val="20"/>
          <w:color w:val="auto"/>
        </w:rPr>
      </w:pPr>
      <w:r>
        <w:rPr>
          <w:rFonts w:ascii="Arial" w:cs="Arial" w:eastAsia="Arial" w:hAnsi="Arial"/>
          <w:sz w:val="18"/>
          <w:szCs w:val="18"/>
          <w:color w:val="auto"/>
        </w:rPr>
        <w:t>result of many possible events or factors, not all of which are known to us. If a change occurs, our business, financial condition, liquidity, and results of operations may vary materially from those expressed in our forward-looking statements. You should carefully consider these risks when you make a decision concerning an investment in our common stock, along with the following factors, among others, that may cause actual results to vary from our forward-looking statements:</w:t>
      </w:r>
    </w:p>
    <w:p>
      <w:pPr>
        <w:spacing w:after="0" w:line="187" w:lineRule="exact"/>
        <w:rPr>
          <w:sz w:val="20"/>
          <w:szCs w:val="20"/>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volatility of the securities markets in which we invest and the market price of our common stock;</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prepayment rates, interest rate spreads or the yield curve;</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terms and deployment of debt and equity capital;</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key employees and availability of qualified personnel;</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governmental regulations, tax rates and similar matters;</w:t>
      </w:r>
    </w:p>
    <w:p>
      <w:pPr>
        <w:spacing w:after="0" w:line="63" w:lineRule="exact"/>
        <w:rPr>
          <w:rFonts w:ascii="Arial" w:cs="Arial" w:eastAsia="Arial" w:hAnsi="Arial"/>
          <w:sz w:val="18"/>
          <w:szCs w:val="18"/>
          <w:color w:val="auto"/>
        </w:rPr>
      </w:pPr>
    </w:p>
    <w:p>
      <w:pPr>
        <w:ind w:left="560" w:right="560" w:hanging="232"/>
        <w:spacing w:after="0" w:line="317"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practices and procedures of the Federal National Mortgage Association (“Fannie Mae”), the Federal Home Loan Mortgage Corporation (“Freddie Mac” and together with Fannie Mae, the “GSEs”) and the Government National Mortgage Association (“Ginnie Mae”);</w:t>
      </w: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defaults on our investments;</w:t>
      </w:r>
    </w:p>
    <w:p>
      <w:pPr>
        <w:spacing w:after="0" w:line="63" w:lineRule="exact"/>
        <w:rPr>
          <w:rFonts w:ascii="Arial" w:cs="Arial" w:eastAsia="Arial" w:hAnsi="Arial"/>
          <w:sz w:val="18"/>
          <w:szCs w:val="18"/>
          <w:color w:val="auto"/>
        </w:rPr>
      </w:pPr>
    </w:p>
    <w:p>
      <w:pPr>
        <w:ind w:left="560" w:right="700" w:hanging="232"/>
        <w:spacing w:after="0" w:line="27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regulatory changes (including changes to laws governing the taxation of REITs or applicable exemptions from the Investment Company Act);</w:t>
      </w:r>
    </w:p>
    <w:p>
      <w:pPr>
        <w:spacing w:after="0" w:line="8"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investment opportunities in residential real estate securities;</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volatility in capital markets;</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our investment portfolio;</w:t>
      </w:r>
    </w:p>
    <w:p>
      <w:pPr>
        <w:spacing w:after="0" w:line="63" w:lineRule="exact"/>
        <w:rPr>
          <w:rFonts w:ascii="Arial" w:cs="Arial" w:eastAsia="Arial" w:hAnsi="Arial"/>
          <w:sz w:val="18"/>
          <w:szCs w:val="18"/>
          <w:color w:val="auto"/>
        </w:rPr>
      </w:pPr>
    </w:p>
    <w:p>
      <w:pPr>
        <w:ind w:left="560" w:right="320" w:hanging="232"/>
        <w:spacing w:after="0" w:line="264"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associated with investing in residential real estate securities, including changes in our industry, any changes in laws and regulations affecting the relationship between Fannie Mae and Freddie Mac and the federal government, interest rates, the debt securities markets, the general economy or the finance and real estate markets specifically; and</w:t>
      </w:r>
    </w:p>
    <w:p>
      <w:pPr>
        <w:spacing w:after="0" w:line="19" w:lineRule="exact"/>
        <w:rPr>
          <w:rFonts w:ascii="Arial" w:cs="Arial" w:eastAsia="Arial" w:hAnsi="Arial"/>
          <w:sz w:val="18"/>
          <w:szCs w:val="18"/>
          <w:color w:val="auto"/>
        </w:rPr>
      </w:pPr>
    </w:p>
    <w:p>
      <w:pPr>
        <w:ind w:left="560" w:right="240" w:hanging="232"/>
        <w:spacing w:after="0" w:line="264"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factors incorporated by reference into this prospectus supplement, the accompanying prospectus and the other risks detailed in our Annual Report on Form 10-K for the year ended December 31, 2017 and our Quarterly Reports on Form 10-Q for the quarters ended March 31, 2018, June 30, 2018 and September 30, 2018.</w:t>
      </w:r>
    </w:p>
    <w:p>
      <w:pPr>
        <w:spacing w:after="0" w:line="20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When we use words such as “will likely result,” “plan,” “may,” “shall,” “believe,” “expect,” “anticipate,” “project,” “intend,” “estimate,” “goal,” “objective,” or similar expressions, we intend to identify forward-looking statements. You should not place undue reliance on these forward-looking statements, which apply only as of the date of this prospectus supplement. We do not intend to and we disclaim any duty or obligation to update or revise any industry information or forward looking statement set forth in this prospectus supplement to reflect new information, future events, or otherwise, except as required under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ii</w:t>
      </w:r>
    </w:p>
    <w:p>
      <w:pPr>
        <w:sectPr>
          <w:pgSz w:w="11900" w:h="16838" w:orient="portrait"/>
          <w:cols w:equalWidth="0" w:num="1">
            <w:col w:w="11400"/>
          </w:cols>
          <w:pgMar w:left="240" w:top="368"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0"/>
          <w:szCs w:val="20"/>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-141605</wp:posOffset>
            </wp:positionV>
            <wp:extent cx="7250430" cy="6281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6281420"/>
                    </a:xfrm>
                    <a:prstGeom prst="rect">
                      <a:avLst/>
                    </a:prstGeom>
                    <a:noFill/>
                  </pic:spPr>
                </pic:pic>
              </a:graphicData>
            </a:graphic>
          </wp:anchor>
        </w:drawing>
      </w:r>
    </w:p>
    <w:p>
      <w:pPr>
        <w:spacing w:after="0" w:line="20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The following summary highlights information contained elsewhere or incorporated by reference in this prospectus supplement and the accompanying prospectus. It may not contain all of the information that is important to you. Before making a decision to invest in our common stock, you should carefully read this entire prospectus supplement and the accompanying prospectus, including the risks set forth under the caption “Risk Factors” in this prospectus supplement and in the documents incorporated by reference in this prospectus supplement, and the information set forth under the caption “Where You Can Find More Information” on page S-10.</w:t>
      </w:r>
    </w:p>
    <w:p>
      <w:pPr>
        <w:spacing w:after="0" w:line="18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Except where the context suggests otherwise, all references to “we,” “our” and “us” in this prospectus supplement refer to AGNC Investment Corp. and its subsidiaries. Unless indicated otherwise, the information in this prospectus supplement assumes that the underwriters’ option to purchase additional shares of our common stock is not exercised.</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Company</w:t>
      </w:r>
    </w:p>
    <w:p>
      <w:pPr>
        <w:spacing w:after="0" w:line="243" w:lineRule="exact"/>
        <w:rPr>
          <w:sz w:val="20"/>
          <w:szCs w:val="20"/>
          <w:color w:val="auto"/>
        </w:rPr>
      </w:pPr>
    </w:p>
    <w:p>
      <w:pPr>
        <w:ind w:right="200" w:firstLine="459"/>
        <w:spacing w:after="0" w:line="302" w:lineRule="auto"/>
        <w:rPr>
          <w:sz w:val="20"/>
          <w:szCs w:val="20"/>
          <w:color w:val="auto"/>
        </w:rPr>
      </w:pPr>
      <w:r>
        <w:rPr>
          <w:rFonts w:ascii="Arial" w:cs="Arial" w:eastAsia="Arial" w:hAnsi="Arial"/>
          <w:sz w:val="16"/>
          <w:szCs w:val="16"/>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GSE or U.S. Government agency. We may also invest in other types of mortgage and mortgage-related residential and commercial mortgage-backed securities where repayment of principal and interest is not guaranteed by a GSE or U.S. Government agency.</w:t>
      </w:r>
    </w:p>
    <w:p>
      <w:pPr>
        <w:spacing w:after="0" w:line="168"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2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ind w:right="180" w:firstLine="459"/>
        <w:spacing w:after="0" w:line="279" w:lineRule="auto"/>
        <w:rPr>
          <w:sz w:val="20"/>
          <w:szCs w:val="20"/>
          <w:color w:val="auto"/>
        </w:rPr>
      </w:pPr>
      <w:r>
        <w:rPr>
          <w:rFonts w:ascii="Arial" w:cs="Arial" w:eastAsia="Arial" w:hAnsi="Arial"/>
          <w:sz w:val="17"/>
          <w:szCs w:val="17"/>
          <w:color w:val="auto"/>
        </w:rPr>
        <w:t>On November 9, 2018, we announced a cash dividend of $0.18 per share of common stock for November 2018 and an estimated tangible net book value of $16.94 per common share as of October 31, 2018. The dividend is payable on December 10, 2018 to stockholders of record as of November 30, 2018. The shares of common stock purchased in this offering will be delivered before the record date, and thus, to the extent that such shares continue to be held at the record date, the holder of such shares will be entitled to receive this dividend.</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Corporate Information</w:t>
      </w:r>
    </w:p>
    <w:p>
      <w:pPr>
        <w:spacing w:after="0" w:line="10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are a Delaware corporation formed on January 7, 2008. We commenced operations on May 20, 2008 following the completion of our initial public offering. Our principal place of business is located at 2 Bethesda Metro Center, 12th Floor, Bethesda, Maryland 20814, and our telephone number is (301) 968-9300. We maintain a website that can be accessed at http://www.AGNC.com. The information found on, or otherwise accessible through, our website is not incorporated into, and does not form a part of, this prospectus supplement or any other report or document we file with or furnish to Securities and Exchange Commission, or the SEC.</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S- 1</w:t>
      </w:r>
    </w:p>
    <w:p>
      <w:pPr>
        <w:sectPr>
          <w:pgSz w:w="11900" w:h="16838" w:orient="portrait"/>
          <w:cols w:equalWidth="0" w:num="1">
            <w:col w:w="10900"/>
          </w:cols>
          <w:pgMar w:left="500" w:top="373" w:right="4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6"/>
        </w:trPr>
        <w:tc>
          <w:tcPr>
            <w:tcW w:w="314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20"/>
                <w:szCs w:val="20"/>
                <w:b w:val="1"/>
                <w:bCs w:val="1"/>
                <w:color w:val="auto"/>
              </w:rPr>
              <w:t>THE OFFERING</w:t>
            </w:r>
          </w:p>
        </w:tc>
      </w:tr>
      <w:tr>
        <w:trPr>
          <w:trHeight w:val="348"/>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Issuer</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AGNC Investment Corp.</w:t>
            </w:r>
          </w:p>
        </w:tc>
      </w:tr>
      <w:tr>
        <w:trPr>
          <w:trHeight w:val="391"/>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Common stock offered by us</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40,000,000 shares (plus up to an additional 6,000,000 shares of common stock that we may issue and sell</w:t>
            </w:r>
          </w:p>
        </w:tc>
      </w:tr>
      <w:tr>
        <w:trPr>
          <w:trHeight w:val="230"/>
        </w:trPr>
        <w:tc>
          <w:tcPr>
            <w:tcW w:w="31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upon the exercise of the underwriters’ option to purchase additional shares of our common stock in full).</w:t>
            </w:r>
          </w:p>
        </w:tc>
      </w:tr>
      <w:tr>
        <w:trPr>
          <w:trHeight w:val="391"/>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w w:val="92"/>
              </w:rPr>
              <w:t>Common stock to be outstanding after</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521,929,075 shares (or 527,929,075 shares if the underwriters exercise their option to purchase additional</w:t>
            </w:r>
          </w:p>
        </w:tc>
      </w:tr>
      <w:tr>
        <w:trPr>
          <w:trHeight w:val="216"/>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this offering</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shares of our common stock in full) based upon 481,929,075 shares of common stock outstanding as of</w:t>
            </w:r>
          </w:p>
        </w:tc>
      </w:tr>
      <w:tr>
        <w:trPr>
          <w:trHeight w:val="230"/>
        </w:trPr>
        <w:tc>
          <w:tcPr>
            <w:tcW w:w="31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November 13, 2018.</w:t>
            </w:r>
          </w:p>
        </w:tc>
      </w:tr>
      <w:tr>
        <w:trPr>
          <w:trHeight w:val="405"/>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NASDAQ trading symbol</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“AGNC”</w:t>
            </w:r>
          </w:p>
        </w:tc>
      </w:tr>
      <w:tr>
        <w:trPr>
          <w:trHeight w:val="391"/>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Use of Proceeds</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We intend to use the net proceeds of this offering to finance the acquisition of agency securities, non-agency</w:t>
            </w:r>
          </w:p>
        </w:tc>
      </w:tr>
      <w:tr>
        <w:trPr>
          <w:trHeight w:val="216"/>
        </w:trPr>
        <w:tc>
          <w:tcPr>
            <w:tcW w:w="31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securities (including credit risk transfer securities), other real estate- related assets and hedging instruments</w:t>
            </w:r>
          </w:p>
        </w:tc>
      </w:tr>
      <w:tr>
        <w:trPr>
          <w:trHeight w:val="216"/>
        </w:trPr>
        <w:tc>
          <w:tcPr>
            <w:tcW w:w="31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and for other general corporate purposes. Pending this utilization, we may invest the net proceeds from this</w:t>
            </w:r>
          </w:p>
        </w:tc>
      </w:tr>
      <w:tr>
        <w:trPr>
          <w:trHeight w:val="216"/>
        </w:trPr>
        <w:tc>
          <w:tcPr>
            <w:tcW w:w="31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offering in readily marketable, short-term, investment-grade, interest-bearing investments. See “Use of</w:t>
            </w:r>
          </w:p>
        </w:tc>
      </w:tr>
      <w:tr>
        <w:trPr>
          <w:trHeight w:val="230"/>
        </w:trPr>
        <w:tc>
          <w:tcPr>
            <w:tcW w:w="31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Proceeds.”</w:t>
            </w:r>
          </w:p>
        </w:tc>
      </w:tr>
      <w:tr>
        <w:trPr>
          <w:trHeight w:val="391"/>
        </w:trPr>
        <w:tc>
          <w:tcPr>
            <w:tcW w:w="3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Risk Factors</w:t>
            </w: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Investing in our common stock involves a high degree of risk. See “Risk Factors” beginning on page 7 of our</w:t>
            </w:r>
          </w:p>
        </w:tc>
      </w:tr>
      <w:tr>
        <w:trPr>
          <w:trHeight w:val="216"/>
        </w:trPr>
        <w:tc>
          <w:tcPr>
            <w:tcW w:w="31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Annual Report on Form 10-K for the year ended December 31, 2017 and on page S-5 of this prospectus</w:t>
            </w:r>
          </w:p>
        </w:tc>
      </w:tr>
      <w:tr>
        <w:trPr>
          <w:trHeight w:val="230"/>
        </w:trPr>
        <w:tc>
          <w:tcPr>
            <w:tcW w:w="31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supplement.</w:t>
            </w:r>
          </w:p>
        </w:tc>
      </w:tr>
      <w:tr>
        <w:trPr>
          <w:trHeight w:val="469"/>
        </w:trPr>
        <w:tc>
          <w:tcPr>
            <w:tcW w:w="3140" w:type="dxa"/>
            <w:vAlign w:val="bottom"/>
            <w:tcBorders>
              <w:left w:val="single" w:sz="8" w:color="auto"/>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r>
      <w:tr>
        <w:trPr>
          <w:trHeight w:val="456"/>
        </w:trPr>
        <w:tc>
          <w:tcPr>
            <w:tcW w:w="3140" w:type="dxa"/>
            <w:vAlign w:val="bottom"/>
          </w:tcPr>
          <w:p>
            <w:pPr>
              <w:spacing w:after="0"/>
              <w:rPr>
                <w:sz w:val="24"/>
                <w:szCs w:val="24"/>
                <w:color w:val="auto"/>
              </w:rPr>
            </w:pPr>
          </w:p>
        </w:tc>
        <w:tc>
          <w:tcPr>
            <w:tcW w:w="8280" w:type="dxa"/>
            <w:vAlign w:val="bottom"/>
          </w:tcPr>
          <w:p>
            <w:pPr>
              <w:ind w:left="2420"/>
              <w:spacing w:after="0"/>
              <w:rPr>
                <w:sz w:val="20"/>
                <w:szCs w:val="20"/>
                <w:color w:val="auto"/>
              </w:rPr>
            </w:pPr>
            <w:r>
              <w:rPr>
                <w:rFonts w:ascii="Arial" w:cs="Arial" w:eastAsia="Arial" w:hAnsi="Arial"/>
                <w:sz w:val="18"/>
                <w:szCs w:val="18"/>
                <w:color w:val="auto"/>
              </w:rPr>
              <w:t>S- 2</w:t>
            </w:r>
          </w:p>
        </w:tc>
      </w:tr>
    </w:tbl>
    <w:p>
      <w:pPr>
        <w:sectPr>
          <w:pgSz w:w="11900" w:h="16838" w:orient="portrait"/>
          <w:cols w:equalWidth="0" w:num="1">
            <w:col w:w="11420"/>
          </w:cols>
          <w:pgMar w:left="240" w:top="359"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USE OF PROCEEDS</w:t>
      </w:r>
    </w:p>
    <w:p>
      <w:pPr>
        <w:spacing w:after="0" w:line="224"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estimate that the net proceeds to us from this offering of our common stock will be approximately $ , or $ if the underwriters’ option to purchase additional shares of our common stock is exercised in full, after deducting estimated offering expenses payable by us. Any additional proceeds to us resulting from an increase in the number of shares offered pursuant to this prospectus supplement will be used by us as described below.</w:t>
      </w:r>
    </w:p>
    <w:p>
      <w:pPr>
        <w:spacing w:after="0" w:line="14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intend to use the net proceeds from this offering to finance the acquisition of agency securities, non-agency securities (including credit risk transfer securities), other real estate-related assets and hedging instruments and for other general corporate purposes. Pending this utilization, we may temporarily invest the net proceeds in readily marketable, short-term, investment-grade, interest-bearing investments, including money market accounts, which are consistent with maintaining our qualification as a REIT. Such temporary investments would be expected to provide a lower net return than we hope to achieve from our targeted investments in agency securities, non-agency securities, and other mortgage- related assets.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S- 3</w:t>
      </w:r>
    </w:p>
    <w:p>
      <w:pPr>
        <w:sectPr>
          <w:pgSz w:w="11900" w:h="16838" w:orient="portrait"/>
          <w:cols w:equalWidth="0" w:num="1">
            <w:col w:w="11400"/>
          </w:cols>
          <w:pgMar w:left="240" w:top="360"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0"/>
          <w:szCs w:val="20"/>
          <w:b w:val="1"/>
          <w:bCs w:val="1"/>
          <w:color w:val="auto"/>
        </w:rPr>
        <w:t>RISK FACTORS</w:t>
      </w:r>
    </w:p>
    <w:p>
      <w:pPr>
        <w:spacing w:after="0" w:line="224"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risks described below in addition to those described in the section entitled “Risk Factors” in our most recent Annual Report on Form 10-K and any subsequent Quarterly Reports on Form 10-Q (which descriptions are incorporated by reference herein), as well as the other information contained or incorporated by reference in this prospectus supplement before making a decision to invest in our common stock. See “Where You Can Find More Information” and “Incorporation of Certain Documents by Reference”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shares of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shares of our common stock, or securities convertible or exchangeable into shares of common stock, in future transactions may be higher or lower than the price per share paid by investors in this offering.</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S- 4</w:t>
      </w:r>
    </w:p>
    <w:p>
      <w:pPr>
        <w:sectPr>
          <w:pgSz w:w="11900" w:h="16838" w:orient="portrait"/>
          <w:cols w:equalWidth="0" w:num="1">
            <w:col w:w="11400"/>
          </w:cols>
          <w:pgMar w:left="240" w:top="792" w:right="259" w:bottom="1440" w:gutter="0" w:footer="0" w:header="0"/>
        </w:sectPr>
      </w:pPr>
    </w:p>
    <w:bookmarkStart w:id="9" w:name="page10"/>
    <w:bookmarkEnd w:id="9"/>
    <w:p>
      <w:pPr>
        <w:jc w:val="center"/>
        <w:ind w:right="-539"/>
        <w:spacing w:after="0"/>
        <w:rPr>
          <w:sz w:val="20"/>
          <w:szCs w:val="20"/>
          <w:color w:val="auto"/>
        </w:rPr>
      </w:pPr>
      <w:r>
        <w:rPr>
          <w:rFonts w:ascii="Arial" w:cs="Arial" w:eastAsia="Arial" w:hAnsi="Arial"/>
          <w:sz w:val="20"/>
          <w:szCs w:val="20"/>
          <w:b w:val="1"/>
          <w:bCs w:val="1"/>
          <w:color w:val="auto"/>
        </w:rPr>
        <w:t>MARKET PRICE AND DISTRIBUTIONS</w:t>
      </w:r>
    </w:p>
    <w:p>
      <w:pPr>
        <w:spacing w:after="0" w:line="238"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The following table sets forth the range of high and low sales prices of our common stock as reported on The Nasdaq Global Select Market and dividends declared on our common stock for fiscal years 2017 and 2016 and for the four quarters of fiscal year 2018 (through November 13, 2018):</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Common Stock</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600" w:type="dxa"/>
            <w:vAlign w:val="bottom"/>
            <w:gridSpan w:val="3"/>
          </w:tcPr>
          <w:p>
            <w:pPr>
              <w:ind w:left="720"/>
              <w:spacing w:after="0"/>
              <w:rPr>
                <w:sz w:val="20"/>
                <w:szCs w:val="20"/>
                <w:color w:val="auto"/>
              </w:rPr>
            </w:pPr>
            <w:r>
              <w:rPr>
                <w:rFonts w:ascii="Arial" w:cs="Arial" w:eastAsia="Arial" w:hAnsi="Arial"/>
                <w:sz w:val="18"/>
                <w:szCs w:val="18"/>
                <w:b w:val="1"/>
                <w:bCs w:val="1"/>
                <w:color w:val="auto"/>
              </w:rPr>
              <w:t>Sales Price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Dividends</w:t>
            </w:r>
          </w:p>
        </w:tc>
        <w:tc>
          <w:tcPr>
            <w:tcW w:w="0" w:type="dxa"/>
            <w:vAlign w:val="bottom"/>
          </w:tcPr>
          <w:p>
            <w:pPr>
              <w:spacing w:after="0"/>
              <w:rPr>
                <w:sz w:val="1"/>
                <w:szCs w:val="1"/>
                <w:color w:val="auto"/>
              </w:rPr>
            </w:pPr>
          </w:p>
        </w:tc>
      </w:tr>
      <w:tr>
        <w:trPr>
          <w:trHeight w:val="205"/>
        </w:trPr>
        <w:tc>
          <w:tcPr>
            <w:tcW w:w="4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High</w:t>
            </w:r>
          </w:p>
        </w:tc>
        <w:tc>
          <w:tcPr>
            <w:tcW w:w="15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4"/>
              </w:rPr>
              <w:t>Low</w:t>
            </w:r>
          </w:p>
        </w:tc>
        <w:tc>
          <w:tcPr>
            <w:tcW w:w="940" w:type="dxa"/>
            <w:vAlign w:val="bottom"/>
          </w:tcPr>
          <w:p>
            <w:pPr>
              <w:jc w:val="right"/>
              <w:spacing w:after="0" w:line="270" w:lineRule="exact"/>
              <w:rPr>
                <w:sz w:val="20"/>
                <w:szCs w:val="20"/>
                <w:color w:val="auto"/>
              </w:rPr>
            </w:pPr>
            <w:r>
              <w:rPr>
                <w:rFonts w:ascii="Arial" w:cs="Arial" w:eastAsia="Arial" w:hAnsi="Arial"/>
                <w:sz w:val="18"/>
                <w:szCs w:val="18"/>
                <w:b w:val="1"/>
                <w:bCs w:val="1"/>
                <w:color w:val="auto"/>
                <w:w w:val="91"/>
              </w:rPr>
              <w:t>Declared</w:t>
            </w:r>
            <w:r>
              <w:rPr>
                <w:rFonts w:ascii="Arial" w:cs="Arial" w:eastAsia="Arial" w:hAnsi="Arial"/>
                <w:sz w:val="25"/>
                <w:szCs w:val="25"/>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4500" w:type="dxa"/>
            <w:vAlign w:val="bottom"/>
          </w:tcPr>
          <w:p>
            <w:pPr>
              <w:ind w:left="36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(through November 13, 2018)</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$17.52</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$19.72</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$18.51</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$18.46</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$20.26</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$17.84</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0"/>
        </w:trPr>
        <w:tc>
          <w:tcPr>
            <w:tcW w:w="4500" w:type="dxa"/>
            <w:vAlign w:val="bottom"/>
          </w:tcPr>
          <w:p>
            <w:pPr>
              <w:ind w:left="36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$19.26</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$21.94</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$20.76</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$22.34</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$19.57</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$20.02</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$18.10</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0"/>
        </w:trPr>
        <w:tc>
          <w:tcPr>
            <w:tcW w:w="4500" w:type="dxa"/>
            <w:vAlign w:val="bottom"/>
          </w:tcPr>
          <w:p>
            <w:pPr>
              <w:ind w:left="36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$17.30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$18.88</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$18.00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$15.69</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480" w:right="4500" w:hanging="5471"/>
        <w:spacing w:after="0" w:line="659" w:lineRule="auto"/>
        <w:tabs>
          <w:tab w:leader="none" w:pos="393"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sum of monthly dividends declared during each period presented. S- 5</w:t>
      </w:r>
    </w:p>
    <w:p>
      <w:pPr>
        <w:sectPr>
          <w:pgSz w:w="11900" w:h="16838" w:orient="portrait"/>
          <w:cols w:equalWidth="0" w:num="1">
            <w:col w:w="10720"/>
          </w:cols>
          <w:pgMar w:left="320" w:top="576" w:right="85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CAPITALIZATION</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sets forth our capitalization as of September 30, 2018 (i) on a historical basis, and (ii) on an as adjusted basis for (i) the sale of 40,000,000 shares of common stock at an offering price of $ per share in this offering and application of the estimated proceeds as described under “Use of Proceeds,” after deducting estimated offering expenses payable by us, and (ii) the issuance of 4,097,078 shares subsequent to September 30, 2018 under our at-the-market offering program. This presentation should be read in conjunction with “Management’s Discussion and Analysis of Financial Condition and Results of Operations” and our consolidated financial statements in our Annual Report on Form 10-K for the year ended December 31, 2017 and our quarterly report on Form 10-Q for the quarter ended September 30, 2018 that we are incorporating by reference into this prospectus supplement and the accompanying prospectus.</w:t>
      </w:r>
    </w:p>
    <w:p>
      <w:pPr>
        <w:spacing w:after="0" w:line="347" w:lineRule="exact"/>
        <w:rPr>
          <w:sz w:val="20"/>
          <w:szCs w:val="20"/>
          <w:color w:val="auto"/>
        </w:rPr>
      </w:pPr>
    </w:p>
    <w:p>
      <w:pPr>
        <w:jc w:val="center"/>
        <w:ind w:left="6320"/>
        <w:spacing w:after="0"/>
        <w:rPr>
          <w:sz w:val="20"/>
          <w:szCs w:val="20"/>
          <w:color w:val="auto"/>
        </w:rPr>
      </w:pPr>
      <w:r>
        <w:rPr>
          <w:rFonts w:ascii="Arial" w:cs="Arial" w:eastAsia="Arial" w:hAnsi="Arial"/>
          <w:sz w:val="18"/>
          <w:szCs w:val="18"/>
          <w:b w:val="1"/>
          <w:bCs w:val="1"/>
          <w:color w:val="auto"/>
        </w:rPr>
        <w:t>As of September 30, 2018</w:t>
      </w:r>
    </w:p>
    <w:p>
      <w:pPr>
        <w:spacing w:after="0" w:line="27" w:lineRule="exact"/>
        <w:rPr>
          <w:sz w:val="20"/>
          <w:szCs w:val="20"/>
          <w:color w:val="auto"/>
        </w:rPr>
      </w:pPr>
    </w:p>
    <w:p>
      <w:pPr>
        <w:jc w:val="center"/>
        <w:ind w:left="6320"/>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22860</wp:posOffset>
            </wp:positionV>
            <wp:extent cx="1835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8" w:lineRule="exact"/>
        <w:rPr>
          <w:sz w:val="20"/>
          <w:szCs w:val="20"/>
          <w:color w:val="auto"/>
        </w:rPr>
      </w:pPr>
    </w:p>
    <w:p>
      <w:pPr>
        <w:ind w:left="7820"/>
        <w:spacing w:after="0"/>
        <w:tabs>
          <w:tab w:leader="none" w:pos="902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As Adjusted</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-15875</wp:posOffset>
            </wp:positionV>
            <wp:extent cx="1835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11420"/>
          </w:cols>
          <w:pgMar w:left="240" w:top="576" w:right="239" w:bottom="1440" w:gutter="0" w:footer="0" w:header="0"/>
        </w:sectPr>
      </w:pPr>
    </w:p>
    <w:p>
      <w:pPr>
        <w:spacing w:after="0" w:line="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and cash equivalents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Debt:</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Repurchase agreements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 of consolidated variable interest entities, at fair value</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debt</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Stockholders’ equity:</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Preferred Stock: par value $.01 per share; 10.0 shares authorized</w:t>
      </w:r>
    </w:p>
    <w:p>
      <w:pPr>
        <w:spacing w:after="0" w:line="63" w:lineRule="exact"/>
        <w:rPr>
          <w:sz w:val="20"/>
          <w:szCs w:val="20"/>
          <w:color w:val="auto"/>
        </w:rPr>
      </w:pPr>
    </w:p>
    <w:p>
      <w:pPr>
        <w:ind w:left="1620"/>
        <w:spacing w:after="0" w:line="277" w:lineRule="auto"/>
        <w:rPr>
          <w:sz w:val="20"/>
          <w:szCs w:val="20"/>
          <w:color w:val="auto"/>
        </w:rPr>
      </w:pPr>
      <w:r>
        <w:rPr>
          <w:rFonts w:ascii="Arial" w:cs="Arial" w:eastAsia="Arial" w:hAnsi="Arial"/>
          <w:sz w:val="16"/>
          <w:szCs w:val="16"/>
          <w:color w:val="auto"/>
        </w:rPr>
        <w:t>7.750% Series B Cumulative Redeemable Preferred Stock, $0.01 par value; 7.0 depositary shares issued and outstanding (aggregate liquidation preference of $25.00 per depositary share) on an actual and as adjusted basis</w:t>
      </w:r>
      <w:r>
        <w:rPr>
          <w:rFonts w:ascii="Arial" w:cs="Arial" w:eastAsia="Arial" w:hAnsi="Arial"/>
          <w:sz w:val="22"/>
          <w:szCs w:val="22"/>
          <w:color w:val="auto"/>
          <w:vertAlign w:val="superscript"/>
        </w:rPr>
        <w:t>(2)</w:t>
      </w:r>
    </w:p>
    <w:p>
      <w:pPr>
        <w:spacing w:after="0" w:line="2" w:lineRule="exact"/>
        <w:rPr>
          <w:sz w:val="20"/>
          <w:szCs w:val="20"/>
          <w:color w:val="auto"/>
        </w:rPr>
      </w:pPr>
    </w:p>
    <w:p>
      <w:pPr>
        <w:ind w:left="1620" w:right="140"/>
        <w:spacing w:after="0" w:line="253" w:lineRule="auto"/>
        <w:rPr>
          <w:sz w:val="20"/>
          <w:szCs w:val="20"/>
          <w:color w:val="auto"/>
        </w:rPr>
      </w:pPr>
      <w:r>
        <w:rPr>
          <w:rFonts w:ascii="Arial" w:cs="Arial" w:eastAsia="Arial" w:hAnsi="Arial"/>
          <w:sz w:val="18"/>
          <w:szCs w:val="18"/>
          <w:color w:val="auto"/>
        </w:rPr>
        <w:t>7.00% Series C Fixed-to-Floating Rate Cumulative Redeemable Preferred Stock, $0.01 par value; 13.0 depositary shares issued and outstanding (aggregate liquidation preference of $25.00 per depositary share) on an actual and as adjusted basis, respectively</w:t>
      </w:r>
    </w:p>
    <w:p>
      <w:pPr>
        <w:spacing w:after="0" w:line="30" w:lineRule="exact"/>
        <w:rPr>
          <w:sz w:val="20"/>
          <w:szCs w:val="20"/>
          <w:color w:val="auto"/>
        </w:rPr>
      </w:pPr>
    </w:p>
    <w:p>
      <w:pPr>
        <w:ind w:left="1300" w:right="80"/>
        <w:spacing w:after="0" w:line="317" w:lineRule="auto"/>
        <w:rPr>
          <w:sz w:val="20"/>
          <w:szCs w:val="20"/>
          <w:color w:val="auto"/>
        </w:rPr>
      </w:pPr>
      <w:r>
        <w:rPr>
          <w:rFonts w:ascii="Arial" w:cs="Arial" w:eastAsia="Arial" w:hAnsi="Arial"/>
          <w:sz w:val="16"/>
          <w:szCs w:val="16"/>
          <w:color w:val="auto"/>
        </w:rPr>
        <w:t>Common stock: par value $.01 per share; 900.0 shares authorized; 477.8 and 521.9 shares issued and outstanding on an actual and as adjusted basis, respectively</w:t>
      </w:r>
    </w:p>
    <w:p>
      <w:pPr>
        <w:ind w:left="13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Retained deficit</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Accumulated other comprehensive loss</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Total stockholders’ equity</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Total capitalization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784" w:hanging="784"/>
        <w:spacing w:after="0"/>
        <w:tabs>
          <w:tab w:leader="none" w:pos="784"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8351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5150" cy="26035"/>
                    </a:xfrm>
                    <a:prstGeom prst="rect">
                      <a:avLst/>
                    </a:prstGeom>
                    <a:noFill/>
                  </pic:spPr>
                </pic:pic>
              </a:graphicData>
            </a:graphic>
          </wp:anchor>
        </w:drawing>
      </w:r>
    </w:p>
    <w:p>
      <w:pPr>
        <w:spacing w:after="0" w:line="354" w:lineRule="exact"/>
        <w:rPr>
          <w:sz w:val="20"/>
          <w:szCs w:val="20"/>
          <w:color w:val="auto"/>
        </w:rPr>
      </w:pPr>
    </w:p>
    <w:p>
      <w:pPr>
        <w:ind w:left="684" w:hanging="684"/>
        <w:spacing w:after="0"/>
        <w:tabs>
          <w:tab w:leader="none" w:pos="684" w:val="left"/>
        </w:tabs>
        <w:numPr>
          <w:ilvl w:val="0"/>
          <w:numId w:val="5"/>
        </w:numPr>
        <w:rPr>
          <w:rFonts w:ascii="Arial" w:cs="Arial" w:eastAsia="Arial" w:hAnsi="Arial"/>
          <w:sz w:val="18"/>
          <w:szCs w:val="18"/>
          <w:color w:val="auto"/>
        </w:rPr>
      </w:pPr>
      <w:r>
        <w:rPr>
          <w:rFonts w:ascii="Arial" w:cs="Arial" w:eastAsia="Arial" w:hAnsi="Arial"/>
          <w:sz w:val="18"/>
          <w:szCs w:val="18"/>
          <w:color w:val="auto"/>
        </w:rPr>
        <w:t>65,734</w:t>
      </w:r>
    </w:p>
    <w:p>
      <w:pPr>
        <w:spacing w:after="0" w:line="63" w:lineRule="exact"/>
        <w:rPr>
          <w:rFonts w:ascii="Arial" w:cs="Arial" w:eastAsia="Arial" w:hAnsi="Arial"/>
          <w:sz w:val="18"/>
          <w:szCs w:val="18"/>
          <w:color w:val="auto"/>
        </w:rPr>
      </w:pPr>
    </w:p>
    <w:p>
      <w:pPr>
        <w:ind w:left="924"/>
        <w:spacing w:after="0"/>
        <w:rPr>
          <w:rFonts w:ascii="Arial" w:cs="Arial" w:eastAsia="Arial" w:hAnsi="Arial"/>
          <w:sz w:val="18"/>
          <w:szCs w:val="18"/>
          <w:color w:val="auto"/>
        </w:rPr>
      </w:pP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57" w:lineRule="exact"/>
        <w:rPr>
          <w:sz w:val="20"/>
          <w:szCs w:val="20"/>
          <w:color w:val="auto"/>
        </w:rPr>
      </w:pPr>
    </w:p>
    <w:p>
      <w:pPr>
        <w:ind w:left="684"/>
        <w:spacing w:after="0"/>
        <w:rPr>
          <w:sz w:val="20"/>
          <w:szCs w:val="20"/>
          <w:color w:val="auto"/>
        </w:rPr>
      </w:pPr>
      <w:r>
        <w:rPr>
          <w:rFonts w:ascii="Arial" w:cs="Arial" w:eastAsia="Arial" w:hAnsi="Arial"/>
          <w:sz w:val="18"/>
          <w:szCs w:val="18"/>
          <w:color w:val="auto"/>
        </w:rPr>
        <w:t>66,025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835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24"/>
        <w:spacing w:after="0"/>
        <w:rPr>
          <w:sz w:val="20"/>
          <w:szCs w:val="20"/>
          <w:color w:val="auto"/>
        </w:rPr>
      </w:pPr>
      <w:r>
        <w:rPr>
          <w:rFonts w:ascii="Arial" w:cs="Arial" w:eastAsia="Arial" w:hAnsi="Arial"/>
          <w:sz w:val="18"/>
          <w:szCs w:val="18"/>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24"/>
        <w:spacing w:after="0"/>
        <w:rPr>
          <w:sz w:val="20"/>
          <w:szCs w:val="20"/>
          <w:color w:val="auto"/>
        </w:rPr>
      </w:pPr>
      <w:r>
        <w:rPr>
          <w:rFonts w:ascii="Arial" w:cs="Arial" w:eastAsia="Arial" w:hAnsi="Arial"/>
          <w:sz w:val="18"/>
          <w:szCs w:val="18"/>
          <w:color w:val="auto"/>
        </w:rPr>
        <w:t>315</w:t>
      </w:r>
    </w:p>
    <w:p>
      <w:pPr>
        <w:spacing w:after="0" w:line="279"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ind w:left="684"/>
        <w:spacing w:after="0"/>
        <w:rPr>
          <w:sz w:val="20"/>
          <w:szCs w:val="20"/>
          <w:color w:val="auto"/>
        </w:rPr>
      </w:pPr>
      <w:r>
        <w:rPr>
          <w:rFonts w:ascii="Arial" w:cs="Arial" w:eastAsia="Arial" w:hAnsi="Arial"/>
          <w:sz w:val="18"/>
          <w:szCs w:val="18"/>
          <w:color w:val="auto"/>
        </w:rPr>
        <w:t>12,785</w:t>
      </w:r>
    </w:p>
    <w:p>
      <w:pPr>
        <w:spacing w:after="0" w:line="63"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(2,343)</w:t>
      </w:r>
    </w:p>
    <w:p>
      <w:pPr>
        <w:spacing w:after="0" w:line="63"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835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57" w:lineRule="exact"/>
        <w:rPr>
          <w:sz w:val="20"/>
          <w:szCs w:val="20"/>
          <w:color w:val="auto"/>
        </w:rPr>
      </w:pPr>
    </w:p>
    <w:p>
      <w:pPr>
        <w:ind w:left="784"/>
        <w:spacing w:after="0"/>
        <w:rPr>
          <w:sz w:val="20"/>
          <w:szCs w:val="20"/>
          <w:color w:val="auto"/>
        </w:rPr>
      </w:pPr>
      <w:r>
        <w:rPr>
          <w:rFonts w:ascii="Arial" w:cs="Arial" w:eastAsia="Arial" w:hAnsi="Arial"/>
          <w:sz w:val="18"/>
          <w:szCs w:val="18"/>
          <w:color w:val="auto"/>
        </w:rPr>
        <w:t>9,627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57" w:lineRule="exact"/>
        <w:rPr>
          <w:sz w:val="20"/>
          <w:szCs w:val="20"/>
          <w:color w:val="auto"/>
        </w:rPr>
      </w:pPr>
    </w:p>
    <w:p>
      <w:pPr>
        <w:ind w:left="684" w:hanging="684"/>
        <w:spacing w:after="0"/>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75,652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8351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5150" cy="26035"/>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7340" w:space="96"/>
            <w:col w:w="3984"/>
          </w:cols>
          <w:pgMar w:left="240" w:top="576" w:right="239" w:bottom="1440" w:gutter="0" w:footer="0" w:header="0"/>
          <w:type w:val="continuous"/>
        </w:sectPr>
      </w:pPr>
    </w:p>
    <w:p>
      <w:pPr>
        <w:ind w:left="200" w:hanging="192"/>
        <w:spacing w:after="0"/>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Assumes no exercise of the underwriters’ option to purchase up to an additional 6,000,000 shares of our common stock.</w:t>
      </w:r>
    </w:p>
    <w:p>
      <w:pPr>
        <w:spacing w:after="0" w:line="42" w:lineRule="exact"/>
        <w:rPr>
          <w:rFonts w:ascii="Arial" w:cs="Arial" w:eastAsia="Arial" w:hAnsi="Arial"/>
          <w:sz w:val="23"/>
          <w:szCs w:val="23"/>
          <w:color w:val="auto"/>
          <w:vertAlign w:val="superscript"/>
        </w:rPr>
      </w:pPr>
    </w:p>
    <w:p>
      <w:pPr>
        <w:ind w:left="200" w:hanging="192"/>
        <w:spacing w:after="0" w:line="203" w:lineRule="auto"/>
        <w:tabs>
          <w:tab w:leader="none" w:pos="2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Each Series B and Series C depository share represents a 1/1000th interest in a share of Series B and Series C Preferred Stock, respectively.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S- 6</w:t>
      </w:r>
    </w:p>
    <w:p>
      <w:pPr>
        <w:sectPr>
          <w:pgSz w:w="11900" w:h="16838" w:orient="portrait"/>
          <w:cols w:equalWidth="0" w:num="1">
            <w:col w:w="11420"/>
          </w:cols>
          <w:pgMar w:left="240" w:top="576"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t>UNDERWRITING</w:t>
      </w:r>
    </w:p>
    <w:p>
      <w:pPr>
        <w:spacing w:after="0" w:line="27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Credit Suisse Securities (USA) LLC, Citigroup Global Markets Inc., J.P. Morgan Securities LLC, Morgan Stanley &amp; Co. LLC, Goldman Sachs &amp; Co. LLC and Merrill Lynch, Pierce, Fenner &amp; Smith Incorporated are acting as the joint book-running managers and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of our common stock set forth opposite the underwriter’s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r>
      <w:tr>
        <w:trPr>
          <w:trHeight w:val="234"/>
        </w:trPr>
        <w:tc>
          <w:tcPr>
            <w:tcW w:w="6500" w:type="dxa"/>
            <w:vAlign w:val="bottom"/>
            <w:gridSpan w:val="2"/>
          </w:tcPr>
          <w:p>
            <w:pPr>
              <w:ind w:left="20"/>
              <w:spacing w:after="0"/>
              <w:rPr>
                <w:sz w:val="20"/>
                <w:szCs w:val="20"/>
                <w:color w:val="auto"/>
              </w:rPr>
            </w:pPr>
            <w:r>
              <w:rPr>
                <w:rFonts w:ascii="Arial" w:cs="Arial" w:eastAsia="Arial" w:hAnsi="Arial"/>
                <w:sz w:val="18"/>
                <w:szCs w:val="18"/>
                <w:b w:val="1"/>
                <w:bCs w:val="1"/>
                <w:color w:val="auto"/>
              </w:rPr>
              <w:t>Underwriter</w:t>
            </w: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Suisse Securities (USA) LLC</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Citigroup Global Markets Inc.</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J.P. Morgan Securities LLC</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Morgan Stanley &amp; Co. LLC</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Merrill Lynch, Pierce, Fenner &amp; Smith Incorporated</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Keefe, Bruyette &amp; Woods, Inc.</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RBC Capital Markets, LLC</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40" w:type="dxa"/>
            <w:vAlign w:val="bottom"/>
          </w:tcPr>
          <w:p>
            <w:pPr>
              <w:spacing w:after="0"/>
              <w:rPr>
                <w:sz w:val="22"/>
                <w:szCs w:val="22"/>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to purchase additional shares described below) if they purchase any of the shares. The offering of the shares by the underwriters is subject to receipt and acceptance and subject to the underwriters’ right to reject any order in whole or in part.</w:t>
      </w:r>
    </w:p>
    <w:p>
      <w:pPr>
        <w:spacing w:after="0" w:line="18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underwriters have agreed to purchase the shares of common stock from us at a price of $ per share, which will result in net proceeds to us, after deducting estimated expenses related to this offering, of approximately $ million assuming no exercise of the option to purchase additional shares granted to the underwriters, and $ million assuming full exercise of the option to purchase additional shares.</w:t>
      </w:r>
    </w:p>
    <w:p>
      <w:pPr>
        <w:spacing w:after="0" w:line="18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underwriters propose to offer the shares of common stock offered hereby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of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and the price at which the underwriters resells such shares may be deemed to be underwriting compensation.</w:t>
      </w:r>
    </w:p>
    <w:p>
      <w:pPr>
        <w:spacing w:after="0" w:line="178"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6,000,000 additional shares of our common stock at $ per share.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and each of our executive officers and directors, have agreed that, for a period of 30 days from the date of this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S- 7</w:t>
      </w:r>
    </w:p>
    <w:p>
      <w:pPr>
        <w:sectPr>
          <w:pgSz w:w="11900" w:h="16838" w:orient="portrait"/>
          <w:cols w:equalWidth="0" w:num="1">
            <w:col w:w="11400"/>
          </w:cols>
          <w:pgMar w:left="240" w:top="630" w:right="259" w:bottom="1440" w:gutter="0" w:footer="0" w:header="0"/>
        </w:sectPr>
      </w:pPr>
    </w:p>
    <w:bookmarkStart w:id="12" w:name="page13"/>
    <w:bookmarkEnd w:id="12"/>
    <w:p>
      <w:pPr>
        <w:ind w:right="60"/>
        <w:spacing w:after="0" w:line="257" w:lineRule="auto"/>
        <w:rPr>
          <w:sz w:val="20"/>
          <w:szCs w:val="20"/>
          <w:color w:val="auto"/>
        </w:rPr>
      </w:pPr>
      <w:r>
        <w:rPr>
          <w:rFonts w:ascii="Arial" w:cs="Arial" w:eastAsia="Arial" w:hAnsi="Arial"/>
          <w:sz w:val="18"/>
          <w:szCs w:val="18"/>
          <w:color w:val="auto"/>
        </w:rPr>
        <w:t>prospectus supplement, we and they will not, without the prior written consent of each of the representatives, dispose of or hedge any shares or any securities convertible into or exchangeable for our common stock, subject to certain exceptions, including our ability to continue to sell securities under our at-the-market offering program and our dividend reinvestment and direct stock purchase program (without granting waivers as to requests to purchase shares of our common stock in excess of $10,000). The representatives, in their sole discretion, may release any of the securities subject to these lock-up agreements at any time without notice.</w:t>
      </w:r>
    </w:p>
    <w:p>
      <w:pPr>
        <w:spacing w:after="0" w:line="242" w:lineRule="exact"/>
        <w:rPr>
          <w:sz w:val="20"/>
          <w:szCs w:val="20"/>
          <w:color w:val="auto"/>
        </w:rPr>
      </w:pPr>
    </w:p>
    <w:p>
      <w:pPr>
        <w:ind w:left="500" w:right="3100"/>
        <w:spacing w:after="0" w:line="340" w:lineRule="auto"/>
        <w:rPr>
          <w:sz w:val="20"/>
          <w:szCs w:val="20"/>
          <w:color w:val="auto"/>
        </w:rPr>
      </w:pPr>
      <w:r>
        <w:rPr>
          <w:rFonts w:ascii="Arial" w:cs="Arial" w:eastAsia="Arial" w:hAnsi="Arial"/>
          <w:sz w:val="18"/>
          <w:szCs w:val="18"/>
          <w:color w:val="auto"/>
        </w:rPr>
        <w:t>The shares of our common stock are listed on The Nasdaq Global Select Market under the symbol “AGNC.” We estimate that our portion of the total expenses of this offering will be .</w:t>
      </w:r>
    </w:p>
    <w:p>
      <w:pPr>
        <w:spacing w:after="0" w:line="170"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In connection with the offering, the underwriters may purchase and sell shares in the open market. Purchases and sales in the open market may include short sales, purchases to cover short positions, which may include purchases pursuant to the option to purchase additional shares, and stabilizing purchases.</w:t>
      </w:r>
    </w:p>
    <w:p>
      <w:pPr>
        <w:spacing w:after="0" w:line="124" w:lineRule="exact"/>
        <w:rPr>
          <w:sz w:val="20"/>
          <w:szCs w:val="20"/>
          <w:color w:val="auto"/>
        </w:rPr>
      </w:pPr>
    </w:p>
    <w:p>
      <w:pPr>
        <w:ind w:left="500" w:hanging="31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shares than they are required to purchase in the offering.</w:t>
      </w:r>
    </w:p>
    <w:p>
      <w:pPr>
        <w:spacing w:after="0" w:line="128" w:lineRule="exact"/>
        <w:rPr>
          <w:rFonts w:ascii="Arial" w:cs="Arial" w:eastAsia="Arial" w:hAnsi="Arial"/>
          <w:sz w:val="17"/>
          <w:szCs w:val="17"/>
          <w:color w:val="auto"/>
        </w:rPr>
      </w:pPr>
    </w:p>
    <w:p>
      <w:pPr>
        <w:ind w:left="880" w:right="160" w:hanging="386"/>
        <w:spacing w:after="0" w:line="277" w:lineRule="auto"/>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62" w:lineRule="exact"/>
        <w:rPr>
          <w:rFonts w:ascii="Arial" w:cs="Arial" w:eastAsia="Arial" w:hAnsi="Arial"/>
          <w:sz w:val="18"/>
          <w:szCs w:val="18"/>
          <w:color w:val="auto"/>
        </w:rPr>
      </w:pPr>
    </w:p>
    <w:p>
      <w:pPr>
        <w:ind w:left="880" w:right="580" w:hanging="386"/>
        <w:spacing w:after="0" w:line="277" w:lineRule="auto"/>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62"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option to purchase additional shares or in the open market after the distribution has been completed in order to cover short positions.</w:t>
      </w:r>
    </w:p>
    <w:p>
      <w:pPr>
        <w:spacing w:after="0" w:line="62" w:lineRule="exact"/>
        <w:rPr>
          <w:rFonts w:ascii="Arial" w:cs="Arial" w:eastAsia="Arial" w:hAnsi="Arial"/>
          <w:sz w:val="18"/>
          <w:szCs w:val="18"/>
          <w:color w:val="auto"/>
        </w:rPr>
      </w:pPr>
    </w:p>
    <w:p>
      <w:pPr>
        <w:ind w:left="880" w:right="80" w:hanging="386"/>
        <w:spacing w:after="0" w:line="286" w:lineRule="auto"/>
        <w:tabs>
          <w:tab w:leader="none" w:pos="880"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57" w:lineRule="exact"/>
        <w:rPr>
          <w:rFonts w:ascii="Arial" w:cs="Arial" w:eastAsia="Arial" w:hAnsi="Arial"/>
          <w:sz w:val="17"/>
          <w:szCs w:val="17"/>
          <w:color w:val="auto"/>
        </w:rPr>
      </w:pPr>
    </w:p>
    <w:p>
      <w:pPr>
        <w:ind w:left="880" w:right="160" w:hanging="386"/>
        <w:spacing w:after="0" w:line="259" w:lineRule="auto"/>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shares in the open market after the distribution has been completed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78"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shares of our common stock. They may also cause the price of the shares to be higher than the price that would otherwise exist in the open market in the absence of these transactions. The underwriters may conduct these transactions on The Nasdaq Global Select Market, in the over-the-counter market or otherwise. If the underwriters commence any of these transactions, they may discontinue them at any time.</w:t>
      </w:r>
    </w:p>
    <w:p>
      <w:pPr>
        <w:spacing w:after="0" w:line="188"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prospectus in electronic format is being made available on Internet websites maintained by one or more of the underwriters of this offering and may be made available on websites maintained by other underwriters. Other than the prospectus in electronic format, the information on any underwriter’s website and any information contained in any other website maintained by an underwriter is not part of the prospectus supplement or the registration statement of which the prospectus supplement forms a part.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Relationships with the Underwriters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S- 8</w:t>
      </w:r>
    </w:p>
    <w:p>
      <w:pPr>
        <w:sectPr>
          <w:pgSz w:w="11900" w:h="16838" w:orient="portrait"/>
          <w:cols w:equalWidth="0" w:num="1">
            <w:col w:w="11420"/>
          </w:cols>
          <w:pgMar w:left="240" w:top="368" w:right="239" w:bottom="1440" w:gutter="0" w:footer="0" w:header="0"/>
        </w:sectPr>
      </w:pPr>
    </w:p>
    <w:bookmarkStart w:id="13" w:name="page14"/>
    <w:bookmarkEnd w:id="13"/>
    <w:p>
      <w:pPr>
        <w:ind w:right="380"/>
        <w:spacing w:after="0" w:line="277" w:lineRule="auto"/>
        <w:rPr>
          <w:sz w:val="20"/>
          <w:szCs w:val="20"/>
          <w:color w:val="auto"/>
        </w:rPr>
      </w:pPr>
      <w:r>
        <w:rPr>
          <w:rFonts w:ascii="Arial" w:cs="Arial" w:eastAsia="Arial" w:hAnsi="Arial"/>
          <w:sz w:val="18"/>
          <w:szCs w:val="18"/>
          <w:color w:val="auto"/>
        </w:rPr>
        <w:t>which may include sales and trading, commercial and investment banking, advisory, investment management, investment research, principal investment, hedging, market making, brokerage and other financial and non-financial activities and services.</w:t>
      </w:r>
    </w:p>
    <w:p>
      <w:pPr>
        <w:spacing w:after="0" w:line="17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entered into master repurchase agreements, ISDA master agreements, and master securities forward transaction agreements with certain of the underwriters or their affiliates. Certain of the underwriters or their affiliates are acting as sales agents under our at-the-market offering program and have also acted as underwriters and/or financial advisors on a number of our equity and/or debt offerings.</w:t>
      </w:r>
    </w:p>
    <w:p>
      <w:pPr>
        <w:spacing w:after="0" w:line="18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because of any of those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04"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 shares of common stock to be offered in this offering have not been and will not be registered under the Financial Instruments and Exchange Act of Japan (the “Financial Instruments and Exchange Act”), and each underwriter has agreed that it will not offer or sell any of the shares of common stock to be offered in this offering,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0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common stock may not be offered or sold by means of any document other than (i) to “professional investors” within the meaning of the Securities and Futures Ordinance (Cap. 571 of Hong Kong) and any rules made thereunder, or (ii) in other circumstances which do not result in the document being a “prospectus” within the meaning of the Companies Ordinance (Cap. 32 of Hong Kong); and no advertisement, invitation or document relating to the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common stock which are or are intended to be disposed of only to persons outside Hong Kong or only to “professional investors” within the meaning of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WARNING</w:t>
      </w:r>
    </w:p>
    <w:p>
      <w:pPr>
        <w:spacing w:after="0" w:line="10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0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S- 9</w:t>
      </w:r>
    </w:p>
    <w:p>
      <w:pPr>
        <w:sectPr>
          <w:pgSz w:w="11900" w:h="16838" w:orient="portrait"/>
          <w:cols w:equalWidth="0" w:num="1">
            <w:col w:w="11400"/>
          </w:cols>
          <w:pgMar w:left="240" w:top="463" w:right="259" w:bottom="144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 the shares of common stock are subscribed or purchased under Section 275 by a relevant person which is:</w:t>
      </w:r>
    </w:p>
    <w:p>
      <w:pPr>
        <w:spacing w:after="0" w:line="252" w:lineRule="exact"/>
        <w:rPr>
          <w:sz w:val="20"/>
          <w:szCs w:val="20"/>
          <w:color w:val="auto"/>
        </w:rPr>
      </w:pPr>
    </w:p>
    <w:p>
      <w:pPr>
        <w:ind w:left="500" w:right="820" w:hanging="6"/>
        <w:spacing w:after="0" w:line="357" w:lineRule="auto"/>
        <w:tabs>
          <w:tab w:leader="none" w:pos="151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7" w:lineRule="exact"/>
        <w:rPr>
          <w:rFonts w:ascii="Arial" w:cs="Arial" w:eastAsia="Arial" w:hAnsi="Arial"/>
          <w:sz w:val="17"/>
          <w:szCs w:val="17"/>
          <w:color w:val="auto"/>
        </w:rPr>
      </w:pPr>
    </w:p>
    <w:p>
      <w:pPr>
        <w:ind w:left="500" w:right="120" w:hanging="6"/>
        <w:spacing w:after="0" w:line="324"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43"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transferable within 6 months after that corporation or that trust has acquired the shares of common stock pursuant to an offer made under Section 275 except:</w:t>
      </w:r>
    </w:p>
    <w:p>
      <w:pPr>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or (4) as specified in Section 276(7) of the SFA.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South Korea</w:t>
      </w:r>
    </w:p>
    <w:p>
      <w:pPr>
        <w:spacing w:after="0" w:line="10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shares of common stock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shares of common stock have not been registered with the Financial Services Commission of South Korea for public offering in South Korea. Furthermore, the shares of common stock may not be re-sold to South Korean residents unless the purchaser of the shares complies with all applicable regulatory requirements (including but not limited to government approval requirements under the Foreign Exchange Transaction Law and its subordinate decrees and regulations) in connection with their purchase.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Taiwan</w:t>
      </w:r>
    </w:p>
    <w:p>
      <w:pPr>
        <w:spacing w:after="0" w:line="104"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United Arab Emirates</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i w:val="1"/>
          <w:iCs w:val="1"/>
          <w:color w:val="auto"/>
        </w:rPr>
        <w:t>UAE</w:t>
      </w:r>
      <w:r>
        <w:rPr>
          <w:rFonts w:ascii="Arial" w:cs="Arial" w:eastAsia="Arial" w:hAnsi="Arial"/>
          <w:sz w:val="17"/>
          <w:szCs w:val="17"/>
          <w:color w:val="auto"/>
        </w:rPr>
        <w:t>. The offering contemplated hereunder has not been approved or licensed by the Central Bank of the United Arab Emirates (“UAE”),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This offering does not constitute a public offer of shares in the UAE, DIFC and/or any other free zone in accordance with the Commercial Companies Law, Federal Law No. 8 of 1984 (as amended), DFSA Offered Securities Rules and NASDAQ Dubai Listing Rules, or otherwise. The shares of common stock may not be offered to the public in the UAE and/or any of the free zones. 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7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 xml:space="preserve">Dubai International Financial Centre. </w:t>
      </w:r>
      <w:r>
        <w:rPr>
          <w:rFonts w:ascii="Arial" w:cs="Arial" w:eastAsia="Arial" w:hAnsi="Arial"/>
          <w:sz w:val="17"/>
          <w:szCs w:val="17"/>
          <w:color w:val="auto"/>
        </w:rPr>
        <w:t>This document relates to an Exempt Offer in accordance with the Offered Securities Rules of the Dubai</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of common stock to which this document relates may be illiquid and/or subject to restrictions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S- 10</w:t>
      </w:r>
    </w:p>
    <w:p>
      <w:pPr>
        <w:sectPr>
          <w:pgSz w:w="11900" w:h="16838" w:orient="portrait"/>
          <w:cols w:equalWidth="0" w:num="1">
            <w:col w:w="11400"/>
          </w:cols>
          <w:pgMar w:left="240" w:top="463" w:right="25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on their resale. Prospective purchasers of the shares of common stock offered should conduct their own due diligence on the shares. If you do not understand the contents of this document you should consult an authorized financial adviser.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23"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offer in Australia of the shares may only be made to persons, or the Exempt Investors, who are “sophisticated</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investors” (within the meaning of section 708(8) of the Corporations Act), “professional investors” (within the meaning of section 708 (11)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S- 11</w:t>
      </w:r>
    </w:p>
    <w:p>
      <w:pPr>
        <w:sectPr>
          <w:pgSz w:w="11900" w:h="16838" w:orient="portrait"/>
          <w:cols w:equalWidth="0" w:num="1">
            <w:col w:w="11400"/>
          </w:cols>
          <w:pgMar w:left="240" w:top="368" w:right="25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20"/>
          <w:szCs w:val="20"/>
          <w:b w:val="1"/>
          <w:bCs w:val="1"/>
          <w:color w:val="auto"/>
        </w:rPr>
        <w:t>LEGAL MATTERS</w:t>
      </w:r>
    </w:p>
    <w:p>
      <w:pPr>
        <w:spacing w:after="0" w:line="27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Certain legal matters in connection with this offering will be passed upon for us by Skadden, Arps, Slate, Meagher &amp; Flom LLP, New York, New York. Certain legal matters in connection with this offering will be passed upon for the underwriters by Cooley LLP, New York, New York.</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EXPERTS</w:t>
      </w:r>
    </w:p>
    <w:p>
      <w:pPr>
        <w:spacing w:after="0" w:line="2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consolidated financial statements of AGNC Investment Corp. appearing in AGNC Investment Corp.’s Annual Report (Form 10-K) for the year ended December 31, 2017, and the effectiveness of AGNC Investment Corp.’s internal control over financial reporting as of December 31, 2017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WHERE YOU CAN FIND MORE INFORMATION</w:t>
      </w:r>
    </w:p>
    <w:p>
      <w:pPr>
        <w:spacing w:after="0" w:line="2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Our SEC filings are also available to you, free of charge,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obtain additional information by visiting our website at</w:t>
      </w:r>
      <w:r>
        <w:rPr>
          <w:rFonts w:ascii="Arial" w:cs="Arial" w:eastAsia="Arial" w:hAnsi="Arial"/>
          <w:sz w:val="18"/>
          <w:szCs w:val="18"/>
          <w:i w:val="1"/>
          <w:iCs w:val="1"/>
          <w:color w:val="auto"/>
        </w:rPr>
        <w:t xml:space="preserve"> http://www.AGNC.com</w:t>
      </w:r>
      <w:r>
        <w:rPr>
          <w:rFonts w:ascii="Arial" w:cs="Arial" w:eastAsia="Arial" w:hAnsi="Arial"/>
          <w:sz w:val="18"/>
          <w:szCs w:val="18"/>
          <w:color w:val="auto"/>
        </w:rPr>
        <w:t>. The information found on,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accessible through, our website is not incorporated into, and does not form a part of this prospectus supplement or any other report or document we file with or furnish to the SEC.</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INCORPORATION OF CERTAIN DOCUMENTS BY REFERENCE</w:t>
      </w:r>
    </w:p>
    <w:p>
      <w:pPr>
        <w:spacing w:after="0" w:line="2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 allows us to “incorporate by reference” information into this prospectus supplement which has been previously filed, which means that we can disclose important information to you by referring you to another document filed separately with the SEC. The information incorporated by reference is deemed to be part of this prospectus supplement, except for any information superseded by information included or incorporated by reference in this prospectus supplement. We have filed the documents listed below with the SEC (File No. 001-34057) under the Exchange Act and these documents are incorporated herein by reference:</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February 26, 2018;</w:t>
      </w:r>
    </w:p>
    <w:p>
      <w:pPr>
        <w:spacing w:after="0" w:line="23"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 ended March 31, 2018, filed on May 7, 2018, for the quarter ended June 30, 2018, filed on August 6, 2018 and for the quarter ended September 30, 2018, filed on November 5, 2018;</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on April 20, 2018, May 29, 2018, June 14, 2018, and August 3, 2018;</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2017 from our Definitive Proxy Statement on Schedule 14A and filed with the SEC on March 9, 2018; and</w:t>
      </w:r>
    </w:p>
    <w:p>
      <w:pPr>
        <w:ind w:left="660" w:right="1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May 9, 2008, and any amendment or report filed for the purpose of updating such description.</w:t>
      </w:r>
    </w:p>
    <w:p>
      <w:pPr>
        <w:spacing w:after="0" w:line="18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All documents that we file (but not those that we furnish) with the SEC pursuant to Sections 13(a), 13(c), 14 or 15(d) of the Exchange Act after the date of this prospectus supplement and prior to the termination of the offering of shares hereby will be deemed to be incorporated by reference into this prospectus supplement and will automatically update and supersede the information in this prospectus supplement and any previously filed document.</w:t>
      </w:r>
    </w:p>
    <w:p>
      <w:pPr>
        <w:spacing w:after="0" w:line="14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herein); we will provide this information at no cost to the requester upon written or oral request to AGNC Investment Corp., 2 Bethesda Metro Center, 12th Floor, Bethesda, Maryland 20814, telephone number (301) 968-9300.</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S- 12</w:t>
      </w:r>
    </w:p>
    <w:p>
      <w:pPr>
        <w:sectPr>
          <w:pgSz w:w="11900" w:h="16838" w:orient="portrait"/>
          <w:cols w:equalWidth="0" w:num="1">
            <w:col w:w="11340"/>
          </w:cols>
          <w:pgMar w:left="240" w:top="630"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102870</wp:posOffset>
            </wp:positionV>
            <wp:extent cx="3679190" cy="1106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91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Depositary Shares</w:t>
      </w:r>
    </w:p>
    <w:p>
      <w:pPr>
        <w:spacing w:after="0" w:line="276" w:lineRule="exact"/>
        <w:rPr>
          <w:sz w:val="20"/>
          <w:szCs w:val="20"/>
          <w:color w:val="auto"/>
        </w:rPr>
      </w:pPr>
    </w:p>
    <w:p>
      <w:pPr>
        <w:ind w:left="80" w:right="60" w:firstLine="432"/>
        <w:spacing w:after="0" w:line="257" w:lineRule="auto"/>
        <w:rPr>
          <w:sz w:val="20"/>
          <w:szCs w:val="20"/>
          <w:color w:val="auto"/>
        </w:rPr>
      </w:pPr>
      <w:r>
        <w:rPr>
          <w:rFonts w:ascii="Arial" w:cs="Arial" w:eastAsia="Arial" w:hAnsi="Arial"/>
          <w:sz w:val="18"/>
          <w:szCs w:val="18"/>
          <w:color w:val="auto"/>
        </w:rPr>
        <w:t>By this prospectus, we may offer, from time to time, shares of our common stock, preferred stock, debt securities and depositary shares in one or more offerings (together, the “Securities”). The Securities may be offered separately or together in amounts and at prices and on terms to be disclosed in one or more supplements to this prospectus. We may describe the terms of these offerings in a term sheet that will precede the prospectus supplement. You should read this prospectus and any supplement or term sheet carefully before you decide to invest. This prospectus may not be used to consummate sales of any Securities unless it is accompanied by a prospectus supplement.</w:t>
      </w:r>
    </w:p>
    <w:p>
      <w:pPr>
        <w:spacing w:after="0" w:line="107" w:lineRule="exact"/>
        <w:rPr>
          <w:sz w:val="20"/>
          <w:szCs w:val="20"/>
          <w:color w:val="auto"/>
        </w:rPr>
      </w:pPr>
    </w:p>
    <w:p>
      <w:pPr>
        <w:ind w:left="80" w:right="80" w:firstLine="432"/>
        <w:spacing w:after="0" w:line="219" w:lineRule="auto"/>
        <w:rPr>
          <w:sz w:val="20"/>
          <w:szCs w:val="20"/>
          <w:color w:val="auto"/>
        </w:rPr>
      </w:pPr>
      <w:r>
        <w:rPr>
          <w:rFonts w:ascii="Arial" w:cs="Arial" w:eastAsia="Arial" w:hAnsi="Arial"/>
          <w:sz w:val="18"/>
          <w:szCs w:val="18"/>
          <w:color w:val="auto"/>
        </w:rPr>
        <w:t>Our common stock is listed on The Nasdaq Global Select Market under the symbol “AGNC,” our depositary shares, each representing a 1/1,000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interest in a share of our 7.750% Series B Cumulative Redeemable Preferred Stock, are listed on The Nasdaq Global Select Market under the symbol “AGNCB,” and our depositary shares, each representing a 1/1,000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interest in a share of our 7.00% Series C Fixed-to-Floating Rate Cumulative Redeemable Preferred Stock, are listed on The Nasdaq Global Select Market under the symbol “AGNCN.” As of June 13, 2018, the last reported sales price for our common stock was $18.78 per share.</w:t>
      </w:r>
    </w:p>
    <w:p>
      <w:pPr>
        <w:spacing w:after="0" w:line="124" w:lineRule="exact"/>
        <w:rPr>
          <w:sz w:val="20"/>
          <w:szCs w:val="20"/>
          <w:color w:val="auto"/>
        </w:rPr>
      </w:pPr>
    </w:p>
    <w:p>
      <w:pPr>
        <w:ind w:left="80" w:right="80" w:firstLine="432"/>
        <w:spacing w:after="0" w:line="264" w:lineRule="auto"/>
        <w:rPr>
          <w:sz w:val="20"/>
          <w:szCs w:val="20"/>
          <w:color w:val="auto"/>
        </w:rPr>
      </w:pPr>
      <w:r>
        <w:rPr>
          <w:rFonts w:ascii="Arial" w:cs="Arial" w:eastAsia="Arial" w:hAnsi="Arial"/>
          <w:sz w:val="18"/>
          <w:szCs w:val="18"/>
          <w:color w:val="auto"/>
        </w:rPr>
        <w:t>Our Amended and Restated Certificate of Incorporation (our “Charter”), contains certain restrictions relating to the ownership and transfer of both our common stock and our capital stock, including a 9.8% ownership limit. These ownership limitations are intended to assist us in qualifying and maintaining our qualifications as a real estate investment trust.</w:t>
      </w:r>
    </w:p>
    <w:p>
      <w:pPr>
        <w:spacing w:after="0" w:line="222" w:lineRule="exact"/>
        <w:rPr>
          <w:sz w:val="20"/>
          <w:szCs w:val="20"/>
          <w:color w:val="auto"/>
        </w:rPr>
      </w:pPr>
    </w:p>
    <w:p>
      <w:pPr>
        <w:ind w:left="80" w:right="140" w:firstLine="392"/>
        <w:spacing w:after="0" w:line="249" w:lineRule="auto"/>
        <w:rPr>
          <w:sz w:val="20"/>
          <w:szCs w:val="20"/>
          <w:color w:val="auto"/>
        </w:rPr>
      </w:pPr>
      <w:r>
        <w:rPr>
          <w:rFonts w:ascii="Arial" w:cs="Arial" w:eastAsia="Arial" w:hAnsi="Arial"/>
          <w:sz w:val="22"/>
          <w:szCs w:val="22"/>
          <w:b w:val="1"/>
          <w:bCs w:val="1"/>
          <w:color w:val="auto"/>
        </w:rPr>
        <w:t>Investing in our Securities involves a high degree of risk. You should consider carefully these risks together with all of the other information contained in this prospectus and any prospectus supplement before making a decision to purchase our Securities. See the sections entitled “Risk Factors” on page 1 of this prospectus and in our latest Annual Report on Form 10-K and any subsequent Quarterly Reports on Form 10-Q or other periodic reports filed by us updating such disclosure.</w:t>
      </w:r>
    </w:p>
    <w:p>
      <w:pPr>
        <w:spacing w:after="0" w:line="227" w:lineRule="exact"/>
        <w:rPr>
          <w:sz w:val="20"/>
          <w:szCs w:val="20"/>
          <w:color w:val="auto"/>
        </w:rPr>
      </w:pPr>
    </w:p>
    <w:p>
      <w:pPr>
        <w:ind w:left="80" w:right="100" w:firstLine="392"/>
        <w:spacing w:after="0" w:line="302" w:lineRule="auto"/>
        <w:rPr>
          <w:sz w:val="20"/>
          <w:szCs w:val="20"/>
          <w:color w:val="auto"/>
        </w:rPr>
      </w:pPr>
      <w:r>
        <w:rPr>
          <w:rFonts w:ascii="Arial" w:cs="Arial" w:eastAsia="Arial" w:hAnsi="Arial"/>
          <w:sz w:val="16"/>
          <w:szCs w:val="16"/>
          <w:color w:val="auto"/>
        </w:rPr>
        <w:t>The Securities may be sold directly by us, through agents designated from time to time, or to or through underwriters or dealers. For additional information on the methods of sale, you should refer to the section in this prospectus entitled “Plan of Distribution.” If any underwriters are involved in the sale of any Securities with respect to which this prospectus is being delivered, the names of such underwriters and any applicable commissions or discounts will be set forth in the prospectus supplement. The net proceeds that we expect to receive from such sale will also be set forth in the prospectus supplement.</w:t>
      </w:r>
    </w:p>
    <w:p>
      <w:pPr>
        <w:spacing w:after="0" w:line="69" w:lineRule="exact"/>
        <w:rPr>
          <w:sz w:val="20"/>
          <w:szCs w:val="20"/>
          <w:color w:val="auto"/>
        </w:rPr>
      </w:pPr>
    </w:p>
    <w:p>
      <w:pPr>
        <w:ind w:left="80" w:firstLine="432"/>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June 14, 2018.</w:t>
      </w:r>
    </w:p>
    <w:p>
      <w:pPr>
        <w:sectPr>
          <w:pgSz w:w="11900" w:h="16838" w:orient="portrait"/>
          <w:cols w:equalWidth="0" w:num="1">
            <w:col w:w="11420"/>
          </w:cols>
          <w:pgMar w:left="240" w:top="580"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Page</w:t>
            </w:r>
          </w:p>
        </w:tc>
      </w:tr>
      <w:tr>
        <w:trPr>
          <w:trHeight w:val="196"/>
        </w:trPr>
        <w:tc>
          <w:tcPr>
            <w:tcW w:w="218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20">
              <w:r>
                <w:rPr>
                  <w:rFonts w:ascii="Arial" w:cs="Arial" w:eastAsia="Arial" w:hAnsi="Arial"/>
                  <w:sz w:val="18"/>
                  <w:szCs w:val="18"/>
                  <w:color w:val="0000FF"/>
                </w:rPr>
                <w:t>About this Prospectus</w:t>
              </w:r>
            </w:hyperlink>
          </w:p>
        </w:tc>
        <w:tc>
          <w:tcPr>
            <w:tcW w:w="7260" w:type="dxa"/>
            <w:vAlign w:val="bottom"/>
            <w:gridSpan w:val="6"/>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line="170" w:lineRule="exact"/>
              <w:rPr>
                <w:rFonts w:ascii="Arial" w:cs="Arial" w:eastAsia="Arial" w:hAnsi="Arial"/>
                <w:sz w:val="18"/>
                <w:szCs w:val="18"/>
                <w:color w:val="0000FF"/>
                <w:w w:val="99"/>
              </w:rPr>
            </w:pPr>
            <w:hyperlink w:anchor="page20">
              <w:r>
                <w:rPr>
                  <w:rFonts w:ascii="Arial" w:cs="Arial" w:eastAsia="Arial" w:hAnsi="Arial"/>
                  <w:sz w:val="18"/>
                  <w:szCs w:val="18"/>
                  <w:color w:val="0000FF"/>
                  <w:w w:val="99"/>
                </w:rPr>
                <w:t>ii</w:t>
              </w:r>
            </w:hyperlink>
          </w:p>
        </w:tc>
        <w:tc>
          <w:tcPr>
            <w:tcW w:w="20" w:type="dxa"/>
            <w:vAlign w:val="bottom"/>
          </w:tcPr>
          <w:p>
            <w:pPr>
              <w:spacing w:after="0"/>
              <w:rPr>
                <w:sz w:val="17"/>
                <w:szCs w:val="17"/>
                <w:color w:val="auto"/>
              </w:rPr>
            </w:pPr>
          </w:p>
        </w:tc>
      </w:tr>
      <w:tr>
        <w:trPr>
          <w:trHeight w:val="257"/>
        </w:trPr>
        <w:tc>
          <w:tcPr>
            <w:tcW w:w="1000" w:type="dxa"/>
            <w:vAlign w:val="bottom"/>
            <w:gridSpan w:val="3"/>
          </w:tcPr>
          <w:p>
            <w:pPr>
              <w:spacing w:after="0"/>
              <w:rPr>
                <w:rFonts w:ascii="Arial" w:cs="Arial" w:eastAsia="Arial" w:hAnsi="Arial"/>
                <w:sz w:val="18"/>
                <w:szCs w:val="18"/>
                <w:color w:val="0000FF"/>
                <w:w w:val="84"/>
              </w:rPr>
            </w:pPr>
            <w:hyperlink w:anchor="page21">
              <w:r>
                <w:rPr>
                  <w:rFonts w:ascii="Arial" w:cs="Arial" w:eastAsia="Arial" w:hAnsi="Arial"/>
                  <w:sz w:val="18"/>
                  <w:szCs w:val="18"/>
                  <w:color w:val="0000FF"/>
                  <w:w w:val="84"/>
                </w:rPr>
                <w:t>The Company</w:t>
              </w:r>
            </w:hyperlink>
          </w:p>
        </w:tc>
        <w:tc>
          <w:tcPr>
            <w:tcW w:w="8440" w:type="dxa"/>
            <w:vAlign w:val="bottom"/>
            <w:gridSpan w:val="10"/>
          </w:tcPr>
          <w:p>
            <w:pPr>
              <w:spacing w:after="0"/>
              <w:rPr>
                <w:sz w:val="22"/>
                <w:szCs w:val="22"/>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2"/>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Risk Factors</w:t>
              </w:r>
            </w:hyperlink>
          </w:p>
        </w:tc>
        <w:tc>
          <w:tcPr>
            <w:tcW w:w="100" w:type="dxa"/>
            <w:vAlign w:val="bottom"/>
          </w:tcPr>
          <w:p>
            <w:pPr>
              <w:spacing w:after="0"/>
              <w:rPr>
                <w:sz w:val="21"/>
                <w:szCs w:val="21"/>
                <w:color w:val="auto"/>
              </w:rPr>
            </w:pPr>
          </w:p>
        </w:tc>
        <w:tc>
          <w:tcPr>
            <w:tcW w:w="8440" w:type="dxa"/>
            <w:vAlign w:val="bottom"/>
            <w:gridSpan w:val="10"/>
          </w:tcPr>
          <w:p>
            <w:pPr>
              <w:spacing w:after="0"/>
              <w:rPr>
                <w:sz w:val="21"/>
                <w:szCs w:val="21"/>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1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Use of Proceeds</w:t>
              </w:r>
            </w:hyperlink>
          </w:p>
        </w:tc>
        <w:tc>
          <w:tcPr>
            <w:tcW w:w="1940" w:type="dxa"/>
            <w:vAlign w:val="bottom"/>
            <w:gridSpan w:val="5"/>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560" w:type="dxa"/>
            <w:vAlign w:val="bottom"/>
            <w:gridSpan w:val="1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Ratios of Earnings to Fixed Charges and Ratio of Earnings to Combined Fixed Charges and Preferred Stock Dividends</w:t>
              </w:r>
            </w:hyperlink>
          </w:p>
        </w:tc>
        <w:tc>
          <w:tcPr>
            <w:tcW w:w="880" w:type="dxa"/>
            <w:vAlign w:val="bottom"/>
          </w:tcPr>
          <w:p>
            <w:pPr>
              <w:spacing w:after="0"/>
              <w:rPr>
                <w:sz w:val="21"/>
                <w:szCs w:val="21"/>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560" w:type="dxa"/>
            <w:vAlign w:val="bottom"/>
            <w:gridSpan w:val="1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Plan of Distribution</w:t>
              </w:r>
            </w:hyperlink>
          </w:p>
        </w:tc>
        <w:tc>
          <w:tcPr>
            <w:tcW w:w="880" w:type="dxa"/>
            <w:vAlign w:val="bottom"/>
          </w:tcPr>
          <w:p>
            <w:pPr>
              <w:spacing w:after="0"/>
              <w:rPr>
                <w:sz w:val="21"/>
                <w:szCs w:val="21"/>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1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Description of Equity Securities</w:t>
              </w:r>
            </w:hyperlink>
          </w:p>
        </w:tc>
        <w:tc>
          <w:tcPr>
            <w:tcW w:w="1940" w:type="dxa"/>
            <w:vAlign w:val="bottom"/>
            <w:gridSpan w:val="5"/>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Description of Debt Securities</w:t>
              </w:r>
            </w:hyperlink>
          </w:p>
        </w:tc>
        <w:tc>
          <w:tcPr>
            <w:tcW w:w="120" w:type="dxa"/>
            <w:vAlign w:val="bottom"/>
          </w:tcPr>
          <w:p>
            <w:pPr>
              <w:spacing w:after="0"/>
              <w:rPr>
                <w:sz w:val="21"/>
                <w:szCs w:val="21"/>
                <w:color w:val="auto"/>
              </w:rPr>
            </w:pPr>
          </w:p>
        </w:tc>
        <w:tc>
          <w:tcPr>
            <w:tcW w:w="7140" w:type="dxa"/>
            <w:vAlign w:val="bottom"/>
            <w:gridSpan w:val="5"/>
          </w:tcPr>
          <w:p>
            <w:pPr>
              <w:spacing w:after="0"/>
              <w:rPr>
                <w:sz w:val="21"/>
                <w:szCs w:val="21"/>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13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1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Description of Depositary Shares</w:t>
              </w:r>
            </w:hyperlink>
          </w:p>
        </w:tc>
        <w:tc>
          <w:tcPr>
            <w:tcW w:w="1940" w:type="dxa"/>
            <w:vAlign w:val="bottom"/>
            <w:gridSpan w:val="5"/>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18</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U.S. Federal Income Tax Considerations</w:t>
              </w:r>
            </w:hyperlink>
          </w:p>
        </w:tc>
        <w:tc>
          <w:tcPr>
            <w:tcW w:w="1940" w:type="dxa"/>
            <w:vAlign w:val="bottom"/>
            <w:gridSpan w:val="5"/>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21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tcBorders>
              <w:left w:val="single" w:sz="8" w:color="0000FF"/>
            </w:tcBorders>
            <w:gridSpan w:val="7"/>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gridSpan w:val="3"/>
          </w:tcPr>
          <w:p>
            <w:pPr>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Legal Matters</w:t>
              </w:r>
            </w:hyperlink>
          </w:p>
        </w:tc>
        <w:tc>
          <w:tcPr>
            <w:tcW w:w="1860" w:type="dxa"/>
            <w:vAlign w:val="bottom"/>
            <w:gridSpan w:val="7"/>
          </w:tcPr>
          <w:p>
            <w:pPr>
              <w:spacing w:after="0"/>
              <w:rPr>
                <w:sz w:val="21"/>
                <w:szCs w:val="21"/>
                <w:color w:val="auto"/>
              </w:rPr>
            </w:pPr>
          </w:p>
        </w:tc>
        <w:tc>
          <w:tcPr>
            <w:tcW w:w="6580" w:type="dxa"/>
            <w:vAlign w:val="bottom"/>
            <w:gridSpan w:val="3"/>
          </w:tcPr>
          <w:p>
            <w:pPr>
              <w:spacing w:after="0"/>
              <w:rPr>
                <w:sz w:val="21"/>
                <w:szCs w:val="21"/>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gridSpan w:val="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Experts</w:t>
              </w:r>
            </w:hyperlink>
          </w:p>
        </w:tc>
        <w:tc>
          <w:tcPr>
            <w:tcW w:w="8440" w:type="dxa"/>
            <w:vAlign w:val="bottom"/>
            <w:gridSpan w:val="10"/>
          </w:tcPr>
          <w:p>
            <w:pPr>
              <w:spacing w:after="0"/>
              <w:rPr>
                <w:sz w:val="21"/>
                <w:szCs w:val="21"/>
                <w:color w:val="auto"/>
              </w:rPr>
            </w:pPr>
          </w:p>
        </w:tc>
        <w:tc>
          <w:tcPr>
            <w:tcW w:w="194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1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Where You Can Find More Information</w:t>
              </w:r>
            </w:hyperlink>
          </w:p>
        </w:tc>
        <w:tc>
          <w:tcPr>
            <w:tcW w:w="194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37</w:t>
              </w:r>
            </w:hyperlink>
          </w:p>
        </w:tc>
      </w:tr>
      <w:tr>
        <w:trPr>
          <w:trHeight w:val="20"/>
        </w:trPr>
        <w:tc>
          <w:tcPr>
            <w:tcW w:w="2860" w:type="dxa"/>
            <w:vAlign w:val="bottom"/>
            <w:gridSpan w:val="10"/>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1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Incorporation of Certain Documents by Reference</w:t>
              </w:r>
            </w:hyperlink>
          </w:p>
        </w:tc>
        <w:tc>
          <w:tcPr>
            <w:tcW w:w="1940" w:type="dxa"/>
            <w:vAlign w:val="bottom"/>
            <w:gridSpan w:val="5"/>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580" w:right="239" w:bottom="1440" w:gutter="0" w:footer="0" w:header="0"/>
        </w:sectPr>
      </w:pPr>
    </w:p>
    <w:bookmarkStart w:id="19" w:name="page20"/>
    <w:bookmarkEnd w:id="19"/>
    <w:p>
      <w:pPr>
        <w:jc w:val="center"/>
        <w:ind w:right="60"/>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using a “shelf” registration process. Under this shelf registration process, we may sell any combination of the Securities in one or more offerings. This prospectus provides you with a general description of the Securities that we may offer. Each time that we sell Securities under this shelf registration statement, we will provide a prospectus supplement that will contain specific information about the terms of that offering. The prospectus supplement may also add, update or change information contained in this prospectus. This prospectus, together with applicable prospectus supplements, includes or incorporates by reference all material information relating to this offering. Please read carefully both this prospectus and any prospectus supplement together with the additional information described below under “Where You Can Get More Information.”</w:t>
      </w:r>
    </w:p>
    <w:p>
      <w:pPr>
        <w:spacing w:after="0" w:line="12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Except where the context suggests otherwise, in this prospectus “we,” “us,” “our,” “AGNC” and “the Company” refer to AGNC Investment Corp., a Delaware corporation, and its subsidiaries.</w:t>
      </w:r>
    </w:p>
    <w:p>
      <w:pPr>
        <w:spacing w:after="0" w:line="116"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b w:val="1"/>
          <w:bCs w:val="1"/>
          <w:i w:val="1"/>
          <w:iCs w:val="1"/>
          <w:color w:val="auto"/>
        </w:rPr>
        <w:t>You should rely only on the information contained or incorporated by reference in this prospectus, any applicable prospectus supplement and any free writing prospectus prepared by us. We have not authorized anyone to provide you with different or additional information. This prospectus, any applicable prospectus supplement and any free writing prospectus prepared by us does not constitute an offer to sell, or a solicitation of an offer to purchase, the Securities offered by such documents in any jurisdiction to or from any person to whom or from whom it is unlawful to make such offer or solicitation of an offer in such jurisdiction. You should not assume that the information contained or incorporated by reference in this prospectus, any prospectus supplement or any free writing prospectus prepared by us is accurate as of any date other than the date on the front cover of such documents. Our business, financial condition, liquidity, results of operations and prospects may have changed since those dates.</w:t>
      </w:r>
    </w:p>
    <w:p>
      <w:pPr>
        <w:spacing w:after="0" w:line="11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b w:val="1"/>
          <w:bCs w:val="1"/>
          <w:i w:val="1"/>
          <w:iCs w:val="1"/>
          <w:color w:val="auto"/>
        </w:rPr>
        <w:t>This prospectus contains, and any applicable prospectus supplement may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or incorporated by reference as exhibits to the registration statement of which this prospectus is a part and you may obtain copies of those documents as described below under “Where You Can Find More Information</w:t>
      </w:r>
      <w:r>
        <w:rPr>
          <w:rFonts w:ascii="Arial" w:cs="Arial" w:eastAsia="Arial" w:hAnsi="Arial"/>
          <w:sz w:val="18"/>
          <w:szCs w:val="18"/>
          <w:b w:val="1"/>
          <w:bCs w:val="1"/>
          <w:color w:val="auto"/>
        </w:rPr>
        <w:t>.”</w:t>
      </w:r>
    </w:p>
    <w:p>
      <w:pPr>
        <w:spacing w:after="0" w:line="134"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b w:val="1"/>
          <w:bCs w:val="1"/>
          <w:i w:val="1"/>
          <w:iCs w:val="1"/>
          <w:color w:val="auto"/>
        </w:rPr>
        <w:t>Information contained or incorporated by reference in this prospectus or prospectus summary may contain “forward- looking statements” within the meaning of the Private Securities Litigation Reform Act of 1995, which can be identified by the use of forward-looking terminology such as “may,” “will,” “expect,” “intend,” “plans,” “anticipate,” “estimate” or “continue” or the negative thereof or other variations thereon or comparable terminology. The matters described throughout this prospectus and in any exhibits to the registration statement of which this prospectus is a part, constitute cautionary statements identifying important factors with respect to any such forward-looking statements, including certain risks and uncertainties, that could cause actual results to differ materially from those in such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320" w:top="580"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Delaware corporation formed on January 7, 2008. We commenced operations on May 20, 2008 upon completion of our initial public offering. We operate so as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93" w:lineRule="exact"/>
        <w:rPr>
          <w:sz w:val="20"/>
          <w:szCs w:val="20"/>
          <w:color w:val="auto"/>
        </w:rPr>
      </w:pPr>
    </w:p>
    <w:p>
      <w:pPr>
        <w:ind w:left="80" w:right="20" w:firstLine="648"/>
        <w:spacing w:after="0" w:line="273"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w:t>
      </w:r>
    </w:p>
    <w:p>
      <w:pPr>
        <w:spacing w:after="0" w:line="178" w:lineRule="exact"/>
        <w:rPr>
          <w:sz w:val="20"/>
          <w:szCs w:val="20"/>
          <w:color w:val="auto"/>
        </w:rPr>
      </w:pPr>
    </w:p>
    <w:p>
      <w:pPr>
        <w:ind w:left="80" w:firstLine="648"/>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147" w:lineRule="exact"/>
        <w:rPr>
          <w:sz w:val="20"/>
          <w:szCs w:val="20"/>
          <w:color w:val="auto"/>
        </w:rPr>
      </w:pPr>
    </w:p>
    <w:p>
      <w:pPr>
        <w:ind w:left="80" w:right="100" w:firstLine="648"/>
        <w:spacing w:after="0" w:line="286" w:lineRule="auto"/>
        <w:rPr>
          <w:sz w:val="20"/>
          <w:szCs w:val="20"/>
          <w:color w:val="auto"/>
        </w:rPr>
      </w:pPr>
      <w:r>
        <w:rPr>
          <w:rFonts w:ascii="Arial" w:cs="Arial" w:eastAsia="Arial" w:hAnsi="Arial"/>
          <w:sz w:val="17"/>
          <w:szCs w:val="17"/>
          <w:color w:val="auto"/>
        </w:rPr>
        <w:t xml:space="preserve">Our principal place of business is located at 2 Bethesda Metro Center, 14th Floor, Bethesda, Maryland 20814, and our telephone number is (301) 968-9300. We maintain a website that can be accessed at </w:t>
      </w:r>
      <w:r>
        <w:rPr>
          <w:rFonts w:ascii="Arial" w:cs="Arial" w:eastAsia="Arial" w:hAnsi="Arial"/>
          <w:sz w:val="17"/>
          <w:szCs w:val="17"/>
          <w:i w:val="1"/>
          <w:iCs w:val="1"/>
          <w:color w:val="auto"/>
        </w:rPr>
        <w:t>http://www.AGNC.com</w:t>
      </w:r>
      <w:r>
        <w:rPr>
          <w:rFonts w:ascii="Arial" w:cs="Arial" w:eastAsia="Arial" w:hAnsi="Arial"/>
          <w:sz w:val="17"/>
          <w:szCs w:val="17"/>
          <w:color w:val="auto"/>
        </w:rPr>
        <w:t>. The information found on, or otherwise accessible through, our website is not incorporated into, and does not form a part of, this prospectus or any other report or document we file with or furnish to SEC.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left="80" w:right="20" w:firstLine="432"/>
        <w:spacing w:after="0" w:line="279" w:lineRule="auto"/>
        <w:rPr>
          <w:sz w:val="20"/>
          <w:szCs w:val="20"/>
          <w:color w:val="auto"/>
        </w:rPr>
      </w:pPr>
      <w:r>
        <w:rPr>
          <w:rFonts w:ascii="Arial" w:cs="Arial" w:eastAsia="Arial" w:hAnsi="Arial"/>
          <w:sz w:val="17"/>
          <w:szCs w:val="17"/>
          <w:color w:val="auto"/>
        </w:rPr>
        <w:t>Investing in our Securities involves a high degree of risk. You should consider carefully the risks described under “Risk Factors” in our most recent Annual Report on Form 10-K and any subsequent Quarterly Reports on Form 10-Q (which descriptions are incorporated by reference herein), as well as the other information contained or incorporated by reference in this prospectus or in any prospectus supplement hereto before making a decision to invest in our Securities. Please also see the section entitled “Where You Can Find More Information” below.</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80" w:right="20" w:firstLine="432"/>
        <w:spacing w:after="0" w:line="293" w:lineRule="auto"/>
        <w:rPr>
          <w:sz w:val="20"/>
          <w:szCs w:val="20"/>
          <w:color w:val="auto"/>
        </w:rPr>
      </w:pPr>
      <w:r>
        <w:rPr>
          <w:rFonts w:ascii="Arial" w:cs="Arial" w:eastAsia="Arial" w:hAnsi="Arial"/>
          <w:sz w:val="16"/>
          <w:szCs w:val="16"/>
          <w:color w:val="auto"/>
        </w:rPr>
        <w:t>Unless otherwise specified in a prospectus supplement accompanying this prospectus, we intend to use the net proceeds from our sale of the Securities offered by this prospectus and the related prospectus supplement to finance the acquisition of agency securities, non-agency securities (including credit risk transfer securities), other mortgage-related assets and hedging instruments and for other general corporate purposes. Pending this utilization, we may temporarily invest the net proceeds in readily marketable, short-term, investment-grade, interest-bearing investments, including money market accounts, which are consistent with maintaining our qualification as a REIT. Such temporary investments would be expected to provide a lower net return than we hope to achieve from our targeted investments in agency securities, non-agency securities, and other mortgage- related assets.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0" w:right="279" w:bottom="1440" w:gutter="0" w:footer="0" w:header="0"/>
        </w:sectPr>
      </w:pPr>
    </w:p>
    <w:bookmarkStart w:id="21" w:name="page22"/>
    <w:bookmarkEnd w:id="21"/>
    <w:p>
      <w:pPr>
        <w:jc w:val="center"/>
        <w:ind w:left="300"/>
        <w:spacing w:after="0" w:line="282" w:lineRule="auto"/>
        <w:rPr>
          <w:sz w:val="20"/>
          <w:szCs w:val="20"/>
          <w:color w:val="auto"/>
        </w:rPr>
      </w:pPr>
      <w:r>
        <w:rPr>
          <w:rFonts w:ascii="Arial" w:cs="Arial" w:eastAsia="Arial" w:hAnsi="Arial"/>
          <w:sz w:val="18"/>
          <w:szCs w:val="18"/>
          <w:b w:val="1"/>
          <w:bCs w:val="1"/>
          <w:color w:val="auto"/>
        </w:rPr>
        <w:t>RATIOS OF EARNINGS TO FIXED CHARGES AND RATIO OF EARNINGS TO COMBINED FIXED CHARGES AND PREFERRED STOCK DIVIDENDS</w:t>
      </w:r>
    </w:p>
    <w:p>
      <w:pPr>
        <w:spacing w:after="0" w:line="11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sets forth our ratio of earnings to fixed charges and our ratio of earnings to combined fixed charges and preferred stock dividends for each of the periods shown:</w:t>
      </w:r>
    </w:p>
    <w:p>
      <w:pPr>
        <w:spacing w:after="0" w:line="306" w:lineRule="exact"/>
        <w:rPr>
          <w:sz w:val="20"/>
          <w:szCs w:val="20"/>
          <w:color w:val="auto"/>
        </w:rPr>
      </w:pPr>
    </w:p>
    <w:tbl>
      <w:tblPr>
        <w:tblLayout w:type="fixed"/>
        <w:tblInd w:w="178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vMerge w:val="restart"/>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months ended</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20" w:type="dxa"/>
            <w:vAlign w:val="bottom"/>
            <w:gridSpan w:val="6"/>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2018</w:t>
            </w: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73"/>
        </w:trPr>
        <w:tc>
          <w:tcPr>
            <w:tcW w:w="246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Ratio of earnings to combined</w:t>
            </w: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80"/>
              <w:spacing w:after="0"/>
              <w:rPr>
                <w:sz w:val="20"/>
                <w:szCs w:val="20"/>
                <w:color w:val="auto"/>
              </w:rPr>
            </w:pPr>
            <w:r>
              <w:rPr>
                <w:rFonts w:ascii="Arial" w:cs="Arial" w:eastAsia="Arial" w:hAnsi="Arial"/>
                <w:sz w:val="16"/>
                <w:szCs w:val="16"/>
                <w:color w:val="auto"/>
              </w:rPr>
              <w:t>fixed charges and preferred</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color w:val="auto"/>
              </w:rPr>
              <w:t>stock dividends</w:t>
            </w: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For purposes of computing the ratio of earnings to fixed charges, earnings represent net income plus fixed charges. For purposes of computing the ratio of earnings to combined fixed charges and preferred stock dividends, earnings represent net income plus fixed charges and preferred stock dividends (where applicable). Fixed charges include interest expense, a portion of rent expense and preferred stock dividend expense.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04" w:right="299"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18"/>
          <w:szCs w:val="18"/>
          <w:b w:val="1"/>
          <w:bCs w:val="1"/>
          <w:color w:val="auto"/>
        </w:rPr>
        <w:t>PLAN OF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our Securities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sell the Securities separately or together:</w:t>
      </w:r>
    </w:p>
    <w:p>
      <w:pPr>
        <w:spacing w:after="0" w:line="117" w:lineRule="exact"/>
        <w:rPr>
          <w:sz w:val="20"/>
          <w:szCs w:val="20"/>
          <w:color w:val="auto"/>
        </w:rPr>
      </w:pPr>
    </w:p>
    <w:p>
      <w:pPr>
        <w:ind w:left="660" w:hanging="32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one or more underwriters or dealers in a public offering and sale by them;</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may sell the Securities offered pursuant to this prospectus and any accompanying prospectus supplements to or through one or more underwriters or dealers or we may sell the Securities to investors directly or through agents. Each prospectus supplement, to the extent applicable, will describe the number and terms of the Securities to which such prospectus supplement relates, the name or names of any underwriters or agents with whom we have entered into arrangements with respect to the sale of such Securities, the public offering or purchase price of such Securities and the net proceeds we will receive from such sale. Any underwriter or agent involved in the offer and sale of the Securities will be named in the applicable prospectus supplement. We may sell Securities directly to investors on our own behalf in those jurisdictions where we are authorized to do so.</w:t>
      </w:r>
    </w:p>
    <w:p>
      <w:pPr>
        <w:spacing w:after="0" w:line="11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Underwriters may offer and sell the Securities at a fixed price or prices, which may be changed from time to time, at market prices prevailing at the time of sale, at prices related to the prevailing market prices or at negotiated prices. We also may, from time to time, authorize dealers or agents to offer and sell these Securities upon such terms and conditions as may be set forth in the applicable prospectus supplement. In connection with the sale of any of these Securities, underwriters may receive compensation from us in the form of underwriting discounts or commissions and may also receive commissions from purchasers of the Securities for whom they may act as agent. Underwriters may sell the Securities to or through dealers, and such dealers may receive compensation in the form of discounts, concessions or commissions from the underwriters or commissions from the purchasers for which they may act as agents.</w:t>
      </w:r>
    </w:p>
    <w:p>
      <w:pPr>
        <w:spacing w:after="0" w:line="13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Securities may also be sold in one or more of the following transactions: (a) block transactions (which may involve crosses) in which a broker-dealer may sell all or a portion of the Securities as agent but may position and resell all or a portion of the block as principal to facilitate the transaction; (b) purchases by a broker-dealer as principal and resale by the broker- dealer for its own account pursuant to a prospectus supplement; (c) a special offering, an exchange distribution or a secondary distribution in accordance with applicable Nasdaq Stock Market or other stock exchange rules; (d) ordinary brokerage transactions and transactions in which a broker-dealer solicits purchasers; (e) sales “at the market” to or through one or more market makers or into an existing trading market, on an exchange or otherwise, for Securities; and (f) sales in other ways not involving market makers or established trading markets, including direct sales to purchasers or negotiated transactions. Broker- dealers may also receive compensation from purchasers of the Securities, which is not expected to exceed that customary in the types of transactions involved.</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117" w:lineRule="exact"/>
        <w:rPr>
          <w:sz w:val="20"/>
          <w:szCs w:val="20"/>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or names of any agents or underwriters, if any;</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may purchase additional Securities from us;</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securities exchanges on which such Securities may be listed; and</w:t>
      </w:r>
    </w:p>
    <w:p>
      <w:pPr>
        <w:spacing w:after="0" w:line="23" w:lineRule="exact"/>
        <w:rPr>
          <w:rFonts w:ascii="Arial" w:cs="Arial" w:eastAsia="Arial" w:hAnsi="Arial"/>
          <w:sz w:val="18"/>
          <w:szCs w:val="18"/>
          <w:color w:val="auto"/>
        </w:rPr>
      </w:pPr>
    </w:p>
    <w:p>
      <w:pPr>
        <w:ind w:left="660" w:right="60" w:hanging="327"/>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discussion of any other material U.S. federal income tax consideration applicable to the Securities being offered that is not otherwise discussed in this prospectus.</w:t>
      </w:r>
    </w:p>
    <w:p>
      <w:pPr>
        <w:spacing w:after="0" w:line="13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use underwriters with whom we have a material relationship. We will describe in the prospectus supplement naming the underwriter the nature of any such relationship.</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20" w:top="580" w:right="259" w:bottom="1440" w:gutter="0" w:footer="0" w:header="0"/>
        </w:sectPr>
      </w:pPr>
    </w:p>
    <w:bookmarkStart w:id="23" w:name="page24"/>
    <w:bookmarkEnd w:id="23"/>
    <w:p>
      <w:pPr>
        <w:ind w:firstLine="432"/>
        <w:spacing w:after="0" w:line="291"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from our purchasers (as their agents in connection with the sale of Securities). These underwriters, dealers or agents may be considered to be underwriters under the Securities Act of 1933 (the “Securities Act”). As a result, discounts, commissions or profits on resale received by the underwriters, dealers or agents may be treated as underwriting discounts and commissions. The prospectus supplement accompanying this prospectus will identify any such underwriter, dealer or agent, and describe any compensation received by them from us. Any initial public offering price and any discounts or concessions allowed or reallowed or paid to dealers may be changed from time to time.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may grant underwriters who participate in the distribution of Securities an option to purchase additional Securities to cover over-allotments, if any, in connection with the distribution or otherwise.</w:t>
      </w:r>
    </w:p>
    <w:p>
      <w:pPr>
        <w:spacing w:after="0" w:line="11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if commenced, may be discontinued at any time.</w:t>
      </w:r>
    </w:p>
    <w:p>
      <w:pPr>
        <w:spacing w:after="0" w:line="1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Any person participating in a distribution of the Securities covered by this prospectus will be subject to the applicable provisions of the Securities Exchange Act of 1934 (the “Exchange Act”) and the rules and regulations thereunder. Regulation M of the Exchange Act may limit the timing of purchases and sales of Securities by such person. In addition, Regulation M may restrict the ability of any person engaged in the distribution of the Securities to engage in market-making activities with respect to our Securities for a period of up to five business days before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20" w:top="746" w:right="259" w:bottom="1440" w:gutter="0" w:footer="0" w:header="0"/>
        </w:sectPr>
      </w:pPr>
    </w:p>
    <w:bookmarkStart w:id="24" w:name="page25"/>
    <w:bookmarkEnd w:id="24"/>
    <w:p>
      <w:pPr>
        <w:jc w:val="center"/>
        <w:ind w:right="80"/>
        <w:spacing w:after="0"/>
        <w:rPr>
          <w:sz w:val="20"/>
          <w:szCs w:val="20"/>
          <w:color w:val="auto"/>
        </w:rPr>
      </w:pPr>
      <w:r>
        <w:rPr>
          <w:rFonts w:ascii="Arial" w:cs="Arial" w:eastAsia="Arial" w:hAnsi="Arial"/>
          <w:sz w:val="18"/>
          <w:szCs w:val="18"/>
          <w:b w:val="1"/>
          <w:bCs w:val="1"/>
          <w:color w:val="auto"/>
        </w:rPr>
        <w:t>DESCRIPTION OF EQUITY SECURITIES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i w:val="1"/>
          <w:iCs w:val="1"/>
          <w:color w:val="auto"/>
        </w:rPr>
        <w:t>The following is a summary of the rights and preferences of our equity Securities and related provisions of our Charter and Second Amended and Restated By-laws, as amended (our “Bylaws”). While we believe that the following description covers the material terms of our capital stock, the description may not contain all of the information that is important to you. We encourage you to read carefully this entire prospectus, our Charter and Bylaws and the other documents we refer to herein for a more complete understanding of our capital stock. See “Where You Can Find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Charter provides that we may issue up to 900,000,000 shares of common stock and 10,000,000 shares of preferred stock, both having a par value of $0.01 per share. Of these shares of preferred stock, 6,900,000 shares were designated as our 8.000% Series A Cumulative Redeemable Preferred Stock (“Series A Preferred Stock”), 8,050 shares have been designated as our 7.750% Series B Cumulative Redeemable Preferred Stock (“Series B Preferred Stock”), and 13,800 shares have been designated as our 7.00% Series C Fixed-to-Floating Cumulative Redeemable Preferred Stock (“Series C Preferred Stock”). In September 2017, we redeemed all of our issued and outstanding shares of Series A Preferred Stock for $173 million (or $25 per share liquidation preference), plus accrued and unpaid dividends, and, in October 2017, we filed a Certificate of Elimination of our Series A Preferred Stock with the Secretary of State of the State of Delaware, which eliminated the designation of Series A Preferred Stock from our Charter. As of June 13, 2018, 427,362,043 shares of our common stock, 7,000 shares of our Series B Preferred Stock, and 13,000 shares of our Series C Preferred Stock were issued and outstanding.</w:t>
      </w:r>
    </w:p>
    <w:p>
      <w:pPr>
        <w:spacing w:after="0" w:line="6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All shares of common stock offered hereby will be duly authorized, fully paid and nonassessable. The statements below describing the common stock are in all respects subject to and qualified in their entirety by reference to our Charter and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04"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On our liquidation, dissolution or winding up, each of our common stockholders will be entitled to a pro rata dividend of any assets available for distribution to common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0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 No shares of our common stock will be subject to redemption or have preemptive rights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Charter provides that our Board of Directors has the authority, without action by the stockholders, to designate and issue up to 10,000,000 shares of preferred stock in one or more classes or series and to fix the rights, preferences, privileges and restrictions of each class or series of preferred stock, including dividend rights, conversion rights, voting rights, terms of redemption, liquidation preferences and the number of shares constituting any class or series, which may be greater than the rights of the holders of the common stock. Any issuance of shares of preferred stock could adversely affect the voting power of holders of common stock, and the likelihood that the holders will receive dividend payments and payments upon liquidation could have the effect of delaying, deferring or preventing a change in control.</w:t>
      </w:r>
    </w:p>
    <w:p>
      <w:pPr>
        <w:spacing w:after="0" w:line="23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This prospectus provides you with a general description of the preferred stock we may offer. Each time we sell preferred stock, we will provide a prospectus supplement that will describe the specific amounts, prices and other important terms of the preferred stock, including, to the extent applicable:</w:t>
      </w:r>
    </w:p>
    <w:p>
      <w:pPr>
        <w:spacing w:after="0" w:line="16" w:lineRule="exact"/>
        <w:rPr>
          <w:sz w:val="20"/>
          <w:szCs w:val="20"/>
          <w:color w:val="auto"/>
        </w:rPr>
      </w:pPr>
    </w:p>
    <w:p>
      <w:pPr>
        <w:ind w:left="660" w:hanging="32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rights; and</w:t>
      </w:r>
    </w:p>
    <w:p>
      <w:pPr>
        <w:spacing w:after="0" w:line="63" w:lineRule="exact"/>
        <w:rPr>
          <w:rFonts w:ascii="Arial" w:cs="Arial" w:eastAsia="Arial" w:hAnsi="Arial"/>
          <w:sz w:val="18"/>
          <w:szCs w:val="18"/>
          <w:color w:val="auto"/>
        </w:rPr>
      </w:pPr>
    </w:p>
    <w:p>
      <w:pPr>
        <w:ind w:left="660" w:hanging="32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or other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B Preferred Stock Underlying Our Depositary Shares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May 7, 2014, we filed a certificate of designations (the “Series B Certificate of Designations”) with the Secretary of State of the State of Delaware to designate 8,050 shares of our authorized preferred stock, par value $0.01 per share, as shares of 7.750% Series B Cumulative Redeemable Preferred Stock (the “Series B Preferred Stock”) with the powers, designations, preferences and other rights as set forth therein. The Series B Certificate of Designations became effective upon filing on May 7, 2014 and is incorporated herein by reference. On May 8, 2014, we issued 7,000 shares of the Series B Preferred Stock, which shares were deposited with Computershare Inc. and Computershare Trust Company, N.A., jointly as depositary, against which depositary receipts evidencing 7,000,000 depositary shares were issued, all of which remain outstanding as of June 13, 2018. Each depositary share represents 1/1,000th of a share of Series B Preferred Stock. The depositary shares underlying the Series B Preferred Stock are listed on the Nasdaq Global Select Market under the symbol “AGNCB.”</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B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B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B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subsidiaries and any future subsidiaries.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the Series B Preferred Stock are entitled to receive cumulative cash dividends at a rate of 7.750% per annum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$25,000 per share liquidation preference (equivalent to $1,937.50 per annum per share of Series B Preferred Stock or $1.9375 per annum per depositary share). Dividends are payable quarterly in arrears on the 15th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(May 8, 2014). Dividends are payable to holders of record as they appear in our stock records for the Series B Preferred Stock at the close of business on the applicable record date, which is the first day of the calendar month, whether or not a business day, in which the applicable dividend payment date falls.</w:t>
      </w:r>
    </w:p>
    <w:p>
      <w:pPr>
        <w:spacing w:after="0" w:line="218"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If we liquidate, dissolve or wind up, holders of the Series B Preferred Stock will have the right to receive $25,000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plus any accumulated and unpaid dividends to, but not including, the date of payment, before any payment is made to the holders of our common stock.</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580" w:right="239" w:bottom="1440" w:gutter="0" w:footer="0" w:header="0"/>
        </w:sectPr>
      </w:pPr>
    </w:p>
    <w:bookmarkStart w:id="26" w:name="page27"/>
    <w:bookmarkEnd w:id="26"/>
    <w:p>
      <w:pPr>
        <w:ind w:right="80" w:firstLine="648"/>
        <w:spacing w:after="0" w:line="293"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The Series B Preferred Stock will not be redeemable before May 8, 2019, except under circumstances intended to preserve our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qualification as a REIT for federal income tax purposes and except upon the occurrence of a Change of Control (as defined in the Series B Certificate of Designations). On or after May 8, 2019, we may, at our option, redeem any or all of the shares of the Series B Preferred Stock at $25,000 per share ($25.00 per depositary share) plus any accumulated and unpaid dividends to, but not including, the redemption date. In addition, upon the occurrence of a Change of Control, we may, at our option, redeem any or all of the shares of Series B Preferred Stock within 120 days after the first date on which such Change of Control occurred at $25,000 per share ($25.00 per depositary share) plus any accumulated and unpaid dividends to, but not including, the redemption date.</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B Preferred Stock has no stated maturity, is not subject to any sinking fund or mandatory redemption and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indefinitely unless repurchased or redeemed by us or converted into our common stock in connection with a Change of Control by the holders of Series B Preferred Stock.</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B Preferred Stock will generally have no voting rights. However, if we do not pay dividends on the Series B</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for six or more quarterly dividend periods (whether or not consecutive), the holders of the Series B Preferred Stock (voting separately as a class with the holders of all other classes or series of our preferred stock we may issue upon which like voting rights have been conferred and are exercisable and which are entitled to vote as a class with the Series B Preferred Stock in the election referred to below) will be entitled to vote for the election of two additional directors to serve on our Board of Directors until we pay, or declare and set aside funds for the payment of, all dividends that we owe on the Series B Preferred Stock, subject to certain limitations. In addition, the affirmative vote of the holders of at least two-thirds of the outstanding shares of Series B Preferred Stock is required for us to authorize or issue any class or series of stock ranking prior to the Series B Preferred Stock with respect to the payment of dividends or the distribution of assets on liquidation, dissolution or winding up, to amend any provision of our Charter so as to materially and adversely affect any rights of the Series B Preferred Stock or to take certain other actions.</w:t>
      </w:r>
    </w:p>
    <w:p>
      <w:pPr>
        <w:spacing w:after="0" w:line="18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Upon the occurrence of a Change of Control, each holder of Series B Preferred Stock will have the right (subject to our election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redeem the Series B Preferred Stock in whole or in part, as described above, prior to the Change of Control Conversion Date (as defined in the Series B Certificate of Designations)) to convert some or all of the Series B Preferred Stock held by such holder on the Change of Control Conversion Date into a number of shares of our common stock per share of Series B Preferred Stock determined by formula, in each case, on the terms and subject to the conditions described in the Series B Certificate of Designations, including provisions for the receipt, under specified circumstances, of alternative consideration.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C Preferred Stock Underlying Our Depositary Shares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August 17, 2017, we filed a certificate of designations (the “Series C Certificate of Designations”) with the Secretary of State of the State of Delaware to designate 13,800 shares of our authorized preferred stock, par value $0.01 per share, as shares of 7.00% Series C Fixed-to-Floating Cumulative Redeemable Preferred Stock (the “Series C Preferred Stock”) with the powers, designations, preferences and other rights as set forth therein. The Series C Certificate of Designations became effective upon filing on August 17, 2017 and is incorporated herein by reference. On August 22, 2017, we issued 12,000 shares of the Series C Preferred Stock, which shares were deposited with Computershare Inc. and Computershare Trust Company, N.A., jointly as depositary, against which depositary receipts evidencing 12,000,000 depositary shares were issued, all of which remain outstanding as of June 13, 2018. Each depositary share represents 1/1,000th of a share of Series C Preferred Stock. The depositary shares underlying the Series C Preferred Stock are listed on the Nasdaq Global Select Market under the symbol “AGNCN.”</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C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including the Series B Preferred Stock;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800" w:right="239" w:bottom="1440" w:gutter="0" w:footer="0" w:header="0"/>
        </w:sectPr>
      </w:pPr>
    </w:p>
    <w:bookmarkStart w:id="27" w:name="page28"/>
    <w:bookmarkEnd w:id="27"/>
    <w:p>
      <w:pPr>
        <w:ind w:firstLine="648"/>
        <w:spacing w:after="0" w:line="260" w:lineRule="auto"/>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shares of the Series C Preferred Stock are entitled to receive,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legally available for the payment of dividends, cumulative cash dividends. The initial dividend rate for the Series C Preferred Stock from and including the date of original issuance to, but not including, October 15, 2022 (the “Fixed Rate Period”) is at the rate of 7.00% of the $25,000 liquidation preference per share of Series C Preferred Stock per annum (equivalent to $1,750 per annum per share of Series C Preferred Stock or $1.75 per annum per depositary share). On and after October 15, 2022 (the “Floating Rate Period”), dividends on the Series C Preferred Stock will accumulate at a percentage of the $25,000 liquidation preference per share of Series C Preferred Stock equal to an annual floating rate of the Three-Month LIBOR Rate plus a spread of 5.111%. Dividends on the Series C Preferred Stock accumulate daily and are cumulative from, and including, the date of original issue (August 22, 2017) and are payable quarterly in arrears on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23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In the event of our voluntary or involuntary liquidation, dissolution or winding up, holders of the Series C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Series C Preferred Stock will not be redeemable by us prior to October 15, 2022, except under circumstances intended to preserve</w:t>
      </w:r>
      <w:r>
        <w:rPr>
          <w:rFonts w:ascii="Arial" w:cs="Arial" w:eastAsia="Arial" w:hAnsi="Arial"/>
          <w:sz w:val="18"/>
          <w:szCs w:val="18"/>
          <w:i w:val="1"/>
          <w:iCs w:val="1"/>
          <w:color w:val="auto"/>
        </w:rPr>
        <w:t xml:space="preserve"> </w:t>
      </w:r>
      <w:r>
        <w:rPr>
          <w:rFonts w:ascii="Arial" w:cs="Arial" w:eastAsia="Arial" w:hAnsi="Arial"/>
          <w:sz w:val="18"/>
          <w:szCs w:val="18"/>
          <w:color w:val="auto"/>
        </w:rPr>
        <w:t>our qualification as a REIT for federal income tax purposes and except upon the occurrence of a Change of Control (as defined in the Series C Certificate of Designations). On or after October 15, 2022, we may, at our option, redeem any or all of the shares of the Series C Preferred Stock at $25,000 per share ($25.00 per depositary share) plus any accumulated and unpaid dividends to, but not including, the redemption date. In addition, upon the occurrence of a Change of Control,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C Preferred Stock has no stated maturity, is not subject to any sinking fund or mandatory redemption and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indefinitely unless repurchased or redeemed by us or converted into our common stock in connection with a Change of Control by the holders of Series C Preferred Stock.</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C Preferred Stock will generally have no voting rights. However, if we do not pay dividends on the Series C</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182" w:lineRule="exact"/>
        <w:rPr>
          <w:sz w:val="20"/>
          <w:szCs w:val="20"/>
          <w:color w:val="auto"/>
        </w:rPr>
      </w:pPr>
    </w:p>
    <w:p>
      <w:pPr>
        <w:jc w:val="both"/>
        <w:ind w:right="340" w:firstLine="648"/>
        <w:spacing w:after="0" w:line="302"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Upon the occurrence of a Change of Control, each holder of Series C Preferred Stock will have the right (subject to our election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redeem 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584" w:right="239" w:bottom="1440" w:gutter="0" w:footer="0" w:header="0"/>
        </w:sectPr>
      </w:pPr>
    </w:p>
    <w:bookmarkStart w:id="28" w:name="page29"/>
    <w:bookmarkEnd w:id="28"/>
    <w:p>
      <w:pPr>
        <w:ind w:right="820"/>
        <w:spacing w:after="0" w:line="277" w:lineRule="auto"/>
        <w:rPr>
          <w:sz w:val="20"/>
          <w:szCs w:val="20"/>
          <w:color w:val="auto"/>
        </w:rPr>
      </w:pPr>
      <w:r>
        <w:rPr>
          <w:rFonts w:ascii="Arial" w:cs="Arial" w:eastAsia="Arial" w:hAnsi="Arial"/>
          <w:sz w:val="18"/>
          <w:szCs w:val="18"/>
          <w:color w:val="auto"/>
        </w:rPr>
        <w:t>conditions described in the Series C Certificate of Designations, including provisions for the receipt, under specified circumstances, of alternative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 of Our Capital Stock</w:t>
      </w:r>
    </w:p>
    <w:p>
      <w:pPr>
        <w:spacing w:after="0" w:line="10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13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213"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128"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10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20" w:top="584" w:right="25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color w:val="auto"/>
        </w:rPr>
        <w:t>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16"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1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13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1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These ownership limitations could delay, defer or prevent a transaction or a change in control that might involve a premium price for our common stock or might otherwise be in the best interests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10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Charter provides that stockholder action may not be taken by written consent in lieu of a meeting and that stockholder action may be taken only at an annual or special meeting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the Ability to Call Special Meetings</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Removal of Directors; Board of Directors Vacancies</w:t>
      </w:r>
    </w:p>
    <w:p>
      <w:pPr>
        <w:spacing w:after="0" w:line="10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Charter provides that members of our Board of Directors may only be removed for cause, and only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0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12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DGCL</w:t>
      </w:r>
    </w:p>
    <w:p>
      <w:pPr>
        <w:spacing w:after="0" w:line="10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Our Charter and Bylaws provide indemnification for our directors and officers to the fullest extent permitted by the DGCL, except that such directors and officers will not be indemnified to the extent that any such person has committed willful misfeasance, bad faith, gross negligence or reckless disregard involved in the conduct of such person’s duty to or for us. In addition, as permitted by Delaware law, our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to the extent such director has committed willful misfeasance, bad faith, gross negligence or reckless disregard of such director’s duties involved in the conduct of the office of director.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2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transfer agent and registrar for our shares of capital stock is Computershare Trust Company, N.A. The principal business address of Computershare Trust Company, N.A. is P.O. Box 43010, Providence, Rhode Island 02940-3010.</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320" w:top="580" w:right="1359" w:bottom="1440" w:gutter="0" w:footer="0" w:header="0"/>
        </w:sectPr>
      </w:pPr>
    </w:p>
    <w:bookmarkStart w:id="32" w:name="page33"/>
    <w:bookmarkEnd w:id="32"/>
    <w:p>
      <w:pPr>
        <w:jc w:val="center"/>
        <w:ind w:right="80"/>
        <w:spacing w:after="0"/>
        <w:rPr>
          <w:sz w:val="20"/>
          <w:szCs w:val="20"/>
          <w:color w:val="auto"/>
        </w:rPr>
      </w:pPr>
      <w:r>
        <w:rPr>
          <w:rFonts w:ascii="Arial" w:cs="Arial" w:eastAsia="Arial" w:hAnsi="Arial"/>
          <w:sz w:val="18"/>
          <w:szCs w:val="18"/>
          <w:b w:val="1"/>
          <w:bCs w:val="1"/>
          <w:color w:val="auto"/>
        </w:rPr>
        <w:t>DESCRIPTION OF DEBT SECURITIES</w:t>
      </w:r>
    </w:p>
    <w:p>
      <w:pPr>
        <w:spacing w:after="0" w:line="10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The following description briefly sets forth certain general terms and provisions of the debt securities that may be offered by this prospectus and any applicable prospectus supplement. The particular terms of the debt securities offered by any prospectus supplement and the extent, if any, to which these general provisions may apply to the debt securities, will be described in the applicable prospectus supplement. Unless otherwise specified in the applicable prospectus supplement, our debt securities will be issued in one or more series under an indenture to be entered into between us and U.S. Bank National Association, as trustee. A form of the indenture is attached as an exhibit to the registration statement of which this prospectus forms a part. The terms of the debt securities will include those set forth in the indenture and those made a part of the indenture by the Trust Indenture Act of 1939 (the “TIA”). You should read the summary set forth below, the applicable prospectus supplement and the provisions of the indenture and supplemental indenture and/or company order, if any, in their entirety before investing in our debt securities. See “Where You Can Find More Information.”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may offer debt securities, which may be senior or subordinated, secured or unsecured, guaranteed or non-guaranteed and convertible or non-convertible. We may sell these debt securities at par or at a substantial discount below their stated principal amount, including original issue discount securities. 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5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multiples of $1,000 in excess thereof. Subject to the limitations provided in the indenture and in the applicable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may constitute a single series of securities under the indenture.</w:t>
      </w:r>
    </w:p>
    <w:p>
      <w:pPr>
        <w:spacing w:after="0" w:line="5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prospectus supplement relating to any series of debt securities that we may offer will specify the aggregate principal amount of such debt securities to be offered and will contain the specific terms of such debt securities, including:</w:t>
      </w:r>
    </w:p>
    <w:p>
      <w:pPr>
        <w:spacing w:after="0" w:line="170" w:lineRule="exact"/>
        <w:rPr>
          <w:sz w:val="20"/>
          <w:szCs w:val="20"/>
          <w:color w:val="auto"/>
        </w:rPr>
      </w:pPr>
    </w:p>
    <w:p>
      <w:pPr>
        <w:ind w:left="820" w:hanging="39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debt securities and any limit on the aggregate principal amount of the debt securities of such series;</w:t>
      </w:r>
    </w:p>
    <w:p>
      <w:pPr>
        <w:spacing w:after="0" w:line="63" w:lineRule="exact"/>
        <w:rPr>
          <w:rFonts w:ascii="Arial" w:cs="Arial" w:eastAsia="Arial" w:hAnsi="Arial"/>
          <w:sz w:val="18"/>
          <w:szCs w:val="18"/>
          <w:color w:val="auto"/>
        </w:rPr>
      </w:pPr>
    </w:p>
    <w:p>
      <w:pPr>
        <w:ind w:left="820" w:right="100" w:hanging="39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date(s) on which the debt securities may be issued and on which the principal and premium, if any, thereof will be payable, or the method for determining the same;</w:t>
      </w:r>
    </w:p>
    <w:p>
      <w:pPr>
        <w:spacing w:after="0" w:line="8" w:lineRule="exact"/>
        <w:rPr>
          <w:rFonts w:ascii="Arial" w:cs="Arial" w:eastAsia="Arial" w:hAnsi="Arial"/>
          <w:sz w:val="18"/>
          <w:szCs w:val="18"/>
          <w:color w:val="auto"/>
        </w:rPr>
      </w:pPr>
    </w:p>
    <w:p>
      <w:pPr>
        <w:ind w:left="820" w:right="200" w:hanging="39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rate(s) or the method for determining the same, whether interest shall be payable in cash or additional securities, the dates on which interest will accrue or the method for determining such dates and the dates on which interest will be payable;</w:t>
      </w:r>
    </w:p>
    <w:p>
      <w:pPr>
        <w:spacing w:after="0" w:line="8" w:lineRule="exact"/>
        <w:rPr>
          <w:rFonts w:ascii="Arial" w:cs="Arial" w:eastAsia="Arial" w:hAnsi="Arial"/>
          <w:sz w:val="18"/>
          <w:szCs w:val="18"/>
          <w:color w:val="auto"/>
        </w:rPr>
      </w:pPr>
    </w:p>
    <w:p>
      <w:pPr>
        <w:ind w:left="820" w:right="60" w:hanging="39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or in which the purchase price for, the principal of and any premium and any interest on, such debt securities will be payable, if other than U.S. dollars;</w:t>
      </w:r>
    </w:p>
    <w:p>
      <w:pPr>
        <w:spacing w:after="0" w:line="8" w:lineRule="exact"/>
        <w:rPr>
          <w:rFonts w:ascii="Arial" w:cs="Arial" w:eastAsia="Arial" w:hAnsi="Arial"/>
          <w:sz w:val="18"/>
          <w:szCs w:val="18"/>
          <w:color w:val="auto"/>
        </w:rPr>
      </w:pPr>
    </w:p>
    <w:p>
      <w:pPr>
        <w:ind w:left="820" w:right="20" w:hanging="39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time period within which or the manner in which, and the terms and conditions upon which, we or the holders of the debt securities can select the payment currency, if other than that in which the securities are denominated;</w:t>
      </w:r>
    </w:p>
    <w:p>
      <w:pPr>
        <w:spacing w:after="0" w:line="8" w:lineRule="exact"/>
        <w:rPr>
          <w:rFonts w:ascii="Arial" w:cs="Arial" w:eastAsia="Arial" w:hAnsi="Arial"/>
          <w:sz w:val="18"/>
          <w:szCs w:val="18"/>
          <w:color w:val="auto"/>
        </w:rPr>
      </w:pPr>
    </w:p>
    <w:p>
      <w:pPr>
        <w:ind w:left="820" w:right="260" w:hanging="39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for registration of transfer, exchange or conversion, and where notices or demands upon us may be made;</w:t>
      </w:r>
    </w:p>
    <w:p>
      <w:pPr>
        <w:spacing w:after="0" w:line="8" w:lineRule="exact"/>
        <w:rPr>
          <w:rFonts w:ascii="Arial" w:cs="Arial" w:eastAsia="Arial" w:hAnsi="Arial"/>
          <w:sz w:val="18"/>
          <w:szCs w:val="18"/>
          <w:color w:val="auto"/>
        </w:rPr>
      </w:pPr>
    </w:p>
    <w:p>
      <w:pPr>
        <w:ind w:left="820" w:hanging="39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redemption or early repayment provisions, including at our option or at the option of the holders;</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authorized denominations, if other than $2,000 and any integral multiples of $1,000;</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580" w:right="239" w:bottom="1440" w:gutter="0" w:footer="0" w:header="0"/>
        </w:sectPr>
      </w:pPr>
    </w:p>
    <w:bookmarkStart w:id="33" w:name="page34"/>
    <w:bookmarkEnd w:id="33"/>
    <w:p>
      <w:pPr>
        <w:ind w:left="820" w:right="100" w:hanging="39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8"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debt securities will be issued;</w:t>
      </w:r>
    </w:p>
    <w:p>
      <w:pPr>
        <w:spacing w:after="0" w:line="63" w:lineRule="exact"/>
        <w:rPr>
          <w:rFonts w:ascii="Arial" w:cs="Arial" w:eastAsia="Arial" w:hAnsi="Arial"/>
          <w:sz w:val="18"/>
          <w:szCs w:val="18"/>
          <w:color w:val="auto"/>
        </w:rPr>
      </w:pPr>
    </w:p>
    <w:p>
      <w:pPr>
        <w:ind w:left="820" w:right="540" w:hanging="39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changes to the provisions for the defeasance of the debt securities or to provisions related to satisfaction and discharge of the indenture;</w:t>
      </w:r>
    </w:p>
    <w:p>
      <w:pPr>
        <w:spacing w:after="0" w:line="8" w:lineRule="exact"/>
        <w:rPr>
          <w:rFonts w:ascii="Arial" w:cs="Arial" w:eastAsia="Arial" w:hAnsi="Arial"/>
          <w:sz w:val="18"/>
          <w:szCs w:val="18"/>
          <w:color w:val="auto"/>
        </w:rPr>
      </w:pPr>
    </w:p>
    <w:p>
      <w:pPr>
        <w:ind w:left="820" w:right="260" w:hanging="39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such debt securities will be issued in whole or in part in the form of one or more global securities, the depositary for any such global securities and the date as of which the securities are dated if other than the date of original issuance;</w:t>
      </w:r>
    </w:p>
    <w:p>
      <w:pPr>
        <w:spacing w:after="0" w:line="8"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will be subordinated and the terms of such subordination;</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will be secured and the terms of any security agreement or arrangement;</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debt securities;</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63" w:lineRule="exact"/>
        <w:rPr>
          <w:rFonts w:ascii="Arial" w:cs="Arial" w:eastAsia="Arial" w:hAnsi="Arial"/>
          <w:sz w:val="18"/>
          <w:szCs w:val="18"/>
          <w:color w:val="auto"/>
        </w:rPr>
      </w:pPr>
    </w:p>
    <w:p>
      <w:pPr>
        <w:ind w:left="820" w:hanging="39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w:t>
      </w:r>
    </w:p>
    <w:p>
      <w:pPr>
        <w:spacing w:after="0" w:line="8"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63" w:lineRule="exact"/>
        <w:rPr>
          <w:rFonts w:ascii="Arial" w:cs="Arial" w:eastAsia="Arial" w:hAnsi="Arial"/>
          <w:sz w:val="18"/>
          <w:szCs w:val="18"/>
          <w:color w:val="auto"/>
        </w:rPr>
      </w:pPr>
    </w:p>
    <w:p>
      <w:pPr>
        <w:ind w:left="820" w:hanging="39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 and</w:t>
      </w:r>
    </w:p>
    <w:p>
      <w:pPr>
        <w:spacing w:after="0" w:line="63" w:lineRule="exact"/>
        <w:rPr>
          <w:rFonts w:ascii="Arial" w:cs="Arial" w:eastAsia="Arial" w:hAnsi="Arial"/>
          <w:sz w:val="18"/>
          <w:szCs w:val="18"/>
          <w:color w:val="auto"/>
        </w:rPr>
      </w:pPr>
    </w:p>
    <w:p>
      <w:pPr>
        <w:ind w:left="820" w:right="40" w:hanging="39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may not consolidate or merge with or into or sell, convey, transfer or lease all or substantially all of our assets to another entity unless we are the continuing entity or the successor, transferee or lessee entity (if other than us) expressly assumes our obligations under the indenture and the debt securities issued under the indenture and, immediately after giving effect to the transaction, we or the successor, transferee or lessee entity (if other than us) would not be in default in the performance of any covenant or condition of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“events of default” under the indenture with respect to any series of notes issued under the indenture:</w:t>
      </w:r>
    </w:p>
    <w:p>
      <w:pPr>
        <w:spacing w:after="0" w:line="117" w:lineRule="exact"/>
        <w:rPr>
          <w:sz w:val="20"/>
          <w:szCs w:val="20"/>
          <w:color w:val="auto"/>
        </w:rPr>
      </w:pPr>
    </w:p>
    <w:p>
      <w:pPr>
        <w:ind w:left="980" w:hanging="32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any installment of interest on the notes when due, continued unremedied for a period of 30 days;</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series of notes when payable;</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a sinking fund installment (if any) on the notes when payable, continued unremedied for a period of 30 days;</w:t>
      </w:r>
    </w:p>
    <w:p>
      <w:pPr>
        <w:spacing w:after="0" w:line="63" w:lineRule="exact"/>
        <w:rPr>
          <w:rFonts w:ascii="Arial" w:cs="Arial" w:eastAsia="Arial" w:hAnsi="Arial"/>
          <w:sz w:val="18"/>
          <w:szCs w:val="18"/>
          <w:color w:val="auto"/>
        </w:rPr>
      </w:pPr>
    </w:p>
    <w:p>
      <w:pPr>
        <w:ind w:left="980" w:right="20" w:hanging="323"/>
        <w:spacing w:after="0" w:line="25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perform any other of our covenants or agreements in the indenture (other than a covenant or agreement included in the indenture solely for the benefit of one or more series of debt securities other than the notes to which this prospectus pertains, or a covenant or agreement specifically addressed by other enumerated events of default), which failure shall not have been remedied for a period of 90 days after written notice by the trustee to us or by the holders of at least 25% in aggregate principal amount of the outstanding notes of such series to us and the trustee as provided in the indenture; and</w:t>
      </w:r>
    </w:p>
    <w:p>
      <w:pPr>
        <w:spacing w:after="0" w:line="26" w:lineRule="exact"/>
        <w:rPr>
          <w:rFonts w:ascii="Arial" w:cs="Arial" w:eastAsia="Arial" w:hAnsi="Arial"/>
          <w:sz w:val="18"/>
          <w:szCs w:val="18"/>
          <w:color w:val="auto"/>
        </w:rPr>
      </w:pPr>
    </w:p>
    <w:p>
      <w:pPr>
        <w:ind w:left="980" w:hanging="323"/>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specified events under bankruptcy, insolvency or other similar laws with respect to us.</w:t>
      </w:r>
    </w:p>
    <w:p>
      <w:pPr>
        <w:spacing w:after="0" w:line="2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These events of default may be modified, and any additional events of default may be specified, with respect to any series of notes issued under the indenture pursuant to a supplemental indenture thereto or a company order.</w:t>
      </w:r>
    </w:p>
    <w:p>
      <w:pPr>
        <w:spacing w:after="0" w:line="170"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If an event of default with respect to the notes (other than an event of default relating to certain specified events under bankruptcy, insolvency or similar laws) occurs and is continuing, either the trustee or the holders of at least 25% in aggregate principal amount of the outstanding notes of any series may declare the principal amount of all the outstanding notes of such series to be due and payable immediately. If an event of default relating to certain specified events under bankruptcy, insolvency or similar laws occurs and is continuing, then the principal amount of all the outstanding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84" w:right="339" w:bottom="1440" w:gutter="0" w:footer="0" w:header="0"/>
        </w:sectPr>
      </w:pPr>
    </w:p>
    <w:bookmarkStart w:id="34" w:name="page35"/>
    <w:bookmarkEnd w:id="34"/>
    <w:p>
      <w:pPr>
        <w:ind w:right="160"/>
        <w:spacing w:after="0" w:line="257" w:lineRule="auto"/>
        <w:rPr>
          <w:sz w:val="20"/>
          <w:szCs w:val="20"/>
          <w:color w:val="auto"/>
        </w:rPr>
      </w:pPr>
      <w:r>
        <w:rPr>
          <w:rFonts w:ascii="Arial" w:cs="Arial" w:eastAsia="Arial" w:hAnsi="Arial"/>
          <w:sz w:val="18"/>
          <w:szCs w:val="18"/>
          <w:color w:val="auto"/>
        </w:rPr>
        <w:t>issued under the Indenture shall automatically become due and payable immediately without any declaration or other action on the part of the trustee or the note holders. At any time after a declaration of acceleration with respect to the notes of any series has been made, but before a judgment or decree for payment of the money due has been obtained thereon, the holders of a majority in aggregate principal amount of the outstanding notes of such series may rescind and annul the acceleration, provided that we have paid or deposited with the trustee sufficient amounts owed to the trustee and noteholders of such series then due thereupon.</w:t>
      </w:r>
    </w:p>
    <w:p>
      <w:pPr>
        <w:spacing w:after="0" w:line="18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indenture provides that within 90 days after the occurrence thereof, and if known to the trustee, the trustee will give the holders of the notes of the applicable series notice of each event which is or, after notice or lapse of time or both, would become an event of default with respect of the notes of such series, unless such default has been cured or waived before the giving of such notice. Except in the case of default in the payment of principal, premium, if any, or interest on any notes, the trustee shall be protected in withholding the notice if our Board of Directors or the trustee in good faith determines that the withholding of the notice is in the interests of the holders of outstanding notes.</w:t>
      </w:r>
    </w:p>
    <w:p>
      <w:pPr>
        <w:spacing w:after="0" w:line="17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indenture provides that, subject to the duty of the trustee during the continuance of an event of default to act with the required standard of care, the trustee will be under no obligation to exercise any of its rights or powers under the indenture at the request or direction of any of the holders of notes of a particular series, unless the holders of notes of such series shall have offered to the trustee security or indemnity satisfactory to the trustee. Subject to such provisions for the indemnification of the trustee and subject to certain other limitations, the holders of a majority in aggregate principal amount of the outstanding notes of any series will have the right to direct the time, method and place of conducting any proceedings for any remedy available to the trustee, or exercising any trust or power conferred on the trustee, with respect to the notes of such series.</w:t>
      </w:r>
    </w:p>
    <w:p>
      <w:pPr>
        <w:spacing w:after="0" w:line="17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are required to furnish to the trustee annually a statement as to our compliance with all conditions and covenants under the indenture and as to any default in our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2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indenture provides that we and the trustee may, without the consent of the holders of any debt securities issued under the indenture, enter into supplemental indentures for the purposes, among other things, of:</w:t>
      </w:r>
    </w:p>
    <w:p>
      <w:pPr>
        <w:spacing w:after="0" w:line="170" w:lineRule="exact"/>
        <w:rPr>
          <w:sz w:val="20"/>
          <w:szCs w:val="20"/>
          <w:color w:val="auto"/>
        </w:rPr>
      </w:pPr>
    </w:p>
    <w:p>
      <w:pPr>
        <w:ind w:left="980" w:right="20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to the covenants or events of default for the benefit of holders of all or any series of debt securities or surrendering any right or power conferred upon us;</w:t>
      </w:r>
    </w:p>
    <w:p>
      <w:pPr>
        <w:spacing w:after="0" w:line="8" w:lineRule="exact"/>
        <w:rPr>
          <w:rFonts w:ascii="Arial" w:cs="Arial" w:eastAsia="Arial" w:hAnsi="Arial"/>
          <w:sz w:val="18"/>
          <w:szCs w:val="18"/>
          <w:color w:val="auto"/>
        </w:rPr>
      </w:pPr>
    </w:p>
    <w:p>
      <w:pPr>
        <w:ind w:left="980" w:right="42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deleting or modifying any events of default with respect to any series of debt securities, the form and terms of which are being established pursuant to such supplemental indenture;</w:t>
      </w:r>
    </w:p>
    <w:p>
      <w:pPr>
        <w:spacing w:after="0" w:line="8" w:lineRule="exact"/>
        <w:rPr>
          <w:rFonts w:ascii="Arial" w:cs="Arial" w:eastAsia="Arial" w:hAnsi="Arial"/>
          <w:sz w:val="18"/>
          <w:szCs w:val="18"/>
          <w:color w:val="auto"/>
        </w:rPr>
      </w:pPr>
    </w:p>
    <w:p>
      <w:pPr>
        <w:ind w:left="980" w:right="20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to or changing any provision of the indenture to provide, change or eliminate any restrictions on the payment of principal or premium that does not adversely affect the interests of the holders of any series of debt securities in any material respect;</w:t>
      </w:r>
    </w:p>
    <w:p>
      <w:pPr>
        <w:spacing w:after="0" w:line="8" w:lineRule="exact"/>
        <w:rPr>
          <w:rFonts w:ascii="Arial" w:cs="Arial" w:eastAsia="Arial" w:hAnsi="Arial"/>
          <w:sz w:val="18"/>
          <w:szCs w:val="18"/>
          <w:color w:val="auto"/>
        </w:rPr>
      </w:pPr>
    </w:p>
    <w:p>
      <w:pPr>
        <w:ind w:left="980" w:right="12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or eliminating any provisions of the indenture so long as there are no holders of debt securities of any series entitled to the benefit of such provisions;</w:t>
      </w:r>
    </w:p>
    <w:p>
      <w:pPr>
        <w:spacing w:after="0" w:line="8" w:lineRule="exact"/>
        <w:rPr>
          <w:rFonts w:ascii="Arial" w:cs="Arial" w:eastAsia="Arial" w:hAnsi="Arial"/>
          <w:sz w:val="18"/>
          <w:szCs w:val="18"/>
          <w:color w:val="auto"/>
        </w:rPr>
      </w:pPr>
    </w:p>
    <w:p>
      <w:pPr>
        <w:ind w:left="980" w:right="48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evidencing the succession of another entity to the indenture and the assumption by such entity of our covenants and obligations under the indenture;</w:t>
      </w:r>
    </w:p>
    <w:p>
      <w:pPr>
        <w:spacing w:after="0" w:line="8" w:lineRule="exact"/>
        <w:rPr>
          <w:rFonts w:ascii="Arial" w:cs="Arial" w:eastAsia="Arial" w:hAnsi="Arial"/>
          <w:sz w:val="18"/>
          <w:szCs w:val="18"/>
          <w:color w:val="auto"/>
        </w:rPr>
      </w:pPr>
    </w:p>
    <w:p>
      <w:pPr>
        <w:ind w:left="980" w:hanging="323"/>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evidencing the appointment of a successor trustee under the indenture;</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securing the debt securities of any series;</w:t>
      </w:r>
    </w:p>
    <w:p>
      <w:pPr>
        <w:spacing w:after="0" w:line="63" w:lineRule="exact"/>
        <w:rPr>
          <w:rFonts w:ascii="Arial" w:cs="Arial" w:eastAsia="Arial" w:hAnsi="Arial"/>
          <w:sz w:val="18"/>
          <w:szCs w:val="18"/>
          <w:color w:val="auto"/>
        </w:rPr>
      </w:pPr>
    </w:p>
    <w:p>
      <w:pPr>
        <w:ind w:left="980" w:right="160" w:hanging="323"/>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curing ambiguities in the indenture, correcting or supplementing any provision which may be defective or inconsistent with any other provision, and conforming the terms of the indenture applicable to the debt securities of any series to the description of the terms of such debt securities in the applicable offering memorandum, prospectus or other offering document;</w:t>
      </w:r>
    </w:p>
    <w:p>
      <w:pPr>
        <w:spacing w:after="0" w:line="19" w:lineRule="exact"/>
        <w:rPr>
          <w:rFonts w:ascii="Arial" w:cs="Arial" w:eastAsia="Arial" w:hAnsi="Arial"/>
          <w:sz w:val="18"/>
          <w:szCs w:val="18"/>
          <w:color w:val="auto"/>
        </w:rPr>
      </w:pPr>
    </w:p>
    <w:p>
      <w:pPr>
        <w:ind w:left="980" w:hanging="323"/>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to, changing or eliminating any provision of the indenture as may be necessary or desirable in accordance with the TIA;</w:t>
      </w:r>
    </w:p>
    <w:p>
      <w:pPr>
        <w:spacing w:after="0" w:line="63"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guarantors or co-obligors with respect to the debt securities of any series, or to release guarantors from guarantees in accordance with the terms of the indenture;</w:t>
      </w:r>
    </w:p>
    <w:p>
      <w:pPr>
        <w:spacing w:after="0" w:line="8" w:lineRule="exact"/>
        <w:rPr>
          <w:rFonts w:ascii="Arial" w:cs="Arial" w:eastAsia="Arial" w:hAnsi="Arial"/>
          <w:sz w:val="18"/>
          <w:szCs w:val="18"/>
          <w:color w:val="auto"/>
        </w:rPr>
      </w:pPr>
    </w:p>
    <w:p>
      <w:pPr>
        <w:ind w:left="980" w:right="500" w:hanging="323"/>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any change in any series of debt securities that does not adversely affect in any material respect the rights of holders of such debt securities;</w:t>
      </w:r>
    </w:p>
    <w:p>
      <w:pPr>
        <w:spacing w:after="0" w:line="8" w:lineRule="exact"/>
        <w:rPr>
          <w:rFonts w:ascii="Arial" w:cs="Arial" w:eastAsia="Arial" w:hAnsi="Arial"/>
          <w:sz w:val="18"/>
          <w:szCs w:val="18"/>
          <w:color w:val="auto"/>
        </w:rPr>
      </w:pPr>
    </w:p>
    <w:p>
      <w:pPr>
        <w:ind w:left="980" w:hanging="323"/>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debt securities;</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584" w:right="239" w:bottom="1440" w:gutter="0" w:footer="0" w:header="0"/>
        </w:sectPr>
      </w:pPr>
    </w:p>
    <w:bookmarkStart w:id="35" w:name="page36"/>
    <w:bookmarkEnd w:id="35"/>
    <w:p>
      <w:pPr>
        <w:ind w:left="980" w:hanging="32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supplementing the indenture to permit or facilitate the defeasance and discharge of any debt securities issued thereunder that does not adversely affect the interests of the holders of any series of debt securities in any material respect;</w:t>
      </w:r>
    </w:p>
    <w:p>
      <w:pPr>
        <w:spacing w:after="0" w:line="8" w:lineRule="exact"/>
        <w:rPr>
          <w:rFonts w:ascii="Arial" w:cs="Arial" w:eastAsia="Arial" w:hAnsi="Arial"/>
          <w:sz w:val="18"/>
          <w:szCs w:val="18"/>
          <w:color w:val="auto"/>
        </w:rPr>
      </w:pPr>
    </w:p>
    <w:p>
      <w:pPr>
        <w:ind w:left="980" w:hanging="32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debt securities; and</w:t>
      </w:r>
    </w:p>
    <w:p>
      <w:pPr>
        <w:spacing w:after="0" w:line="63"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the form and terms of the debt securities of any series as permitted by the indenture and authorizing the issuance of additional debt securities of a series previously authorized.</w:t>
      </w:r>
    </w:p>
    <w:p>
      <w:pPr>
        <w:spacing w:after="0" w:line="224"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With specific exceptions, the indenture or the rights of the holders of the notes of a particular series may be modified by us and the trustee with the consent of the holders of a majority in aggregate principal amount of the notes of such series, but no modification may be made without the consent of the holder of each outstanding note of any series affected thereby that, among other things, would:</w:t>
      </w:r>
    </w:p>
    <w:p>
      <w:pPr>
        <w:spacing w:after="0" w:line="73" w:lineRule="exact"/>
        <w:rPr>
          <w:sz w:val="20"/>
          <w:szCs w:val="20"/>
          <w:color w:val="auto"/>
        </w:rPr>
      </w:pPr>
    </w:p>
    <w:p>
      <w:pPr>
        <w:ind w:left="980" w:hanging="32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maturity of any payment of principal of or any installment of interest on any notes;</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of any note, or the interest thereon, or any premium payable on any note;</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note or any premium or interest is denominated or payable;</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to sue for the enforcement of any payment on or after its stated maturity or redemption date, if applicable;</w:t>
      </w:r>
    </w:p>
    <w:p>
      <w:pPr>
        <w:spacing w:after="0" w:line="63" w:lineRule="exact"/>
        <w:rPr>
          <w:rFonts w:ascii="Arial" w:cs="Arial" w:eastAsia="Arial" w:hAnsi="Arial"/>
          <w:sz w:val="18"/>
          <w:szCs w:val="18"/>
          <w:color w:val="auto"/>
        </w:rPr>
      </w:pPr>
    </w:p>
    <w:p>
      <w:pPr>
        <w:ind w:left="980" w:hanging="32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materially adversely affect the economic terms of any right to convert or exchange any debt security;</w:t>
      </w:r>
    </w:p>
    <w:p>
      <w:pPr>
        <w:spacing w:after="0" w:line="63" w:lineRule="exact"/>
        <w:rPr>
          <w:rFonts w:ascii="Arial" w:cs="Arial" w:eastAsia="Arial" w:hAnsi="Arial"/>
          <w:sz w:val="18"/>
          <w:szCs w:val="18"/>
          <w:color w:val="auto"/>
        </w:rPr>
      </w:pPr>
    </w:p>
    <w:p>
      <w:pPr>
        <w:ind w:left="980" w:right="140" w:hanging="323"/>
        <w:spacing w:after="0" w:line="29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of any series required to consent to any supplemental indenture, any waiver of compliance with provisions of the indenture or specific defaults and their consequences provided for in the indenture;</w:t>
      </w:r>
    </w:p>
    <w:p>
      <w:pPr>
        <w:ind w:left="980" w:hanging="323"/>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 the requirements of the indenture for voting or otherwise modify the sections in the indenture relating to these consents and waivers; or</w:t>
      </w:r>
    </w:p>
    <w:p>
      <w:pPr>
        <w:spacing w:after="0" w:line="86" w:lineRule="exact"/>
        <w:rPr>
          <w:rFonts w:ascii="Arial" w:cs="Arial" w:eastAsia="Arial" w:hAnsi="Arial"/>
          <w:sz w:val="16"/>
          <w:szCs w:val="16"/>
          <w:color w:val="auto"/>
        </w:rPr>
      </w:pPr>
    </w:p>
    <w:p>
      <w:pPr>
        <w:ind w:left="980" w:hanging="32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the rights, duties and immunities of the trustee without its written consent.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indenture, with respect to any series of notes issued thereunder (except for certain surviving obligations specified therein), will cease to be of further effect upon (a) delivery to the trustee for cancellation all notes of such series previously authenticated, or (b) all securities of such series have become due and payable or will become due and payable within one year or are to be called for redemption within one year and funds sufficient for the payment in full of the principal of and premium, if any, and interest on the notes of such series have been deposited with the trustee.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and Defeasance</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At our option, either (a) we shall be discharged from our obligations with respect to a particular series of notes (subject to survival of certain limited provisions in the indenture) or (b) we will cease to be under any obligation to comply with the covenants applicable with respect to a particular series of notes, in either case by depositing with the trustee cash or U.S. government obligations (or combination thereof) sufficient to pay the principal of and premium, if any, and interest on such notes to their maturity or redemption date in accordance with the terms of the indenture and the notes of such series, provided that no default under the indenture has occurred and is continuing and that we shall have delivered to the trustee an opinion of counsel to the effect that holders of such debt securities will not recognize income, gain or loss for U.S. federal income tax purposes as a result of the Company’s election to discharge or defease the notes of such series.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indenture provides that we will file with the trustee and the SEC, and transmit to holders of debt securities, such information, documents and other reports, and such summaries thereof, as may be required pursuant to the TIA.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U.S. Bank National Association is the initial trustee, registrar, paying agent and, where applicable, conversion agent under the indenture. Any other entity that is named to serve in any such capacity in place thereof with respect to a particular series of notes will be named in the prospectus supplement applicable to such series of notes.</w:t>
      </w: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2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Global Securities</w:t>
      </w:r>
    </w:p>
    <w:p>
      <w:pPr>
        <w:spacing w:after="0" w:line="10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and the debt securities shall be governed by and construed in accordance with the laws of the State of New York.</w:t>
      </w: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661" w:right="239" w:bottom="1440" w:gutter="0" w:footer="0" w:header="0"/>
        </w:sectPr>
      </w:pPr>
    </w:p>
    <w:bookmarkStart w:id="37" w:name="page38"/>
    <w:bookmarkEnd w:id="37"/>
    <w:p>
      <w:pPr>
        <w:jc w:val="center"/>
        <w:ind w:right="60"/>
        <w:spacing w:after="0"/>
        <w:rPr>
          <w:sz w:val="20"/>
          <w:szCs w:val="20"/>
          <w:color w:val="auto"/>
        </w:rPr>
      </w:pPr>
      <w:r>
        <w:rPr>
          <w:rFonts w:ascii="Arial" w:cs="Arial" w:eastAsia="Arial" w:hAnsi="Arial"/>
          <w:sz w:val="18"/>
          <w:szCs w:val="18"/>
          <w:b w:val="1"/>
          <w:bCs w:val="1"/>
          <w:color w:val="auto"/>
        </w:rPr>
        <w:t>DESCRIPTION OF DEPOSITARY SHARES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The following summarizes the material provisions of the deposit agreement and of the depositary shares and depositary receipts, other than pricing and related terms that will be disclosed in the applicable prospectus supplement. You should read the particular terms of any depositary shares and any depositary receipts that are offered by us and any deposit agreement relating to a particular series of preferred stock, which will be described in more detail in a prospectus supplement. The prospectus supplement will also state whether any of the generalized provisions summarized below do not apply to the depositary shares or depositary receipts being offered. A form of the deposit agreement, including the form of depositary receipt, is attached as an exhibit to the registration statement of which this prospectus forms a part. You should read carefully the more detailed provisions of the deposit agreement and the form of depositary receipt for provisions that may be important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may, at our option, elect to offer fractional shares of preferred stock, rather than full shares of preferred stock. In such event, we will issue receipts for depositary shares, each of which will represent a fraction of a share of a particular series of preferred stock. As of June 13, 2018, 7,000,000 Series B depositary shares were issued and outstanding, with each depositary share representing 1/1,000th of a share of our Series B Preferred Stock and 12,000,000 Series C depositary shares were issued and outstanding, with each depositary share representing 1/1,000th of a share of our Series C Preferred Stock. See “Description of Equity Securities- Description of Series B Preferred Stock Underlying Our Depositary Shares” for a description of the terms of the Series B Preferred Stock underlying the Series B depositary shares and “Description of Equity Securities- Description of Series C Preferred Stock Underlying Our Depositary Shares” for a description of the terms of the Series C Preferred Stock underlying the Series C depositary shares.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shares of any series of preferred stock represented by depositary shares will be deposited under a deposit agreement between us and a bank or trust company selected by us having its principal office in the United States and having a combined capital and surplus of at least $50,000,000, as depositary. Each owner of a depositary share will be entitled to all the rights and preferences of the underlying preferred stock, including dividend, voting, redemption, conversion and liquidation rights, in proportion to the applicable fraction of a share of preferred stock represented by such depositary share.</w:t>
      </w:r>
    </w:p>
    <w:p>
      <w:pPr>
        <w:spacing w:after="0" w:line="15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depositary will distribute all cash dividends or other cash distributions received by it in respect of the deposited preferred stock to the record holders of depositary shares relating to such preferred stock in proportion to the number of such depositary shares owned by such holders, subject to any applicable tax withholding requirements. The depositary will distribute any securities or property (other than cash) received by it in respect of the deposited preferred stock to the record holders of depositary shares relating to such preferred stock in proportion to the number of such depositary shares owned by such holders in any manner that the depositary and we deem equitable and practicable.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Preferred Stock</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a series of preferred stock represented by depositary shares is to be redeemed, the depositary shares will be redeemed from the proceeds received by the depositary resulting from the redemption, in whole or in part, of such series of preferred stock. The depositary shares will be redeemed by the depositary at a price per depositary share equal to the applicable fraction of the redemption price per share payable in respect of the shares of preferred stock so redeemed. Whenever we redeem shares of preferred stock held by the depositary, the depositary will redeem as of the same date the number of depositary shares representing the shares of preferred stock so redeemed. If fewer than all the depositary shares are to be redeemed, the depositary shares to be redeemed will be selected by the depositary by lot or ratably or by any other equitable method as the depositary may decide.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Unless the related depositary shares have previously been called for redemption, any holder of depositary shares may receive the number of whole shares of the related series of preferred stock and any money or other property represented</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320" w:top="661" w:right="259" w:bottom="1440" w:gutter="0" w:footer="0" w:header="0"/>
        </w:sectPr>
      </w:pPr>
    </w:p>
    <w:bookmarkStart w:id="38" w:name="page39"/>
    <w:bookmarkEnd w:id="38"/>
    <w:p>
      <w:pPr>
        <w:ind w:right="40"/>
        <w:spacing w:after="0" w:line="273" w:lineRule="auto"/>
        <w:rPr>
          <w:sz w:val="20"/>
          <w:szCs w:val="20"/>
          <w:color w:val="auto"/>
        </w:rPr>
      </w:pPr>
      <w:r>
        <w:rPr>
          <w:rFonts w:ascii="Arial" w:cs="Arial" w:eastAsia="Arial" w:hAnsi="Arial"/>
          <w:sz w:val="17"/>
          <w:szCs w:val="17"/>
          <w:color w:val="auto"/>
        </w:rPr>
        <w:t>by such depositary receipts after surrendering the depositary receipts at the corporate trust office of the depositary. Holders of depositary shares making such withdrawals will be entitled to receive whole shares of preferred stock on the basis set forth in the related prospectus supplement for such series of preferred stock. However, holders of such whole shares of preferred stock will not be entitled to deposit such preferred stock under the deposit agreement or to receive depositary receipts for such preferred stock after such withdrawal. If the depositary shares surrendered by the holder in connection with such withdrawal exceed the number of depositary shares that represent the number of whole shares of preferred stock to be withdrawn, the depositary will deliver to such holder at the same time a new depositary receipt evidencing such excess number of depositary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Deposited Preferred Stock</w:t>
      </w:r>
    </w:p>
    <w:p>
      <w:pPr>
        <w:spacing w:after="0" w:line="22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any series of deposited preferred stock are entitled to vote, the depositary will mail the information contained in such notice of meeting to the record holders of the depositary shares relating to such series of preferred stock. Each record holder of such depositary shares on the record date will be entitled to instruct the depositary to vote the amount of the preferred stock represented by such holder's depositary shares. The depositary will insofar as practicable vote or cause to be voted the amount of such series of preferred stock represented by such depositary shares in accordance with such instructions. We will agree to take all reasonable actions that the depositary determines are necessary to enable the depositary to vote as instructed. The depositary will vote all shares of any series of preferred stock held by it proportionately with instructions received if it does not receive specific instructions from the holders of depositary shares representing such series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However, any amendment that materially and adversely alters the rights of the holders of depositary shares or would be materially and adversely inconsistent with the rights granted to holders of the applicable series of preferred stock under our certificate of incorporation will not be effective unless such amendment has been approved by the holders of at least two thirds of the affected depositary shares then outstanding. Except as required by law, no amendment shall impair the right of any holder of depositary receipts to receive the number of shares of the applicable series of preferred stock and all money or other property represented thereby. Every holder of an outstanding depositary receipt at the time any such amendment becomes effective shall be deemed, by continuing to hold such depositary receipt, or by reason of the acquisition thereof, to consent and agree to such amendment and to be bound by the deposit agreement, which has been amended thereby.</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deposit agreement automatically terminates if all outstanding depositary shares have been redeemed or a final distribution in respect of the deposited preferred stock has been made to the holders of depositary shares in connection with our liquidation, dissolution or winding up. The deposit agreement may be terminated by us upon not less than 30 days prior written notice to the depositary if holders of a majority of depositary shares of the applicable series consent thereto. In such event, the depositary will deliver or make available for delivery to holders of depositary shares, upon surrender of such depositary receipts, the number of whole or fractional shares of the related series of preferred stock as are represented by such depositary shares and any other property held by the depositary in respect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Charges and Expenses of Depositary</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All fees, charges and expenses of the depositary or any agent of the depositary, including any transfer or other taxes and governmental charges arising solely by from the existence of the deposit agreement, shall be payable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to us notice of its intent to do so, and we may at any time remove the depositary, any such resignation or removal to take effect upon the appointment of a successor depositary and its acceptance of such appointment. Such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32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depositary will forward all reports and communications from us that are delivered to the depositary and that we are required to furnish to the holders of the deposited preferred stock and not otherwise made publicly available.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Neither we nor the depositary nor its agents assume any obligation under the deposit agreement other than, and neither we nor they will be liable under the deposit agreement for our or their acts or omissions with respect to, our or their bad faith, gross negligence or willful misconduct, respectively. Neither we nor the depositary nor its agents will be obligated to appear in, prosecute or defend any legal proceeding in respect of any depositary shares, depositary receipts or shares of preferred stock unless satisfactory indemnity is furnished.</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580" w:right="4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firstLine="459"/>
        <w:spacing w:after="0" w:line="286" w:lineRule="auto"/>
        <w:rPr>
          <w:sz w:val="20"/>
          <w:szCs w:val="20"/>
          <w:color w:val="auto"/>
        </w:rPr>
      </w:pPr>
      <w:r>
        <w:rPr>
          <w:rFonts w:ascii="Arial" w:cs="Arial" w:eastAsia="Arial" w:hAnsi="Arial"/>
          <w:sz w:val="16"/>
          <w:szCs w:val="16"/>
          <w:color w:val="auto"/>
        </w:rPr>
        <w:t>The following is a summary of U.S. federal income tax consequences generally applicable to an investment in common stock of AGNC Investment Corp. This summary does not discuss the consequences of an investment in shares of our preferred stock, debt securities, warrants or other securities. The tax consequences of such an investment will be discussed in a relevant prospectus supplement. For purposes of this section under the heading “U.S. Federal Income Tax Considerations,” references to “AGNC Investment Corp.,” “we,” “our” and “us” mean only AGNC Investment Corp. and not its subsidiaries or other lower-tier entities, except as otherwise indicated. This summary is based upon the Internal Revenue Code, the regulations promulgated by the U.S. Treasury Department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will operate AGNC Investment Corp. and its subsidiaries and affiliated entities in accordance with their applicable organizational documents or partnership agreements. This summary is for general information only and is not tax advice. The Internal Revenue Code provisions governing the U.S. federal income tax treatment of REITs and their stockholders are highly technical and complex, and this summary is qualified in its entirety by the express language of applicable Internal Revenue Code provisions, Treasury regulations promulgated thereunder and administrative and judicial interpretations thereof. Moreover, this summary does not purport to discuss all aspects of U.S. federal income taxation that may be important to a particular investor in light of its investment or tax circumstances or to investors subject to special tax rules, such as:</w:t>
      </w:r>
    </w:p>
    <w:p>
      <w:pPr>
        <w:spacing w:after="0" w:line="131" w:lineRule="exact"/>
        <w:rPr>
          <w:sz w:val="20"/>
          <w:szCs w:val="20"/>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Partnerships and trusts;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hold our stock on behalf of other persons as nominees;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Persons who receive AGNC Investment Corp. stock through the exercise of employee stock options or otherwise as compensation;</w:t>
      </w:r>
    </w:p>
    <w:p>
      <w:pPr>
        <w:spacing w:after="0" w:line="74" w:lineRule="exact"/>
        <w:rPr>
          <w:rFonts w:ascii="Arial" w:cs="Arial" w:eastAsia="Arial" w:hAnsi="Arial"/>
          <w:sz w:val="17"/>
          <w:szCs w:val="17"/>
          <w:color w:val="auto"/>
        </w:rPr>
      </w:pPr>
    </w:p>
    <w:p>
      <w:pPr>
        <w:ind w:left="1120" w:right="580" w:hanging="329"/>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holding AGNC Investment Corp. stock as part of a “straddle,” “hedge,” “conversion transaction,” “synthetic security” or other integrated investment;</w:t>
      </w:r>
    </w:p>
    <w:p>
      <w:pPr>
        <w:spacing w:after="0" w:line="8"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subject to the mark-to-market method of accounting for their securities;</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own (actually or constructively) more than 10% of our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and, except to the extent discussed below:</w:t>
      </w:r>
    </w:p>
    <w:p>
      <w:pPr>
        <w:spacing w:after="0" w:line="63" w:lineRule="exact"/>
        <w:rPr>
          <w:sz w:val="20"/>
          <w:szCs w:val="20"/>
          <w:color w:val="auto"/>
        </w:rPr>
      </w:pPr>
    </w:p>
    <w:p>
      <w:pPr>
        <w:ind w:left="1120" w:hanging="32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63" w:lineRule="exact"/>
        <w:rPr>
          <w:rFonts w:ascii="Arial" w:cs="Arial" w:eastAsia="Arial" w:hAnsi="Arial"/>
          <w:sz w:val="18"/>
          <w:szCs w:val="18"/>
          <w:color w:val="auto"/>
        </w:rPr>
      </w:pPr>
    </w:p>
    <w:p>
      <w:pPr>
        <w:ind w:left="1120" w:hanging="32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summary assumes that investors will hold their common stock as a capital asset, which generally means as property held for investment.</w:t>
      </w:r>
    </w:p>
    <w:p>
      <w:pPr>
        <w:spacing w:after="0" w:line="125" w:lineRule="exact"/>
        <w:rPr>
          <w:sz w:val="20"/>
          <w:szCs w:val="20"/>
          <w:color w:val="auto"/>
        </w:rPr>
      </w:pPr>
    </w:p>
    <w:p>
      <w:pPr>
        <w:ind w:right="220" w:firstLine="459"/>
        <w:spacing w:after="0" w:line="255" w:lineRule="auto"/>
        <w:rPr>
          <w:sz w:val="20"/>
          <w:szCs w:val="20"/>
          <w:color w:val="auto"/>
        </w:rPr>
      </w:pPr>
      <w:r>
        <w:rPr>
          <w:rFonts w:ascii="Arial" w:cs="Arial" w:eastAsia="Arial" w:hAnsi="Arial"/>
          <w:sz w:val="18"/>
          <w:szCs w:val="18"/>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AGNC Investment Corp.</w:t>
      </w:r>
    </w:p>
    <w:p>
      <w:pPr>
        <w:spacing w:after="0" w:line="189" w:lineRule="exact"/>
        <w:rPr>
          <w:sz w:val="20"/>
          <w:szCs w:val="20"/>
          <w:color w:val="auto"/>
        </w:rPr>
      </w:pPr>
    </w:p>
    <w:p>
      <w:pPr>
        <w:ind w:right="100" w:firstLine="459"/>
        <w:spacing w:after="0" w:line="264" w:lineRule="auto"/>
        <w:rPr>
          <w:sz w:val="20"/>
          <w:szCs w:val="20"/>
          <w:color w:val="auto"/>
        </w:rPr>
      </w:pPr>
      <w:r>
        <w:rPr>
          <w:rFonts w:ascii="Arial" w:cs="Arial" w:eastAsia="Arial" w:hAnsi="Arial"/>
          <w:sz w:val="18"/>
          <w:szCs w:val="18"/>
          <w:color w:val="auto"/>
        </w:rPr>
        <w:t>We have elected to be taxed as a REIT, commencing with our initial taxable year ended December 31, 2008. We believe that we have been organized and have operated in such a manner that permits us to satisfy the requirements for taxation as a REIT under the applicable provisions of the Internal Revenue Code.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4" w:right="239" w:bottom="1440" w:gutter="0" w:footer="0" w:header="0"/>
        </w:sectPr>
      </w:pPr>
    </w:p>
    <w:bookmarkStart w:id="41" w:name="page42"/>
    <w:bookmarkEnd w:id="41"/>
    <w:p>
      <w:pPr>
        <w:ind w:right="60" w:firstLine="459"/>
        <w:spacing w:after="0" w:line="286" w:lineRule="auto"/>
        <w:rPr>
          <w:sz w:val="20"/>
          <w:szCs w:val="20"/>
          <w:color w:val="auto"/>
        </w:rPr>
      </w:pPr>
      <w:r>
        <w:rPr>
          <w:rFonts w:ascii="Arial" w:cs="Arial" w:eastAsia="Arial" w:hAnsi="Arial"/>
          <w:sz w:val="16"/>
          <w:szCs w:val="16"/>
          <w:color w:val="auto"/>
        </w:rPr>
        <w:t>The law firm of Skadden, Arps, Slate, Meagher &amp; Flom LLP has acted as our tax counsel in connection with the filing of this registration statement. In connection with the filing of this registration statement, we expect to receive an opinion of Skadden, Arps, Slate, Meagher &amp; Flom LLP to the effect that, commencing with our initial taxable year, we have been organized and operated in conformity with the requirements for qualification and taxation as a REIT under the Internal Revenue Code, and that our actual method of operation has enabled, and our proposed method of operation will continue to enable, us to meet the requirements for qualification and taxation as a REIT for our taxable year ending December 31, 2018 and subsequent years. It must be emphasized that the opinion of Skadden, Arps, Slate, Meagher &amp; Flom LLP will be based on various assumptions relating to our organization and operation and will be conditioned upon fact-based representations and covenants made by our management regarding our organization, assets, and income, and the past, present and future conduct of our business operations. While we intend to operate so that we will qualify as a REIT, given the highly complex nature of the rules governing REITs, the ongoing importance of factual determinations, and the possibility of future changes in our circumstances, no assurance can be given by Skadden, Arps, Slate, Meagher &amp; Flom LLP or by us that we will qualify as a REIT for any particular year. The opinion will be expressed as of the date issued and will not cover subsequent periods. Skadden, Arps, Slate, Meagher &amp; Flom LLP will have no obligation to advise us or our stockholders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34"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Qualification and taxation as a REIT depends on the ability to meet on a continuing basis, through actual operating results, distribution levels, and diversity of stock and asset ownership, various qualification requirements imposed upon REITs by the Internal Revenue Code, the compliance with which will not be reviewed by Skadden, Arps, Slate, Meagher &amp; Flom LLP. Our ability to qualify as a REIT also requires that we satisfy certain asset tests, some of which depend upon the fair market values of assets that we own directly or indirectly. Such values may not be susceptible to a precise determination. Accordingly, no assurance can be given that the actual results of our operations for any taxable year will satisfy such requirements for qualification and taxation as a REIT.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REITs in General</w:t>
      </w:r>
    </w:p>
    <w:p>
      <w:pPr>
        <w:spacing w:after="0" w:line="185"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As indicated above, our qualification and taxation as a REIT depends upon our ability to meet, on a continuing basis, various qualification requirements imposed upon REITs by the Internal Revenue Code. The material qualification requirements are summarized below under “-Requirements for Qualification-General.” While we intend to operate so that we qualify as a REIT, no assurance can be given that the IRS will not challenge our qualification, or that we will be able to operate in accordance with the REIT requirements in the future. See “-Failure to Qualify.”</w:t>
      </w:r>
    </w:p>
    <w:p>
      <w:pPr>
        <w:spacing w:after="0" w:line="131"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Provided that we qualify as a REIT, we will generally be entitled to a deduction for dividends that we pay and therefore will not be subject to U.S. federal corporate income tax on our taxable income that is currently distributed to our stockholders. This treatment substantially eliminates the “double taxation” at the corporate and stockholder levels that generally results from investment in a corporation. In general, the income that we generate is taxed only at the stockholder level upon a distribution of dividends to our stockholders.</w:t>
      </w:r>
    </w:p>
    <w:p>
      <w:pPr>
        <w:spacing w:after="0" w:line="146" w:lineRule="exact"/>
        <w:rPr>
          <w:sz w:val="20"/>
          <w:szCs w:val="20"/>
          <w:color w:val="auto"/>
        </w:rPr>
      </w:pPr>
    </w:p>
    <w:p>
      <w:pPr>
        <w:ind w:right="140" w:firstLine="459"/>
        <w:spacing w:after="0" w:line="297" w:lineRule="auto"/>
        <w:rPr>
          <w:sz w:val="20"/>
          <w:szCs w:val="20"/>
          <w:color w:val="auto"/>
        </w:rPr>
      </w:pPr>
      <w:r>
        <w:rPr>
          <w:rFonts w:ascii="Arial" w:cs="Arial" w:eastAsia="Arial" w:hAnsi="Arial"/>
          <w:sz w:val="16"/>
          <w:szCs w:val="16"/>
          <w:color w:val="auto"/>
        </w:rPr>
        <w:t>Most domestic stockholders that are individuals, trusts or estates are taxed on corporate dividends at a reduced maximum rate (the same as long-term capital gains). With limited exceptions, however, dividends from us or from other entities that are taxed as REITs are generally not eligible for this rate and will continue to be taxed at rates applicable to ordinary income. However, for taxable years that begin after December 31, 2017, and before January 1, 2026, stockholders that are individuals, trusts or estates generally are entitled to a deduction equal to 20% of the aggregate amount of ordinary income dividends received from a REIT, subject to certain limitations. See “-Taxation of Stockholders-Taxation of Taxable Domestic Stockholders-Distributions.”</w:t>
      </w:r>
    </w:p>
    <w:p>
      <w:pPr>
        <w:spacing w:after="0" w:line="118" w:lineRule="exact"/>
        <w:rPr>
          <w:sz w:val="20"/>
          <w:szCs w:val="20"/>
          <w:color w:val="auto"/>
        </w:rPr>
      </w:pPr>
    </w:p>
    <w:p>
      <w:pPr>
        <w:ind w:right="480" w:firstLine="459"/>
        <w:spacing w:after="0" w:line="34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stockholders, subject to special rules for certain items such as the capital gains that we recognize. See “-Taxation of Stockholders-Taxation of Taxable Domestic Stockholders-Distributions.”</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any year in which we qualify as a REIT, we will nonetheless be subject to U.S. federal tax in the following circumstances: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42" w:name="page43"/>
    <w:bookmarkEnd w:id="42"/>
    <w:p>
      <w:pPr>
        <w:ind w:left="1300" w:hanging="72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taxable income, including undistributed net capital gains.</w:t>
      </w:r>
    </w:p>
    <w:p>
      <w:pPr>
        <w:spacing w:after="0" w:line="63" w:lineRule="exact"/>
        <w:rPr>
          <w:rFonts w:ascii="Arial" w:cs="Arial" w:eastAsia="Arial" w:hAnsi="Arial"/>
          <w:sz w:val="18"/>
          <w:szCs w:val="18"/>
          <w:color w:val="auto"/>
        </w:rPr>
      </w:pPr>
    </w:p>
    <w:p>
      <w:pPr>
        <w:ind w:left="1300" w:right="20" w:hanging="729"/>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 See “-Prohibited Transactions,” and “-Foreclosure Property,” below.</w:t>
      </w:r>
    </w:p>
    <w:p>
      <w:pPr>
        <w:spacing w:after="0" w:line="19" w:lineRule="exact"/>
        <w:rPr>
          <w:rFonts w:ascii="Arial" w:cs="Arial" w:eastAsia="Arial" w:hAnsi="Arial"/>
          <w:sz w:val="18"/>
          <w:szCs w:val="18"/>
          <w:color w:val="auto"/>
        </w:rPr>
      </w:pPr>
    </w:p>
    <w:p>
      <w:pPr>
        <w:ind w:left="1300" w:right="40" w:hanging="729"/>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derive “excess inclusion income” from an interest in certain mortgage loan securitization structures (i.e., a “taxable mortgage pool” or a residual interest in a real estate mortgage investment conduit, or REMIC), we could be subject to corporate level U.S. federal income tax at the highest applicable rate to the extent that such income is allocable to specified types of tax-exempt stockholders known as “disqualified organizations” that are not subject to unrelated business income tax.</w:t>
      </w:r>
    </w:p>
    <w:p>
      <w:pPr>
        <w:spacing w:after="0" w:line="24" w:lineRule="exact"/>
        <w:rPr>
          <w:rFonts w:ascii="Arial" w:cs="Arial" w:eastAsia="Arial" w:hAnsi="Arial"/>
          <w:sz w:val="18"/>
          <w:szCs w:val="18"/>
          <w:color w:val="auto"/>
        </w:rPr>
      </w:pPr>
    </w:p>
    <w:p>
      <w:pPr>
        <w:ind w:left="1300" w:right="180" w:hanging="729"/>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w:t>
      </w:r>
    </w:p>
    <w:p>
      <w:pPr>
        <w:spacing w:after="0" w:line="24" w:lineRule="exact"/>
        <w:rPr>
          <w:rFonts w:ascii="Arial" w:cs="Arial" w:eastAsia="Arial" w:hAnsi="Arial"/>
          <w:sz w:val="18"/>
          <w:szCs w:val="18"/>
          <w:color w:val="auto"/>
        </w:rPr>
      </w:pPr>
    </w:p>
    <w:p>
      <w:pPr>
        <w:ind w:left="1300" w:right="240" w:hanging="729"/>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should fail to satisfy the 75% gross income test 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9" w:lineRule="exact"/>
        <w:rPr>
          <w:rFonts w:ascii="Arial" w:cs="Arial" w:eastAsia="Arial" w:hAnsi="Arial"/>
          <w:sz w:val="18"/>
          <w:szCs w:val="18"/>
          <w:color w:val="auto"/>
        </w:rPr>
      </w:pPr>
    </w:p>
    <w:p>
      <w:pPr>
        <w:ind w:left="1300" w:right="60" w:hanging="729"/>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should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if that amount exceeds $50,000 per failure.</w:t>
      </w:r>
    </w:p>
    <w:p>
      <w:pPr>
        <w:spacing w:after="0" w:line="26" w:lineRule="exact"/>
        <w:rPr>
          <w:rFonts w:ascii="Arial" w:cs="Arial" w:eastAsia="Arial" w:hAnsi="Arial"/>
          <w:sz w:val="18"/>
          <w:szCs w:val="18"/>
          <w:color w:val="auto"/>
        </w:rPr>
      </w:pPr>
    </w:p>
    <w:p>
      <w:pPr>
        <w:ind w:left="1300" w:right="140" w:hanging="729"/>
        <w:spacing w:after="0" w:line="27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the required distribution over the sum of (i) the amounts that we actually distributed and (ii) the amounts we retained and upon which we paid income tax at the corporate level.</w:t>
      </w:r>
    </w:p>
    <w:p>
      <w:pPr>
        <w:spacing w:after="0" w:line="9" w:lineRule="exact"/>
        <w:rPr>
          <w:rFonts w:ascii="Arial" w:cs="Arial" w:eastAsia="Arial" w:hAnsi="Arial"/>
          <w:sz w:val="17"/>
          <w:szCs w:val="17"/>
          <w:color w:val="auto"/>
        </w:rPr>
      </w:pPr>
    </w:p>
    <w:p>
      <w:pPr>
        <w:ind w:left="1300" w:right="60" w:hanging="729"/>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 keeping requirements intended to monitor our compliance with rules relating to the composition of a REIT's stockholders, as described below in “-Requirements for Qualification-General.”</w:t>
      </w:r>
    </w:p>
    <w:p>
      <w:pPr>
        <w:spacing w:after="0" w:line="19" w:lineRule="exact"/>
        <w:rPr>
          <w:rFonts w:ascii="Arial" w:cs="Arial" w:eastAsia="Arial" w:hAnsi="Arial"/>
          <w:sz w:val="18"/>
          <w:szCs w:val="18"/>
          <w:color w:val="auto"/>
        </w:rPr>
      </w:pPr>
    </w:p>
    <w:p>
      <w:pPr>
        <w:ind w:left="1300" w:right="320" w:hanging="729"/>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taxable REIT subsidiary (“TRS”) (as described below) that do not reflect arm's-length terms.</w:t>
      </w:r>
    </w:p>
    <w:p>
      <w:pPr>
        <w:spacing w:after="0" w:line="8" w:lineRule="exact"/>
        <w:rPr>
          <w:rFonts w:ascii="Arial" w:cs="Arial" w:eastAsia="Arial" w:hAnsi="Arial"/>
          <w:sz w:val="18"/>
          <w:szCs w:val="18"/>
          <w:color w:val="auto"/>
        </w:rPr>
      </w:pPr>
    </w:p>
    <w:p>
      <w:pPr>
        <w:ind w:left="1300" w:right="20" w:hanging="729"/>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26" w:lineRule="exact"/>
        <w:rPr>
          <w:rFonts w:ascii="Arial" w:cs="Arial" w:eastAsia="Arial" w:hAnsi="Arial"/>
          <w:sz w:val="18"/>
          <w:szCs w:val="18"/>
          <w:color w:val="auto"/>
        </w:rPr>
      </w:pPr>
    </w:p>
    <w:p>
      <w:pPr>
        <w:ind w:left="1300" w:right="900" w:hanging="729"/>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earnings of our subsidiaries, including any TRS, may be subject to U.S. federal corporate income tax to the extent that such subsidiaries are subchapter C corporations.</w:t>
      </w:r>
    </w:p>
    <w:p>
      <w:pPr>
        <w:spacing w:after="0" w:line="197" w:lineRule="exact"/>
        <w:rPr>
          <w:sz w:val="20"/>
          <w:szCs w:val="20"/>
          <w:color w:val="auto"/>
        </w:rPr>
      </w:pPr>
    </w:p>
    <w:p>
      <w:pPr>
        <w:ind w:firstLine="459"/>
        <w:spacing w:after="0" w:line="308" w:lineRule="auto"/>
        <w:rPr>
          <w:sz w:val="20"/>
          <w:szCs w:val="20"/>
          <w:color w:val="auto"/>
        </w:rPr>
      </w:pPr>
      <w:r>
        <w:rPr>
          <w:rFonts w:ascii="Arial" w:cs="Arial" w:eastAsia="Arial" w:hAnsi="Arial"/>
          <w:sz w:val="17"/>
          <w:szCs w:val="17"/>
          <w:color w:val="auto"/>
        </w:rPr>
        <w:t>In addition, we and our subsidiaries may be subject to a variety of taxes, including payroll taxes and state, local, and foreign income, property and other taxes on our assets and operations. We could also be subject to tax in situations and on transactions not presently contemplated.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Qualification-General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Revenue Code defines a REIT as a corporation, trust or association:</w:t>
      </w:r>
    </w:p>
    <w:p>
      <w:pPr>
        <w:spacing w:after="0" w:line="185" w:lineRule="exact"/>
        <w:rPr>
          <w:sz w:val="20"/>
          <w:szCs w:val="20"/>
          <w:color w:val="auto"/>
        </w:rPr>
      </w:pPr>
    </w:p>
    <w:p>
      <w:pPr>
        <w:ind w:left="1460" w:hanging="263"/>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44" w:lineRule="exact"/>
        <w:rPr>
          <w:rFonts w:ascii="Arial" w:cs="Arial" w:eastAsia="Arial" w:hAnsi="Arial"/>
          <w:sz w:val="18"/>
          <w:szCs w:val="18"/>
          <w:color w:val="auto"/>
        </w:rPr>
      </w:pPr>
    </w:p>
    <w:p>
      <w:pPr>
        <w:ind w:left="1460" w:hanging="263"/>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44" w:lineRule="exact"/>
        <w:rPr>
          <w:rFonts w:ascii="Arial" w:cs="Arial" w:eastAsia="Arial" w:hAnsi="Arial"/>
          <w:sz w:val="18"/>
          <w:szCs w:val="18"/>
          <w:color w:val="auto"/>
        </w:rPr>
      </w:pPr>
    </w:p>
    <w:p>
      <w:pPr>
        <w:ind w:left="1460" w:hanging="263"/>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44" w:lineRule="exact"/>
        <w:rPr>
          <w:rFonts w:ascii="Arial" w:cs="Arial" w:eastAsia="Arial" w:hAnsi="Arial"/>
          <w:sz w:val="18"/>
          <w:szCs w:val="18"/>
          <w:color w:val="auto"/>
        </w:rPr>
      </w:pPr>
    </w:p>
    <w:p>
      <w:pPr>
        <w:ind w:left="1460" w:hanging="263"/>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Internal Revenue Code;</w:t>
      </w:r>
    </w:p>
    <w:p>
      <w:pPr>
        <w:spacing w:after="0" w:line="144" w:lineRule="exact"/>
        <w:rPr>
          <w:rFonts w:ascii="Arial" w:cs="Arial" w:eastAsia="Arial" w:hAnsi="Arial"/>
          <w:sz w:val="18"/>
          <w:szCs w:val="18"/>
          <w:color w:val="auto"/>
        </w:rPr>
      </w:pPr>
    </w:p>
    <w:p>
      <w:pPr>
        <w:ind w:left="1460" w:hanging="263"/>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46" w:right="259" w:bottom="1440" w:gutter="0" w:footer="0" w:header="0"/>
        </w:sectPr>
      </w:pPr>
    </w:p>
    <w:bookmarkStart w:id="43" w:name="page44"/>
    <w:bookmarkEnd w:id="43"/>
    <w:p>
      <w:pPr>
        <w:ind w:left="1200" w:right="40" w:hanging="3"/>
        <w:spacing w:after="0" w:line="277" w:lineRule="auto"/>
        <w:tabs>
          <w:tab w:leader="none" w:pos="1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Internal Revenue Code to include specified tax-exempt entities); and</w:t>
      </w:r>
    </w:p>
    <w:p>
      <w:pPr>
        <w:spacing w:after="0" w:line="89" w:lineRule="exact"/>
        <w:rPr>
          <w:rFonts w:ascii="Arial" w:cs="Arial" w:eastAsia="Arial" w:hAnsi="Arial"/>
          <w:sz w:val="18"/>
          <w:szCs w:val="18"/>
          <w:color w:val="auto"/>
        </w:rPr>
      </w:pPr>
    </w:p>
    <w:p>
      <w:pPr>
        <w:ind w:left="1460" w:hanging="263"/>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which meets other tests described below, including with respect to the nature of its income and assets.</w:t>
      </w:r>
    </w:p>
    <w:p>
      <w:pPr>
        <w:spacing w:after="0" w:line="144" w:lineRule="exact"/>
        <w:rPr>
          <w:sz w:val="20"/>
          <w:szCs w:val="20"/>
          <w:color w:val="auto"/>
        </w:rPr>
      </w:pPr>
    </w:p>
    <w:p>
      <w:pPr>
        <w:ind w:right="60" w:firstLine="459"/>
        <w:spacing w:after="0" w:line="286" w:lineRule="auto"/>
        <w:rPr>
          <w:sz w:val="20"/>
          <w:szCs w:val="20"/>
          <w:color w:val="auto"/>
        </w:rPr>
      </w:pPr>
      <w:r>
        <w:rPr>
          <w:rFonts w:ascii="Arial" w:cs="Arial" w:eastAsia="Arial" w:hAnsi="Arial"/>
          <w:sz w:val="16"/>
          <w:szCs w:val="16"/>
          <w:color w:val="auto"/>
        </w:rPr>
        <w:t>The Internal Revenue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2008). Our amended and restated certificate of incorporation provides restrictions regarding the ownership and transfers of our stock, which are intended to assist us in satisfying the stock ownership requirements described in conditions (5)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above.</w:t>
      </w:r>
    </w:p>
    <w:p>
      <w:pPr>
        <w:spacing w:after="0" w:line="170" w:lineRule="exact"/>
        <w:rPr>
          <w:sz w:val="20"/>
          <w:szCs w:val="20"/>
          <w:color w:val="auto"/>
        </w:rPr>
      </w:pPr>
    </w:p>
    <w:p>
      <w:pPr>
        <w:ind w:right="80" w:firstLine="459"/>
        <w:spacing w:after="0" w:line="273" w:lineRule="auto"/>
        <w:rPr>
          <w:sz w:val="20"/>
          <w:szCs w:val="20"/>
          <w:color w:val="auto"/>
        </w:rPr>
      </w:pPr>
      <w:r>
        <w:rPr>
          <w:rFonts w:ascii="Arial" w:cs="Arial" w:eastAsia="Arial" w:hAnsi="Arial"/>
          <w:sz w:val="17"/>
          <w:szCs w:val="17"/>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stock and other information.</w:t>
      </w:r>
    </w:p>
    <w:p>
      <w:pPr>
        <w:spacing w:after="0" w:line="138"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In addition, a corporation generally may not elect to become a REIT unless its taxable year is the calendar year. We have adopted December 31 as our year-end, and thereby satisfy this requirement.</w:t>
      </w:r>
    </w:p>
    <w:p>
      <w:pPr>
        <w:spacing w:after="0" w:line="130"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The Internal Revenue Code provides relief from violations of the REIT gross income requirements, as described below under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“-Asset Tests” below) and other REIT requirements, again provided that the violation is due to reasonable cause and not willful neglect, and other conditions are met, including the payment of a penalty tax.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Subsidiary Entities</w:t>
      </w:r>
    </w:p>
    <w:p>
      <w:pPr>
        <w:spacing w:after="0" w:line="185" w:lineRule="exact"/>
        <w:rPr>
          <w:sz w:val="20"/>
          <w:szCs w:val="20"/>
          <w:color w:val="auto"/>
        </w:rPr>
      </w:pPr>
    </w:p>
    <w:p>
      <w:pPr>
        <w:ind w:right="100" w:firstLine="459"/>
        <w:spacing w:after="0" w:line="291" w:lineRule="auto"/>
        <w:rPr>
          <w:sz w:val="20"/>
          <w:szCs w:val="20"/>
          <w:color w:val="auto"/>
        </w:rPr>
      </w:pPr>
      <w:r>
        <w:rPr>
          <w:rFonts w:ascii="Arial" w:cs="Arial" w:eastAsia="Arial" w:hAnsi="Arial"/>
          <w:sz w:val="16"/>
          <w:szCs w:val="16"/>
          <w:i w:val="1"/>
          <w:iCs w:val="1"/>
          <w:color w:val="auto"/>
        </w:rPr>
        <w:t xml:space="preserve">Ownership of Partnership Interests. </w:t>
      </w:r>
      <w:r>
        <w:rPr>
          <w:rFonts w:ascii="Arial" w:cs="Arial" w:eastAsia="Arial" w:hAnsi="Arial"/>
          <w:sz w:val="16"/>
          <w:szCs w:val="16"/>
          <w:color w:val="auto"/>
        </w:rPr>
        <w:t>If we are a partner in an entity that is treated as a partnership for U.S. federal income tax purposes,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provide that we are deemed to own our proportionate share of the partnership's 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value prong of the 10% asset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27"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If we become a limited partner or non-managing member in any partnership or limited liability company and such entity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w:t>
      </w:r>
    </w:p>
    <w:p>
      <w:pPr>
        <w:spacing w:after="0" w:line="148" w:lineRule="exact"/>
        <w:rPr>
          <w:sz w:val="20"/>
          <w:szCs w:val="20"/>
          <w:color w:val="auto"/>
        </w:rPr>
      </w:pPr>
    </w:p>
    <w:p>
      <w:pPr>
        <w:ind w:right="100" w:firstLine="459"/>
        <w:spacing w:after="0" w:line="291" w:lineRule="auto"/>
        <w:rPr>
          <w:sz w:val="20"/>
          <w:szCs w:val="20"/>
          <w:color w:val="auto"/>
        </w:rPr>
      </w:pPr>
      <w:r>
        <w:rPr>
          <w:rFonts w:ascii="Arial" w:cs="Arial" w:eastAsia="Arial" w:hAnsi="Arial"/>
          <w:sz w:val="16"/>
          <w:szCs w:val="16"/>
          <w:i w:val="1"/>
          <w:iCs w:val="1"/>
          <w:color w:val="auto"/>
        </w:rPr>
        <w:t xml:space="preserve">Disregarded Subsidiaries. </w:t>
      </w:r>
      <w:r>
        <w:rPr>
          <w:rFonts w:ascii="Arial" w:cs="Arial" w:eastAsia="Arial" w:hAnsi="Arial"/>
          <w:sz w:val="16"/>
          <w:szCs w:val="16"/>
          <w:color w:val="auto"/>
        </w:rPr>
        <w:t>If we own a corporate subsidiary that is a “qualified REIT subsidiary,” that subsidiary is generally disregarded for U.S.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wholly-owned by a REIT. Other entities that are wholly-owned by us,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44" w:name="page45"/>
    <w:bookmarkEnd w:id="44"/>
    <w:p>
      <w:pPr>
        <w:ind w:firstLine="459"/>
        <w:spacing w:after="0" w:line="255" w:lineRule="auto"/>
        <w:rPr>
          <w:sz w:val="20"/>
          <w:szCs w:val="20"/>
          <w:color w:val="auto"/>
        </w:rPr>
      </w:pPr>
      <w:r>
        <w:rPr>
          <w:rFonts w:ascii="Arial" w:cs="Arial" w:eastAsia="Arial" w:hAnsi="Arial"/>
          <w:sz w:val="18"/>
          <w:szCs w:val="18"/>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“-Income Tests.”</w:t>
      </w:r>
    </w:p>
    <w:p>
      <w:pPr>
        <w:spacing w:after="0" w:line="153" w:lineRule="exact"/>
        <w:rPr>
          <w:sz w:val="20"/>
          <w:szCs w:val="20"/>
          <w:color w:val="auto"/>
        </w:rPr>
      </w:pPr>
    </w:p>
    <w:p>
      <w:pPr>
        <w:ind w:right="60" w:firstLine="459"/>
        <w:spacing w:after="0" w:line="297" w:lineRule="auto"/>
        <w:rPr>
          <w:sz w:val="20"/>
          <w:szCs w:val="20"/>
          <w:color w:val="auto"/>
        </w:rPr>
      </w:pPr>
      <w:r>
        <w:rPr>
          <w:rFonts w:ascii="Arial" w:cs="Arial" w:eastAsia="Arial" w:hAnsi="Arial"/>
          <w:sz w:val="16"/>
          <w:szCs w:val="16"/>
          <w:i w:val="1"/>
          <w:iCs w:val="1"/>
          <w:color w:val="auto"/>
        </w:rPr>
        <w:t xml:space="preserve">Taxable Subsidiaries. </w:t>
      </w:r>
      <w:r>
        <w:rPr>
          <w:rFonts w:ascii="Arial" w:cs="Arial" w:eastAsia="Arial" w:hAnsi="Arial"/>
          <w:sz w:val="16"/>
          <w:szCs w:val="16"/>
          <w:color w:val="auto"/>
        </w:rPr>
        <w:t>In general, we may jointly elect with a subsidiary corporation, whether or not wholly-owned, to treat such subsidiary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corporation generally is subject to corporate income tax on its earnings, which may reduce the cash flow that we and our subsidiaries generate in the aggregate, and may reduce our ability to make distributions to our stockholders.</w:t>
      </w:r>
    </w:p>
    <w:p>
      <w:pPr>
        <w:spacing w:after="0" w:line="118" w:lineRule="exact"/>
        <w:rPr>
          <w:sz w:val="20"/>
          <w:szCs w:val="20"/>
          <w:color w:val="auto"/>
        </w:rPr>
      </w:pPr>
    </w:p>
    <w:p>
      <w:pPr>
        <w:ind w:firstLine="459"/>
        <w:spacing w:after="0" w:line="291" w:lineRule="auto"/>
        <w:rPr>
          <w:sz w:val="20"/>
          <w:szCs w:val="20"/>
          <w:color w:val="auto"/>
        </w:rPr>
      </w:pPr>
      <w:r>
        <w:rPr>
          <w:rFonts w:ascii="Arial" w:cs="Arial" w:eastAsia="Arial" w:hAnsi="Arial"/>
          <w:sz w:val="16"/>
          <w:szCs w:val="16"/>
          <w:color w:val="auto"/>
        </w:rPr>
        <w:t>We are not treated as holding the assets of a TRS or other taxable subsidiary corporation or as receiving any income that the subsidiary earns. Rather, the stock issued by a taxable subsidiary to us is an asset in our hands, and we treat the dividends paid to us from such taxable subsidiary, if any, as income. This treatment can affect our income and asset test calculations, as described below. Because we do not include the assets and income of TRSs or other taxable subsidiary corporations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conduct activities that give rise to certain categories of income (such as management fees or certain income with respect to mortgage servicing rights) or to conduct activities that, if conducted by us directly, would be treated in our hands as prohibited transactions.</w:t>
      </w:r>
    </w:p>
    <w:p>
      <w:pPr>
        <w:spacing w:after="0" w:line="127" w:lineRule="exact"/>
        <w:rPr>
          <w:sz w:val="20"/>
          <w:szCs w:val="20"/>
          <w:color w:val="auto"/>
        </w:rPr>
      </w:pPr>
    </w:p>
    <w:p>
      <w:pPr>
        <w:ind w:right="40" w:firstLine="459"/>
        <w:spacing w:after="0" w:line="302" w:lineRule="auto"/>
        <w:rPr>
          <w:sz w:val="20"/>
          <w:szCs w:val="20"/>
          <w:color w:val="auto"/>
        </w:rPr>
      </w:pPr>
      <w:r>
        <w:rPr>
          <w:rFonts w:ascii="Arial" w:cs="Arial" w:eastAsia="Arial" w:hAnsi="Arial"/>
          <w:sz w:val="16"/>
          <w:szCs w:val="16"/>
          <w:color w:val="auto"/>
        </w:rPr>
        <w:t>The deductibility of interest paid or accrued by a TRS to its parent REIT could be limited under the Code. Accordingly, if we lend money to a TRS, the TRS may be unable to deduct all or a part of the interest paid on that loan, and the lack of an interest deduction could result in a material increase in the amount of tax paid by the TRS. Further, the rules impose a 100% excise tax on transactions between a TRS and its parent REIT or the REIT's tenants that are not conducted on an arm's-length basis. We intend that all of our transactions with our TRSs will be conducted on an arm's-length basis.</w:t>
      </w:r>
    </w:p>
    <w:p>
      <w:pPr>
        <w:spacing w:after="0" w:line="114"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color w:val="auto"/>
        </w:rPr>
        <w:t>We may hold a significant amount of assets in one or more TRSs, subject to the limitation that securities in TRSs may not represent more than 20% of our assets. In general, we intend that loans that we originate or buy with an intention of selling in a manner that might expose us to a 100% tax on “prohibited transactions” will be originated or sold by a TRS. We anticipate that the TRS through which any such sales are made may be treated as a dealer for U.S. federal income tax purposes. As a dealer, the TRS may in general mark all the loans it holds on the last day of each taxable year to their market value, and may recognize ordinary income or loss on such loans with respect to such taxable year as if they had been sold for that value on that day. In addition, the TRS may further elect to be subject to the mark-to-market regime described above in the event that the TRS is properly classified as a “trader” as opposed to a “dealer” for U.S. federal income tax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Tests</w:t>
      </w:r>
    </w:p>
    <w:p>
      <w:pPr>
        <w:spacing w:after="0" w:line="185" w:lineRule="exact"/>
        <w:rPr>
          <w:sz w:val="20"/>
          <w:szCs w:val="20"/>
          <w:color w:val="auto"/>
        </w:rPr>
      </w:pPr>
    </w:p>
    <w:p>
      <w:pPr>
        <w:ind w:right="160" w:firstLine="459"/>
        <w:spacing w:after="0" w:line="253" w:lineRule="auto"/>
        <w:rPr>
          <w:sz w:val="20"/>
          <w:szCs w:val="20"/>
          <w:color w:val="auto"/>
        </w:rPr>
      </w:pPr>
      <w:r>
        <w:rPr>
          <w:rFonts w:ascii="Arial" w:cs="Arial" w:eastAsia="Arial" w:hAnsi="Arial"/>
          <w:sz w:val="18"/>
          <w:szCs w:val="18"/>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interest income derived from mortgage loans secured by real property (including, generally, agency securities and certain other types of mortgage-backed securities), “rents from real property,” dividends received from other REITs, and gains from the sale of real property, mortgages on real property, and shares in other REITs,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w:t>
      </w:r>
    </w:p>
    <w:p>
      <w:pPr>
        <w:spacing w:after="0" w:line="157" w:lineRule="exact"/>
        <w:rPr>
          <w:sz w:val="20"/>
          <w:szCs w:val="20"/>
          <w:color w:val="auto"/>
        </w:rPr>
      </w:pPr>
    </w:p>
    <w:p>
      <w:pPr>
        <w:ind w:right="40" w:firstLine="459"/>
        <w:spacing w:after="0" w:line="276" w:lineRule="auto"/>
        <w:rPr>
          <w:sz w:val="20"/>
          <w:szCs w:val="20"/>
          <w:color w:val="auto"/>
        </w:rPr>
      </w:pPr>
      <w:r>
        <w:rPr>
          <w:rFonts w:ascii="Arial" w:cs="Arial" w:eastAsia="Arial" w:hAnsi="Arial"/>
          <w:sz w:val="17"/>
          <w:szCs w:val="17"/>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45" w:name="page46"/>
    <w:bookmarkEnd w:id="45"/>
    <w:p>
      <w:pPr>
        <w:ind w:right="160"/>
        <w:spacing w:after="0" w:line="264" w:lineRule="auto"/>
        <w:rPr>
          <w:sz w:val="20"/>
          <w:szCs w:val="20"/>
          <w:color w:val="auto"/>
        </w:rPr>
      </w:pPr>
      <w:r>
        <w:rPr>
          <w:rFonts w:ascii="Arial" w:cs="Arial" w:eastAsia="Arial" w:hAnsi="Arial"/>
          <w:sz w:val="18"/>
          <w:szCs w:val="18"/>
          <w:color w:val="auto"/>
        </w:rPr>
        <w:t>that the interest is allocable to the real property. In certain cases, personal property collateral securing a loan that we hold may be treated as real property for purposes of the foregoing rules. Even if a loan is not secured by real property, or is undersecured, the income that it generates may nonetheless qualify for purposes of the 95% gross income test.</w:t>
      </w:r>
    </w:p>
    <w:p>
      <w:pPr>
        <w:spacing w:after="0" w:line="141" w:lineRule="exact"/>
        <w:rPr>
          <w:sz w:val="20"/>
          <w:szCs w:val="20"/>
          <w:color w:val="auto"/>
        </w:rPr>
      </w:pPr>
    </w:p>
    <w:p>
      <w:pPr>
        <w:ind w:right="20" w:firstLine="459"/>
        <w:spacing w:after="0" w:line="287" w:lineRule="auto"/>
        <w:rPr>
          <w:sz w:val="20"/>
          <w:szCs w:val="20"/>
          <w:color w:val="auto"/>
        </w:rPr>
      </w:pPr>
      <w:r>
        <w:rPr>
          <w:rFonts w:ascii="Arial" w:cs="Arial" w:eastAsia="Arial" w:hAnsi="Arial"/>
          <w:sz w:val="16"/>
          <w:szCs w:val="16"/>
          <w:color w:val="auto"/>
        </w:rPr>
        <w:t>We intend to continue to invest primarily in agency securities that are either pass-through certificates or collateralized mortgage obligations (“CMOs”). We expect that the agency securities will be treated either as interests in a grantor trust or as interests in a real estate mortgage investment conduit (“REMIC”) for U.S. federal income tax purposes and that all interest income from our agency securities will be qualifying income for the 95% gross income test. In the case of an agency securities treated as interests in grantor trusts, we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In the case of agency securities treated as interests in a REMIC, income derived from REMIC interests will generally be treated as qualifying income for purposes of the 75% and 95% gross income tests.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 of the related REMIC securities. We expect that substantially all of our income from agency securities will be qualifying income for purposes of the REIT gross income tests.</w:t>
      </w:r>
    </w:p>
    <w:p>
      <w:pPr>
        <w:spacing w:after="0" w:line="132"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color w:val="auto"/>
        </w:rPr>
        <w:t>We purchase and sell agency securities through “to-be-announced” forward contracts (“TBAs”) and recognize income or gains from the disposition of those TBAs, through dollar roll transactions or otherwise, and may continue to do so in the future.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as qualifying income for purposes of the 75% gross income test, based on an opinion of Skadden, Arps, Slate, Meagher &amp; Flom LLP substantially to the effect that,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income is not qualifying income. If the IRS were to successfully challenge the opinion of Skadden, Arps, Slate, Meagher &amp; Flom LLP, we could be subject to a penalty tax or we could fail to qualify as a REIT if a sufficient portion of our income consists of income or gains from the disposition of TBAs.</w:t>
      </w:r>
    </w:p>
    <w:p>
      <w:pPr>
        <w:spacing w:after="0" w:line="139"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Rents received by us, if any, will qualify as “rents from real property” in satisfying the gross income requirements described above only if several conditions are met. If rent is partly attributable to personal property leased in connection with a lease of real property, the portion of the rent that is attributable to the personal property will not qualify as “rents from real property” unless it constitutes 15% or less of the total rent received under the lease. In addition, the amount of rent must not be based in whole or in part on the income or profits of any person. Amounts received as rent, however, generally will not be excluded from rents from real property solely by reason of being based on fixed percentages of gross receipts or sales. Also, rental income will qualify as rents from real property only to the extent that we do not directly or constructively hold a 10% or greater interest, as measured by vote or value, in the lessee's equity.</w:t>
      </w:r>
    </w:p>
    <w:p>
      <w:pPr>
        <w:spacing w:after="0" w:line="149" w:lineRule="exact"/>
        <w:rPr>
          <w:sz w:val="20"/>
          <w:szCs w:val="20"/>
          <w:color w:val="auto"/>
        </w:rPr>
      </w:pPr>
    </w:p>
    <w:p>
      <w:pPr>
        <w:ind w:right="20" w:firstLine="459"/>
        <w:spacing w:after="0" w:line="279" w:lineRule="auto"/>
        <w:rPr>
          <w:sz w:val="20"/>
          <w:szCs w:val="20"/>
          <w:color w:val="auto"/>
        </w:rPr>
      </w:pPr>
      <w:r>
        <w:rPr>
          <w:rFonts w:ascii="Arial" w:cs="Arial" w:eastAsia="Arial" w:hAnsi="Arial"/>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 REIT, however, will be qualifying income for purposes of both the 95% and 75% gross income tests.</w:t>
      </w:r>
    </w:p>
    <w:p>
      <w:pPr>
        <w:spacing w:after="0" w:line="131"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Fees will generally be qualifying income for purposes of both the 75% and 95% gross income tests if they are received in consideration for entering into an agreement to make a loan secured by real property and the fees are not determined by income and profits. Other fees generally will not be qualifying income for purposes of either gross income test and will not be favorably counted for purposes of either gross income test. Any fees earned by our TRS will not be included for purposes of the gross income tests. Any income or gain that we or our pass-through subsidiaries derive from instruments that hedge certain risks, such as the risk of changes in interest rates, will be excluded from gross income for purposes of both the 75% and 95% gross income tests (i.e., will be excluded from both the numerator and the denominator), provided that specified requirements are met, including the requirement that the instrument is entered into during the ordinary course of our business, the instrument hedges certain specified risks, such as risks associated with indebtedness issued by us or a pass-through subsidiary that is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46" w:name="page47"/>
    <w:bookmarkEnd w:id="46"/>
    <w:p>
      <w:pPr>
        <w:ind w:right="120"/>
        <w:spacing w:after="0" w:line="264" w:lineRule="auto"/>
        <w:rPr>
          <w:sz w:val="20"/>
          <w:szCs w:val="20"/>
          <w:color w:val="auto"/>
        </w:rPr>
      </w:pPr>
      <w:r>
        <w:rPr>
          <w:rFonts w:ascii="Arial" w:cs="Arial" w:eastAsia="Arial" w:hAnsi="Arial"/>
          <w:sz w:val="18"/>
          <w:szCs w:val="18"/>
          <w:color w:val="auto"/>
        </w:rPr>
        <w:t>incurred to acquire or carry “real estate assets” (as described below under “-Asset Tests”), and the instrument is properly identified as a hedge along with the risk that it hedges within prescribed time periods. Income and gain from all other hedging transactions will not be qualifying income for either the 95% or 75% gross income test.</w:t>
      </w:r>
    </w:p>
    <w:p>
      <w:pPr>
        <w:spacing w:after="0" w:line="141" w:lineRule="exact"/>
        <w:rPr>
          <w:sz w:val="20"/>
          <w:szCs w:val="20"/>
          <w:color w:val="auto"/>
        </w:rPr>
      </w:pPr>
    </w:p>
    <w:p>
      <w:pPr>
        <w:ind w:right="120" w:firstLine="459"/>
        <w:spacing w:after="0" w:line="270" w:lineRule="auto"/>
        <w:rPr>
          <w:sz w:val="20"/>
          <w:szCs w:val="20"/>
          <w:color w:val="auto"/>
        </w:rPr>
      </w:pPr>
      <w:r>
        <w:rPr>
          <w:rFonts w:ascii="Arial" w:cs="Arial" w:eastAsia="Arial" w:hAnsi="Arial"/>
          <w:sz w:val="17"/>
          <w:szCs w:val="17"/>
          <w:color w:val="auto"/>
        </w:rPr>
        <w:t>If we fail to satisfy one or both of the 75% or 95% gross income tests for any taxable year, including as a result of income and gains from the disposition of TBAs being treated as nonqualifying income for purposes of the 75% gross income test, we may still qualify as a REIT for such year if we are entitled to relief under applicable provisions of the Internal Revenue Code. These relief 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yet to be issued. It is not possible to state whether we would be entitled to the benefit of these relief provisions in all circumstances. If these relief provisions are inapplicable to a particular set of circumstances, we will not qualify as a REIT. As discussed above under “-Taxation of REITs in General,” even where these relief provisions apply, the Internal Revenue Code imposes a tax based upon the amount by which we fail to satisfy the particular gross income test.</w:t>
      </w:r>
    </w:p>
    <w:p>
      <w:pPr>
        <w:spacing w:after="0" w:line="141" w:lineRule="exact"/>
        <w:rPr>
          <w:sz w:val="20"/>
          <w:szCs w:val="20"/>
          <w:color w:val="auto"/>
        </w:rPr>
      </w:pPr>
    </w:p>
    <w:p>
      <w:pPr>
        <w:ind w:right="280" w:firstLine="459"/>
        <w:spacing w:after="0" w:line="264" w:lineRule="auto"/>
        <w:rPr>
          <w:sz w:val="20"/>
          <w:szCs w:val="20"/>
          <w:color w:val="auto"/>
        </w:rPr>
      </w:pPr>
      <w:r>
        <w:rPr>
          <w:rFonts w:ascii="Arial" w:cs="Arial" w:eastAsia="Arial" w:hAnsi="Arial"/>
          <w:sz w:val="18"/>
          <w:szCs w:val="18"/>
          <w:color w:val="auto"/>
        </w:rPr>
        <w:t>Under The Housing and Economic Recovery Tax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Tests</w:t>
      </w:r>
    </w:p>
    <w:p>
      <w:pPr>
        <w:spacing w:after="0" w:line="185"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At the close of each calendar quarter, we must also satisfy five tests relating to the nature of our assets. First, at least 75% of the value of our total assets must be represented by some combination of “real estate assets,” cash, cash items (including certain money market funds), U.S. government securities, and, under some circumstances, stock or debt instruments purchased with new capital. For this purpose, real estate assets include some kinds of mortgage-backed securities and mortgage loans, debt instruments (whether or not secured by real property) that are issued by a “publicly offered REIT” (i.e., a REIT that is required to file annual and periodic reports with the Securities and Exchange Commission under the Securities Exchange Act of 1934), as well as interests in real property and stock of other corporations that qualify as REITs. Assets that do not qualify for purposes of the 75% asset test are subject to the additional asset tests described below.</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185" w:lineRule="exact"/>
        <w:rPr>
          <w:sz w:val="20"/>
          <w:szCs w:val="20"/>
          <w:color w:val="auto"/>
        </w:rPr>
      </w:pPr>
    </w:p>
    <w:p>
      <w:pPr>
        <w:ind w:right="100" w:firstLine="459"/>
        <w:spacing w:after="0" w:line="297" w:lineRule="auto"/>
        <w:rPr>
          <w:sz w:val="20"/>
          <w:szCs w:val="20"/>
          <w:color w:val="auto"/>
        </w:rPr>
      </w:pPr>
      <w:r>
        <w:rPr>
          <w:rFonts w:ascii="Arial" w:cs="Arial" w:eastAsia="Arial" w:hAnsi="Arial"/>
          <w:sz w:val="16"/>
          <w:szCs w:val="16"/>
          <w:color w:val="auto"/>
        </w:rPr>
        <w:t>Third, we may not own more than 10% of any one issuer's outstanding securities, as measured by either voting power or value. The 5% and 10% asset tests do not apply to securities of TRSs and qualified REIT subsidiaries and the value prong of the 10% asset test does not apply to “straight debt” having specified characteristics and to certain other securities described below. Solely for purposes of the value prong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Internal Revenue Code.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the aggregate value of all securities of TRSs that we hold may not exceed 20% of the value of our total assets.</w:t>
      </w:r>
    </w:p>
    <w:p>
      <w:pPr>
        <w:spacing w:after="0" w:line="185" w:lineRule="exact"/>
        <w:rPr>
          <w:sz w:val="20"/>
          <w:szCs w:val="20"/>
          <w:color w:val="auto"/>
        </w:rPr>
      </w:pPr>
    </w:p>
    <w:p>
      <w:pPr>
        <w:jc w:val="both"/>
        <w:ind w:right="180" w:firstLine="459"/>
        <w:spacing w:after="0" w:line="342" w:lineRule="auto"/>
        <w:rPr>
          <w:sz w:val="20"/>
          <w:szCs w:val="20"/>
          <w:color w:val="auto"/>
        </w:rPr>
      </w:pPr>
      <w:r>
        <w:rPr>
          <w:rFonts w:ascii="Arial" w:cs="Arial" w:eastAsia="Arial" w:hAnsi="Arial"/>
          <w:sz w:val="16"/>
          <w:szCs w:val="16"/>
          <w:color w:val="auto"/>
        </w:rPr>
        <w:t>Fifth, no more than 25% of the total value of our assets may be represented by “nonqualified publicly offered REIT debt instruments” (i.e., real estate assets that would cease to be real estate assets if debt instruments issued by publicly offered REITs were not included in the definition of real estate assets).</w:t>
      </w:r>
    </w:p>
    <w:p>
      <w:pPr>
        <w:spacing w:after="0" w:line="83" w:lineRule="exact"/>
        <w:rPr>
          <w:sz w:val="20"/>
          <w:szCs w:val="20"/>
          <w:color w:val="auto"/>
        </w:rPr>
      </w:pPr>
    </w:p>
    <w:p>
      <w:pPr>
        <w:ind w:right="20" w:firstLine="459"/>
        <w:spacing w:after="0" w:line="297" w:lineRule="auto"/>
        <w:rPr>
          <w:sz w:val="20"/>
          <w:szCs w:val="20"/>
          <w:color w:val="auto"/>
        </w:rPr>
      </w:pPr>
      <w:r>
        <w:rPr>
          <w:rFonts w:ascii="Arial" w:cs="Arial" w:eastAsia="Arial" w:hAnsi="Arial"/>
          <w:sz w:val="16"/>
          <w:szCs w:val="16"/>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 Similarly, although stock of another REIT is a qualifying asset for purposes of the REIT asset tests, any non-mortgage debt that is issued by a REIT that is not “publicly offered” may not so qualify (such debt, however, will not be treated as “securities” for purposes of the value prong of the 10% asset test, as explained below).</w:t>
      </w:r>
    </w:p>
    <w:p>
      <w:pPr>
        <w:spacing w:after="0" w:line="118"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Certain securities will not cause a violation of the value prong of the 10% asset test described above. Such securities include instruments that constitute “straight debt,” which term generally excludes,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Internal Revenue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47" w:name="page48"/>
    <w:bookmarkEnd w:id="47"/>
    <w:p>
      <w:pPr>
        <w:ind w:right="80"/>
        <w:spacing w:after="0" w:line="291" w:lineRule="auto"/>
        <w:rPr>
          <w:sz w:val="20"/>
          <w:szCs w:val="20"/>
          <w:color w:val="auto"/>
        </w:rPr>
      </w:pPr>
      <w:r>
        <w:rPr>
          <w:rFonts w:ascii="Arial" w:cs="Arial" w:eastAsia="Arial" w:hAnsi="Arial"/>
          <w:sz w:val="16"/>
          <w:szCs w:val="16"/>
          <w:color w:val="auto"/>
        </w:rPr>
        <w:t>Code provides that certain other securities will not violate the value prong of the 10% asset test. Such securities include (1) any loan made to an individual or an estate, (2) 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 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value prong of the 10% asset test, a debt security issued by a partnership is not taken into account to the extent, if any, of the REIT's proportionate interest in the equity and certain debt securities issued by that partnership.</w:t>
      </w:r>
    </w:p>
    <w:p>
      <w:pPr>
        <w:spacing w:after="0" w:line="127" w:lineRule="exact"/>
        <w:rPr>
          <w:sz w:val="20"/>
          <w:szCs w:val="20"/>
          <w:color w:val="auto"/>
        </w:rPr>
      </w:pPr>
    </w:p>
    <w:p>
      <w:pPr>
        <w:ind w:right="40" w:firstLine="459"/>
        <w:spacing w:after="0" w:line="290" w:lineRule="auto"/>
        <w:rPr>
          <w:sz w:val="20"/>
          <w:szCs w:val="20"/>
          <w:color w:val="auto"/>
        </w:rPr>
      </w:pPr>
      <w:r>
        <w:rPr>
          <w:rFonts w:ascii="Arial" w:cs="Arial" w:eastAsia="Arial" w:hAnsi="Arial"/>
          <w:sz w:val="16"/>
          <w:szCs w:val="16"/>
          <w:color w:val="auto"/>
        </w:rPr>
        <w:t>We intend to continue to invest primarily in agency securities that are either pass-through certificates or CMOs. We expect that the agency securities will be treated either as interests in grantor trusts or as interests in REMICs for U.S. federal income tax purposes. In the case of an agency securities treated as interests in grantor trusts, we would be treated as owning an undivided beneficial ownership interest in the mortgage loans held by the grantor trust. Such mortgage loans will generally qualify as real estate assets to the extent that they are secured by real property. We expect that substantially all of our agency securities treated as interests in grantor trust will qualify as real estate assets. In the case of agency securities treated as interests in a REMIC,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our interest in the REMIC and income derived from the interest will qualify for purposes of the REIT asset and income tests.</w:t>
      </w:r>
    </w:p>
    <w:p>
      <w:pPr>
        <w:spacing w:after="0" w:line="126" w:lineRule="exact"/>
        <w:rPr>
          <w:sz w:val="20"/>
          <w:szCs w:val="20"/>
          <w:color w:val="auto"/>
        </w:rPr>
      </w:pPr>
    </w:p>
    <w:p>
      <w:pPr>
        <w:jc w:val="both"/>
        <w:ind w:right="80" w:firstLine="459"/>
        <w:spacing w:after="0" w:line="312" w:lineRule="auto"/>
        <w:rPr>
          <w:sz w:val="20"/>
          <w:szCs w:val="20"/>
          <w:color w:val="auto"/>
        </w:rPr>
      </w:pPr>
      <w:r>
        <w:rPr>
          <w:rFonts w:ascii="Arial" w:cs="Arial" w:eastAsia="Arial" w:hAnsi="Arial"/>
          <w:sz w:val="16"/>
          <w:szCs w:val="16"/>
          <w:color w:val="auto"/>
        </w:rPr>
        <w:t>To the extent that we hold mortgage participations or mortgage-backed securities that do not represent REMIC interests, such assets may not qualify as real estate assets, and the income generated from them might not qualify for purposes of either or both of the REIT income requirements, depending upon the circumstances and the specific structure of the investment. Our ability to invest in those assets may be limited by our intention to qualify as a REIT.</w:t>
      </w:r>
    </w:p>
    <w:p>
      <w:pPr>
        <w:spacing w:after="0" w:line="106" w:lineRule="exact"/>
        <w:rPr>
          <w:sz w:val="20"/>
          <w:szCs w:val="20"/>
          <w:color w:val="auto"/>
        </w:rPr>
      </w:pPr>
    </w:p>
    <w:p>
      <w:pPr>
        <w:ind w:right="60" w:firstLine="459"/>
        <w:spacing w:after="0" w:line="297" w:lineRule="auto"/>
        <w:rPr>
          <w:sz w:val="20"/>
          <w:szCs w:val="20"/>
          <w:color w:val="auto"/>
        </w:rPr>
      </w:pPr>
      <w:r>
        <w:rPr>
          <w:rFonts w:ascii="Arial" w:cs="Arial" w:eastAsia="Arial" w:hAnsi="Arial"/>
          <w:sz w:val="16"/>
          <w:szCs w:val="16"/>
          <w:color w:val="auto"/>
        </w:rPr>
        <w:t>We enter into sale and repurchase agreements under which we nominally sell certain of our investments to a counterparty and simultaneously enter into an agreement to repurchase the sold assets in exchange for a purchase price that reflects a financing charge. We believe that we will generally be treated for REIT asset and income test purposes as the owner of the collateral that is the subject of any such agreement notwithstanding that such agreements may transfer record ownership of the assets to the counterparty during the term of the agreement. It is possible, however, that the IRS could assert that we did not own such collateral during the term of the sale and repurchase agreement, in which case we could fail to qualify as a REIT.</w:t>
      </w:r>
    </w:p>
    <w:p>
      <w:pPr>
        <w:spacing w:after="0" w:line="118"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We purchase and sell agency securities through TBAs and may continue to do so in the future. While there is no direct authority with respect to the qualification of TBAs as real estate assets or Government securities for purposes of the 75% asset test, we treat our TBAs as qualifying assets for purposes of the REIT asset tests, based on an opinion of Skadden, Arps, Slate, Meagher &amp; Flom LLP substantially to the effect that, for purposes of the REIT asset tests, our ownership of a TBA should be treated as ownership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are not qualifying assets. If the IRS were to successfully challenge the opinion of Skadden, Arps, Slate, Meagher &amp; Flom LLP, we could be subject to a penalty tax or we could fail to qualify as a REIT if a sufficient portion of our assets consists of TBAs.</w:t>
      </w:r>
    </w:p>
    <w:p>
      <w:pPr>
        <w:spacing w:after="0" w:line="141" w:lineRule="exact"/>
        <w:rPr>
          <w:sz w:val="20"/>
          <w:szCs w:val="20"/>
          <w:color w:val="auto"/>
        </w:rPr>
      </w:pPr>
    </w:p>
    <w:p>
      <w:pPr>
        <w:ind w:right="60" w:firstLine="459"/>
        <w:spacing w:after="0" w:line="297" w:lineRule="auto"/>
        <w:rPr>
          <w:sz w:val="20"/>
          <w:szCs w:val="20"/>
          <w:color w:val="auto"/>
        </w:rPr>
      </w:pPr>
      <w:r>
        <w:rPr>
          <w:rFonts w:ascii="Arial" w:cs="Arial" w:eastAsia="Arial" w:hAnsi="Arial"/>
          <w:sz w:val="16"/>
          <w:szCs w:val="16"/>
          <w:color w:val="auto"/>
        </w:rPr>
        <w:t>No independent appraisals have been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18" w:lineRule="exact"/>
        <w:rPr>
          <w:sz w:val="20"/>
          <w:szCs w:val="20"/>
          <w:color w:val="auto"/>
        </w:rPr>
      </w:pPr>
    </w:p>
    <w:p>
      <w:pPr>
        <w:ind w:right="120" w:firstLine="459"/>
        <w:spacing w:after="0" w:line="273" w:lineRule="auto"/>
        <w:rPr>
          <w:sz w:val="20"/>
          <w:szCs w:val="20"/>
          <w:color w:val="auto"/>
        </w:rPr>
      </w:pPr>
      <w:r>
        <w:rPr>
          <w:rFonts w:ascii="Arial" w:cs="Arial" w:eastAsia="Arial" w:hAnsi="Arial"/>
          <w:sz w:val="17"/>
          <w:szCs w:val="17"/>
          <w:color w:val="auto"/>
        </w:rPr>
        <w:t>However, certain relief provisions are available to allow REITs to satisfy the asset requirements or to maintain REIT qualification notwithstanding certain violations of the asset and other requirements. One such provision allows a REIT which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and (4) the REIT either disposes of the assets causing the failure within six months after the last day of the quarter in which it identifies the failure, or otherwise satisfies the relevant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asset tests within that time frame.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jc w:val="both"/>
        <w:ind w:right="10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(2) the REIT either disposes of the assets causing the failure within six months after the last day of the quarter in which it identifies the failure, or the relevant tests are otherwise satisfied within that time frame.</w:t>
      </w:r>
    </w:p>
    <w:p>
      <w:pPr>
        <w:spacing w:after="0" w:line="150"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If we should fail to satisfy the asset tests at the end of a calendar quarter, including any failure to satisfy the 75% asset test as a result of any investments in TBAs, such a failure would not cause us to lose our REIT qualification if we (1) satisfied the asset tests at the close of the preceding calendar quarter and (2) the discrepancy between the value of our assets and the asset requirements was not wholly or partly caused by an acquisition of non-qualifying assets, but instead arose from changes in the market value of our assets. If the condition described in (2) were not satisfied, we still could avoid disqualification by eliminating any discrepancy within 30 days after the close of the calendar quarter in which it arose or by making use of relief provisions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Distribution Requirements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stockholders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70" w:lineRule="exact"/>
        <w:rPr>
          <w:sz w:val="20"/>
          <w:szCs w:val="20"/>
          <w:color w:val="auto"/>
        </w:rPr>
      </w:pPr>
    </w:p>
    <w:p>
      <w:pPr>
        <w:ind w:left="720" w:hanging="253"/>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84" w:lineRule="exact"/>
        <w:rPr>
          <w:rFonts w:ascii="Arial" w:cs="Arial" w:eastAsia="Arial" w:hAnsi="Arial"/>
          <w:sz w:val="18"/>
          <w:szCs w:val="18"/>
          <w:color w:val="auto"/>
        </w:rPr>
      </w:pPr>
    </w:p>
    <w:p>
      <w:pPr>
        <w:ind w:left="960" w:hanging="250"/>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our net capital gains and the deduction for dividends paid, and</w:t>
      </w:r>
    </w:p>
    <w:p>
      <w:pPr>
        <w:spacing w:after="0" w:line="184" w:lineRule="exact"/>
        <w:rPr>
          <w:rFonts w:ascii="Arial" w:cs="Arial" w:eastAsia="Arial" w:hAnsi="Arial"/>
          <w:sz w:val="18"/>
          <w:szCs w:val="18"/>
          <w:color w:val="auto"/>
        </w:rPr>
      </w:pPr>
    </w:p>
    <w:p>
      <w:pPr>
        <w:ind w:left="960" w:hanging="250"/>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90% of our net income, if any, (after tax) from foreclosure property (as described below), minus</w:t>
      </w:r>
    </w:p>
    <w:p>
      <w:pPr>
        <w:spacing w:after="0" w:line="184" w:lineRule="exact"/>
        <w:rPr>
          <w:rFonts w:ascii="Arial" w:cs="Arial" w:eastAsia="Arial" w:hAnsi="Arial"/>
          <w:sz w:val="18"/>
          <w:szCs w:val="18"/>
          <w:color w:val="auto"/>
        </w:rPr>
      </w:pPr>
    </w:p>
    <w:p>
      <w:pPr>
        <w:ind w:right="60" w:firstLine="467"/>
        <w:spacing w:after="0" w:line="277" w:lineRule="auto"/>
        <w:tabs>
          <w:tab w:leader="none" w:pos="7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gains and the deduction for dividends paid.</w:t>
      </w:r>
    </w:p>
    <w:p>
      <w:pPr>
        <w:spacing w:after="0" w:line="130" w:lineRule="exact"/>
        <w:rPr>
          <w:sz w:val="20"/>
          <w:szCs w:val="20"/>
          <w:color w:val="auto"/>
        </w:rPr>
      </w:pPr>
    </w:p>
    <w:p>
      <w:pPr>
        <w:ind w:right="160" w:firstLine="459"/>
        <w:spacing w:after="0" w:line="297" w:lineRule="auto"/>
        <w:rPr>
          <w:sz w:val="20"/>
          <w:szCs w:val="20"/>
          <w:color w:val="auto"/>
        </w:rPr>
      </w:pPr>
      <w:r>
        <w:rPr>
          <w:rFonts w:ascii="Arial" w:cs="Arial" w:eastAsia="Arial" w:hAnsi="Arial"/>
          <w:sz w:val="16"/>
          <w:szCs w:val="16"/>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If we cease to be a “publicly offered REIT,” then in order for distributions to be counted as satisfying the annual distribution requirements for REITs, and to provide us with a tax deduction, the distributions must not be “preferential dividends.” A dividend is not a preferential dividend if the distribution is (1) pro rata among all outstanding shares of stock within a particular class, and (2) in accordance with the preferences among different classes of stock as set forth in our organizational documents.</w:t>
      </w:r>
    </w:p>
    <w:p>
      <w:pPr>
        <w:spacing w:after="0" w:line="118" w:lineRule="exact"/>
        <w:rPr>
          <w:sz w:val="20"/>
          <w:szCs w:val="20"/>
          <w:color w:val="auto"/>
        </w:rPr>
      </w:pPr>
    </w:p>
    <w:p>
      <w:pPr>
        <w:ind w:right="60" w:firstLine="459"/>
        <w:spacing w:after="0" w:line="286" w:lineRule="auto"/>
        <w:rPr>
          <w:sz w:val="20"/>
          <w:szCs w:val="20"/>
          <w:color w:val="auto"/>
        </w:rPr>
      </w:pPr>
      <w:r>
        <w:rPr>
          <w:rFonts w:ascii="Arial" w:cs="Arial" w:eastAsia="Arial" w:hAnsi="Arial"/>
          <w:sz w:val="16"/>
          <w:szCs w:val="16"/>
          <w:color w:val="auto"/>
        </w:rPr>
        <w:t>To the extent that we distribute at least 90%, but less than 100%, of our “REIT taxable income,” as adjusted, we will be subject to tax at ordinary corporate tax rates on the retained portion. We may elect to retain, rather than distribute, our net long-term capital gains and pay tax on such gains.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w:t>
      </w:r>
    </w:p>
    <w:p>
      <w:pPr>
        <w:spacing w:after="0" w:line="2" w:lineRule="exact"/>
        <w:rPr>
          <w:sz w:val="20"/>
          <w:szCs w:val="20"/>
          <w:color w:val="auto"/>
        </w:rPr>
      </w:pPr>
    </w:p>
    <w:p>
      <w:pPr>
        <w:ind w:right="120" w:firstLine="8"/>
        <w:spacing w:after="0" w:line="261"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of capital gain dividends that we designated and that they include in their taxable income, minus (b) the tax that we paid on their behalf with respect to that income.</w:t>
      </w:r>
    </w:p>
    <w:p>
      <w:pPr>
        <w:spacing w:after="0" w:line="143"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subject to limitations, reduce the amount of distributions that we must make in order to comply with the REIT distribution requirements. Such losses, however, will generally not affect the character, in the hands of our stockholders, of any distributions that are actually made as ordinary dividends or capital gains. See “-Taxation of Stockholders-Taxation of Taxable Domestic Stockholders-Distributions.”</w:t>
      </w:r>
    </w:p>
    <w:p>
      <w:pPr>
        <w:spacing w:after="0" w:line="146"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plus (y) the amounts of income we retained and on which we have paid corporate income tax.</w:t>
      </w:r>
    </w:p>
    <w:p>
      <w:pPr>
        <w:spacing w:after="0" w:line="146" w:lineRule="exact"/>
        <w:rPr>
          <w:sz w:val="20"/>
          <w:szCs w:val="20"/>
          <w:color w:val="auto"/>
        </w:rPr>
      </w:pPr>
    </w:p>
    <w:p>
      <w:pPr>
        <w:ind w:right="140" w:firstLine="459"/>
        <w:spacing w:after="0" w:line="264" w:lineRule="auto"/>
        <w:rPr>
          <w:sz w:val="20"/>
          <w:szCs w:val="20"/>
          <w:color w:val="auto"/>
        </w:rPr>
      </w:pPr>
      <w:r>
        <w:rPr>
          <w:rFonts w:ascii="Arial" w:cs="Arial" w:eastAsia="Arial" w:hAnsi="Arial"/>
          <w:sz w:val="18"/>
          <w:szCs w:val="18"/>
          <w:color w:val="auto"/>
        </w:rPr>
        <w:t>It is possible that, from time to time, we may not have sufficient cash to meet the distribution requirements due to timing differences between (a) our actual receipt of cash, including receipt of distributions from any subsidiaries, or the actual payment of deductible expenses and (b) our inclusion of items in income or deduction, as applicable, for U.S. federal income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49" w:name="page50"/>
    <w:bookmarkEnd w:id="49"/>
    <w:p>
      <w:pPr>
        <w:ind w:right="380"/>
        <w:spacing w:after="0" w:line="277" w:lineRule="auto"/>
        <w:rPr>
          <w:sz w:val="20"/>
          <w:szCs w:val="20"/>
          <w:color w:val="auto"/>
        </w:rPr>
      </w:pPr>
      <w:r>
        <w:rPr>
          <w:rFonts w:ascii="Arial" w:cs="Arial" w:eastAsia="Arial" w:hAnsi="Arial"/>
          <w:sz w:val="18"/>
          <w:szCs w:val="18"/>
          <w:color w:val="auto"/>
        </w:rPr>
        <w:t>tax purposes. For example, the Code contains various limitations on the deductibility of interest and other expenses and various rules that may accelerate income before the receipt of cash. Other potential sources of non-cash taxable income include:</w:t>
      </w:r>
    </w:p>
    <w:p>
      <w:pPr>
        <w:spacing w:after="0" w:line="116" w:lineRule="exact"/>
        <w:rPr>
          <w:sz w:val="20"/>
          <w:szCs w:val="20"/>
          <w:color w:val="auto"/>
        </w:rPr>
      </w:pPr>
    </w:p>
    <w:p>
      <w:pPr>
        <w:ind w:left="1300" w:right="300" w:hanging="729"/>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loans or mortgage-backed securities held as assets that are issued or purchased at a discount and require the accrual of taxable economic interest in advance of receipt in cash; and</w:t>
      </w:r>
    </w:p>
    <w:p>
      <w:pPr>
        <w:spacing w:after="0" w:line="8" w:lineRule="exact"/>
        <w:rPr>
          <w:rFonts w:ascii="Arial" w:cs="Arial" w:eastAsia="Arial" w:hAnsi="Arial"/>
          <w:sz w:val="18"/>
          <w:szCs w:val="18"/>
          <w:color w:val="auto"/>
        </w:rPr>
      </w:pPr>
    </w:p>
    <w:p>
      <w:pPr>
        <w:ind w:left="1300" w:right="280" w:hanging="729"/>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loans on which the borrower is permitted to defer cash payments of interest, and distressed loans on which we may be required to accrue taxable interest income even though the borrower is unable to make current servicing payments in cash.</w:t>
      </w:r>
    </w:p>
    <w:p>
      <w:pPr>
        <w:spacing w:after="0" w:line="157"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In the event that such timing differences occur, in order to meet the distribution requirements, it might be necessary for us to arrange for short-term, or possibly long-term, borrowings, or to pay dividends in the form of taxable in-kind distributions of property. Alternatively, we may declare a taxable distribution payable in cash or stock at the election of each stockholder, where the aggregate amount of cash to be distributed in such distribution may be subject to limitation. In such case, for U.S. federal income tax purposes, the amount of the distribution paid in stock will be equal to the amount of cash that could have been received instead of stock.</w:t>
      </w:r>
    </w:p>
    <w:p>
      <w:pPr>
        <w:spacing w:after="0" w:line="148"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We may be able to rectify a failure to meet the distribution requirements for a year by paying “deficiency dividends” to stockholders in a later year, which may be included in our deduction for dividends paid for the earlier year. In this case, we may be able to avoid losing REIT qualification or being taxed on amounts distributed as deficiency dividends. We will be required to pay interest and a penalty based on the amount of any deduction taken for deficiency dividends.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Transactions</w:t>
      </w:r>
    </w:p>
    <w:p>
      <w:pPr>
        <w:spacing w:after="0" w:line="185" w:lineRule="exact"/>
        <w:rPr>
          <w:sz w:val="20"/>
          <w:szCs w:val="20"/>
          <w:color w:val="auto"/>
        </w:rPr>
      </w:pPr>
    </w:p>
    <w:p>
      <w:pPr>
        <w:ind w:right="140" w:firstLine="459"/>
        <w:spacing w:after="0" w:line="289" w:lineRule="auto"/>
        <w:rPr>
          <w:sz w:val="20"/>
          <w:szCs w:val="20"/>
          <w:color w:val="auto"/>
        </w:rPr>
      </w:pPr>
      <w:r>
        <w:rPr>
          <w:rFonts w:ascii="Arial" w:cs="Arial" w:eastAsia="Arial" w:hAnsi="Arial"/>
          <w:sz w:val="16"/>
          <w:szCs w:val="16"/>
          <w:color w:val="auto"/>
        </w:rPr>
        <w:t>Net income that we derive from a prohibited transaction is subject to a 100% tax. The term “prohibited transaction” generally includes a sale or other disposition of property (other than foreclosure property, as discussed below) that is held primarily for sale to customers in the ordinary course of a trade or business by us or by a borrower that has issued a shared appreciation mortgage or similar debt instrument to us. We intend to conduct our operations so that no asset that we own (or are treated as owning) will be treated as, or as having been, held for sale to customers, and that a sale of any such asset will not be treated as having been in the ordinary course of our business.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 Property</w:t>
      </w:r>
    </w:p>
    <w:p>
      <w:pPr>
        <w:spacing w:after="0" w:line="185"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 We generally will be subject to tax at the maximum corporate rate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Because we will invest primarily in agency securities, we do not anticipate receiving any income from foreclosure property that does not qualify for purposes of the 75% gross income test.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Transactions</w:t>
      </w:r>
    </w:p>
    <w:p>
      <w:pPr>
        <w:spacing w:after="0" w:line="185" w:lineRule="exact"/>
        <w:rPr>
          <w:sz w:val="20"/>
          <w:szCs w:val="20"/>
          <w:color w:val="auto"/>
        </w:rPr>
      </w:pPr>
    </w:p>
    <w:p>
      <w:pPr>
        <w:ind w:right="80" w:firstLine="459"/>
        <w:spacing w:after="0" w:line="271" w:lineRule="auto"/>
        <w:rPr>
          <w:sz w:val="20"/>
          <w:szCs w:val="20"/>
          <w:color w:val="auto"/>
        </w:rPr>
      </w:pPr>
      <w:r>
        <w:rPr>
          <w:rFonts w:ascii="Arial" w:cs="Arial" w:eastAsia="Arial" w:hAnsi="Arial"/>
          <w:sz w:val="17"/>
          <w:szCs w:val="17"/>
          <w:color w:val="auto"/>
        </w:rPr>
        <w:t>We and our subsidiaries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we enter into, including gain from the sale, disposition, or termination of such a transaction, will not constitute gross income for purposes of the 75% or 95% gross income test if we properly identify the transaction as specified in applicable Treasury regulations and we enter into such transaction (1) in the normal course of our business primarily to manage risk of interest rate or price changes or currency fluctuations with respect to borrowings made or to be made, or ordinary obligations incurred or to be incurred, to acquire or carry real estate assets, (2) primarily to manage risk of currency fluctuations with respect to any item of income or gain that would be qualifying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50" w:name="page51"/>
    <w:bookmarkEnd w:id="50"/>
    <w:p>
      <w:pPr>
        <w:ind w:right="20"/>
        <w:spacing w:after="0" w:line="289" w:lineRule="auto"/>
        <w:rPr>
          <w:sz w:val="20"/>
          <w:szCs w:val="20"/>
          <w:color w:val="auto"/>
        </w:rPr>
      </w:pPr>
      <w:r>
        <w:rPr>
          <w:rFonts w:ascii="Arial" w:cs="Arial" w:eastAsia="Arial" w:hAnsi="Arial"/>
          <w:sz w:val="16"/>
          <w:szCs w:val="16"/>
          <w:color w:val="auto"/>
        </w:rPr>
        <w:t>income under the 75% or 95% gross income tests (or any asset that produces such income), or (3) in connection with the extinguishment of indebtedness with respect to which we have entered into a qualified hedging position described in clause (1) or the disposition of property with respect to which we have entered into a qualified hedging position described in clause (2), primarily to manage the risks of such hedging positions.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We may conduct some or all of our hedging activities (including hedging activities relating to currency risk) through our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w:t>
      </w:r>
    </w:p>
    <w:p>
      <w:pPr>
        <w:spacing w:after="0" w:line="185"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if our failure is due to reasonable cause and not to willful neglect and we pay a penalty of $50,000 for each such failure. Relief provisions are available for failures of the income tests and asset tests, as described above in “-Income Tests” and “-Asset Tests.”</w:t>
      </w:r>
    </w:p>
    <w:p>
      <w:pPr>
        <w:spacing w:after="0" w:line="141"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If we fail to qualify for taxation as a REIT in any taxable year, and the relief provisions described above do not apply, we would be subject to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most domestic stockholders that are individuals, trusts and estates will generally be taxable at capital gains rates. In addition, subject to the limitations of the Internal Revenue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Taxable Domestic Stockholders</w:t>
      </w:r>
    </w:p>
    <w:p>
      <w:pPr>
        <w:spacing w:after="0" w:line="185"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i w:val="1"/>
          <w:iCs w:val="1"/>
          <w:color w:val="auto"/>
        </w:rPr>
        <w:t xml:space="preserve">Distributions. </w:t>
      </w:r>
      <w:r>
        <w:rPr>
          <w:rFonts w:ascii="Arial" w:cs="Arial" w:eastAsia="Arial" w:hAnsi="Arial"/>
          <w:sz w:val="18"/>
          <w:szCs w:val="18"/>
          <w:color w:val="auto"/>
        </w:rPr>
        <w:t>So long as we qualify as a REIT, the distributions that we make to our taxable domestic stockholders out of current or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profits that we do not designate as capital gain dividends will generally be taken into account by stockholders as ordinary income and will not be eligible for the dividends received deduction for corporations. With limited exceptions, our dividends are not eligible for taxation at the preferential income tax rates for qualified dividends received by most domestic stockholders that are individuals, trusts and estates from taxable C corporations. Such stockholders, however, are taxed at the preferential rates on dividends designated by and received from REITs to the extent that the dividends are attributable to:</w:t>
      </w:r>
    </w:p>
    <w:p>
      <w:pPr>
        <w:spacing w:after="0" w:line="139" w:lineRule="exact"/>
        <w:rPr>
          <w:sz w:val="20"/>
          <w:szCs w:val="20"/>
          <w:color w:val="auto"/>
        </w:rPr>
      </w:pPr>
    </w:p>
    <w:p>
      <w:pPr>
        <w:ind w:left="1300" w:hanging="729"/>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income retained by the REIT in the prior taxable year on which the REIT was subject to corporate level income tax (less the amount of tax);</w:t>
      </w:r>
    </w:p>
    <w:p>
      <w:pPr>
        <w:spacing w:after="0" w:line="86" w:lineRule="exact"/>
        <w:rPr>
          <w:rFonts w:ascii="Arial" w:cs="Arial" w:eastAsia="Arial" w:hAnsi="Arial"/>
          <w:sz w:val="16"/>
          <w:szCs w:val="16"/>
          <w:color w:val="auto"/>
        </w:rPr>
      </w:pPr>
    </w:p>
    <w:p>
      <w:pPr>
        <w:ind w:left="1300" w:hanging="729"/>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 corporations; or</w:t>
      </w:r>
    </w:p>
    <w:p>
      <w:pPr>
        <w:spacing w:after="0" w:line="63" w:lineRule="exact"/>
        <w:rPr>
          <w:rFonts w:ascii="Arial" w:cs="Arial" w:eastAsia="Arial" w:hAnsi="Arial"/>
          <w:sz w:val="18"/>
          <w:szCs w:val="18"/>
          <w:color w:val="auto"/>
        </w:rPr>
      </w:pPr>
    </w:p>
    <w:p>
      <w:pPr>
        <w:ind w:left="1300" w:right="760" w:hanging="729"/>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subject to tax with respect to the prior taxable year from the sales of “built-in gain” property acquired by the REIT from C corporations in carryover basis transactions (less the amount of corporate tax on such income).</w:t>
      </w:r>
    </w:p>
    <w:p>
      <w:pPr>
        <w:spacing w:after="0" w:line="157" w:lineRule="exact"/>
        <w:rPr>
          <w:sz w:val="20"/>
          <w:szCs w:val="20"/>
          <w:color w:val="auto"/>
        </w:rPr>
      </w:pPr>
    </w:p>
    <w:p>
      <w:pPr>
        <w:ind w:right="280" w:firstLine="459"/>
        <w:spacing w:after="0" w:line="259" w:lineRule="auto"/>
        <w:rPr>
          <w:sz w:val="20"/>
          <w:szCs w:val="20"/>
          <w:color w:val="auto"/>
        </w:rPr>
      </w:pPr>
      <w:r>
        <w:rPr>
          <w:rFonts w:ascii="Arial" w:cs="Arial" w:eastAsia="Arial" w:hAnsi="Arial"/>
          <w:sz w:val="18"/>
          <w:szCs w:val="18"/>
          <w:color w:val="auto"/>
        </w:rPr>
        <w:t>In addition, for taxable years that begin after December 31, 2017 and before January 1, 2026, stockholders that are individuals, trusts or estates are generally entitled to a deduction equal to 20% of the aggregate amount of ordinary income dividends received from a REIT (not including capital gain dividends, as described below, or dividends eligible for the reduced rates applicable to “qualified dividend income,” as described above), subject to certain limitations.</w:t>
      </w:r>
    </w:p>
    <w:p>
      <w:pPr>
        <w:spacing w:after="0" w:line="146" w:lineRule="exact"/>
        <w:rPr>
          <w:sz w:val="20"/>
          <w:szCs w:val="20"/>
          <w:color w:val="auto"/>
        </w:rPr>
      </w:pPr>
    </w:p>
    <w:p>
      <w:pPr>
        <w:ind w:right="120" w:firstLine="459"/>
        <w:spacing w:after="0" w:line="273" w:lineRule="auto"/>
        <w:rPr>
          <w:sz w:val="20"/>
          <w:szCs w:val="20"/>
          <w:color w:val="auto"/>
        </w:rPr>
      </w:pPr>
      <w:r>
        <w:rPr>
          <w:rFonts w:ascii="Arial" w:cs="Arial" w:eastAsia="Arial" w:hAnsi="Arial"/>
          <w:sz w:val="17"/>
          <w:szCs w:val="17"/>
          <w:color w:val="auto"/>
        </w:rPr>
        <w:t>Distributions that we designate as capital gain dividends will generally be taxed to our stockholders as long-term capital gains, to the extent that such distributions do not exceed our actual net capital gain for the taxable year, without regard to the period for which the stockholder that receives such distribution has held its stock. We may elect to retain and pay taxes on some or all of our net long-term capital gains, in which case provisions of the Internal Revenue Code will treat our stockholders as having received, solely for tax purposes, our undistributed capital gains, and the stockholders will receive a corresponding credit for taxes that we paid on such undistributed capital gains. See “-Taxation of AGNC Investment Corp.-Annual Distribution Requirements.” Corporate stockholders may be required to treat up to 20% of some capital gain dividends 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51" w:name="page52"/>
    <w:bookmarkEnd w:id="51"/>
    <w:p>
      <w:pPr>
        <w:ind w:right="140"/>
        <w:spacing w:after="0" w:line="259" w:lineRule="auto"/>
        <w:rPr>
          <w:sz w:val="20"/>
          <w:szCs w:val="20"/>
          <w:color w:val="auto"/>
        </w:rPr>
      </w:pPr>
      <w:r>
        <w:rPr>
          <w:rFonts w:ascii="Arial" w:cs="Arial" w:eastAsia="Arial" w:hAnsi="Arial"/>
          <w:sz w:val="18"/>
          <w:szCs w:val="18"/>
          <w:color w:val="auto"/>
        </w:rPr>
        <w:t>ordinary income. Long-term capital gains are generally taxable at reduced maximum federal rates in the case of stockholders that are individuals, trusts and estates, and ordinary income rates in the case of stockholders that are corporations. Capital gains attributable to the sale of depreciable real property held for more than 12 months are subject to a 25% maximum U.S. federal income tax rate for taxpayers who are taxed as individuals, to the extent of previously claimed depreciation deductions.</w:t>
      </w:r>
    </w:p>
    <w:p>
      <w:pPr>
        <w:spacing w:after="0" w:line="146" w:lineRule="exact"/>
        <w:rPr>
          <w:sz w:val="20"/>
          <w:szCs w:val="20"/>
          <w:color w:val="auto"/>
        </w:rPr>
      </w:pPr>
    </w:p>
    <w:p>
      <w:pPr>
        <w:ind w:right="180" w:firstLine="459"/>
        <w:spacing w:after="0" w:line="293" w:lineRule="auto"/>
        <w:rPr>
          <w:sz w:val="20"/>
          <w:szCs w:val="20"/>
          <w:color w:val="auto"/>
        </w:rPr>
      </w:pPr>
      <w:r>
        <w:rPr>
          <w:rFonts w:ascii="Arial" w:cs="Arial" w:eastAsia="Arial" w:hAnsi="Arial"/>
          <w:sz w:val="16"/>
          <w:szCs w:val="16"/>
          <w:color w:val="auto"/>
        </w:rPr>
        <w:t>Distributions in excess of our current and accumulated earnings and profits will generally represent a return of capital and will not be taxable to a stockholder to the extent that the amount of such distributions does not exceed the adjusted basis of the stockholder's shares in respect of which the distributions were made. Rather, the distribution will reduce the adjusted basis of the stockholder's shares. To the extent that such distributions exceed the adjusted basis of a stockholder's shares, the stockholder generally must include such distributions in income as long-term capital gain, or short-term capital gain if the shares have been held for one year or less. In determining the extent to which a distribution will be treated as being made from our earnings and profits, our earnings and profits will be allocated on a pro rata basis, first to distributions with respect to our preferred stock, and then to our common stock.</w:t>
      </w:r>
    </w:p>
    <w:p>
      <w:pPr>
        <w:spacing w:after="0" w:line="124" w:lineRule="exact"/>
        <w:rPr>
          <w:sz w:val="20"/>
          <w:szCs w:val="20"/>
          <w:color w:val="auto"/>
        </w:rPr>
      </w:pPr>
    </w:p>
    <w:p>
      <w:pPr>
        <w:ind w:right="180" w:firstLine="459"/>
        <w:spacing w:after="0" w:line="264" w:lineRule="auto"/>
        <w:rPr>
          <w:sz w:val="20"/>
          <w:szCs w:val="20"/>
          <w:color w:val="auto"/>
        </w:rPr>
      </w:pPr>
      <w:r>
        <w:rPr>
          <w:rFonts w:ascii="Arial" w:cs="Arial" w:eastAsia="Arial" w:hAnsi="Arial"/>
          <w:sz w:val="18"/>
          <w:szCs w:val="18"/>
          <w:color w:val="auto"/>
        </w:rPr>
        <w:t>In addition, any dividend that we declare in October, November or December of any year and that is payable to a stockholder of record on a specified date in any such month will be treated as both paid by us and received by the stockholder on December 31 of such year, provided that we actually pay the dividend before the end of January of the following calendar year.</w:t>
      </w:r>
    </w:p>
    <w:p>
      <w:pPr>
        <w:spacing w:after="0" w:line="141" w:lineRule="exact"/>
        <w:rPr>
          <w:sz w:val="20"/>
          <w:szCs w:val="20"/>
          <w:color w:val="auto"/>
        </w:rPr>
      </w:pPr>
    </w:p>
    <w:p>
      <w:pPr>
        <w:ind w:right="60" w:firstLine="459"/>
        <w:spacing w:after="0" w:line="276" w:lineRule="auto"/>
        <w:rPr>
          <w:sz w:val="20"/>
          <w:szCs w:val="20"/>
          <w:color w:val="auto"/>
        </w:rPr>
      </w:pPr>
      <w:r>
        <w:rPr>
          <w:rFonts w:ascii="Arial" w:cs="Arial" w:eastAsia="Arial" w:hAnsi="Arial"/>
          <w:sz w:val="17"/>
          <w:szCs w:val="17"/>
          <w:color w:val="auto"/>
        </w:rPr>
        <w:t>To the extent that we have available net operating losses and capital losses carried forward from prior tax years, such losses may, subject to limitations, reduce the amount of distributions that we must make in order to comply with the REIT distribution requirements. See “-Taxation of AGNC Investment Corp.-Annual Distribution Requirements.” Such losses, however, are not passed through to stockholders and do not offset income of stockholders from other sources, nor would such losses generally affect the taxable character of any distributions that we make, which are generally subject to tax in the hands of stockholders to the extent that we have current or accumulated earnings and profits.</w:t>
      </w:r>
    </w:p>
    <w:p>
      <w:pPr>
        <w:spacing w:after="0" w:line="132" w:lineRule="exact"/>
        <w:rPr>
          <w:sz w:val="20"/>
          <w:szCs w:val="20"/>
          <w:color w:val="auto"/>
        </w:rPr>
      </w:pPr>
    </w:p>
    <w:p>
      <w:pPr>
        <w:ind w:firstLine="459"/>
        <w:spacing w:after="0" w:line="253" w:lineRule="auto"/>
        <w:rPr>
          <w:sz w:val="20"/>
          <w:szCs w:val="20"/>
          <w:color w:val="auto"/>
        </w:rPr>
      </w:pPr>
      <w:r>
        <w:rPr>
          <w:rFonts w:ascii="Arial" w:cs="Arial" w:eastAsia="Arial" w:hAnsi="Arial"/>
          <w:sz w:val="18"/>
          <w:szCs w:val="18"/>
          <w:i w:val="1"/>
          <w:iCs w:val="1"/>
          <w:color w:val="auto"/>
        </w:rPr>
        <w:t xml:space="preserve">Dispositions of AGNC Investment Corp. Stock. </w:t>
      </w:r>
      <w:r>
        <w:rPr>
          <w:rFonts w:ascii="Arial" w:cs="Arial" w:eastAsia="Arial" w:hAnsi="Arial"/>
          <w:sz w:val="18"/>
          <w:szCs w:val="18"/>
          <w:color w:val="auto"/>
        </w:rPr>
        <w:t>In general, capital gains recognized by individuals, trusts and estates upon the sale or disposition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subject to a reduced maximum U.S. federal income tax rate if the stock is held for more than one year, and will be taxed at ordinary income rates if the stock is held for one year or less. Gains recognized by stockholders that are corporations are subject to U.S. federal income tax at ordinary income rates, whether or not such gains are classified as long-term capital gains. Capital losses recognized by a stockholder upon the disposition of our stock that was held for more than one year at the time of disposition will be considered long-term capital losses. Capital losses are generally available only to offset capital gain income of the stockholder but not ordinary income (except in the case of individuals, who may offset up to $3,000 of ordinary income each year). In addition, any loss upon a sale or exchange of shares of our stock by a stockholder who has held the shares for six months or less, after applying holding period rules, will be treated as a long-term capital loss to the extent of distributions that we make that are required to be treated by the stockholder as long-term capital gain.</w:t>
      </w:r>
    </w:p>
    <w:p>
      <w:pPr>
        <w:spacing w:after="0" w:line="157" w:lineRule="exact"/>
        <w:rPr>
          <w:sz w:val="20"/>
          <w:szCs w:val="20"/>
          <w:color w:val="auto"/>
        </w:rPr>
      </w:pPr>
    </w:p>
    <w:p>
      <w:pPr>
        <w:ind w:right="80" w:firstLine="459"/>
        <w:spacing w:after="0" w:line="272" w:lineRule="auto"/>
        <w:rPr>
          <w:sz w:val="20"/>
          <w:szCs w:val="20"/>
          <w:color w:val="auto"/>
        </w:rPr>
      </w:pPr>
      <w:r>
        <w:rPr>
          <w:rFonts w:ascii="Arial" w:cs="Arial" w:eastAsia="Arial" w:hAnsi="Arial"/>
          <w:sz w:val="17"/>
          <w:szCs w:val="17"/>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Internal Revenue Code imposes significant penalties for failure to comply with these requirements. You should consult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137"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i w:val="1"/>
          <w:iCs w:val="1"/>
          <w:color w:val="auto"/>
        </w:rPr>
        <w:t>Passive Activity Losses and Investment Interest Limitations</w:t>
      </w:r>
      <w:r>
        <w:rPr>
          <w:rFonts w:ascii="Arial" w:cs="Arial" w:eastAsia="Arial" w:hAnsi="Arial"/>
          <w:sz w:val="18"/>
          <w:szCs w:val="18"/>
          <w:color w:val="auto"/>
        </w:rPr>
        <w:t>. Distributions that we make and gain arising from the sale or exchange by a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our stock will not be treated as passive activity income. As a result, stockholders will not be able to apply any “passive losses” against income or gain relating to our stock. To the extent that distributions we make do not constitute a return of capital or capital gain dividends, they will be treated as investment income for purposes of computing the investment interest limitation.</w:t>
      </w:r>
    </w:p>
    <w:p>
      <w:pPr>
        <w:spacing w:after="0" w:line="146" w:lineRule="exact"/>
        <w:rPr>
          <w:sz w:val="20"/>
          <w:szCs w:val="20"/>
          <w:color w:val="auto"/>
        </w:rPr>
      </w:pPr>
    </w:p>
    <w:p>
      <w:pPr>
        <w:ind w:right="180" w:firstLine="459"/>
        <w:spacing w:after="0" w:line="264" w:lineRule="auto"/>
        <w:rPr>
          <w:sz w:val="20"/>
          <w:szCs w:val="20"/>
          <w:color w:val="auto"/>
        </w:rPr>
      </w:pPr>
      <w:r>
        <w:rPr>
          <w:rFonts w:ascii="Arial" w:cs="Arial" w:eastAsia="Arial" w:hAnsi="Arial"/>
          <w:sz w:val="18"/>
          <w:szCs w:val="18"/>
          <w:i w:val="1"/>
          <w:iCs w:val="1"/>
          <w:color w:val="auto"/>
        </w:rPr>
        <w:t xml:space="preserve">Medicare Tax. </w:t>
      </w:r>
      <w:r>
        <w:rPr>
          <w:rFonts w:ascii="Arial" w:cs="Arial" w:eastAsia="Arial" w:hAnsi="Arial"/>
          <w:sz w:val="18"/>
          <w:szCs w:val="18"/>
          <w:color w:val="auto"/>
        </w:rPr>
        <w:t>Certain U.S. holders who are individuals, estates or trusts and whose income exceeds certain thresholds will be required to pay a 3.8%</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tax on all or a portion of their “net investment income,” which includes dividends received from us and capital gains from the sale or other disposition of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Taxation of Foreign Stockholders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certain U.S. federal income and estate tax consequences of the ownership and disposition of our stock applicable to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holders. A “non-U.S. holder” is any person other than:</w:t>
      </w:r>
    </w:p>
    <w:p>
      <w:pPr>
        <w:spacing w:after="0" w:line="157" w:lineRule="exact"/>
        <w:rPr>
          <w:sz w:val="20"/>
          <w:szCs w:val="20"/>
          <w:color w:val="auto"/>
        </w:rPr>
      </w:pPr>
    </w:p>
    <w:p>
      <w:pPr>
        <w:ind w:left="1300" w:hanging="72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63" w:lineRule="exact"/>
        <w:rPr>
          <w:rFonts w:ascii="Arial" w:cs="Arial" w:eastAsia="Arial" w:hAnsi="Arial"/>
          <w:sz w:val="18"/>
          <w:szCs w:val="18"/>
          <w:color w:val="auto"/>
        </w:rPr>
      </w:pPr>
    </w:p>
    <w:p>
      <w:pPr>
        <w:ind w:left="1300" w:right="80" w:hanging="72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8" w:lineRule="exact"/>
        <w:rPr>
          <w:rFonts w:ascii="Arial" w:cs="Arial" w:eastAsia="Arial" w:hAnsi="Arial"/>
          <w:sz w:val="18"/>
          <w:szCs w:val="18"/>
          <w:color w:val="auto"/>
        </w:rPr>
      </w:pPr>
    </w:p>
    <w:p>
      <w:pPr>
        <w:ind w:left="1300" w:hanging="72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63" w:lineRule="exact"/>
        <w:rPr>
          <w:rFonts w:ascii="Arial" w:cs="Arial" w:eastAsia="Arial" w:hAnsi="Arial"/>
          <w:sz w:val="18"/>
          <w:szCs w:val="18"/>
          <w:color w:val="auto"/>
        </w:rPr>
      </w:pPr>
    </w:p>
    <w:p>
      <w:pPr>
        <w:ind w:left="1300" w:right="260" w:hanging="72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if a United States court is able to exercise primary supervision over the administration of such trust and one or more United States fiduciaries have the authority to control all substantial decisions of the trust.</w:t>
      </w:r>
    </w:p>
    <w:p>
      <w:pPr>
        <w:spacing w:after="0" w:line="157" w:lineRule="exact"/>
        <w:rPr>
          <w:sz w:val="20"/>
          <w:szCs w:val="20"/>
          <w:color w:val="auto"/>
        </w:rPr>
      </w:pPr>
    </w:p>
    <w:p>
      <w:pPr>
        <w:ind w:right="100" w:firstLine="459"/>
        <w:spacing w:after="0" w:line="259" w:lineRule="auto"/>
        <w:rPr>
          <w:sz w:val="20"/>
          <w:szCs w:val="20"/>
          <w:color w:val="auto"/>
        </w:rPr>
      </w:pPr>
      <w:r>
        <w:rPr>
          <w:rFonts w:ascii="Arial" w:cs="Arial" w:eastAsia="Arial" w:hAnsi="Arial"/>
          <w:sz w:val="18"/>
          <w:szCs w:val="18"/>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should consult their tax advisors about the U.S. federal income tax consequences of the acquisition, ownership and disposition of our common stock.</w:t>
      </w:r>
    </w:p>
    <w:p>
      <w:pPr>
        <w:spacing w:after="0" w:line="146" w:lineRule="exact"/>
        <w:rPr>
          <w:sz w:val="20"/>
          <w:szCs w:val="20"/>
          <w:color w:val="auto"/>
        </w:rPr>
      </w:pPr>
    </w:p>
    <w:p>
      <w:pPr>
        <w:ind w:right="360" w:firstLine="459"/>
        <w:spacing w:after="0" w:line="277" w:lineRule="auto"/>
        <w:rPr>
          <w:sz w:val="20"/>
          <w:szCs w:val="20"/>
          <w:color w:val="auto"/>
        </w:rPr>
      </w:pPr>
      <w:r>
        <w:rPr>
          <w:rFonts w:ascii="Arial" w:cs="Arial" w:eastAsia="Arial" w:hAnsi="Arial"/>
          <w:sz w:val="18"/>
          <w:szCs w:val="18"/>
          <w:color w:val="auto"/>
        </w:rPr>
        <w:t>The following discussion is based on current law, and is for general information only. It addresses only selected, and not all, aspects of U.S. federal income and estate taxation.</w:t>
      </w:r>
    </w:p>
    <w:p>
      <w:pPr>
        <w:spacing w:after="0" w:line="130" w:lineRule="exact"/>
        <w:rPr>
          <w:sz w:val="20"/>
          <w:szCs w:val="20"/>
          <w:color w:val="auto"/>
        </w:rPr>
      </w:pPr>
    </w:p>
    <w:p>
      <w:pPr>
        <w:ind w:right="20" w:firstLine="459"/>
        <w:spacing w:after="0" w:line="293"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For most foreign investors, investment in a REIT that invests principally in mortgage loans and mortgage-backed securities is not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tax-efficient way to invest in such assets. That is because receiving distributions of income derived from such assets in the form of REIT dividends subjects most foreign investors to withholding taxes that direct investment in those asset classes, and the direct receipt of interest and principal payments with respect to them, would not. The principal exceptions are foreign sovereigns and their agencies and instrumentalities, which may be exempt from withholding taxes on REIT dividends under the Internal Revenue Code, and certain foreign pension funds or similar entities able to claim an exemption from withholding taxes on REIT dividends under the terms of a bilateral tax treaty between their country of residence and the United States.</w:t>
      </w:r>
    </w:p>
    <w:p>
      <w:pPr>
        <w:spacing w:after="0" w:line="124" w:lineRule="exact"/>
        <w:rPr>
          <w:sz w:val="20"/>
          <w:szCs w:val="20"/>
          <w:color w:val="auto"/>
        </w:rPr>
      </w:pPr>
    </w:p>
    <w:p>
      <w:pPr>
        <w:jc w:val="both"/>
        <w:ind w:right="20" w:firstLine="459"/>
        <w:spacing w:after="0" w:line="264" w:lineRule="auto"/>
        <w:rPr>
          <w:sz w:val="20"/>
          <w:szCs w:val="20"/>
          <w:color w:val="auto"/>
        </w:rPr>
      </w:pPr>
      <w:r>
        <w:rPr>
          <w:rFonts w:ascii="Arial" w:cs="Arial" w:eastAsia="Arial" w:hAnsi="Arial"/>
          <w:sz w:val="18"/>
          <w:szCs w:val="18"/>
          <w:i w:val="1"/>
          <w:iCs w:val="1"/>
          <w:color w:val="auto"/>
        </w:rPr>
        <w:t xml:space="preserve">Ordinary Dividends. </w:t>
      </w:r>
      <w:r>
        <w:rPr>
          <w:rFonts w:ascii="Arial" w:cs="Arial" w:eastAsia="Arial" w:hAnsi="Arial"/>
          <w:sz w:val="18"/>
          <w:szCs w:val="18"/>
          <w:color w:val="auto"/>
        </w:rPr>
        <w:t>The portion of dividends received by non-U.S. holders that is (1) payable out of our earnings and profits, (2) not attributable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gains and (3) not effectively connected with a U.S. trade or business of the non-U.S. holder, will be subject to U.S. withholding tax at the rate of 30%, unless reduced or eliminated by treaty.</w:t>
      </w:r>
    </w:p>
    <w:p>
      <w:pPr>
        <w:spacing w:after="0" w:line="141" w:lineRule="exact"/>
        <w:rPr>
          <w:sz w:val="20"/>
          <w:szCs w:val="20"/>
          <w:color w:val="auto"/>
        </w:rPr>
      </w:pPr>
    </w:p>
    <w:p>
      <w:pPr>
        <w:ind w:right="100" w:firstLine="459"/>
        <w:spacing w:after="0" w:line="255" w:lineRule="auto"/>
        <w:rPr>
          <w:sz w:val="20"/>
          <w:szCs w:val="20"/>
          <w:color w:val="auto"/>
        </w:rPr>
      </w:pPr>
      <w:r>
        <w:rPr>
          <w:rFonts w:ascii="Arial" w:cs="Arial" w:eastAsia="Arial" w:hAnsi="Arial"/>
          <w:sz w:val="18"/>
          <w:szCs w:val="18"/>
          <w:color w:val="auto"/>
        </w:rPr>
        <w:t>In general, non-U.S. holders will not be considered to be engaged in a U.S. trade or business solely as a result of their ownership of our stock. In cases where the dividend income from a non-U.S. holder's investment in our stock is, or is treated as, effectively connected with the non-U.S. holder's conduct of a U.S. trade or business, the non-U.S. holder generally will be subject to U.S. federal income tax at the same rates and in the same manner as domestic stockholders are taxed with respect to such dividends. Such income must generally be reported on a U.S. income tax return filed by or on behalf of the non-U.S. holder. The income may also be subject to the 30% branch profits tax (unless reduced or eliminated by treaty) in the case of a non-U.S. holder that is a corporation.</w:t>
      </w:r>
    </w:p>
    <w:p>
      <w:pPr>
        <w:spacing w:after="0" w:line="153" w:lineRule="exact"/>
        <w:rPr>
          <w:sz w:val="20"/>
          <w:szCs w:val="20"/>
          <w:color w:val="auto"/>
        </w:rPr>
      </w:pPr>
    </w:p>
    <w:p>
      <w:pPr>
        <w:ind w:right="60" w:firstLine="459"/>
        <w:spacing w:after="0" w:line="289" w:lineRule="auto"/>
        <w:rPr>
          <w:sz w:val="20"/>
          <w:szCs w:val="20"/>
          <w:color w:val="auto"/>
        </w:rPr>
      </w:pPr>
      <w:r>
        <w:rPr>
          <w:rFonts w:ascii="Arial" w:cs="Arial" w:eastAsia="Arial" w:hAnsi="Arial"/>
          <w:sz w:val="16"/>
          <w:szCs w:val="16"/>
          <w:i w:val="1"/>
          <w:iCs w:val="1"/>
          <w:color w:val="auto"/>
        </w:rPr>
        <w:t xml:space="preserve">Non-Dividend Distributions. </w:t>
      </w:r>
      <w:r>
        <w:rPr>
          <w:rFonts w:ascii="Arial" w:cs="Arial" w:eastAsia="Arial" w:hAnsi="Arial"/>
          <w:sz w:val="16"/>
          <w:szCs w:val="16"/>
          <w:color w:val="auto"/>
        </w:rPr>
        <w:t>Unless our stock constitutes a U.S. real property interest (a “USRPI”), distributions that we make which are not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(a) the stockholder's proportionate share of our earnings and profits, plus (b) the stockholder's basis in its stock, will be taxed under the Foreign Investment in Real Property Tax Act of 1980 (“FIRPTA”), at the rate of tax, including any applicable capital gains rates, that would apply to a domestic stockholder of the same type (e.g., an individual or a corporation, as the case may be), and the collection of the tax may be enforced by a refundable withholding tax at a rate of 15% of the amount by which the distribution exceeds the stockholder's share of our earnings and profits.</w:t>
      </w:r>
    </w:p>
    <w:p>
      <w:pPr>
        <w:spacing w:after="0" w:line="126" w:lineRule="exact"/>
        <w:rPr>
          <w:sz w:val="20"/>
          <w:szCs w:val="20"/>
          <w:color w:val="auto"/>
        </w:rPr>
      </w:pPr>
    </w:p>
    <w:p>
      <w:pPr>
        <w:ind w:right="540" w:firstLine="459"/>
        <w:spacing w:after="0" w:line="257" w:lineRule="auto"/>
        <w:rPr>
          <w:sz w:val="20"/>
          <w:szCs w:val="20"/>
          <w:color w:val="auto"/>
        </w:rPr>
      </w:pPr>
      <w:r>
        <w:rPr>
          <w:rFonts w:ascii="Arial" w:cs="Arial" w:eastAsia="Arial" w:hAnsi="Arial"/>
          <w:sz w:val="18"/>
          <w:szCs w:val="18"/>
          <w:i w:val="1"/>
          <w:iCs w:val="1"/>
          <w:color w:val="auto"/>
        </w:rPr>
        <w:t xml:space="preserve">Capital Gain Dividends. </w:t>
      </w:r>
      <w:r>
        <w:rPr>
          <w:rFonts w:ascii="Arial" w:cs="Arial" w:eastAsia="Arial" w:hAnsi="Arial"/>
          <w:sz w:val="18"/>
          <w:szCs w:val="18"/>
          <w:color w:val="auto"/>
        </w:rPr>
        <w:t>Under FIRPTA, a distribution that we make to a non-U.S. holder, to the extent attributable to gains from dispositions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USRPIs that we held directly or through pass-through subsidiaries, or USRPI capital gains, will, except as described below, be considered effectively connected with a U.S. trade or business of the non-U.S. holder and will be subject to U.S. income tax at the rates applicable to U.S. individuals or corporations, without regard to whether we designate the distribution as a capital gain dividend. See above under “-Taxation of Foreign Stockholders-Ordinary Dividends,” for a</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53" w:name="page54"/>
    <w:bookmarkEnd w:id="53"/>
    <w:p>
      <w:pPr>
        <w:ind w:right="40"/>
        <w:spacing w:after="0" w:line="271" w:lineRule="auto"/>
        <w:rPr>
          <w:sz w:val="20"/>
          <w:szCs w:val="20"/>
          <w:color w:val="auto"/>
        </w:rPr>
      </w:pPr>
      <w:r>
        <w:rPr>
          <w:rFonts w:ascii="Arial" w:cs="Arial" w:eastAsia="Arial" w:hAnsi="Arial"/>
          <w:sz w:val="17"/>
          <w:szCs w:val="17"/>
          <w:color w:val="auto"/>
        </w:rPr>
        <w:t>discussion of the consequences of income that is effectively connected with a U.S. trade or business. In addition, we will be required to withhold tax equal to 21% of the maximum amount that could have been designated as USRPI capital gains dividends. Distributions subject to FIRPTA may also be subject to a 30% branch profits tax (unless reduced or eliminated by treaty) in the hands of a non-U.S. holder that is a corporation. A distribution is not a USRPI capital gain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in which case the non-U.S. holder would be subject to the same treatment as U.S. holders with respect to such gain, or (2) the non-U.S. holder is a nonresident alien individual who was present in the United States for 183 days or more during the taxable year and has a “tax home” in the United States, in which case the non-U.S. holder will incur a 30% tax on his capital gains.</w:t>
      </w:r>
    </w:p>
    <w:p>
      <w:pPr>
        <w:spacing w:after="0" w:line="138" w:lineRule="exact"/>
        <w:rPr>
          <w:sz w:val="20"/>
          <w:szCs w:val="20"/>
          <w:color w:val="auto"/>
        </w:rPr>
      </w:pPr>
    </w:p>
    <w:p>
      <w:pPr>
        <w:ind w:right="240" w:firstLine="459"/>
        <w:spacing w:after="0" w:line="273" w:lineRule="auto"/>
        <w:rPr>
          <w:sz w:val="20"/>
          <w:szCs w:val="20"/>
          <w:color w:val="auto"/>
        </w:rPr>
      </w:pPr>
      <w:r>
        <w:rPr>
          <w:rFonts w:ascii="Arial" w:cs="Arial" w:eastAsia="Arial" w:hAnsi="Arial"/>
          <w:sz w:val="17"/>
          <w:szCs w:val="17"/>
          <w:color w:val="auto"/>
        </w:rPr>
        <w:t>A capital gain dividend that would otherwise have been treated as a USRPI capital gain will not be so treated or be subject to FIRPTA, and generally will not be treated as income that is effectively connected with a U.S. trade or business, and instead will be treated in the same manner as an ordinary dividend (see “-Taxation of Foreign Stockholders-Ordinary Dividends”), if (1) the capital gain dividend is received with respect to a class of stock that is regularly traded on an established securities market located in the United States, and (2) the recipient non-U.S. holder does not own more than 10% of that class of stock at any time during the year ending on the date on which the capital gain dividend is received. We anticipate that our common stock will continue to be “regularly traded” on an established securities market.</w:t>
      </w:r>
    </w:p>
    <w:p>
      <w:pPr>
        <w:spacing w:after="0" w:line="138" w:lineRule="exact"/>
        <w:rPr>
          <w:sz w:val="20"/>
          <w:szCs w:val="20"/>
          <w:color w:val="auto"/>
        </w:rPr>
      </w:pPr>
    </w:p>
    <w:p>
      <w:pPr>
        <w:ind w:right="120" w:firstLine="459"/>
        <w:spacing w:after="0" w:line="302" w:lineRule="auto"/>
        <w:rPr>
          <w:sz w:val="20"/>
          <w:szCs w:val="20"/>
          <w:color w:val="auto"/>
        </w:rPr>
      </w:pPr>
      <w:r>
        <w:rPr>
          <w:rFonts w:ascii="Arial" w:cs="Arial" w:eastAsia="Arial" w:hAnsi="Arial"/>
          <w:sz w:val="16"/>
          <w:szCs w:val="16"/>
          <w:i w:val="1"/>
          <w:iCs w:val="1"/>
          <w:color w:val="auto"/>
        </w:rPr>
        <w:t xml:space="preserve">Dispositions of AGNC Investment Corp. Stock. </w:t>
      </w:r>
      <w:r>
        <w:rPr>
          <w:rFonts w:ascii="Arial" w:cs="Arial" w:eastAsia="Arial" w:hAnsi="Arial"/>
          <w:sz w:val="16"/>
          <w:szCs w:val="16"/>
          <w:color w:val="auto"/>
        </w:rPr>
        <w:t>Unless our stock constitutes a USRPI, a sale of our stock by a non-U.S. holder generally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U.S. taxation under FIRPTA. Our stock will not be treated as a USRPI if less than 50% of our assets throughout a prescribed testing period consist of interests in real property located within the United States, excluding, for this purpose, interests in real property solely in a capacity as a creditor. It is not currently anticipated that our stock will constitute a USRPI. However, we cannot assure you that our stock will not become a USRPI.</w:t>
      </w:r>
    </w:p>
    <w:p>
      <w:pPr>
        <w:spacing w:after="0" w:line="114" w:lineRule="exact"/>
        <w:rPr>
          <w:sz w:val="20"/>
          <w:szCs w:val="20"/>
          <w:color w:val="auto"/>
        </w:rPr>
      </w:pPr>
    </w:p>
    <w:p>
      <w:pPr>
        <w:ind w:right="20" w:firstLine="459"/>
        <w:spacing w:after="0" w:line="297" w:lineRule="auto"/>
        <w:rPr>
          <w:sz w:val="20"/>
          <w:szCs w:val="20"/>
          <w:color w:val="auto"/>
        </w:rPr>
      </w:pPr>
      <w:r>
        <w:rPr>
          <w:rFonts w:ascii="Arial" w:cs="Arial" w:eastAsia="Arial" w:hAnsi="Arial"/>
          <w:sz w:val="16"/>
          <w:szCs w:val="16"/>
          <w:color w:val="auto"/>
        </w:rPr>
        <w:t>Even if the foregoing 50% test is not met, our stock nonetheless will not constitute a USRPI if we are a “domestically controlled qualified investment entity.” A domestically controlled qualified investment entity includes a REIT, less than 50% of value of which is treated as held directly or indirectly by non-U.S. holders at all times during a specified testing period (after applying certain presumptions regarding the ownership of our stock, as described in Section 897(h)(4)(E) of the Code). We believe that we are, and we will be, a domestically controlled qualified investment entity, and that a sale of our stock should not be subject to taxation under FIRPTA. However, no assurance can be given that we are or will remain a domestically controlled qualified investment entity.</w:t>
      </w:r>
    </w:p>
    <w:p>
      <w:pPr>
        <w:spacing w:after="0" w:line="118"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In the event that we are not a domestically controlled qualified investment entity, but our stock is “regularly traded,” as defined by applicable Treasury regulations, on an established securities market, a non-U.S. holder's sale of our common stock nonetheless would not be subject to tax under FIRPTA as a sale of a USRPI, provided that the selling non-U.S. holder held 10% or less of our outstanding common stock at all times during the five-year period ending on the date of the sale. We expect that our common stock will continue to be regularly traded on an established securities market.</w:t>
      </w:r>
    </w:p>
    <w:p>
      <w:pPr>
        <w:spacing w:after="0" w:line="131" w:lineRule="exact"/>
        <w:rPr>
          <w:sz w:val="20"/>
          <w:szCs w:val="20"/>
          <w:color w:val="auto"/>
        </w:rPr>
      </w:pPr>
    </w:p>
    <w:p>
      <w:pPr>
        <w:jc w:val="both"/>
        <w:ind w:right="140" w:firstLine="459"/>
        <w:spacing w:after="0" w:line="264" w:lineRule="auto"/>
        <w:rPr>
          <w:sz w:val="20"/>
          <w:szCs w:val="20"/>
          <w:color w:val="auto"/>
        </w:rPr>
      </w:pPr>
      <w:r>
        <w:rPr>
          <w:rFonts w:ascii="Arial" w:cs="Arial" w:eastAsia="Arial" w:hAnsi="Arial"/>
          <w:sz w:val="18"/>
          <w:szCs w:val="18"/>
          <w:color w:val="auto"/>
        </w:rPr>
        <w:t>If gain on the sale of our stock were subject to taxation under FIRPTA, the non-U.S. holder would be required to file a U.S. federal income tax return and would be subject to the same treatment as a domestic stockholder with respect to such gain, and the purchaser of the stock could be required to withhold 15% of the purchase price and remit such amount to the IRS.</w:t>
      </w:r>
    </w:p>
    <w:p>
      <w:pPr>
        <w:spacing w:after="0" w:line="141" w:lineRule="exact"/>
        <w:rPr>
          <w:sz w:val="20"/>
          <w:szCs w:val="20"/>
          <w:color w:val="auto"/>
        </w:rPr>
      </w:pPr>
    </w:p>
    <w:p>
      <w:pPr>
        <w:ind w:right="60" w:firstLine="459"/>
        <w:spacing w:after="0" w:line="288" w:lineRule="auto"/>
        <w:rPr>
          <w:sz w:val="20"/>
          <w:szCs w:val="20"/>
          <w:color w:val="auto"/>
        </w:rPr>
      </w:pPr>
      <w:r>
        <w:rPr>
          <w:rFonts w:ascii="Arial" w:cs="Arial" w:eastAsia="Arial" w:hAnsi="Arial"/>
          <w:sz w:val="16"/>
          <w:szCs w:val="16"/>
          <w:color w:val="auto"/>
        </w:rPr>
        <w:t>Gain from the sale of our stock that would not otherwise be subject to FIRPTA will nonetheless be taxable in the United States to a non-U.S. holder in two cases: (1) if the non-U.S. holder's investment in our stock is effectively connected with a U.S. trade or business conducted by such non-U.S. holder, the non-U.S. holder will be subject to the same treatment as a domestic stockholder with respect to such gain, and a non-U.S. stockholder that is a corporation may also be subject to a branch profits tax at a rate of 30% (unless reduced or eliminated by treaty), or (2) if the non-U.S. 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qualified investment entity, upon disposition of our stock (subject to the 10% exception applicable to “regularly traded” stock described above), a non-U.S. holder may be treated as having gain from the sale or exchange of a USRPI if the non-U.S. holder (1) disposes of our common stock within a 30-day period preceding the ex-dividend date of a distribution, any portion of which, but for the disposition, would have been treated as gain from the sale or exchange of a USRPI and (2) acquires, or enters into a contract or option to acquire, other shares of our common stock within 30 days after such ex-dividend date.</w:t>
      </w:r>
    </w:p>
    <w:p>
      <w:pPr>
        <w:spacing w:after="0" w:line="129"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i w:val="1"/>
          <w:iCs w:val="1"/>
          <w:color w:val="auto"/>
        </w:rPr>
        <w:t xml:space="preserve">Special FIRPTA Rules. </w:t>
      </w:r>
      <w:r>
        <w:rPr>
          <w:rFonts w:ascii="Arial" w:cs="Arial" w:eastAsia="Arial" w:hAnsi="Arial"/>
          <w:sz w:val="18"/>
          <w:szCs w:val="18"/>
          <w:color w:val="auto"/>
        </w:rPr>
        <w:t>Recently enacted amendments to FIRPTA create certain exemptions form FIRPTA and otherwise modify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FIRPTA rules for particular types of non-U.S. investors, including “qualified foreign pension funds” and their wholly-owned foreign subsidiaries and certain widely held, publicly traded “qualified collective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investment vehicles.” Non-U.S. stockholders are urged to consult their own tax advisors regarding the applicability of these or any other special FIRPTA rules to their particular investment in our common stock.</w:t>
      </w:r>
    </w:p>
    <w:p>
      <w:pPr>
        <w:spacing w:after="0" w:line="130" w:lineRule="exact"/>
        <w:rPr>
          <w:sz w:val="20"/>
          <w:szCs w:val="20"/>
          <w:color w:val="auto"/>
        </w:rPr>
      </w:pPr>
    </w:p>
    <w:p>
      <w:pPr>
        <w:ind w:right="20" w:firstLine="459"/>
        <w:spacing w:after="0" w:line="287" w:lineRule="auto"/>
        <w:rPr>
          <w:sz w:val="20"/>
          <w:szCs w:val="20"/>
          <w:color w:val="auto"/>
        </w:rPr>
      </w:pPr>
      <w:r>
        <w:rPr>
          <w:rFonts w:ascii="Arial" w:cs="Arial" w:eastAsia="Arial" w:hAnsi="Arial"/>
          <w:sz w:val="16"/>
          <w:szCs w:val="16"/>
          <w:i w:val="1"/>
          <w:iCs w:val="1"/>
          <w:color w:val="auto"/>
        </w:rPr>
        <w:t xml:space="preserve">Other Withholding Rules. </w:t>
      </w:r>
      <w:r>
        <w:rPr>
          <w:rFonts w:ascii="Arial" w:cs="Arial" w:eastAsia="Arial" w:hAnsi="Arial"/>
          <w:sz w:val="16"/>
          <w:szCs w:val="16"/>
          <w:color w:val="auto"/>
        </w:rPr>
        <w:t>Legislation enacted in 2010 and existing guidance issued thereunder will require withholding at a rate of 30% on dividends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and, after December 31, 2018, gross proceeds from the sale of, our common stock held by or through certain foreign financial institutions (including investment funds), unless such institution enters into an agreement with the Treasury to report, on an annual basis, information with respect to shares in, or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of whether such withholding is required. Similarly, dividends in respect of, and after December 31, 2018, gross proceeds from the sale of, our common stock held by an investor that is a non-financial non-U.S. entity that does not qualify under certain exemptions will be subject to withholding at a rate of 30%, unless such entity either (1) certifies that such entity does not have any “substantial United States owners” or (2) provides certain information regarding the entity's “substantial United States owners,” which the applicable 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stockholders in respect of any amounts withheld. Non-U.S. holders are encouraged to consult their tax advisors regarding the possible implications of the legislation on their investment in our common stock.</w:t>
      </w:r>
    </w:p>
    <w:p>
      <w:pPr>
        <w:spacing w:after="0" w:line="128" w:lineRule="exact"/>
        <w:rPr>
          <w:sz w:val="20"/>
          <w:szCs w:val="20"/>
          <w:color w:val="auto"/>
        </w:rPr>
      </w:pPr>
    </w:p>
    <w:p>
      <w:pPr>
        <w:ind w:right="260" w:firstLine="459"/>
        <w:spacing w:after="0" w:line="286" w:lineRule="auto"/>
        <w:rPr>
          <w:sz w:val="20"/>
          <w:szCs w:val="20"/>
          <w:color w:val="auto"/>
        </w:rPr>
      </w:pPr>
      <w:r>
        <w:rPr>
          <w:rFonts w:ascii="Arial" w:cs="Arial" w:eastAsia="Arial" w:hAnsi="Arial"/>
          <w:sz w:val="17"/>
          <w:szCs w:val="17"/>
          <w:i w:val="1"/>
          <w:iCs w:val="1"/>
          <w:color w:val="auto"/>
        </w:rPr>
        <w:t xml:space="preserve">Estate Tax. </w:t>
      </w:r>
      <w:r>
        <w:rPr>
          <w:rFonts w:ascii="Arial" w:cs="Arial" w:eastAsia="Arial" w:hAnsi="Arial"/>
          <w:sz w:val="17"/>
          <w:szCs w:val="17"/>
          <w:color w:val="auto"/>
        </w:rPr>
        <w:t>If our stock is owned or treated as owned by an individual who is not a citizen or resident (as specially defined for U.S. federal estate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the United States at the time of such individual's death, the stock will be includable in the individual's gross estate for U.S. federal estate tax purposes, unless an applicable estate tax treaty provides otherwise, and may therefore be subject to U.S. federal estate tax.</w:t>
      </w:r>
    </w:p>
    <w:p>
      <w:pPr>
        <w:spacing w:after="0" w:line="121" w:lineRule="exact"/>
        <w:rPr>
          <w:sz w:val="20"/>
          <w:szCs w:val="20"/>
          <w:color w:val="auto"/>
        </w:rPr>
      </w:pPr>
    </w:p>
    <w:p>
      <w:pPr>
        <w:ind w:right="740" w:firstLine="459"/>
        <w:spacing w:after="0" w:line="282" w:lineRule="auto"/>
        <w:rPr>
          <w:sz w:val="20"/>
          <w:szCs w:val="20"/>
          <w:color w:val="auto"/>
        </w:rPr>
      </w:pPr>
      <w:r>
        <w:rPr>
          <w:rFonts w:ascii="Arial" w:cs="Arial" w:eastAsia="Arial" w:hAnsi="Arial"/>
          <w:sz w:val="18"/>
          <w:szCs w:val="18"/>
          <w:b w:val="1"/>
          <w:bCs w:val="1"/>
          <w:color w:val="auto"/>
        </w:rPr>
        <w:t>Non-U.S. stockholders are urged to consult their tax advisors regarding the U.S. federal, state, local and foreign income and other tax consequences of owning AGNC Investment Corp.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Tax-Exempt Stockholders</w:t>
      </w:r>
    </w:p>
    <w:p>
      <w:pPr>
        <w:spacing w:after="0" w:line="185"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stockholder has not held our stock as “debt financed property” within the meaning of the Internal Revenue Code (i.e., where the acquisition or holding of the property is financed through a borrowing by the tax-exempt stockholder), and (2) our stock is not otherwise used in an unrelated trade or business, distributions that we make and income from the sale of our stock generally should not give rise to UBTI to a tax-exempt stockholder.</w:t>
      </w:r>
    </w:p>
    <w:p>
      <w:pPr>
        <w:spacing w:after="0" w:line="149" w:lineRule="exact"/>
        <w:rPr>
          <w:sz w:val="20"/>
          <w:szCs w:val="20"/>
          <w:color w:val="auto"/>
        </w:rPr>
      </w:pPr>
    </w:p>
    <w:p>
      <w:pPr>
        <w:jc w:val="both"/>
        <w:ind w:right="20" w:firstLine="459"/>
        <w:spacing w:after="0" w:line="286" w:lineRule="auto"/>
        <w:rPr>
          <w:sz w:val="20"/>
          <w:szCs w:val="20"/>
          <w:color w:val="auto"/>
        </w:rPr>
      </w:pPr>
      <w:r>
        <w:rPr>
          <w:rFonts w:ascii="Arial" w:cs="Arial" w:eastAsia="Arial" w:hAnsi="Arial"/>
          <w:sz w:val="17"/>
          <w:szCs w:val="17"/>
          <w:color w:val="auto"/>
        </w:rPr>
        <w:t>Tax-exempt stockholders that are social clubs, voluntary employee benefit associations, supplemental unemployment benefit trusts, and qualified group legal services plans exempt from U.S. federal income taxation under sections 501(c)(7), (c)(9), (c)(17) and (c)(20) of the Internal Revenue Code are subject to different UBTI rules, which generally require such stockholders to characterize distributions that we make as UBTI.</w:t>
      </w:r>
    </w:p>
    <w:p>
      <w:pPr>
        <w:spacing w:after="0" w:line="125"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the dividends as UBTI if we are a “pension-held REIT.” We will not be a pension-held REIT unless (1) we are required to “look through” one or more of our pension trust stockholders in order to satisfy the REIT “closely-held”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generally should prevent a tax-exempt entity from owning more than 10% of the value of our stock and generally should prevent us from becoming a pension-held REIT.</w:t>
      </w:r>
    </w:p>
    <w:p>
      <w:pPr>
        <w:spacing w:after="0" w:line="149" w:lineRule="exact"/>
        <w:rPr>
          <w:sz w:val="20"/>
          <w:szCs w:val="20"/>
          <w:color w:val="auto"/>
        </w:rPr>
      </w:pPr>
    </w:p>
    <w:p>
      <w:pPr>
        <w:ind w:right="540" w:firstLine="459"/>
        <w:spacing w:after="0" w:line="282" w:lineRule="auto"/>
        <w:rPr>
          <w:sz w:val="20"/>
          <w:szCs w:val="20"/>
          <w:color w:val="auto"/>
        </w:rPr>
      </w:pPr>
      <w:r>
        <w:rPr>
          <w:rFonts w:ascii="Arial" w:cs="Arial" w:eastAsia="Arial" w:hAnsi="Arial"/>
          <w:sz w:val="18"/>
          <w:szCs w:val="18"/>
          <w:b w:val="1"/>
          <w:bCs w:val="1"/>
          <w:color w:val="auto"/>
        </w:rPr>
        <w:t>Tax-exempt stockholders are urged to consult their tax advisors regarding the U.S. federal, state, local and foreign income and other tax consequences of owning AGNC Investment Corp.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w:t>
      </w:r>
    </w:p>
    <w:p>
      <w:pPr>
        <w:spacing w:after="0" w:line="18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8"/>
          <w:szCs w:val="18"/>
          <w:color w:val="auto"/>
        </w:rPr>
        <w:t>and interpretations. For example, the recently enacted “Tax Cuts and Jobs Act” (the “Act”) significantly changed the U.S. federal income tax laws applicable to businesses and their owners, including REITs and their shareholders. Technical corrections or other amendments to the Act or administrative guidance interpreting the Act may be forthcoming at any time. We cannot predict the long-term effect of the Act or any future law changes on REITs or their shareholders. Changes to the U.S. federal tax laws and interpretations thereof, whether under the Act or otherwise, could adversely affect an investment in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Foreign Taxes</w:t>
      </w:r>
    </w:p>
    <w:p>
      <w:pPr>
        <w:spacing w:after="0" w:line="185" w:lineRule="exact"/>
        <w:rPr>
          <w:sz w:val="20"/>
          <w:szCs w:val="20"/>
          <w:color w:val="auto"/>
        </w:rPr>
      </w:pPr>
    </w:p>
    <w:p>
      <w:pPr>
        <w:ind w:right="120" w:firstLine="459"/>
        <w:spacing w:after="0" w:line="272" w:lineRule="auto"/>
        <w:rPr>
          <w:sz w:val="20"/>
          <w:szCs w:val="20"/>
          <w:color w:val="auto"/>
        </w:rPr>
      </w:pPr>
      <w:r>
        <w:rPr>
          <w:rFonts w:ascii="Arial" w:cs="Arial" w:eastAsia="Arial" w:hAnsi="Arial"/>
          <w:sz w:val="17"/>
          <w:szCs w:val="17"/>
          <w:color w:val="auto"/>
        </w:rPr>
        <w:t>We and our subsidiaries and stockholders may be subject to state, local or foreign taxation in various jurisdictions including those in which we or they transact business, own property or reside. We may own properties located in numerous jurisdictions, and may be required to file tax returns in some or all of those jurisdictions. Our state, local or foreign tax treatment and that of our stockholders may not conform to the U.S. federal income tax treatment discussed above. We may pay foreign property taxes, and dispositions of foreign property or operations involving, or investments in, foreign property may give rise to foreign income or other tax liability in amounts that could be substantial. Any foreign taxes that we incur do not pass through to stockholders as a credit against their U.S. federal income tax liability. Prospective investors should consult their tax advisors regarding the application and effect of state, local and foreign income and other tax laws on an investment in our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Unless otherwise indicated in the applicable prospectus supplement, Skadden, Arps, Slate, Meagher &amp; Flom LLP, New York, New York, will provide opinions regarding the authorization and validity of the Securities and certain U.S. federal income tax matters. Skadden, Arps, Slate, Meagher &amp; Flom LLP, New York may also provide opinions regarding certain other matters. Any underwriters will also be advised about legal matters by their own counsel, who will be identified in the prospectus supplement.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left="80" w:right="80" w:firstLine="432"/>
        <w:spacing w:after="0" w:line="257" w:lineRule="auto"/>
        <w:rPr>
          <w:sz w:val="20"/>
          <w:szCs w:val="20"/>
          <w:color w:val="auto"/>
        </w:rPr>
      </w:pPr>
      <w:r>
        <w:rPr>
          <w:rFonts w:ascii="Arial" w:cs="Arial" w:eastAsia="Arial" w:hAnsi="Arial"/>
          <w:sz w:val="18"/>
          <w:szCs w:val="18"/>
          <w:color w:val="auto"/>
        </w:rPr>
        <w:t>The consolidated financial statements of AGNC Investment Corp. appearing in AGNC Investment Corp.’s Annual Report (Form 10-K) for the year ended December 31, 2017, and the effectiveness of AGNC Investment Corp.’s internal control over financial reporting as of December 31, 2017 have been audited by Ernst &amp; Young LLP, independent registered public accounting firm, as set forth in their reports thereon, included therein, and incorporated herein by reference. Such consolidated financial statements are incorporated herein by reference in reliance on their reports given on their authority as experts in accounting and auditing.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Our SEC filings, including our registration statement, are also available to you, free of charge,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obtain additional information by visiting our website at </w:t>
      </w:r>
      <w:r>
        <w:rPr>
          <w:rFonts w:ascii="Arial" w:cs="Arial" w:eastAsia="Arial" w:hAnsi="Arial"/>
          <w:sz w:val="18"/>
          <w:szCs w:val="18"/>
          <w:i w:val="1"/>
          <w:iCs w:val="1"/>
          <w:color w:val="auto"/>
        </w:rPr>
        <w:t>http://www.agnc.com</w:t>
      </w:r>
      <w:r>
        <w:rPr>
          <w:rFonts w:ascii="Arial" w:cs="Arial" w:eastAsia="Arial" w:hAnsi="Arial"/>
          <w:sz w:val="18"/>
          <w:szCs w:val="18"/>
          <w:color w:val="auto"/>
        </w:rPr>
        <w:t>. The information found on, or otherwise accessible through, our website is not incorporated into, and does not form a part of this prospectus or any other report or document we file with or furnish to the SEC.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5" w:lineRule="exact"/>
        <w:rPr>
          <w:sz w:val="20"/>
          <w:szCs w:val="20"/>
          <w:color w:val="auto"/>
        </w:rPr>
      </w:pPr>
    </w:p>
    <w:p>
      <w:pPr>
        <w:ind w:left="80" w:right="20" w:firstLine="432"/>
        <w:spacing w:after="0" w:line="302" w:lineRule="auto"/>
        <w:rPr>
          <w:sz w:val="20"/>
          <w:szCs w:val="20"/>
          <w:color w:val="auto"/>
        </w:rPr>
      </w:pPr>
      <w:r>
        <w:rPr>
          <w:rFonts w:ascii="Arial" w:cs="Arial" w:eastAsia="Arial" w:hAnsi="Arial"/>
          <w:sz w:val="16"/>
          <w:szCs w:val="16"/>
          <w:color w:val="auto"/>
        </w:rPr>
        <w:t>The SEC allows us to “incorporate by reference” information into this prospectus which has been previously filed, which means that we can disclose important information to you by referring you to another document filed separately with the SEC. The information incorporated by reference is deemed to be part of this prospectus, except for any information superseded by information included or incorporated by reference in this prospectus. We have filed the documents listed below with the SEC (File No. 001-34057) under the Exchange Act and these documents are incorporated herein by reference:</w:t>
      </w:r>
    </w:p>
    <w:p>
      <w:pPr>
        <w:spacing w:after="0" w:line="46" w:lineRule="exact"/>
        <w:rPr>
          <w:sz w:val="20"/>
          <w:szCs w:val="20"/>
          <w:color w:val="auto"/>
        </w:rPr>
      </w:pPr>
    </w:p>
    <w:p>
      <w:pPr>
        <w:ind w:left="740" w:hanging="340"/>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February 26, 2018;</w:t>
      </w:r>
    </w:p>
    <w:p>
      <w:pPr>
        <w:spacing w:after="0" w:line="63"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2018, filed on May 7, 2018;</w:t>
      </w:r>
    </w:p>
    <w:p>
      <w:pPr>
        <w:spacing w:after="0" w:line="63"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Reports on Form 8-K, filed on April 20, 2018 and May 29, 2018;</w:t>
      </w:r>
    </w:p>
    <w:p>
      <w:pPr>
        <w:spacing w:after="0" w:line="63" w:lineRule="exact"/>
        <w:rPr>
          <w:rFonts w:ascii="Arial" w:cs="Arial" w:eastAsia="Arial" w:hAnsi="Arial"/>
          <w:sz w:val="18"/>
          <w:szCs w:val="18"/>
          <w:color w:val="auto"/>
        </w:rPr>
      </w:pPr>
    </w:p>
    <w:p>
      <w:pPr>
        <w:ind w:left="740" w:right="520" w:hanging="327"/>
        <w:spacing w:after="0" w:line="277"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2017 from our Definitive Proxy Statement on Schedule 14A, filed on March 9, 2018;</w:t>
      </w:r>
    </w:p>
    <w:p>
      <w:pPr>
        <w:spacing w:after="0" w:line="8" w:lineRule="exact"/>
        <w:rPr>
          <w:rFonts w:ascii="Arial" w:cs="Arial" w:eastAsia="Arial" w:hAnsi="Arial"/>
          <w:sz w:val="18"/>
          <w:szCs w:val="18"/>
          <w:color w:val="auto"/>
        </w:rPr>
      </w:pPr>
    </w:p>
    <w:p>
      <w:pPr>
        <w:ind w:left="740" w:right="200" w:hanging="327"/>
        <w:spacing w:after="0" w:line="277"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May 9, 2008, and any amendment or report filed for the purpose of updating such description;</w:t>
      </w:r>
    </w:p>
    <w:p>
      <w:pPr>
        <w:spacing w:after="0" w:line="8" w:lineRule="exact"/>
        <w:rPr>
          <w:rFonts w:ascii="Arial" w:cs="Arial" w:eastAsia="Arial" w:hAnsi="Arial"/>
          <w:sz w:val="18"/>
          <w:szCs w:val="18"/>
          <w:color w:val="auto"/>
        </w:rPr>
      </w:pPr>
    </w:p>
    <w:p>
      <w:pPr>
        <w:ind w:left="740" w:right="140" w:hanging="327"/>
        <w:spacing w:after="0" w:line="277"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description of our depositary shares representing our 7.750% Series B Preferred Stock set forth in our registration statement on Form 8-A filed on May 7, 2014, and any amendment or report filed for the purpose of updating such description; and</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description of our depositary shares representing our 7.00% Series C Preferred Stock set forth in our registration statement on Form 8-A filed on August 18, 2017, and any amendment or report filed for the purpose of updating such description.</w:t>
      </w:r>
    </w:p>
    <w:p>
      <w:pPr>
        <w:spacing w:after="0" w:line="224" w:lineRule="exact"/>
        <w:rPr>
          <w:sz w:val="20"/>
          <w:szCs w:val="20"/>
          <w:color w:val="auto"/>
        </w:rPr>
      </w:pPr>
    </w:p>
    <w:p>
      <w:pPr>
        <w:jc w:val="both"/>
        <w:ind w:left="80" w:firstLine="432"/>
        <w:spacing w:after="0" w:line="257" w:lineRule="auto"/>
        <w:rPr>
          <w:sz w:val="20"/>
          <w:szCs w:val="20"/>
          <w:color w:val="auto"/>
        </w:rPr>
      </w:pPr>
      <w:r>
        <w:rPr>
          <w:rFonts w:ascii="Arial" w:cs="Arial" w:eastAsia="Arial" w:hAnsi="Arial"/>
          <w:sz w:val="18"/>
          <w:szCs w:val="18"/>
          <w:color w:val="auto"/>
        </w:rPr>
        <w:t>All documents that we file (but not those that we furnish) with the SEC pursuant to Sections 13(a), 13(c), 14 or 15(d) of the Exchange Act after the date of the initial registration statement of which this prospectus is a part and prior to effectiveness of the registration statement will be deemed to be incorporated by reference into this prospectus and will automatically update and supersede the information in this prospectus, and any previously filed document. In addition, all documents that we file (but not those that we furnish) with the SEC pursuant to Sections 13(a), 13(c), 14 or 15(d) of the Exchange Act after the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57" w:name="page58"/>
    <w:bookmarkEnd w:id="57"/>
    <w:p>
      <w:pPr>
        <w:spacing w:after="0" w:line="342" w:lineRule="auto"/>
        <w:rPr>
          <w:sz w:val="20"/>
          <w:szCs w:val="20"/>
          <w:color w:val="auto"/>
        </w:rPr>
      </w:pPr>
      <w:r>
        <w:rPr>
          <w:rFonts w:ascii="Arial" w:cs="Arial" w:eastAsia="Arial" w:hAnsi="Arial"/>
          <w:sz w:val="16"/>
          <w:szCs w:val="16"/>
          <w:color w:val="auto"/>
        </w:rPr>
        <w:t>of this prospectus and prior to the termination of the offering of shares hereby will be deemed to be incorporated by reference into this prospectus and will automatically update and supersede the information in this prospectus, any accompanying prospectus supplement and any previously filed document.</w:t>
      </w:r>
    </w:p>
    <w:p>
      <w:pPr>
        <w:spacing w:after="0" w:line="7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will provide to each person, including any beneficial owner, to whom a copy of this prospectus is delivered, a copy of any or all of the information that has been incorporated by reference in this prospectus but not delivered with this prospectus (other than the exhibits to such documents which are not specifically incorporated by reference herein); we will provide this information at no cost to the requester upon written or oral request to AGNC Investment Corp., 2 Bethesda Metro Center, 12</w:t>
      </w:r>
      <w:r>
        <w:rPr>
          <w:rFonts w:ascii="Arial" w:cs="Arial" w:eastAsia="Arial" w:hAnsi="Arial"/>
          <w:sz w:val="10"/>
          <w:szCs w:val="10"/>
          <w:color w:val="auto"/>
        </w:rPr>
        <w:t>th</w:t>
      </w:r>
      <w:r>
        <w:rPr>
          <w:rFonts w:ascii="Arial" w:cs="Arial" w:eastAsia="Arial" w:hAnsi="Arial"/>
          <w:sz w:val="17"/>
          <w:szCs w:val="17"/>
          <w:color w:val="auto"/>
        </w:rPr>
        <w:t xml:space="preserve"> Floor, Bethesda, Maryland 20814, telephone number (301) 968-9300.</w:t>
      </w: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320" w:top="584" w:right="239" w:bottom="1440" w:gutter="0" w:footer="0" w:header="0"/>
        </w:sectPr>
      </w:pPr>
    </w:p>
    <w:bookmarkStart w:id="58" w:name="page59"/>
    <w:bookmarkEnd w:id="58"/>
    <w:p>
      <w:pPr>
        <w:jc w:val="center"/>
        <w:ind w:right="-99"/>
        <w:spacing w:after="0"/>
        <w:rPr>
          <w:sz w:val="20"/>
          <w:szCs w:val="20"/>
          <w:color w:val="auto"/>
        </w:rPr>
      </w:pPr>
      <w:r>
        <w:rPr>
          <w:rFonts w:ascii="Arial" w:cs="Arial" w:eastAsia="Arial" w:hAnsi="Arial"/>
          <w:sz w:val="25"/>
          <w:szCs w:val="25"/>
          <w:b w:val="1"/>
          <w:bCs w:val="1"/>
          <w:color w:val="auto"/>
        </w:rPr>
        <w:t>40,000,000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2357755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492125</wp:posOffset>
            </wp:positionV>
            <wp:extent cx="5316855" cy="1612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685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37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__________________________</w:t>
      </w:r>
    </w:p>
    <w:p>
      <w:pPr>
        <w:spacing w:after="0" w:line="200" w:lineRule="exact"/>
        <w:rPr>
          <w:sz w:val="20"/>
          <w:szCs w:val="20"/>
          <w:color w:val="auto"/>
        </w:rPr>
      </w:pPr>
    </w:p>
    <w:p>
      <w:pPr>
        <w:spacing w:after="0" w:line="233"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PROSPECTUS SUPPLEMENT</w:t>
      </w:r>
    </w:p>
    <w:p>
      <w:pPr>
        <w:spacing w:after="0" w:line="11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__________________________</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_________________</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840"/>
          </w:cols>
          <w:pgMar w:left="480" w:top="1008" w:right="57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Suisse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77" w:lineRule="exact"/>
        <w:rPr>
          <w:sz w:val="20"/>
          <w:szCs w:val="20"/>
          <w:color w:val="auto"/>
        </w:rPr>
      </w:pPr>
    </w:p>
    <w:p>
      <w:pPr>
        <w:sectPr>
          <w:pgSz w:w="11900" w:h="16838" w:orient="portrait"/>
          <w:cols w:equalWidth="0" w:num="4">
            <w:col w:w="2980" w:space="720"/>
            <w:col w:w="1800" w:space="720"/>
            <w:col w:w="2540" w:space="720"/>
            <w:col w:w="1360"/>
          </w:cols>
          <w:pgMar w:left="480" w:top="1008" w:right="579" w:bottom="1440" w:gutter="0" w:footer="0" w:header="0"/>
          <w:type w:val="continuous"/>
        </w:sectPr>
      </w:pPr>
    </w:p>
    <w:p>
      <w:pPr>
        <w:ind w:left="1640"/>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11" w:lineRule="exact"/>
        <w:rPr>
          <w:sz w:val="20"/>
          <w:szCs w:val="20"/>
          <w:color w:val="auto"/>
        </w:rPr>
      </w:pPr>
    </w:p>
    <w:p>
      <w:pPr>
        <w:sectPr>
          <w:pgSz w:w="11900" w:h="16838" w:orient="portrait"/>
          <w:cols w:equalWidth="0" w:num="2">
            <w:col w:w="6240" w:space="720"/>
            <w:col w:w="3880"/>
          </w:cols>
          <w:pgMar w:left="480" w:top="1008" w:right="579" w:bottom="1440" w:gutter="0" w:footer="0" w:header="0"/>
          <w:type w:val="continuous"/>
        </w:sectPr>
      </w:pPr>
    </w:p>
    <w:p>
      <w:pPr>
        <w:spacing w:after="0" w:line="230" w:lineRule="exact"/>
        <w:rPr>
          <w:sz w:val="20"/>
          <w:szCs w:val="20"/>
          <w:color w:val="auto"/>
        </w:rPr>
      </w:pPr>
    </w:p>
    <w:p>
      <w:pPr>
        <w:ind w:left="2080"/>
        <w:spacing w:after="0"/>
        <w:rPr>
          <w:sz w:val="20"/>
          <w:szCs w:val="20"/>
          <w:color w:val="auto"/>
        </w:rPr>
      </w:pPr>
      <w:r>
        <w:rPr>
          <w:rFonts w:ascii="Arial" w:cs="Arial" w:eastAsia="Arial" w:hAnsi="Arial"/>
          <w:sz w:val="13"/>
          <w:szCs w:val="13"/>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980"/>
        <w:spacing w:after="0"/>
        <w:rPr>
          <w:sz w:val="20"/>
          <w:szCs w:val="20"/>
          <w:color w:val="auto"/>
        </w:rPr>
      </w:pPr>
      <w:r>
        <w:rPr>
          <w:rFonts w:ascii="Arial" w:cs="Arial" w:eastAsia="Arial" w:hAnsi="Arial"/>
          <w:sz w:val="13"/>
          <w:szCs w:val="13"/>
          <w:b w:val="1"/>
          <w:bCs w:val="1"/>
          <w:color w:val="auto"/>
        </w:rPr>
        <w:t>RBC Capital Markets</w:t>
      </w:r>
    </w:p>
    <w:p>
      <w:pPr>
        <w:spacing w:after="0" w:line="57" w:lineRule="exact"/>
        <w:rPr>
          <w:sz w:val="20"/>
          <w:szCs w:val="20"/>
          <w:color w:val="auto"/>
        </w:rPr>
      </w:pPr>
    </w:p>
    <w:p>
      <w:pPr>
        <w:sectPr>
          <w:pgSz w:w="11900" w:h="16838" w:orient="portrait"/>
          <w:cols w:equalWidth="0" w:num="2">
            <w:col w:w="5780" w:space="720"/>
            <w:col w:w="4340"/>
          </w:cols>
          <w:pgMar w:left="480" w:top="1008" w:right="579" w:bottom="1440" w:gutter="0" w:footer="0" w:header="0"/>
          <w:type w:val="continuous"/>
        </w:sectPr>
      </w:pPr>
    </w:p>
    <w:p>
      <w:pPr>
        <w:ind w:left="2600"/>
        <w:spacing w:after="0"/>
        <w:rPr>
          <w:sz w:val="20"/>
          <w:szCs w:val="20"/>
          <w:color w:val="auto"/>
        </w:rPr>
      </w:pPr>
      <w:r>
        <w:rPr>
          <w:rFonts w:ascii="Arial" w:cs="Arial" w:eastAsia="Arial" w:hAnsi="Arial"/>
          <w:sz w:val="14"/>
          <w:szCs w:val="14"/>
          <w:b w:val="1"/>
          <w:bCs w:val="1"/>
          <w:i w:val="1"/>
          <w:iCs w:val="1"/>
          <w:color w:val="auto"/>
        </w:rPr>
        <w:t>A Stifel Company</w:t>
      </w:r>
    </w:p>
    <w:p>
      <w:pPr>
        <w:spacing w:after="0" w:line="87" w:lineRule="exact"/>
        <w:rPr>
          <w:sz w:val="20"/>
          <w:szCs w:val="20"/>
          <w:color w:val="auto"/>
        </w:rPr>
      </w:pPr>
    </w:p>
    <w:p>
      <w:pPr>
        <w:ind w:left="4940"/>
        <w:spacing w:after="0"/>
        <w:rPr>
          <w:sz w:val="20"/>
          <w:szCs w:val="20"/>
          <w:color w:val="auto"/>
        </w:rPr>
      </w:pPr>
      <w:r>
        <w:rPr>
          <w:rFonts w:ascii="Arial" w:cs="Arial" w:eastAsia="Arial" w:hAnsi="Arial"/>
          <w:sz w:val="11"/>
          <w:szCs w:val="11"/>
          <w:color w:val="auto"/>
        </w:rPr>
        <w:t>_________________</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2018</w:t>
      </w:r>
    </w:p>
    <w:sectPr>
      <w:pgSz w:w="11900" w:h="16838" w:orient="portrait"/>
      <w:cols w:equalWidth="0" w:num="1">
        <w:col w:w="10840"/>
      </w:cols>
      <w:pgMar w:left="480" w:top="1008"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Ÿ"/>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6"/>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lowerLetter"/>
      <w:start w:val="1"/>
    </w:lvl>
    <w:lvl w:ilvl="1">
      <w:lvlJc w:val="left"/>
      <w:lvlText w:val="(%2)"/>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Ÿ"/>
      <w:numFmt w:val="bullet"/>
      <w:start w:val="1"/>
    </w:lvl>
  </w:abstractNum>
  <w:abstractNum w:abstractNumId="29">
    <w:nsid w:val="7C3DBD3D"/>
    <w:multiLevelType w:val="hybridMultilevel"/>
    <w:lvl w:ilvl="0">
      <w:lvlJc w:val="left"/>
      <w:lvlText w:val="Ÿ"/>
      <w:numFmt w:val="bullet"/>
      <w:start w:val="1"/>
    </w:lvl>
  </w:abstractNum>
  <w:abstractNum w:abstractNumId="30">
    <w:nsid w:val="737B8DDC"/>
    <w:multiLevelType w:val="hybridMultilevel"/>
    <w:lvl w:ilvl="0">
      <w:lvlJc w:val="left"/>
      <w:lvlText w:val="Ÿ"/>
      <w:numFmt w:val="bullet"/>
      <w:start w:val="1"/>
    </w:lvl>
  </w:abstractNum>
  <w:abstractNum w:abstractNumId="31">
    <w:nsid w:val="6CEAF08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2019-12-07T11:53:15Z</dcterms:created>
  <dcterms:modified xsi:type="dcterms:W3CDTF">2019-12-07T11:53:15Z</dcterms:modified>
</cp:coreProperties>
</file>