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Arial" w:cs="Arial" w:eastAsia="Arial" w:hAnsi="Arial"/>
                <w:sz w:val="18"/>
                <w:szCs w:val="18"/>
                <w:b w:val="1"/>
                <w:bCs w:val="1"/>
                <w:color w:val="auto"/>
                <w:w w:val="97"/>
              </w:rPr>
              <w:t>UNITED STATES</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8300" w:type="dxa"/>
            <w:vAlign w:val="bottom"/>
          </w:tcPr>
          <w:p>
            <w:pPr>
              <w:jc w:val="center"/>
              <w:ind w:left="222"/>
              <w:spacing w:after="0"/>
              <w:rPr>
                <w:sz w:val="20"/>
                <w:szCs w:val="20"/>
                <w:color w:val="auto"/>
              </w:rPr>
            </w:pPr>
            <w:r>
              <w:rPr>
                <w:rFonts w:ascii="Arial" w:cs="Arial" w:eastAsia="Arial" w:hAnsi="Arial"/>
                <w:sz w:val="14"/>
                <w:szCs w:val="14"/>
                <w:b w:val="1"/>
                <w:bCs w:val="1"/>
                <w:color w:val="auto"/>
                <w:w w:val="93"/>
              </w:rPr>
              <w:t>Washington, D.C. 20549</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20"/>
        </w:trPr>
        <w:tc>
          <w:tcPr>
            <w:tcW w:w="1060" w:type="dxa"/>
            <w:vAlign w:val="bottom"/>
            <w:vMerge w:val="continue"/>
          </w:tcPr>
          <w:p>
            <w:pPr>
              <w:spacing w:after="0"/>
              <w:rPr>
                <w:sz w:val="19"/>
                <w:szCs w:val="19"/>
                <w:color w:val="auto"/>
              </w:rPr>
            </w:pPr>
          </w:p>
        </w:tc>
        <w:tc>
          <w:tcPr>
            <w:tcW w:w="8300" w:type="dxa"/>
            <w:vAlign w:val="bottom"/>
          </w:tcPr>
          <w:p>
            <w:pPr>
              <w:ind w:left="9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830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For the quarterly period ended March 31, 2023</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8300" w:type="dxa"/>
            <w:vAlign w:val="bottom"/>
          </w:tcPr>
          <w:p>
            <w:pPr>
              <w:jc w:val="center"/>
              <w:ind w:left="242"/>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32"/>
        </w:trPr>
        <w:tc>
          <w:tcPr>
            <w:tcW w:w="10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ind w:left="9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81"/>
        </w:trPr>
        <w:tc>
          <w:tcPr>
            <w:tcW w:w="1060" w:type="dxa"/>
            <w:vAlign w:val="bottom"/>
          </w:tcPr>
          <w:p>
            <w:pPr>
              <w:spacing w:after="0"/>
              <w:rPr>
                <w:sz w:val="24"/>
                <w:szCs w:val="24"/>
                <w:color w:val="auto"/>
              </w:rPr>
            </w:pPr>
          </w:p>
        </w:tc>
        <w:tc>
          <w:tcPr>
            <w:tcW w:w="8300" w:type="dxa"/>
            <w:vAlign w:val="bottom"/>
          </w:tcPr>
          <w:p>
            <w:pPr>
              <w:jc w:val="center"/>
              <w:ind w:left="222"/>
              <w:spacing w:after="0"/>
              <w:rPr>
                <w:sz w:val="20"/>
                <w:szCs w:val="20"/>
                <w:color w:val="auto"/>
              </w:rPr>
            </w:pPr>
            <w:r>
              <w:rPr>
                <w:rFonts w:ascii="Arial" w:cs="Arial" w:eastAsia="Arial" w:hAnsi="Arial"/>
                <w:sz w:val="14"/>
                <w:szCs w:val="14"/>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110490</wp:posOffset>
            </wp:positionV>
            <wp:extent cx="19030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ectPr>
          <w:pgSz w:w="11900" w:h="16838" w:orient="portrait"/>
          <w:cols w:equalWidth="0" w:num="1">
            <w:col w:w="11240"/>
          </w:cols>
          <w:pgMar w:left="320" w:top="904" w:right="339" w:bottom="1440" w:gutter="0" w:footer="0" w:header="0"/>
        </w:sectPr>
      </w:pPr>
    </w:p>
    <w:p>
      <w:pPr>
        <w:spacing w:after="0" w:line="21"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0"/>
          <w:szCs w:val="10"/>
          <w:color w:val="auto"/>
        </w:rPr>
        <w:t>_________________________________________________________</w:t>
      </w:r>
    </w:p>
    <w:p>
      <w:pPr>
        <w:spacing w:after="0" w:line="63"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Delaware</w:t>
      </w:r>
    </w:p>
    <w:p>
      <w:pPr>
        <w:spacing w:after="0" w:line="42"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auto"/>
        </w:rPr>
        <w:t>Incorporation or Organization)</w:t>
      </w:r>
    </w:p>
    <w:p>
      <w:pPr>
        <w:spacing w:after="0" w:line="107"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2 Bethesda Metro Center, 12th Floor</w:t>
      </w:r>
    </w:p>
    <w:p>
      <w:pPr>
        <w:spacing w:after="0" w:line="25"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Bethesda, Maryland 20814</w:t>
      </w:r>
    </w:p>
    <w:p>
      <w:pPr>
        <w:spacing w:after="0" w:line="15"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(301) 968-9315</w:t>
      </w:r>
    </w:p>
    <w:p>
      <w:pPr>
        <w:spacing w:after="0" w:line="15"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 w:lineRule="exact"/>
        <w:rPr>
          <w:sz w:val="24"/>
          <w:szCs w:val="24"/>
          <w:color w:val="auto"/>
        </w:rPr>
      </w:pPr>
    </w:p>
    <w:p>
      <w:pPr>
        <w:ind w:left="3840"/>
        <w:spacing w:after="0"/>
        <w:rPr>
          <w:sz w:val="20"/>
          <w:szCs w:val="20"/>
          <w:color w:val="auto"/>
        </w:rPr>
      </w:pPr>
      <w:r>
        <w:rPr>
          <w:rFonts w:ascii="Arial" w:cs="Arial" w:eastAsia="Arial" w:hAnsi="Arial"/>
          <w:sz w:val="10"/>
          <w:szCs w:val="10"/>
          <w:color w:val="auto"/>
        </w:rPr>
        <w:t>_________________________________________________________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0" w:type="dxa"/>
            <w:vAlign w:val="bottom"/>
          </w:tcPr>
          <w:p>
            <w:pPr>
              <w:spacing w:after="0"/>
              <w:rPr>
                <w:sz w:val="1"/>
                <w:szCs w:val="1"/>
                <w:color w:val="auto"/>
              </w:rPr>
            </w:pPr>
          </w:p>
        </w:tc>
      </w:tr>
      <w:tr>
        <w:trPr>
          <w:trHeight w:val="25"/>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620" w:type="dxa"/>
            <w:vAlign w:val="bottom"/>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AGNC</w:t>
            </w:r>
          </w:p>
        </w:tc>
        <w:tc>
          <w:tcPr>
            <w:tcW w:w="0" w:type="dxa"/>
            <w:vAlign w:val="bottom"/>
          </w:tcPr>
          <w:p>
            <w:pPr>
              <w:spacing w:after="0"/>
              <w:rPr>
                <w:sz w:val="1"/>
                <w:szCs w:val="1"/>
                <w:color w:val="auto"/>
              </w:rPr>
            </w:pPr>
          </w:p>
        </w:tc>
      </w:tr>
      <w:tr>
        <w:trPr>
          <w:trHeight w:val="164"/>
        </w:trPr>
        <w:tc>
          <w:tcPr>
            <w:tcW w:w="57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8"/>
              </w:rPr>
              <w:t>AGNCN</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74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AGNCM</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74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7"/>
              </w:rPr>
              <w:t>AGNCO</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740" w:type="dxa"/>
            <w:vAlign w:val="bottom"/>
            <w:gridSpan w:val="2"/>
          </w:tcPr>
          <w:p>
            <w:pPr>
              <w:jc w:val="center"/>
              <w:ind w:right="120"/>
              <w:spacing w:after="0" w:line="155" w:lineRule="exact"/>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AGNCP</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74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w w:val="92"/>
              </w:rPr>
              <w:t>Depositary shares of 7.75% Series G Fixed-Rate Reset Cumulative</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AGNCL</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Redeemable Preferred Stock</w:t>
            </w: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26-1701984</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68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-436245</wp:posOffset>
            </wp:positionH>
            <wp:positionV relativeFrom="paragraph">
              <wp:posOffset>46990</wp:posOffset>
            </wp:positionV>
            <wp:extent cx="2442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62"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09"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77"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77"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77"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77"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86" w:lineRule="exact"/>
        <w:rPr>
          <w:sz w:val="24"/>
          <w:szCs w:val="24"/>
          <w:color w:val="auto"/>
        </w:rPr>
      </w:pPr>
    </w:p>
    <w:p>
      <w:pPr>
        <w:sectPr>
          <w:pgSz w:w="11900" w:h="16838" w:orient="portrait"/>
          <w:cols w:equalWidth="0" w:num="2">
            <w:col w:w="7440" w:space="640"/>
            <w:col w:w="3160"/>
          </w:cols>
          <w:pgMar w:left="320" w:top="904"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7" w:lineRule="exact"/>
        <w:rPr>
          <w:sz w:val="24"/>
          <w:szCs w:val="24"/>
          <w:color w:val="auto"/>
        </w:rPr>
      </w:pPr>
    </w:p>
    <w:p>
      <w:pPr>
        <w:ind w:right="100" w:firstLine="324"/>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99" w:lineRule="exact"/>
        <w:rPr>
          <w:sz w:val="24"/>
          <w:szCs w:val="24"/>
          <w:color w:val="auto"/>
        </w:rPr>
      </w:pPr>
    </w:p>
    <w:p>
      <w:pPr>
        <w:ind w:right="460" w:firstLine="324"/>
        <w:spacing w:after="0" w:line="192"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360"/>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The number of shares of the issuer's common stock, $0.01 par value, outstanding as of April 30, 2023 was 595,712,000.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59690</wp:posOffset>
            </wp:positionV>
            <wp:extent cx="6990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00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25400</wp:posOffset>
            </wp:positionV>
            <wp:extent cx="6990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Arial" w:cs="Arial" w:eastAsia="Arial" w:hAnsi="Arial"/>
                <w:sz w:val="16"/>
                <w:szCs w:val="16"/>
                <w:b w:val="1"/>
                <w:bCs w:val="1"/>
                <w:color w:val="0000FF"/>
                <w:w w:val="98"/>
              </w:rPr>
              <w:t>PART I.</w:t>
            </w:r>
          </w:p>
        </w:tc>
        <w:tc>
          <w:tcPr>
            <w:tcW w:w="460" w:type="dxa"/>
            <w:vAlign w:val="bottom"/>
            <w:gridSpan w:val="2"/>
          </w:tcPr>
          <w:p>
            <w:pPr>
              <w:spacing w:after="0"/>
              <w:rPr>
                <w:sz w:val="16"/>
                <w:szCs w:val="16"/>
                <w:color w:val="auto"/>
              </w:rPr>
            </w:pPr>
          </w:p>
        </w:tc>
        <w:tc>
          <w:tcPr>
            <w:tcW w:w="7580" w:type="dxa"/>
            <w:vAlign w:val="bottom"/>
            <w:gridSpan w:val="12"/>
          </w:tcPr>
          <w:p>
            <w:pPr>
              <w:spacing w:after="0"/>
              <w:rPr>
                <w:sz w:val="20"/>
                <w:szCs w:val="20"/>
                <w:color w:val="auto"/>
              </w:rPr>
            </w:pPr>
            <w:r>
              <w:rPr>
                <w:rFonts w:ascii="Arial" w:cs="Arial" w:eastAsia="Arial" w:hAnsi="Arial"/>
                <w:sz w:val="16"/>
                <w:szCs w:val="16"/>
                <w:b w:val="1"/>
                <w:bCs w:val="1"/>
                <w:color w:val="0000FF"/>
              </w:rPr>
              <w:t>FINANCIAL INFORMATION</w:t>
            </w: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Borders>
              <w:top w:val="single" w:sz="8" w:color="0000FF"/>
            </w:tcBorders>
          </w:tcPr>
          <w:p>
            <w:pPr>
              <w:spacing w:after="0"/>
              <w:rPr>
                <w:sz w:val="20"/>
                <w:szCs w:val="20"/>
                <w:color w:val="auto"/>
              </w:rPr>
            </w:pPr>
            <w:r>
              <w:rPr>
                <w:rFonts w:ascii="Arial" w:cs="Arial" w:eastAsia="Arial" w:hAnsi="Arial"/>
                <w:sz w:val="16"/>
                <w:szCs w:val="16"/>
                <w:color w:val="0000FF"/>
                <w:w w:val="85"/>
              </w:rPr>
              <w:t>Item 1.</w:t>
            </w:r>
          </w:p>
        </w:tc>
        <w:tc>
          <w:tcPr>
            <w:tcW w:w="1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4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Financial Statements</w:t>
            </w:r>
          </w:p>
        </w:tc>
        <w:tc>
          <w:tcPr>
            <w:tcW w:w="5440" w:type="dxa"/>
            <w:vAlign w:val="bottom"/>
            <w:gridSpan w:val="3"/>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6"/>
                <w:szCs w:val="16"/>
                <w:color w:val="0000FF"/>
                <w:w w:val="85"/>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24</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6"/>
                <w:szCs w:val="16"/>
                <w:color w:val="0000FF"/>
                <w:w w:val="85"/>
              </w:rPr>
              <w:t>Item 3.</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900" w:type="dxa"/>
            <w:vAlign w:val="bottom"/>
            <w:gridSpan w:val="10"/>
          </w:tcPr>
          <w:p>
            <w:pPr>
              <w:spacing w:after="0"/>
              <w:rPr>
                <w:sz w:val="20"/>
                <w:szCs w:val="20"/>
                <w:color w:val="auto"/>
              </w:rPr>
            </w:pPr>
            <w:r>
              <w:rPr>
                <w:rFonts w:ascii="Arial" w:cs="Arial" w:eastAsia="Arial" w:hAnsi="Arial"/>
                <w:sz w:val="16"/>
                <w:szCs w:val="16"/>
                <w:color w:val="0000FF"/>
                <w:w w:val="92"/>
              </w:rPr>
              <w:t>Quantitative and Qualitative Disclosures About Market Risk</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41</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6"/>
                <w:szCs w:val="16"/>
                <w:color w:val="0000FF"/>
                <w:w w:val="85"/>
              </w:rPr>
              <w:t>Item 4.</w:t>
            </w:r>
          </w:p>
        </w:tc>
        <w:tc>
          <w:tcPr>
            <w:tcW w:w="580" w:type="dxa"/>
            <w:vAlign w:val="bottom"/>
            <w:gridSpan w:val="3"/>
          </w:tcPr>
          <w:p>
            <w:pPr>
              <w:spacing w:after="0"/>
              <w:rPr>
                <w:sz w:val="17"/>
                <w:szCs w:val="17"/>
                <w:color w:val="auto"/>
              </w:rPr>
            </w:pPr>
          </w:p>
        </w:tc>
        <w:tc>
          <w:tcPr>
            <w:tcW w:w="3900" w:type="dxa"/>
            <w:vAlign w:val="bottom"/>
            <w:gridSpan w:val="10"/>
          </w:tcPr>
          <w:p>
            <w:pPr>
              <w:spacing w:after="0"/>
              <w:rPr>
                <w:sz w:val="20"/>
                <w:szCs w:val="20"/>
                <w:color w:val="auto"/>
              </w:rPr>
            </w:pPr>
            <w:r>
              <w:rPr>
                <w:rFonts w:ascii="Arial" w:cs="Arial" w:eastAsia="Arial" w:hAnsi="Arial"/>
                <w:sz w:val="16"/>
                <w:szCs w:val="16"/>
                <w:color w:val="0000FF"/>
              </w:rPr>
              <w:t>Controls and Procedures</w:t>
            </w:r>
          </w:p>
        </w:tc>
        <w:tc>
          <w:tcPr>
            <w:tcW w:w="3680" w:type="dxa"/>
            <w:vAlign w:val="bottom"/>
            <w:gridSpan w:val="2"/>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w:t>
            </w:r>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OTHER INFORMATION</w:t>
            </w:r>
          </w:p>
        </w:tc>
        <w:tc>
          <w:tcPr>
            <w:tcW w:w="576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Borders>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rPr>
              <w:t>Item 1.</w:t>
            </w:r>
          </w:p>
        </w:tc>
        <w:tc>
          <w:tcPr>
            <w:tcW w:w="460" w:type="dxa"/>
            <w:vAlign w:val="bottom"/>
            <w:gridSpan w:val="2"/>
          </w:tcPr>
          <w:p>
            <w:pPr>
              <w:spacing w:after="0"/>
              <w:rPr>
                <w:sz w:val="18"/>
                <w:szCs w:val="18"/>
                <w:color w:val="auto"/>
              </w:rPr>
            </w:pPr>
          </w:p>
        </w:tc>
        <w:tc>
          <w:tcPr>
            <w:tcW w:w="1200" w:type="dxa"/>
            <w:vAlign w:val="bottom"/>
            <w:tcBorders>
              <w:bottom w:val="single" w:sz="8" w:color="0000FF"/>
            </w:tcBorders>
            <w:gridSpan w:val="4"/>
          </w:tcPr>
          <w:p>
            <w:pPr>
              <w:spacing w:after="0" w:line="183" w:lineRule="exact"/>
              <w:rPr>
                <w:sz w:val="20"/>
                <w:szCs w:val="20"/>
                <w:color w:val="auto"/>
              </w:rPr>
            </w:pPr>
            <w:r>
              <w:rPr>
                <w:rFonts w:ascii="Arial" w:cs="Arial" w:eastAsia="Arial" w:hAnsi="Arial"/>
                <w:sz w:val="16"/>
                <w:szCs w:val="16"/>
                <w:color w:val="0000FF"/>
                <w:w w:val="89"/>
              </w:rPr>
              <w:t>Legal Proceedings</w:t>
            </w:r>
          </w:p>
        </w:tc>
        <w:tc>
          <w:tcPr>
            <w:tcW w:w="840" w:type="dxa"/>
            <w:vAlign w:val="bottom"/>
            <w:tcBorders>
              <w:bottom w:val="single" w:sz="8" w:color="0000FF"/>
            </w:tcBorders>
            <w:gridSpan w:val="4"/>
          </w:tcPr>
          <w:p>
            <w:pPr>
              <w:spacing w:after="0"/>
              <w:rPr>
                <w:sz w:val="18"/>
                <w:szCs w:val="18"/>
                <w:color w:val="auto"/>
              </w:rPr>
            </w:pPr>
          </w:p>
        </w:tc>
        <w:tc>
          <w:tcPr>
            <w:tcW w:w="1860" w:type="dxa"/>
            <w:vAlign w:val="bottom"/>
            <w:gridSpan w:val="2"/>
          </w:tcPr>
          <w:p>
            <w:pPr>
              <w:spacing w:after="0"/>
              <w:rPr>
                <w:sz w:val="18"/>
                <w:szCs w:val="18"/>
                <w:color w:val="auto"/>
              </w:rPr>
            </w:pPr>
          </w:p>
        </w:tc>
        <w:tc>
          <w:tcPr>
            <w:tcW w:w="36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sz w:val="20"/>
                <w:szCs w:val="20"/>
                <w:color w:val="auto"/>
              </w:rPr>
            </w:pPr>
            <w:r>
              <w:rPr>
                <w:rFonts w:ascii="Arial" w:cs="Arial" w:eastAsia="Arial" w:hAnsi="Arial"/>
                <w:sz w:val="18"/>
                <w:szCs w:val="18"/>
                <w:color w:val="0000FF"/>
                <w:w w:val="79"/>
              </w:rPr>
              <w:t>45</w:t>
            </w:r>
          </w:p>
        </w:tc>
      </w:tr>
      <w:tr>
        <w:trPr>
          <w:trHeight w:val="190"/>
        </w:trPr>
        <w:tc>
          <w:tcPr>
            <w:tcW w:w="104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7580" w:type="dxa"/>
            <w:vAlign w:val="bottom"/>
            <w:gridSpan w:val="12"/>
          </w:tcPr>
          <w:p>
            <w:pPr>
              <w:spacing w:after="0"/>
              <w:rPr>
                <w:sz w:val="20"/>
                <w:szCs w:val="20"/>
                <w:color w:val="auto"/>
              </w:rPr>
            </w:pPr>
            <w:r>
              <w:rPr>
                <w:rFonts w:ascii="Arial" w:cs="Arial" w:eastAsia="Arial" w:hAnsi="Arial"/>
                <w:sz w:val="16"/>
                <w:szCs w:val="16"/>
                <w:color w:val="0000FF"/>
              </w:rPr>
              <w:t>Risk Factors</w:t>
            </w: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6"/>
                <w:szCs w:val="16"/>
                <w:color w:val="0000FF"/>
                <w:w w:val="85"/>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w w:val="85"/>
              </w:rPr>
              <w:t>Item 3.</w:t>
            </w:r>
          </w:p>
        </w:tc>
        <w:tc>
          <w:tcPr>
            <w:tcW w:w="220" w:type="dxa"/>
            <w:vAlign w:val="bottom"/>
            <w:tcBorders>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83" w:lineRule="exact"/>
              <w:rPr>
                <w:sz w:val="20"/>
                <w:szCs w:val="20"/>
                <w:color w:val="auto"/>
              </w:rPr>
            </w:pPr>
            <w:r>
              <w:rPr>
                <w:rFonts w:ascii="Arial" w:cs="Arial" w:eastAsia="Arial" w:hAnsi="Arial"/>
                <w:sz w:val="16"/>
                <w:szCs w:val="16"/>
                <w:color w:val="0000FF"/>
              </w:rPr>
              <w:t>Defaults upon Senior Securities</w:t>
            </w:r>
          </w:p>
        </w:tc>
        <w:tc>
          <w:tcPr>
            <w:tcW w:w="3680" w:type="dxa"/>
            <w:vAlign w:val="bottom"/>
            <w:tcBorders>
              <w:bottom w:val="single" w:sz="8" w:color="0000FF"/>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sz w:val="20"/>
                <w:szCs w:val="20"/>
                <w:color w:val="auto"/>
              </w:rPr>
            </w:pPr>
            <w:r>
              <w:rPr>
                <w:rFonts w:ascii="Arial" w:cs="Arial" w:eastAsia="Arial" w:hAnsi="Arial"/>
                <w:sz w:val="18"/>
                <w:szCs w:val="18"/>
                <w:color w:val="0000FF"/>
                <w:w w:val="79"/>
              </w:rPr>
              <w:t>45</w:t>
            </w:r>
          </w:p>
        </w:tc>
      </w:tr>
      <w:tr>
        <w:trPr>
          <w:trHeight w:val="203"/>
        </w:trPr>
        <w:tc>
          <w:tcPr>
            <w:tcW w:w="460" w:type="dxa"/>
            <w:vAlign w:val="bottom"/>
          </w:tcPr>
          <w:p>
            <w:pPr>
              <w:spacing w:after="0"/>
              <w:rPr>
                <w:sz w:val="20"/>
                <w:szCs w:val="20"/>
                <w:color w:val="auto"/>
              </w:rPr>
            </w:pPr>
            <w:r>
              <w:rPr>
                <w:rFonts w:ascii="Arial" w:cs="Arial" w:eastAsia="Arial" w:hAnsi="Arial"/>
                <w:sz w:val="16"/>
                <w:szCs w:val="16"/>
                <w:color w:val="0000FF"/>
                <w:w w:val="85"/>
              </w:rPr>
              <w:t>Item 4.</w:t>
            </w:r>
          </w:p>
        </w:tc>
        <w:tc>
          <w:tcPr>
            <w:tcW w:w="580" w:type="dxa"/>
            <w:vAlign w:val="bottom"/>
            <w:gridSpan w:val="3"/>
          </w:tcPr>
          <w:p>
            <w:pPr>
              <w:spacing w:after="0"/>
              <w:rPr>
                <w:sz w:val="17"/>
                <w:szCs w:val="17"/>
                <w:color w:val="auto"/>
              </w:rPr>
            </w:pPr>
          </w:p>
        </w:tc>
        <w:tc>
          <w:tcPr>
            <w:tcW w:w="7580" w:type="dxa"/>
            <w:vAlign w:val="bottom"/>
            <w:gridSpan w:val="12"/>
          </w:tcPr>
          <w:p>
            <w:pPr>
              <w:spacing w:after="0"/>
              <w:rPr>
                <w:sz w:val="20"/>
                <w:szCs w:val="20"/>
                <w:color w:val="auto"/>
              </w:rPr>
            </w:pPr>
            <w:r>
              <w:rPr>
                <w:rFonts w:ascii="Arial" w:cs="Arial" w:eastAsia="Arial" w:hAnsi="Arial"/>
                <w:sz w:val="16"/>
                <w:szCs w:val="16"/>
                <w:color w:val="0000FF"/>
              </w:rPr>
              <w:t>Mine Safety Disclosures</w:t>
            </w: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6"/>
                <w:szCs w:val="16"/>
                <w:color w:val="0000FF"/>
                <w:w w:val="85"/>
              </w:rPr>
              <w:t>Item 5.</w:t>
            </w:r>
          </w:p>
        </w:tc>
        <w:tc>
          <w:tcPr>
            <w:tcW w:w="580" w:type="dxa"/>
            <w:vAlign w:val="bottom"/>
            <w:gridSpan w:val="3"/>
          </w:tcPr>
          <w:p>
            <w:pPr>
              <w:spacing w:after="0"/>
              <w:rPr>
                <w:sz w:val="17"/>
                <w:szCs w:val="17"/>
                <w:color w:val="auto"/>
              </w:rPr>
            </w:pPr>
          </w:p>
        </w:tc>
        <w:tc>
          <w:tcPr>
            <w:tcW w:w="1180" w:type="dxa"/>
            <w:vAlign w:val="bottom"/>
            <w:gridSpan w:val="3"/>
          </w:tcPr>
          <w:p>
            <w:pPr>
              <w:spacing w:after="0"/>
              <w:rPr>
                <w:sz w:val="20"/>
                <w:szCs w:val="20"/>
                <w:color w:val="auto"/>
              </w:rPr>
            </w:pPr>
            <w:r>
              <w:rPr>
                <w:rFonts w:ascii="Arial" w:cs="Arial" w:eastAsia="Arial" w:hAnsi="Arial"/>
                <w:sz w:val="16"/>
                <w:szCs w:val="16"/>
                <w:color w:val="0000FF"/>
                <w:w w:val="93"/>
              </w:rPr>
              <w:t>Other Information</w:t>
            </w:r>
          </w:p>
        </w:tc>
        <w:tc>
          <w:tcPr>
            <w:tcW w:w="400" w:type="dxa"/>
            <w:vAlign w:val="bottom"/>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6"/>
                <w:szCs w:val="16"/>
                <w:color w:val="0000FF"/>
                <w:w w:val="85"/>
              </w:rPr>
              <w:t>Item 6.</w:t>
            </w:r>
          </w:p>
        </w:tc>
        <w:tc>
          <w:tcPr>
            <w:tcW w:w="580" w:type="dxa"/>
            <w:vAlign w:val="bottom"/>
            <w:gridSpan w:val="3"/>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0000FF"/>
                <w:w w:val="92"/>
              </w:rPr>
              <w:t>Exhibits</w:t>
            </w:r>
          </w:p>
        </w:tc>
        <w:tc>
          <w:tcPr>
            <w:tcW w:w="640" w:type="dxa"/>
            <w:vAlign w:val="bottom"/>
            <w:gridSpan w:val="2"/>
          </w:tcPr>
          <w:p>
            <w:pPr>
              <w:spacing w:after="0"/>
              <w:rPr>
                <w:sz w:val="17"/>
                <w:szCs w:val="17"/>
                <w:color w:val="auto"/>
              </w:rPr>
            </w:pPr>
          </w:p>
        </w:tc>
        <w:tc>
          <w:tcPr>
            <w:tcW w:w="6400" w:type="dxa"/>
            <w:vAlign w:val="bottom"/>
            <w:gridSpan w:val="9"/>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40" w:type="dxa"/>
            <w:vAlign w:val="bottom"/>
            <w:gridSpan w:val="4"/>
          </w:tcPr>
          <w:p>
            <w:pPr>
              <w:spacing w:after="0"/>
              <w:rPr>
                <w:sz w:val="20"/>
                <w:szCs w:val="20"/>
                <w:color w:val="auto"/>
              </w:rPr>
            </w:pPr>
            <w:r>
              <w:rPr>
                <w:rFonts w:ascii="Arial" w:cs="Arial" w:eastAsia="Arial" w:hAnsi="Arial"/>
                <w:sz w:val="16"/>
                <w:szCs w:val="16"/>
                <w:color w:val="0000FF"/>
              </w:rPr>
              <w:t>Signatures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891" w:right="9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Agency securities, at fair value (including pledged securities of $41,852 and $35,800, respectively)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39,346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Credit risk transfer securities, at fair value (including pledged securities of $747 and $703,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2"/>
              </w:rPr>
              <w:t>Non-Agency securities, at fair value, and other mortgage credit investments (including pledged securities of $457 and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$605,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U.S. Treasury securities, at fair value (including pledged securities of $6,481 and $353,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assets,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Receivable for investment securities sold (including pledged securities of $339 and $119,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 under reverse repurchase agreements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790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66,111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51,748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Repurchase agreements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48,384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36,262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Debt of consolidated variable interest entities,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Payable for investment securities purchased</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58,319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43,878</w:t>
            </w:r>
          </w:p>
        </w:tc>
        <w:tc>
          <w:tcPr>
            <w:tcW w:w="0" w:type="dxa"/>
            <w:vAlign w:val="bottom"/>
          </w:tcPr>
          <w:p>
            <w:pPr>
              <w:spacing w:after="0"/>
              <w:rPr>
                <w:sz w:val="1"/>
                <w:szCs w:val="1"/>
                <w:color w:val="auto"/>
              </w:rPr>
            </w:pPr>
          </w:p>
        </w:tc>
      </w:tr>
      <w:tr>
        <w:trPr>
          <w:trHeight w:val="193"/>
        </w:trPr>
        <w:tc>
          <w:tcPr>
            <w:tcW w:w="79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 aggregate liquidation preference of $1,688 and $1,688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166"/>
        </w:trPr>
        <w:tc>
          <w:tcPr>
            <w:tcW w:w="7900" w:type="dxa"/>
            <w:vAlign w:val="bottom"/>
          </w:tcPr>
          <w:p>
            <w:pPr>
              <w:ind w:left="200"/>
              <w:spacing w:after="0" w:line="166" w:lineRule="exact"/>
              <w:rPr>
                <w:sz w:val="20"/>
                <w:szCs w:val="20"/>
                <w:color w:val="auto"/>
              </w:rPr>
            </w:pPr>
            <w:r>
              <w:rPr>
                <w:rFonts w:ascii="Arial" w:cs="Arial" w:eastAsia="Arial" w:hAnsi="Arial"/>
                <w:sz w:val="16"/>
                <w:szCs w:val="16"/>
                <w:color w:val="auto"/>
              </w:rPr>
              <w:t>Common stock - $0.01 par value; 1,500 shares authorized; 592.5 and 574.6 shares issued and outstanding,</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79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(7,284)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7,870</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7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r>
      <w:tr>
        <w:trPr>
          <w:trHeight w:val="212"/>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2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2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interest income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gain (loss),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260" w:type="dxa"/>
            <w:vAlign w:val="bottom"/>
          </w:tcPr>
          <w:p>
            <w:pPr>
              <w:ind w:left="340"/>
              <w:spacing w:after="0"/>
              <w:rPr>
                <w:sz w:val="20"/>
                <w:szCs w:val="20"/>
                <w:color w:val="auto"/>
              </w:rPr>
            </w:pPr>
            <w:r>
              <w:rPr>
                <w:rFonts w:ascii="Arial" w:cs="Arial" w:eastAsia="Arial" w:hAnsi="Arial"/>
                <w:sz w:val="18"/>
                <w:szCs w:val="18"/>
                <w:color w:val="auto"/>
              </w:rPr>
              <w:t>Loss on sale of investment securities,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Unrealized gain (loss) on investment securities measured at fair value through net income,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r>
      <w:tr>
        <w:trPr>
          <w:trHeight w:val="229"/>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Gain (loss) on derivative instruments and other investments,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r>
      <w:tr>
        <w:trPr>
          <w:trHeight w:val="223"/>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loss,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30"/>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188"/>
        </w:trPr>
        <w:tc>
          <w:tcPr>
            <w:tcW w:w="726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Unrealized gain (loss) on investment securities measured at fair value through other</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net</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Comprehensive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60" w:type="dxa"/>
            <w:vAlign w:val="bottom"/>
          </w:tcPr>
          <w:p>
            <w:pPr>
              <w:spacing w:after="0" w:line="203" w:lineRule="exact"/>
              <w:rPr>
                <w:sz w:val="20"/>
                <w:szCs w:val="20"/>
                <w:color w:val="auto"/>
              </w:rPr>
            </w:pPr>
            <w:r>
              <w:rPr>
                <w:rFonts w:ascii="Arial" w:cs="Arial" w:eastAsia="Arial" w:hAnsi="Arial"/>
                <w:sz w:val="18"/>
                <w:szCs w:val="18"/>
                <w:b w:val="1"/>
                <w:bCs w:val="1"/>
                <w:color w:val="auto"/>
              </w:rPr>
              <w:t>Net loss per common share - basic</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60" w:type="dxa"/>
            <w:vAlign w:val="bottom"/>
          </w:tcPr>
          <w:p>
            <w:pPr>
              <w:spacing w:after="0" w:line="203" w:lineRule="exact"/>
              <w:rPr>
                <w:sz w:val="20"/>
                <w:szCs w:val="20"/>
                <w:color w:val="auto"/>
              </w:rPr>
            </w:pPr>
            <w:r>
              <w:rPr>
                <w:rFonts w:ascii="Arial" w:cs="Arial" w:eastAsia="Arial" w:hAnsi="Arial"/>
                <w:sz w:val="18"/>
                <w:szCs w:val="18"/>
                <w:b w:val="1"/>
                <w:bCs w:val="1"/>
                <w:color w:val="auto"/>
              </w:rPr>
              <w:t>Dividends declared per common share</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r>
      <w:tr>
        <w:trPr>
          <w:trHeight w:val="20"/>
        </w:trPr>
        <w:tc>
          <w:tcPr>
            <w:tcW w:w="7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080" w:top="891" w:right="107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Preferred</w:t>
            </w:r>
          </w:p>
        </w:tc>
        <w:tc>
          <w:tcPr>
            <w:tcW w:w="19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9"/>
                <w:szCs w:val="9"/>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10,291</w:t>
            </w:r>
          </w:p>
        </w:tc>
        <w:tc>
          <w:tcPr>
            <w:tcW w:w="0" w:type="dxa"/>
            <w:vAlign w:val="bottom"/>
          </w:tcPr>
          <w:p>
            <w:pPr>
              <w:spacing w:after="0"/>
              <w:rPr>
                <w:sz w:val="1"/>
                <w:szCs w:val="1"/>
                <w:color w:val="auto"/>
              </w:rPr>
            </w:pPr>
          </w:p>
        </w:tc>
      </w:tr>
      <w:tr>
        <w:trPr>
          <w:trHeight w:val="182"/>
        </w:trPr>
        <w:tc>
          <w:tcPr>
            <w:tcW w:w="37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60" w:type="dxa"/>
            <w:vAlign w:val="bottom"/>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523.3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13,704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574.6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14,186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(7,284)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7,870</w:t>
            </w:r>
          </w:p>
        </w:tc>
        <w:tc>
          <w:tcPr>
            <w:tcW w:w="0" w:type="dxa"/>
            <w:vAlign w:val="bottom"/>
          </w:tcPr>
          <w:p>
            <w:pPr>
              <w:spacing w:after="0"/>
              <w:rPr>
                <w:sz w:val="1"/>
                <w:szCs w:val="1"/>
                <w:color w:val="auto"/>
              </w:rPr>
            </w:pPr>
          </w:p>
        </w:tc>
      </w:tr>
      <w:tr>
        <w:trPr>
          <w:trHeight w:val="191"/>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2"/>
        </w:trPr>
        <w:tc>
          <w:tcPr>
            <w:tcW w:w="376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2"/>
        </w:trPr>
        <w:tc>
          <w:tcPr>
            <w:tcW w:w="3760" w:type="dxa"/>
            <w:vAlign w:val="bottom"/>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 of common stock</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2"/>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592.5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14,356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7,792</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Loss on sale of investment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loss on derivative instruments and other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Increase in other liabilities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Purchases of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collections on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U.S. Treasury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U.S. Treasury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payments on reverse repurchase agreements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proceeds from (payments on) derivative instruments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repurchase arrangements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561,514</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Payments on repurchase agreements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(564,180)</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debt of consolidated variable interest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Net proceeds from common stock issuances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4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2022.</w:t>
      </w:r>
    </w:p>
    <w:p>
      <w:pPr>
        <w:spacing w:after="0" w:line="5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ind w:firstLine="405"/>
        <w:spacing w:after="0" w:line="311"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9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4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finance the acquisition of securities for our investment portfolio primarily through repurchase agreements with our lending counterparties. Repurchase arrangements involve the sale and a simultaneous agreement to repurchase the securities at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 xml:space="preserve">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paid. If we sell or exercise a swaption, the realized gain or loss on the swaption would be equal to the difference between the cash or the fair value of the underlying interest rate swap and the premium paid.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 and US Treasury futures contracts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would indicate and we cannot obtain an understanding from the third-party source as to the significant inputs used to determine the price.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3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Treasury securities and futures are valued based on quoted prices for identical instruments in active markets and are classified as Level 1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instruments are classified as Level 3 inputs.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As of March 31, 2023 and December 31, 2022, our investment portfolio consisted of $46.4 billion and $40.9 billion investment securities, at fair value, respectively, and $10.4 billion and $18.6 billion net TBA securities, at fair value, respectively. Our TBA position is reported at its net carrying value totaling $10 million and $167 million as of March 31, 2023 and December 31, 2022,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2023 and December 31, 2022, our investment securities had a net unamortized premium balance of $1.5 billion and $1.5 billion,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jc w:val="both"/>
        <w:ind w:firstLine="405"/>
        <w:spacing w:after="0" w:line="263" w:lineRule="auto"/>
        <w:rPr>
          <w:sz w:val="20"/>
          <w:szCs w:val="20"/>
          <w:color w:val="auto"/>
        </w:rPr>
      </w:pPr>
      <w:r>
        <w:rPr>
          <w:rFonts w:ascii="Arial" w:cs="Arial" w:eastAsia="Arial" w:hAnsi="Arial"/>
          <w:sz w:val="18"/>
          <w:szCs w:val="18"/>
          <w:color w:val="auto"/>
        </w:rPr>
        <w:t>The following tables summarize our investment securities as of March 31, 2023 and December 31, 2022, excluding TBA securities and other mortgage credit investments (dollars in millions). Details of our TBA securities are included in Note 5. As of March 31, 2023 and December 31, 2022, we had other mortgage credit investments of $25 million, which we account for under the equity method of accounting.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7"/>
          </w:tcPr>
          <w:p>
            <w:pPr>
              <w:ind w:left="44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December 31, 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89"/>
              <w:spacing w:after="0" w:line="133"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47,924</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44,754</w:t>
            </w:r>
          </w:p>
        </w:tc>
        <w:tc>
          <w:tcPr>
            <w:tcW w:w="700" w:type="dxa"/>
            <w:vAlign w:val="bottom"/>
            <w:gridSpan w:val="2"/>
          </w:tcPr>
          <w:p>
            <w:pPr>
              <w:jc w:val="right"/>
              <w:ind w:right="37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43,046</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119</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123</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48,249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45,065</w:t>
            </w:r>
          </w:p>
        </w:tc>
        <w:tc>
          <w:tcPr>
            <w:tcW w:w="1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43,385</w:t>
            </w: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452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769</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49,575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46,339</w:t>
            </w:r>
          </w:p>
        </w:tc>
        <w:tc>
          <w:tcPr>
            <w:tcW w:w="16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44,880</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right"/>
              <w:ind w:right="534"/>
              <w:spacing w:after="0" w:line="196" w:lineRule="exact"/>
              <w:rPr>
                <w:sz w:val="20"/>
                <w:szCs w:val="20"/>
                <w:color w:val="auto"/>
              </w:rPr>
            </w:pPr>
            <w:r>
              <w:rPr>
                <w:rFonts w:ascii="Arial" w:cs="Arial" w:eastAsia="Arial" w:hAnsi="Arial"/>
                <w:sz w:val="14"/>
                <w:szCs w:val="14"/>
                <w:b w:val="1"/>
                <w:bCs w:val="1"/>
                <w:color w:val="auto"/>
              </w:rPr>
              <w:t xml:space="preserve">Non-Agency </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13"/>
              <w:spacing w:after="0" w:line="129" w:lineRule="exact"/>
              <w:rPr>
                <w:sz w:val="20"/>
                <w:szCs w:val="20"/>
                <w:color w:val="auto"/>
              </w:rPr>
            </w:pPr>
            <w:r>
              <w:rPr>
                <w:rFonts w:ascii="Arial" w:cs="Arial" w:eastAsia="Arial" w:hAnsi="Arial"/>
                <w:sz w:val="14"/>
                <w:szCs w:val="14"/>
                <w:b w:val="1"/>
                <w:bCs w:val="1"/>
                <w:color w:val="auto"/>
              </w:rPr>
              <w:t>Ginnie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RMBS</w:t>
            </w: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CMBS</w:t>
            </w:r>
          </w:p>
        </w:tc>
        <w:tc>
          <w:tcPr>
            <w:tcW w:w="100" w:type="dxa"/>
            <w:vAlign w:val="bottom"/>
          </w:tcPr>
          <w:p>
            <w:pPr>
              <w:spacing w:after="0"/>
              <w:rPr>
                <w:sz w:val="11"/>
                <w:szCs w:val="11"/>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4,494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5,862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4,739</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1,446</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6,186</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4,339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5,656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26,543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14,387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770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42,261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1,239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27,327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14,734</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484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775</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43,389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(1,924)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(786)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w w:val="86"/>
              </w:rPr>
              <w:t>(18)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(2,775)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25,433</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13,974</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452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769</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40,683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29,772</w:t>
            </w:r>
          </w:p>
        </w:tc>
        <w:tc>
          <w:tcPr>
            <w:tcW w:w="1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15,290</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769</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46,339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March 31, 2023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4.21 %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6.44 %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9.13 %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March 31, 2023 </w:t>
            </w:r>
            <w:r>
              <w:rPr>
                <w:rFonts w:ascii="Arial" w:cs="Arial" w:eastAsia="Arial" w:hAnsi="Arial"/>
                <w:sz w:val="16"/>
                <w:szCs w:val="16"/>
                <w:color w:val="auto"/>
                <w:vertAlign w:val="superscript"/>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3.33 %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3.70 %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5.84 %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7.91 %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 excludes other mortgage credit investments of $25 million as of March 31, 2023.</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10.0% based on forward rates as of March 31,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Agency RMBS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97"/>
              <w:spacing w:after="0" w:line="196" w:lineRule="exact"/>
              <w:rPr>
                <w:sz w:val="20"/>
                <w:szCs w:val="20"/>
                <w:color w:val="auto"/>
              </w:rPr>
            </w:pPr>
            <w:r>
              <w:rPr>
                <w:rFonts w:ascii="Arial" w:cs="Arial" w:eastAsia="Arial" w:hAnsi="Arial"/>
                <w:sz w:val="14"/>
                <w:szCs w:val="14"/>
                <w:b w:val="1"/>
                <w:bCs w:val="1"/>
                <w:color w:val="auto"/>
              </w:rPr>
              <w:t xml:space="preserve">Non-Agency </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3" w:lineRule="exact"/>
              <w:rPr>
                <w:sz w:val="20"/>
                <w:szCs w:val="20"/>
                <w:color w:val="auto"/>
              </w:rPr>
            </w:pPr>
            <w:r>
              <w:rPr>
                <w:rFonts w:ascii="Arial" w:cs="Arial" w:eastAsia="Arial" w:hAnsi="Arial"/>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4,696</w:t>
            </w:r>
          </w:p>
        </w:tc>
        <w:tc>
          <w:tcPr>
            <w:tcW w:w="3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6,232</w:t>
            </w:r>
          </w:p>
        </w:tc>
        <w:tc>
          <w:tcPr>
            <w:tcW w:w="0" w:type="dxa"/>
            <w:vAlign w:val="bottom"/>
          </w:tcPr>
          <w:p>
            <w:pPr>
              <w:spacing w:after="0"/>
              <w:rPr>
                <w:sz w:val="1"/>
                <w:szCs w:val="1"/>
                <w:color w:val="auto"/>
              </w:rPr>
            </w:pPr>
          </w:p>
        </w:tc>
      </w:tr>
      <w:tr>
        <w:trPr>
          <w:trHeight w:val="168"/>
        </w:trPr>
        <w:tc>
          <w:tcPr>
            <w:tcW w:w="352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61"/>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4,970</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1,628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6,599</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520" w:type="dxa"/>
            <w:vAlign w:val="bottom"/>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176"/>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4,470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1,456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5,927</w:t>
            </w:r>
          </w:p>
        </w:tc>
        <w:tc>
          <w:tcPr>
            <w:tcW w:w="0" w:type="dxa"/>
            <w:vAlign w:val="bottom"/>
          </w:tcPr>
          <w:p>
            <w:pPr>
              <w:spacing w:after="0"/>
              <w:rPr>
                <w:sz w:val="1"/>
                <w:szCs w:val="1"/>
                <w:color w:val="auto"/>
              </w:rPr>
            </w:pPr>
          </w:p>
        </w:tc>
      </w:tr>
      <w:tr>
        <w:trPr>
          <w:trHeight w:val="148"/>
        </w:trPr>
        <w:tc>
          <w:tcPr>
            <w:tcW w:w="352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24,231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773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37,171</w:t>
            </w:r>
          </w:p>
        </w:tc>
        <w:tc>
          <w:tcPr>
            <w:tcW w:w="0" w:type="dxa"/>
            <w:vAlign w:val="bottom"/>
          </w:tcPr>
          <w:p>
            <w:pPr>
              <w:spacing w:after="0"/>
              <w:rPr>
                <w:sz w:val="1"/>
                <w:szCs w:val="1"/>
                <w:color w:val="auto"/>
              </w:rPr>
            </w:pPr>
          </w:p>
        </w:tc>
      </w:tr>
      <w:tr>
        <w:trPr>
          <w:trHeight w:val="168"/>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855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1,226</w:t>
            </w:r>
          </w:p>
        </w:tc>
        <w:tc>
          <w:tcPr>
            <w:tcW w:w="0" w:type="dxa"/>
            <w:vAlign w:val="bottom"/>
          </w:tcPr>
          <w:p>
            <w:pPr>
              <w:spacing w:after="0"/>
              <w:rPr>
                <w:sz w:val="1"/>
                <w:szCs w:val="1"/>
                <w:color w:val="auto"/>
              </w:rPr>
            </w:pPr>
          </w:p>
        </w:tc>
      </w:tr>
      <w:tr>
        <w:trPr>
          <w:trHeight w:val="161"/>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25,025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11,759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779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38,281</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9"/>
        </w:trPr>
        <w:tc>
          <w:tcPr>
            <w:tcW w:w="3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(2,307)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(937)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(3,333)</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22,731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10,830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757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34,977</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27,201</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12,286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757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40,904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2022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2022 </w:t>
            </w:r>
            <w:r>
              <w:rPr>
                <w:rFonts w:ascii="Arial" w:cs="Arial" w:eastAsia="Arial" w:hAnsi="Arial"/>
                <w:sz w:val="16"/>
                <w:szCs w:val="16"/>
                <w:color w:val="auto"/>
                <w:vertAlign w:val="superscript"/>
              </w:rPr>
              <w:t>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3.37 %</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excludes other mortgage credit investments of $25 million as of December 31, 2022.</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7.4% based on forward rates as of December 31, 2022.</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2023 and December 31, 2022, our investments in CRT and non-Agency securities had the following credit ratings (in millions):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2023</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CRT</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4"/>
                <w:szCs w:val="14"/>
                <w:b w:val="1"/>
                <w:bCs w:val="1"/>
                <w:color w:val="auto"/>
                <w:w w:val="92"/>
              </w:rPr>
              <w:t xml:space="preserve">RMBS </w:t>
            </w:r>
            <w:r>
              <w:rPr>
                <w:rFonts w:ascii="Arial" w:cs="Arial" w:eastAsia="Arial" w:hAnsi="Arial"/>
                <w:sz w:val="18"/>
                <w:szCs w:val="18"/>
                <w:b w:val="1"/>
                <w:bCs w:val="1"/>
                <w:color w:val="auto"/>
                <w:w w:val="92"/>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20"/>
              <w:spacing w:after="0" w:line="196" w:lineRule="exact"/>
              <w:rPr>
                <w:sz w:val="20"/>
                <w:szCs w:val="20"/>
                <w:color w:val="auto"/>
              </w:rPr>
            </w:pPr>
            <w:r>
              <w:rPr>
                <w:rFonts w:ascii="Arial" w:cs="Arial" w:eastAsia="Arial" w:hAnsi="Arial"/>
                <w:sz w:val="14"/>
                <w:szCs w:val="14"/>
                <w:b w:val="1"/>
                <w:bCs w:val="1"/>
                <w:color w:val="auto"/>
                <w:w w:val="96"/>
              </w:rPr>
              <w:t xml:space="preserve">RMBS </w:t>
            </w:r>
            <w:r>
              <w:rPr>
                <w:rFonts w:ascii="Arial" w:cs="Arial" w:eastAsia="Arial" w:hAnsi="Arial"/>
                <w:sz w:val="18"/>
                <w:szCs w:val="18"/>
                <w:b w:val="1"/>
                <w:bCs w:val="1"/>
                <w:color w:val="auto"/>
                <w:w w:val="96"/>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176"/>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7"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RMBS excludes other mortgage credit investments of $25 million as of March 31, 2023 and December 31, 2022.</w:t>
      </w:r>
    </w:p>
    <w:p>
      <w:pPr>
        <w:spacing w:after="0" w:line="17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2023 and December 31, 2022, the weighted average expected constant prepayment rate ("CPR") over the remaining life of our Agency and high credit quality non-Agency RMBS investment portfolio was 10.0% and 7.4%, respectively. Our estimates can differ materially for different securities and thus our individual holdings have a wide range of projected CPRs. The following table summarizes our investments as of March 31, 2023 and December 31, 2022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 2023</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2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0"/>
              <w:spacing w:after="0" w:line="202" w:lineRule="exact"/>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76"/>
        </w:trPr>
        <w:tc>
          <w:tcPr>
            <w:tcW w:w="2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4.85%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5.19%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4.66%</w:t>
            </w:r>
          </w:p>
        </w:tc>
        <w:tc>
          <w:tcPr>
            <w:tcW w:w="0" w:type="dxa"/>
            <w:vAlign w:val="bottom"/>
          </w:tcPr>
          <w:p>
            <w:pPr>
              <w:spacing w:after="0"/>
              <w:rPr>
                <w:sz w:val="1"/>
                <w:szCs w:val="1"/>
                <w:color w:val="auto"/>
              </w:rPr>
            </w:pPr>
          </w:p>
        </w:tc>
      </w:tr>
      <w:tr>
        <w:trPr>
          <w:trHeight w:val="182"/>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4,736</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5.26%</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4.38%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4.57%</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3.79%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37,083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39,866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3.40%</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33,985</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3.96%</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3.30%</w:t>
            </w:r>
          </w:p>
        </w:tc>
        <w:tc>
          <w:tcPr>
            <w:tcW w:w="0" w:type="dxa"/>
            <w:vAlign w:val="bottom"/>
          </w:tcPr>
          <w:p>
            <w:pPr>
              <w:spacing w:after="0"/>
              <w:rPr>
                <w:sz w:val="1"/>
                <w:szCs w:val="1"/>
                <w:color w:val="auto"/>
              </w:rPr>
            </w:pPr>
          </w:p>
        </w:tc>
      </w:tr>
      <w:tr>
        <w:trPr>
          <w:trHeight w:val="182"/>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10 years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3,956</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3.87%</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3.69%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7,534</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3.56%</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3.43%</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49,575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44,880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Table excludes other mortgage credit investments of $25 million as of March 31, 2023 and December 31, 2022.</w:t>
      </w:r>
    </w:p>
    <w:p>
      <w:pPr>
        <w:spacing w:after="0" w:line="181" w:lineRule="exact"/>
        <w:rPr>
          <w:sz w:val="20"/>
          <w:szCs w:val="20"/>
          <w:color w:val="auto"/>
        </w:rPr>
      </w:pPr>
    </w:p>
    <w:p>
      <w:pPr>
        <w:ind w:right="680" w:firstLine="486"/>
        <w:spacing w:after="0" w:line="284" w:lineRule="auto"/>
        <w:rPr>
          <w:sz w:val="20"/>
          <w:szCs w:val="20"/>
          <w:color w:val="auto"/>
        </w:rPr>
      </w:pPr>
      <w:r>
        <w:rPr>
          <w:rFonts w:ascii="Arial" w:cs="Arial" w:eastAsia="Arial" w:hAnsi="Arial"/>
          <w:sz w:val="17"/>
          <w:szCs w:val="17"/>
          <w:color w:val="auto"/>
        </w:rPr>
        <w:t>The following table presents the gross unrealized loss and fair values of securities classified as available-for-sale by length of time that such securities have been in a continuous unrealized loss position as of March 31, 2023 and December 31, 2022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Unrealized Loss Position For</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80"/>
              <w:spacing w:after="0" w:line="139"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48"/>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48"/>
              <w:spacing w:after="0" w:line="13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0"/>
              <w:spacing w:after="0" w:line="139"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8"/>
              <w:spacing w:after="0" w:line="139"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34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339"/>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5,846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5,898</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months ended March 31, 2023 and 2022 by investment classification of accounting (in millions):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Three Months Ended March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71"/>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15"/>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91"/>
              </w:rPr>
              <w:t>Available-for-</w:t>
            </w:r>
          </w:p>
        </w:tc>
        <w:tc>
          <w:tcPr>
            <w:tcW w:w="120" w:type="dxa"/>
            <w:vAlign w:val="bottom"/>
          </w:tcPr>
          <w:p>
            <w:pPr>
              <w:spacing w:after="0"/>
              <w:rPr>
                <w:sz w:val="10"/>
                <w:szCs w:val="10"/>
                <w:color w:val="auto"/>
              </w:rPr>
            </w:pPr>
          </w:p>
        </w:tc>
        <w:tc>
          <w:tcPr>
            <w:tcW w:w="760" w:type="dxa"/>
            <w:vAlign w:val="bottom"/>
          </w:tcPr>
          <w:p>
            <w:pPr>
              <w:jc w:val="center"/>
              <w:ind w:right="71"/>
              <w:spacing w:after="0" w:line="115" w:lineRule="exact"/>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89"/>
              </w:rPr>
              <w:t>Available-for-</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2"/>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Sale</w:t>
            </w:r>
          </w:p>
        </w:tc>
        <w:tc>
          <w:tcPr>
            <w:tcW w:w="120" w:type="dxa"/>
            <w:vAlign w:val="bottom"/>
          </w:tcPr>
          <w:p>
            <w:pPr>
              <w:spacing w:after="0"/>
              <w:rPr>
                <w:sz w:val="10"/>
                <w:szCs w:val="10"/>
                <w:color w:val="auto"/>
              </w:rPr>
            </w:pPr>
          </w:p>
        </w:tc>
        <w:tc>
          <w:tcPr>
            <w:tcW w:w="7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2"/>
              </w:rPr>
              <w:t>Sale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9"/>
        </w:trPr>
        <w:tc>
          <w:tcPr>
            <w:tcW w:w="526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6"/>
                <w:szCs w:val="16"/>
                <w:color w:val="auto"/>
              </w:rPr>
            </w:pPr>
          </w:p>
        </w:tc>
        <w:tc>
          <w:tcPr>
            <w:tcW w:w="760" w:type="dxa"/>
            <w:vAlign w:val="bottom"/>
          </w:tcPr>
          <w:p>
            <w:pPr>
              <w:jc w:val="center"/>
              <w:ind w:right="71"/>
              <w:spacing w:after="0"/>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200" w:type="dxa"/>
            <w:vAlign w:val="bottom"/>
          </w:tcPr>
          <w:p>
            <w:pPr>
              <w:spacing w:after="0"/>
              <w:rPr>
                <w:sz w:val="16"/>
                <w:szCs w:val="16"/>
                <w:color w:val="auto"/>
              </w:rPr>
            </w:pPr>
          </w:p>
        </w:tc>
        <w:tc>
          <w:tcPr>
            <w:tcW w:w="68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176"/>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(1,672)</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(7,312)</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(7,627)</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3"/>
        </w:trPr>
        <w:tc>
          <w:tcPr>
            <w:tcW w:w="52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1,615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7,285</w:t>
            </w:r>
          </w:p>
        </w:tc>
      </w:tr>
      <w:tr>
        <w:trPr>
          <w:trHeight w:val="196"/>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82"/>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3"/>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w:t>
            </w:r>
          </w:p>
        </w:tc>
      </w:tr>
      <w:tr>
        <w:trPr>
          <w:trHeight w:val="196"/>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spacing w:after="0" w:line="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2023, we had met all margin call requirements. For additional information regarding our pledged assets, please refer to Note 6.</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2023 and December 31, 2022, we had $48.4 billion and $36.3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Our repurchase agreements with original maturities greater than one year may have floating interest rates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based on an index plus or minus a fixed spread. The following table summarizes our borrowings under repurchase agreements by their remaining maturities as of March 31, 2023 and December 31, 2022 (dollars in millions):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31, 2023</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34,391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4.87 %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26,712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4.42 %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3 to ≤ 6 months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9 to ≤ 12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325</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Agency repo</w:t>
            </w: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41,930</w:t>
            </w:r>
          </w:p>
        </w:tc>
        <w:tc>
          <w:tcPr>
            <w:tcW w:w="1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4.81 %</w:t>
            </w:r>
          </w:p>
        </w:tc>
        <w:tc>
          <w:tcPr>
            <w:tcW w:w="14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35,907</w:t>
            </w:r>
          </w:p>
        </w:tc>
        <w:tc>
          <w:tcPr>
            <w:tcW w:w="14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4.31 %</w:t>
            </w:r>
          </w:p>
        </w:tc>
        <w:tc>
          <w:tcPr>
            <w:tcW w:w="14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repo:</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6,454</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48,384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36,262</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of March 31, 2023 and December 31, 2022, $12.1 billion and $9.6 billion, respectively, of our Agency repurchase agreements and all of our U.S. Treasury repurchase agreements had an overnight maturity of one business day and none of our repurchase agreements were due on demand. As of March 31, 2023, we had $7.5 billion of forward commitments to enter into repurchase agreements with a weighted average forward start date of 3 days and a weighted average interest rate of 4.94%. As of December 31, 2022, we had $6.4 billion of forward commitments to enter into repurchase agreements, with a weighted average forward start date of 4 days and a weighted average interest rate of 4.38%. As of March 31, 2023 and December 31, 2022, 42% and 49%,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38% and 48% of our repurchase agreement funding outstanding as of March 31, 2023 and December 31, 2022,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2023 and December 31, 2022, we had $8.9 billion and $6.6 billion, respectively, of reverse repurchase agreements outstanding used primarily to borrow securities to cover short sales of U.S. Treasury securities, for which we had associated obligations to return borrowed securities at fair value of $8.9 billion and $6.5 billion, respectively. As of March 31, 2023 and December 31, 2022, $2.3 billion and $1.5 billion, respectively, of our reverse repurchase agreements were with the FICC sourced through BES.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18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1</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 short</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SOFR futures contracts - long</w:t>
            </w: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Credit default swaps </w:t>
            </w:r>
            <w:r>
              <w:rPr>
                <w:rFonts w:ascii="Arial" w:cs="Arial" w:eastAsia="Arial" w:hAnsi="Arial"/>
                <w:sz w:val="21"/>
                <w:szCs w:val="21"/>
                <w:color w:val="auto"/>
                <w:vertAlign w:val="superscript"/>
              </w:rPr>
              <w:t>1</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w:t>
            </w: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69"/>
        </w:trPr>
        <w:tc>
          <w:tcPr>
            <w:tcW w:w="4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U.S. Treasury securities - short</w:t>
            </w:r>
          </w:p>
        </w:tc>
        <w:tc>
          <w:tcPr>
            <w:tcW w:w="4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Obligation to return securities borrowed under reverse</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(6,534)</w:t>
            </w:r>
          </w:p>
        </w:tc>
        <w:tc>
          <w:tcPr>
            <w:tcW w:w="0" w:type="dxa"/>
            <w:vAlign w:val="bottom"/>
          </w:tcPr>
          <w:p>
            <w:pPr>
              <w:spacing w:after="0"/>
              <w:rPr>
                <w:sz w:val="1"/>
                <w:szCs w:val="1"/>
                <w:color w:val="auto"/>
              </w:rPr>
            </w:pPr>
          </w:p>
        </w:tc>
      </w:tr>
      <w:tr>
        <w:trPr>
          <w:trHeight w:val="209"/>
        </w:trPr>
        <w:tc>
          <w:tcPr>
            <w:tcW w:w="4440" w:type="dxa"/>
            <w:vAlign w:val="bottom"/>
            <w:gridSpan w:val="2"/>
            <w:vMerge w:val="continue"/>
            <w:shd w:val="clear" w:color="auto" w:fill="CCEEFF"/>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 w:lineRule="exact"/>
        <w:rPr>
          <w:sz w:val="20"/>
          <w:szCs w:val="20"/>
          <w:color w:val="auto"/>
        </w:rPr>
      </w:pPr>
    </w:p>
    <w:p>
      <w:pPr>
        <w:jc w:val="both"/>
        <w:ind w:left="660" w:hanging="328"/>
        <w:spacing w:after="0" w:line="27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March 31, 2023 and December 31, 2022, the net fair value of our interest rate swaps excluding the recognition of variation margin settlements as a direct reduction of carrying value (see Note 2) was a net asset (liability) of $3.7 billion and $4.5 billion, respectively. As of March 31, 2023 and December 31, 2022, the net fair value of our credit default swaps excluding the recognition of variation margin settlements was $(5) million and $(2) million, respectively.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March 31,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(dollars in millions):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March 31, 2023</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December 31, 2022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Yeats to Maturity</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5"/>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1 to ≤ 3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4.86%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22,250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4.31%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4.86%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5,625</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0.85%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3.33%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4.87%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14.9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3.54%</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8"/>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48,925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3.3</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47,825</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840" w:type="dxa"/>
            <w:vAlign w:val="bottom"/>
            <w:gridSpan w:val="2"/>
          </w:tcPr>
          <w:p>
            <w:pPr>
              <w:ind w:left="500"/>
              <w:spacing w:after="0"/>
              <w:rPr>
                <w:sz w:val="20"/>
                <w:szCs w:val="20"/>
                <w:color w:val="auto"/>
              </w:rPr>
            </w:pPr>
            <w:r>
              <w:rPr>
                <w:rFonts w:ascii="Arial" w:cs="Arial" w:eastAsia="Arial" w:hAnsi="Arial"/>
                <w:sz w:val="14"/>
                <w:szCs w:val="14"/>
                <w:b w:val="1"/>
                <w:bCs w:val="1"/>
                <w:color w:val="auto"/>
              </w:rPr>
              <w:t>March 31,</w:t>
            </w:r>
          </w:p>
        </w:tc>
        <w:tc>
          <w:tcPr>
            <w:tcW w:w="1620" w:type="dxa"/>
            <w:vAlign w:val="bottom"/>
          </w:tcPr>
          <w:p>
            <w:pPr>
              <w:jc w:val="right"/>
              <w:ind w:right="32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2022</w:t>
            </w: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20" w:type="dxa"/>
            <w:vAlign w:val="bottom"/>
          </w:tcPr>
          <w:p>
            <w:pPr>
              <w:jc w:val="right"/>
              <w:spacing w:after="0"/>
              <w:rPr>
                <w:sz w:val="20"/>
                <w:szCs w:val="20"/>
                <w:color w:val="auto"/>
              </w:rPr>
            </w:pPr>
            <w:r>
              <w:rPr>
                <w:rFonts w:ascii="Arial" w:cs="Arial" w:eastAsia="Arial" w:hAnsi="Arial"/>
                <w:sz w:val="16"/>
                <w:szCs w:val="16"/>
                <w:color w:val="auto"/>
              </w:rPr>
              <w:t>82 %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Payer 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2"/>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tcBorders>
              <w:top w:val="single" w:sz="8" w:color="auto"/>
            </w:tcBorders>
            <w:vMerge w:val="restart"/>
          </w:tcPr>
          <w:p>
            <w:pPr>
              <w:jc w:val="center"/>
              <w:ind w:right="12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20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0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Current Option</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Pay</w:t>
            </w:r>
          </w:p>
        </w:tc>
        <w:tc>
          <w:tcPr>
            <w:tcW w:w="900" w:type="dxa"/>
            <w:vAlign w:val="bottom"/>
          </w:tcPr>
          <w:p>
            <w:pPr>
              <w:jc w:val="center"/>
              <w:ind w:right="122"/>
              <w:spacing w:after="0" w:line="14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Expiration Date</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jc w:val="center"/>
              <w:ind w:right="300"/>
              <w:spacing w:after="0" w:line="202" w:lineRule="exact"/>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18"/>
                <w:szCs w:val="18"/>
                <w:b w:val="1"/>
                <w:bCs w:val="1"/>
                <w:color w:val="auto"/>
                <w:w w:val="92"/>
                <w:vertAlign w:val="superscript"/>
              </w:rPr>
              <w:t>1</w:t>
            </w: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2.49%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2"/>
              <w:spacing w:after="0"/>
              <w:rPr>
                <w:sz w:val="20"/>
                <w:szCs w:val="20"/>
                <w:color w:val="auto"/>
              </w:rPr>
            </w:pPr>
            <w:r>
              <w:rPr>
                <w:rFonts w:ascii="Arial" w:cs="Arial" w:eastAsia="Arial" w:hAnsi="Arial"/>
                <w:sz w:val="16"/>
                <w:szCs w:val="16"/>
                <w:color w:val="auto"/>
                <w:w w:val="89"/>
              </w:rPr>
              <w:t>9.4</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89"/>
              </w:rPr>
              <w:t>9.8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Receive index references SOFR.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U.S. Treasury Securities </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2023</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Face Amount</w:t>
            </w:r>
          </w:p>
        </w:tc>
        <w:tc>
          <w:tcPr>
            <w:tcW w:w="120" w:type="dxa"/>
            <w:vAlign w:val="bottom"/>
          </w:tcPr>
          <w:p>
            <w:pPr>
              <w:spacing w:after="0"/>
              <w:rPr>
                <w:sz w:val="11"/>
                <w:szCs w:val="11"/>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88"/>
              </w:rPr>
              <w:t>Cost Basis</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w w:val="99"/>
              </w:rPr>
              <w:t>Face Amount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6"/>
              </w:rPr>
              <w:t>Cost Basis</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89"/>
              </w:rPr>
              <w:t>5,477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4"/>
              </w:rPr>
              <w:t>5,509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5,553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&gt; 5 year ≤ 7 years</w:t>
            </w:r>
          </w:p>
        </w:tc>
        <w:tc>
          <w:tcPr>
            <w:tcW w:w="140" w:type="dxa"/>
            <w:vAlign w:val="bottom"/>
          </w:tcPr>
          <w:p>
            <w:pPr>
              <w:spacing w:after="0"/>
              <w:rPr>
                <w:sz w:val="18"/>
                <w:szCs w:val="18"/>
                <w:color w:val="auto"/>
              </w:rPr>
            </w:pPr>
          </w:p>
        </w:tc>
        <w:tc>
          <w:tcPr>
            <w:tcW w:w="1040" w:type="dxa"/>
            <w:vAlign w:val="bottom"/>
          </w:tcPr>
          <w:p>
            <w:pPr>
              <w:jc w:val="center"/>
              <w:ind w:left="442"/>
              <w:spacing w:after="0"/>
              <w:rPr>
                <w:sz w:val="20"/>
                <w:szCs w:val="20"/>
                <w:color w:val="auto"/>
              </w:rPr>
            </w:pPr>
            <w:r>
              <w:rPr>
                <w:rFonts w:ascii="Arial" w:cs="Arial" w:eastAsia="Arial" w:hAnsi="Arial"/>
                <w:sz w:val="16"/>
                <w:szCs w:val="16"/>
                <w:color w:val="auto"/>
                <w:w w:val="94"/>
              </w:rPr>
              <w:t>(1,279)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462"/>
              <w:spacing w:after="0"/>
              <w:rPr>
                <w:sz w:val="20"/>
                <w:szCs w:val="20"/>
                <w:color w:val="auto"/>
              </w:rPr>
            </w:pPr>
            <w:r>
              <w:rPr>
                <w:rFonts w:ascii="Arial" w:cs="Arial" w:eastAsia="Arial" w:hAnsi="Arial"/>
                <w:sz w:val="16"/>
                <w:szCs w:val="16"/>
                <w:color w:val="auto"/>
                <w:w w:val="94"/>
              </w:rPr>
              <w:t>(1,298)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81"/>
              <w:spacing w:after="0"/>
              <w:rPr>
                <w:sz w:val="20"/>
                <w:szCs w:val="20"/>
                <w:color w:val="auto"/>
              </w:rPr>
            </w:pPr>
            <w:r>
              <w:rPr>
                <w:rFonts w:ascii="Arial" w:cs="Arial" w:eastAsia="Arial" w:hAnsi="Arial"/>
                <w:sz w:val="16"/>
                <w:szCs w:val="16"/>
                <w:color w:val="auto"/>
                <w:w w:val="90"/>
              </w:rPr>
              <w:t>(1,093)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7 year ≤ 10 years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42"/>
              <w:spacing w:after="0"/>
              <w:rPr>
                <w:sz w:val="20"/>
                <w:szCs w:val="20"/>
                <w:color w:val="auto"/>
              </w:rPr>
            </w:pPr>
            <w:r>
              <w:rPr>
                <w:rFonts w:ascii="Arial" w:cs="Arial" w:eastAsia="Arial" w:hAnsi="Arial"/>
                <w:sz w:val="16"/>
                <w:szCs w:val="16"/>
                <w:color w:val="auto"/>
                <w:w w:val="94"/>
              </w:rPr>
              <w:t>(5,929)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62"/>
              <w:spacing w:after="0"/>
              <w:rPr>
                <w:sz w:val="20"/>
                <w:szCs w:val="20"/>
                <w:color w:val="auto"/>
              </w:rPr>
            </w:pPr>
            <w:r>
              <w:rPr>
                <w:rFonts w:ascii="Arial" w:cs="Arial" w:eastAsia="Arial" w:hAnsi="Arial"/>
                <w:sz w:val="16"/>
                <w:szCs w:val="16"/>
                <w:color w:val="auto"/>
                <w:w w:val="94"/>
              </w:rPr>
              <w:t>(5,717)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0"/>
              </w:rPr>
              <w:t>(5,568)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10 years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442"/>
              <w:spacing w:after="0"/>
              <w:rPr>
                <w:sz w:val="20"/>
                <w:szCs w:val="20"/>
                <w:color w:val="auto"/>
              </w:rPr>
            </w:pPr>
            <w:r>
              <w:rPr>
                <w:rFonts w:ascii="Arial" w:cs="Arial" w:eastAsia="Arial" w:hAnsi="Arial"/>
                <w:sz w:val="16"/>
                <w:szCs w:val="16"/>
                <w:color w:val="auto"/>
                <w:w w:val="94"/>
              </w:rPr>
              <w:t>(1,095)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94"/>
              </w:rPr>
              <w:t>(1,109)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0"/>
              </w:rPr>
              <w:t>(1,119)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42"/>
              <w:spacing w:after="0"/>
              <w:rPr>
                <w:sz w:val="20"/>
                <w:szCs w:val="20"/>
                <w:color w:val="auto"/>
              </w:rPr>
            </w:pPr>
            <w:r>
              <w:rPr>
                <w:rFonts w:ascii="Arial" w:cs="Arial" w:eastAsia="Arial" w:hAnsi="Arial"/>
                <w:sz w:val="16"/>
                <w:szCs w:val="16"/>
                <w:color w:val="auto"/>
                <w:w w:val="94"/>
              </w:rPr>
              <w:t>(2,826)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center"/>
              <w:ind w:left="462"/>
              <w:spacing w:after="0"/>
              <w:rPr>
                <w:sz w:val="20"/>
                <w:szCs w:val="20"/>
                <w:color w:val="auto"/>
              </w:rPr>
            </w:pPr>
            <w:r>
              <w:rPr>
                <w:rFonts w:ascii="Arial" w:cs="Arial" w:eastAsia="Arial" w:hAnsi="Arial"/>
                <w:sz w:val="16"/>
                <w:szCs w:val="16"/>
                <w:color w:val="auto"/>
                <w:w w:val="94"/>
              </w:rPr>
              <w:t>(2,615)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0"/>
              </w:rPr>
              <w:t>(2,227)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6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2023 and December 31, 2022, short U.S. Treasury securities totaling $(8.9) billion and $(6.5) billion, at fair value, respectively, had a weighted average yield of 2.95% and 2.80%, respectively. As of March 31, 2023 and December 31, 2022, long U.S. Treasury securities totaling $6.6 billion and $0.4 billion, at fair value, respectively, had a weighted average yield of 3.78% and 3.86%,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gridSpan w:val="2"/>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Years to Maturity</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&gt; 5 year ≤ 7 years</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2"/>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&gt; 7 year ≤ 10 years</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&gt; 10 years</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Total U.S. Treasury futures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(6,934)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(10,505)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7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2.5%</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3.0% - 4.0%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4.5%</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9,993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10,395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10,396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10,385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10,395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19,050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As of March 31, 2023 and December 31, 2022, we had $425 million and $215 million, respectively, notional value of centrally cleared credit default swaps ("CDS") outstanding that reference the Markit CDX Investment Grade Index, maturing in June 2028 and June 2027, respectively. Under the terms of our CDS, we pay fixed periodic payments equal to 1% per annum of the notional value and we are entitled to receive payments for qualified credit events. As of March 31, 2023 and December 31, 2022, the CDS had a market value of $(5) million and $(2) million, respectively, and a net carrying value of zero dollars, respectively, net of variation margin settlements. Pursuant to rules governing central clearing activities, we recognize variation margin settlements as a direct reduction of the carrying value of the CDS asset or liability.</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2023, we had $539 million notional value of 3-month SOFR futures contracts (long position) with maturities between September 2023 and March 2025, a market value of $515 million and net carrying value of $(2)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months ended March 31, 2023 and 2022 (in millions):</w:t>
      </w: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1"/>
                <w:szCs w:val="11"/>
                <w:color w:val="auto"/>
              </w:rPr>
            </w:pPr>
          </w:p>
        </w:tc>
        <w:tc>
          <w:tcPr>
            <w:tcW w:w="11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2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Additions</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203"/>
        </w:trPr>
        <w:tc>
          <w:tcPr>
            <w:tcW w:w="462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Notional Amount</w:t>
            </w:r>
          </w:p>
        </w:tc>
        <w:tc>
          <w:tcPr>
            <w:tcW w:w="128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7"/>
                <w:szCs w:val="17"/>
                <w:color w:val="auto"/>
              </w:rPr>
            </w:pPr>
          </w:p>
        </w:tc>
        <w:tc>
          <w:tcPr>
            <w:tcW w:w="1200" w:type="dxa"/>
            <w:vAlign w:val="bottom"/>
          </w:tcPr>
          <w:p>
            <w:pPr>
              <w:jc w:val="center"/>
              <w:ind w:right="61"/>
              <w:spacing w:after="0" w:line="202" w:lineRule="exact"/>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19,050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60,147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(68,801)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Credit default swaps - CDX IG - buy protection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(7,373)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(9,386)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(9,213)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10,528</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SOFR futures contracts - long position</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27"/>
        </w:trPr>
        <w:tc>
          <w:tcPr>
            <w:tcW w:w="4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March 31, 2022: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Forward settling non-Agency securities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Credit default swaps - CDX IG - buy protection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(5,470)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(10,862)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0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(6,870)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(5,385)</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5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2023, our maximum amount at risk with any counterparty related to our repurchase agreements, excluding the Fixed Income Clearing Corporation, was less than 4% of our tangible stockholders' equity (or the excess/shortfall of the value of collateral pledged/received over our repurchase agreement liabilities/reverse repurchase agreement receivables). As of March 31, 2023, less than 8% of our tangible stockholder's equity was at risk with the Fixed Income Clearing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March 31, 2023 and December 31, 2022 (in millions):</w:t>
      </w: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ind w:left="116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3" w:lineRule="exact"/>
              <w:rPr>
                <w:sz w:val="20"/>
                <w:szCs w:val="20"/>
                <w:color w:val="auto"/>
              </w:rPr>
            </w:pPr>
            <w:r>
              <w:rPr>
                <w:rFonts w:ascii="Arial" w:cs="Arial" w:eastAsia="Arial" w:hAnsi="Arial"/>
                <w:sz w:val="14"/>
                <w:szCs w:val="14"/>
                <w:b w:val="1"/>
                <w:bCs w:val="1"/>
                <w:color w:val="auto"/>
                <w:w w:val="91"/>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Repurchase</w:t>
            </w:r>
            <w:r>
              <w:rPr>
                <w:rFonts w:ascii="Arial" w:cs="Arial" w:eastAsia="Arial" w:hAnsi="Arial"/>
                <w:sz w:val="18"/>
                <w:szCs w:val="18"/>
                <w:b w:val="1"/>
                <w:bCs w:val="1"/>
                <w:color w:val="auto"/>
                <w:w w:val="96"/>
                <w:vertAlign w:val="subscript"/>
              </w:rPr>
              <w:t>2</w:t>
            </w:r>
            <w:r>
              <w:rPr>
                <w:rFonts w:ascii="Arial" w:cs="Arial" w:eastAsia="Arial" w:hAnsi="Arial"/>
                <w:sz w:val="14"/>
                <w:szCs w:val="14"/>
                <w:b w:val="1"/>
                <w:bCs w:val="1"/>
                <w:color w:val="auto"/>
                <w:w w:val="96"/>
              </w:rPr>
              <w:t>Agreements</w:t>
            </w:r>
          </w:p>
        </w:tc>
        <w:tc>
          <w:tcPr>
            <w:tcW w:w="124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w w:val="90"/>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Arial" w:cs="Arial" w:eastAsia="Arial" w:hAnsi="Arial"/>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line="201" w:lineRule="exact"/>
              <w:rPr>
                <w:sz w:val="20"/>
                <w:szCs w:val="20"/>
                <w:color w:val="auto"/>
              </w:rPr>
            </w:pPr>
            <w:r>
              <w:rPr>
                <w:rFonts w:ascii="Arial" w:cs="Arial" w:eastAsia="Arial" w:hAnsi="Arial"/>
                <w:sz w:val="14"/>
                <w:szCs w:val="14"/>
                <w:b w:val="1"/>
                <w:bCs w:val="1"/>
                <w:color w:val="auto"/>
                <w:w w:val="93"/>
              </w:rPr>
              <w:t xml:space="preserve">and Other </w:t>
            </w:r>
            <w:r>
              <w:rPr>
                <w:rFonts w:ascii="Arial" w:cs="Arial" w:eastAsia="Arial" w:hAnsi="Arial"/>
                <w:sz w:val="18"/>
                <w:szCs w:val="18"/>
                <w:b w:val="1"/>
                <w:bCs w:val="1"/>
                <w:color w:val="auto"/>
                <w:w w:val="93"/>
                <w:vertAlign w:val="superscript"/>
              </w:rPr>
              <w:t>3</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42,187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42,378</w:t>
            </w:r>
          </w:p>
        </w:tc>
        <w:tc>
          <w:tcPr>
            <w:tcW w:w="0" w:type="dxa"/>
            <w:vAlign w:val="bottom"/>
          </w:tcPr>
          <w:p>
            <w:pPr>
              <w:spacing w:after="0"/>
              <w:rPr>
                <w:sz w:val="1"/>
                <w:szCs w:val="1"/>
                <w:color w:val="auto"/>
              </w:rPr>
            </w:pPr>
          </w:p>
        </w:tc>
      </w:tr>
      <w:tr>
        <w:trPr>
          <w:trHeight w:val="182"/>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82"/>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6,481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6,481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2"/>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50,315</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52,110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ind w:left="106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3" w:lineRule="exact"/>
              <w:rPr>
                <w:sz w:val="20"/>
                <w:szCs w:val="20"/>
                <w:color w:val="auto"/>
              </w:rPr>
            </w:pPr>
            <w:r>
              <w:rPr>
                <w:rFonts w:ascii="Arial" w:cs="Arial" w:eastAsia="Arial" w:hAnsi="Arial"/>
                <w:sz w:val="14"/>
                <w:szCs w:val="14"/>
                <w:b w:val="1"/>
                <w:bCs w:val="1"/>
                <w:color w:val="auto"/>
                <w:w w:val="91"/>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Repurchase</w:t>
            </w:r>
            <w:r>
              <w:rPr>
                <w:rFonts w:ascii="Arial" w:cs="Arial" w:eastAsia="Arial" w:hAnsi="Arial"/>
                <w:sz w:val="18"/>
                <w:szCs w:val="18"/>
                <w:b w:val="1"/>
                <w:bCs w:val="1"/>
                <w:color w:val="auto"/>
                <w:w w:val="96"/>
                <w:vertAlign w:val="subscript"/>
              </w:rPr>
              <w:t>2</w:t>
            </w:r>
            <w:r>
              <w:rPr>
                <w:rFonts w:ascii="Arial" w:cs="Arial" w:eastAsia="Arial" w:hAnsi="Arial"/>
                <w:sz w:val="14"/>
                <w:szCs w:val="14"/>
                <w:b w:val="1"/>
                <w:bCs w:val="1"/>
                <w:color w:val="auto"/>
                <w:w w:val="96"/>
              </w:rPr>
              <w:t>Agreements</w:t>
            </w:r>
          </w:p>
        </w:tc>
        <w:tc>
          <w:tcPr>
            <w:tcW w:w="124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w w:val="90"/>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Arial" w:cs="Arial" w:eastAsia="Arial" w:hAnsi="Arial"/>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line="202" w:lineRule="exact"/>
              <w:rPr>
                <w:sz w:val="20"/>
                <w:szCs w:val="20"/>
                <w:color w:val="auto"/>
              </w:rPr>
            </w:pPr>
            <w:r>
              <w:rPr>
                <w:rFonts w:ascii="Arial" w:cs="Arial" w:eastAsia="Arial" w:hAnsi="Arial"/>
                <w:sz w:val="14"/>
                <w:szCs w:val="14"/>
                <w:b w:val="1"/>
                <w:bCs w:val="1"/>
                <w:color w:val="auto"/>
                <w:w w:val="93"/>
              </w:rPr>
              <w:t xml:space="preserve">and Other </w:t>
            </w:r>
            <w:r>
              <w:rPr>
                <w:rFonts w:ascii="Arial" w:cs="Arial" w:eastAsia="Arial" w:hAnsi="Arial"/>
                <w:sz w:val="18"/>
                <w:szCs w:val="18"/>
                <w:b w:val="1"/>
                <w:bCs w:val="1"/>
                <w:color w:val="auto"/>
                <w:w w:val="93"/>
                <w:vertAlign w:val="superscript"/>
              </w:rPr>
              <w:t>3</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35,765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36,112</w:t>
            </w:r>
          </w:p>
        </w:tc>
        <w:tc>
          <w:tcPr>
            <w:tcW w:w="0" w:type="dxa"/>
            <w:vAlign w:val="bottom"/>
          </w:tcPr>
          <w:p>
            <w:pPr>
              <w:spacing w:after="0"/>
              <w:rPr>
                <w:sz w:val="1"/>
                <w:szCs w:val="1"/>
                <w:color w:val="auto"/>
              </w:rPr>
            </w:pPr>
          </w:p>
        </w:tc>
      </w:tr>
      <w:tr>
        <w:trPr>
          <w:trHeight w:val="182"/>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605</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2"/>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2"/>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37,764</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39,217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2" w:lineRule="exact"/>
        <w:rPr>
          <w:rFonts w:ascii="Arial" w:cs="Arial" w:eastAsia="Arial" w:hAnsi="Arial"/>
          <w:sz w:val="14"/>
          <w:szCs w:val="14"/>
          <w:color w:val="auto"/>
        </w:rPr>
      </w:pPr>
    </w:p>
    <w:p>
      <w:pPr>
        <w:ind w:left="660" w:hanging="328"/>
        <w:spacing w:after="0" w:line="257"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$48 million and $49 million of retained interests in our consolidated VIEs pledged as collateral under repurchase agreements as of March 31, 2023 and December 31, 2022, respectively.</w:t>
      </w: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deposits under brokerage and clearing agreements.</w:t>
      </w:r>
    </w:p>
    <w:p>
      <w:pPr>
        <w:spacing w:after="0" w:line="17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2023 and December 31, 2022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33"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3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of</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4"/>
        </w:trPr>
        <w:tc>
          <w:tcPr>
            <w:tcW w:w="3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2"/>
                <w:szCs w:val="12"/>
                <w:color w:val="auto"/>
              </w:rPr>
            </w:pPr>
          </w:p>
        </w:tc>
        <w:tc>
          <w:tcPr>
            <w:tcW w:w="9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203"/>
        </w:trPr>
        <w:tc>
          <w:tcPr>
            <w:tcW w:w="3920" w:type="dxa"/>
            <w:vAlign w:val="bottom"/>
            <w:gridSpan w:val="2"/>
          </w:tcPr>
          <w:p>
            <w:pPr>
              <w:ind w:left="20"/>
              <w:spacing w:after="0" w:line="202" w:lineRule="exact"/>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18"/>
                <w:szCs w:val="18"/>
                <w:b w:val="1"/>
                <w:bCs w:val="1"/>
                <w:color w:val="auto"/>
                <w:vertAlign w:val="superscript"/>
              </w:rPr>
              <w:t>1,2</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Pledged Securities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7"/>
                <w:szCs w:val="17"/>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76"/>
        </w:trPr>
        <w:tc>
          <w:tcPr>
            <w:tcW w:w="382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27,525</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2"/>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52,801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right="160" w:hanging="328"/>
        <w:spacing w:after="0" w:line="259"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$48 million and $49 million of retained interests in our consolidated VIEs pledged as collateral under repurchase agreements as of March 31, 2023 and December 31, 2022,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$11 million of repledged mortgage-backed securities received as collateral from counterparties as of March 31,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8"/>
          <w:szCs w:val="18"/>
          <w:color w:val="auto"/>
        </w:rPr>
        <w:t>As of March 31, 2023 and December 31, 2022,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8,957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6,572</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9"/>
                <w:szCs w:val="9"/>
                <w:b w:val="1"/>
                <w:bCs w:val="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6,948</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7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2023 and December 31, 2022, amounts include $8.9 billion and $6.5 billion, respectively, of U.S. Treasury securities received from counterparties that were used to cover short sales of U.S. Treasury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2023 and December 31, 2022 (in millions):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gridSpan w:val="9"/>
          </w:tcPr>
          <w:p>
            <w:pPr>
              <w:jc w:val="right"/>
              <w:ind w:right="8"/>
              <w:spacing w:after="0"/>
              <w:rPr>
                <w:sz w:val="20"/>
                <w:szCs w:val="20"/>
                <w:color w:val="auto"/>
              </w:rPr>
            </w:pPr>
            <w:r>
              <w:rPr>
                <w:rFonts w:ascii="Arial" w:cs="Arial" w:eastAsia="Arial" w:hAnsi="Arial"/>
                <w:sz w:val="14"/>
                <w:szCs w:val="14"/>
                <w:b w:val="1"/>
                <w:bCs w:val="1"/>
                <w:color w:val="auto"/>
                <w:w w:val="91"/>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28"/>
              <w:spacing w:after="0" w:line="145" w:lineRule="exact"/>
              <w:rPr>
                <w:sz w:val="20"/>
                <w:szCs w:val="20"/>
                <w:color w:val="auto"/>
              </w:rPr>
            </w:pPr>
            <w:r>
              <w:rPr>
                <w:rFonts w:ascii="Arial" w:cs="Arial" w:eastAsia="Arial" w:hAnsi="Arial"/>
                <w:sz w:val="14"/>
                <w:szCs w:val="14"/>
                <w:b w:val="1"/>
                <w:bCs w:val="1"/>
                <w:color w:val="auto"/>
                <w:w w:val="96"/>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86"/>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Balance Sheets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18"/>
                <w:szCs w:val="18"/>
                <w:b w:val="1"/>
                <w:bCs w:val="1"/>
                <w:color w:val="auto"/>
                <w:vertAlign w:val="superscript"/>
              </w:rPr>
              <w:t>2</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TBA and forward settling non-Agency securities, at fair value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TBA securities, at fair value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32385</wp:posOffset>
            </wp:positionV>
            <wp:extent cx="4551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March 31, 2023</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xml:space="preserve">TBA securities, at fair value </w:t>
      </w:r>
      <w:r>
        <w:rPr>
          <w:rFonts w:ascii="Arial" w:cs="Arial" w:eastAsia="Arial" w:hAnsi="Arial"/>
          <w:sz w:val="16"/>
          <w:szCs w:val="16"/>
          <w:color w:val="auto"/>
          <w:vertAlign w:val="superscript"/>
        </w:rPr>
        <w:t>1</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Repurchase agreements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December 31, 2022</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xml:space="preserve">TBA securities, at fair value </w:t>
      </w:r>
      <w:r>
        <w:rPr>
          <w:rFonts w:ascii="Arial" w:cs="Arial" w:eastAsia="Arial" w:hAnsi="Arial"/>
          <w:sz w:val="16"/>
          <w:szCs w:val="16"/>
          <w:color w:val="auto"/>
          <w:vertAlign w:val="superscript"/>
        </w:rPr>
        <w:t>1</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Repurchase agreements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left="748"/>
              <w:spacing w:after="0" w:line="145"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1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of Recognized</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line="202" w:lineRule="exact"/>
              <w:rPr>
                <w:sz w:val="20"/>
                <w:szCs w:val="20"/>
                <w:color w:val="auto"/>
              </w:rPr>
            </w:pPr>
            <w:r>
              <w:rPr>
                <w:rFonts w:ascii="Arial" w:cs="Arial" w:eastAsia="Arial" w:hAnsi="Arial"/>
                <w:sz w:val="14"/>
                <w:szCs w:val="14"/>
                <w:b w:val="1"/>
                <w:bCs w:val="1"/>
                <w:color w:val="auto"/>
                <w:w w:val="95"/>
              </w:rPr>
              <w:t xml:space="preserve">Pledged </w:t>
            </w:r>
            <w:r>
              <w:rPr>
                <w:rFonts w:ascii="Arial" w:cs="Arial" w:eastAsia="Arial" w:hAnsi="Arial"/>
                <w:sz w:val="18"/>
                <w:szCs w:val="18"/>
                <w:b w:val="1"/>
                <w:bCs w:val="1"/>
                <w:color w:val="auto"/>
                <w:w w:val="95"/>
                <w:vertAlign w:val="superscript"/>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48,384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48,384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(39,624)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48,499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48,499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(8,875)</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(39,624)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36,361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36,361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(4,106)</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-976630</wp:posOffset>
            </wp:positionV>
            <wp:extent cx="707199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-693420</wp:posOffset>
            </wp:positionV>
            <wp:extent cx="70719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-427990</wp:posOffset>
            </wp:positionV>
            <wp:extent cx="707199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-170815</wp:posOffset>
            </wp:positionV>
            <wp:extent cx="707199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-1242695</wp:posOffset>
            </wp:positionV>
            <wp:extent cx="70719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3320" w:space="720"/>
            <w:col w:w="7200"/>
          </w:cols>
          <w:pgMar w:left="320" w:top="1089" w:right="339" w:bottom="1440" w:gutter="0" w:footer="0" w:header="0"/>
          <w:type w:val="continuous"/>
        </w:sectPr>
      </w:pPr>
    </w:p>
    <w:p>
      <w:pPr>
        <w:ind w:left="660" w:right="160" w:hanging="328"/>
        <w:spacing w:after="0" w:line="248"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spacing w:after="0" w:line="1" w:lineRule="exact"/>
        <w:rPr>
          <w:rFonts w:ascii="Arial" w:cs="Arial" w:eastAsia="Arial" w:hAnsi="Arial"/>
          <w:sz w:val="14"/>
          <w:szCs w:val="14"/>
          <w:color w:val="auto"/>
        </w:rPr>
      </w:pPr>
    </w:p>
    <w:p>
      <w:pPr>
        <w:ind w:left="660" w:right="400" w:hanging="328"/>
        <w:spacing w:after="0" w:line="28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March 31, 2023 and December 31, 2022,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44,925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39,346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657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Interest rate swaps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46,568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41,465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Debt of consolidated VIEs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660" w:type="dxa"/>
            <w:vAlign w:val="bottom"/>
          </w:tcPr>
          <w:p>
            <w:pPr>
              <w:ind w:left="180"/>
              <w:spacing w:after="0" w:line="135" w:lineRule="exact"/>
              <w:rPr>
                <w:sz w:val="20"/>
                <w:szCs w:val="20"/>
                <w:color w:val="auto"/>
              </w:rPr>
            </w:pPr>
            <w:r>
              <w:rPr>
                <w:rFonts w:ascii="Arial" w:cs="Arial" w:eastAsia="Arial" w:hAnsi="Arial"/>
                <w:sz w:val="14"/>
                <w:szCs w:val="14"/>
                <w:color w:val="auto"/>
              </w:rPr>
              <w:t>Obligation to return U.S. Treasury securities borrowed under reverse</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8,869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repurchase agreements</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Credit default swaps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TBA securities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60" w:type="dxa"/>
            <w:vAlign w:val="bottom"/>
          </w:tcPr>
          <w:p>
            <w:pPr>
              <w:ind w:left="180"/>
              <w:spacing w:after="0"/>
              <w:rPr>
                <w:sz w:val="20"/>
                <w:szCs w:val="20"/>
                <w:color w:val="auto"/>
              </w:rPr>
            </w:pPr>
            <w:r>
              <w:rPr>
                <w:rFonts w:ascii="Arial" w:cs="Arial" w:eastAsia="Arial" w:hAnsi="Arial"/>
                <w:sz w:val="14"/>
                <w:szCs w:val="14"/>
                <w:color w:val="auto"/>
              </w:rPr>
              <w:t>SOFR Futures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 w:lineRule="exact"/>
        <w:rPr>
          <w:sz w:val="20"/>
          <w:szCs w:val="20"/>
          <w:color w:val="auto"/>
        </w:rPr>
      </w:pPr>
    </w:p>
    <w:p>
      <w:pPr>
        <w:jc w:val="both"/>
        <w:ind w:left="660" w:hanging="328"/>
        <w:spacing w:after="0" w:line="272"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March 31, 2023 and December 31, 2022, the net fair value of our interest rate swaps excluding the recognition of variation margin settlements as a direct reduction of carrying value was a net asset (liability) of $3.7 billion and $4.5 billion, respectively, based on "Level 2" inputs. As of March 31, 2023 and December 31, 2022, the net fair value of our credit default swaps excluding the recognition of variation margin settlements was $(5) million and $(2) million, respectively, based on "Level 2" inputs. See Notes 2 and 5 for additional details.</w:t>
      </w:r>
    </w:p>
    <w:p>
      <w:pPr>
        <w:spacing w:after="0" w:line="28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Excluded from the table above are financial instruments reported at cost and other mortgage credit investments reported under the equity method of accounting in our consolidated financial statements. As of March 31, 2023 and December 31, 2022,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March 31, 2023 and December 31, 2022, the carrying value of other mortgage credit investments reported under the equity method of accounting was $25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2" w:name="page23"/>
    <w:bookmarkEnd w:id="22"/>
    <w:p>
      <w:pPr>
        <w:jc w:val="center"/>
        <w:ind w:left="7340"/>
        <w:spacing w:after="0"/>
        <w:rPr>
          <w:sz w:val="20"/>
          <w:szCs w:val="20"/>
          <w:color w:val="auto"/>
        </w:rPr>
      </w:pPr>
      <w:r>
        <w:rPr>
          <w:rFonts w:ascii="Arial" w:cs="Arial" w:eastAsia="Arial" w:hAnsi="Arial"/>
          <w:sz w:val="14"/>
          <w:szCs w:val="14"/>
          <w:b w:val="1"/>
          <w:bCs w:val="1"/>
          <w:color w:val="auto"/>
        </w:rPr>
        <w:t>Three Months Ended March</w:t>
      </w:r>
    </w:p>
    <w:p>
      <w:pPr>
        <w:jc w:val="center"/>
        <w:ind w:left="7340"/>
        <w:spacing w:after="0"/>
        <w:rPr>
          <w:sz w:val="20"/>
          <w:szCs w:val="20"/>
          <w:color w:val="auto"/>
        </w:rPr>
      </w:pPr>
      <w:r>
        <w:rPr>
          <w:rFonts w:ascii="Arial" w:cs="Arial" w:eastAsia="Arial" w:hAnsi="Arial"/>
          <w:sz w:val="14"/>
          <w:szCs w:val="14"/>
          <w:b w:val="1"/>
          <w:bCs w:val="1"/>
          <w:color w:val="auto"/>
        </w:rPr>
        <w:t>31,</w:t>
      </w:r>
    </w:p>
    <w:p>
      <w:pPr>
        <w:spacing w:after="0" w:line="15" w:lineRule="exact"/>
        <w:rPr>
          <w:sz w:val="20"/>
          <w:szCs w:val="20"/>
          <w:color w:val="auto"/>
        </w:rPr>
      </w:pPr>
    </w:p>
    <w:tbl>
      <w:tblPr>
        <w:tblLayout w:type="fixed"/>
        <w:tblInd w:w="980" w:type="dxa"/>
        <w:tblCellMar>
          <w:top w:w="0" w:type="dxa"/>
          <w:left w:w="0" w:type="dxa"/>
          <w:bottom w:w="0" w:type="dxa"/>
          <w:right w:w="0" w:type="dxa"/>
        </w:tblCellMar>
      </w:tblPr>
      <w:tr>
        <w:trPr>
          <w:trHeight w:val="209"/>
        </w:trPr>
        <w:tc>
          <w:tcPr>
            <w:tcW w:w="7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r>
      <w:tr>
        <w:trPr>
          <w:trHeight w:val="18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522.6</w:t>
            </w:r>
          </w:p>
        </w:tc>
      </w:tr>
      <w:tr>
        <w:trPr>
          <w:trHeight w:val="182"/>
        </w:trPr>
        <w:tc>
          <w:tcPr>
            <w:tcW w:w="7340" w:type="dxa"/>
            <w:vAlign w:val="bottom"/>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524.3</w:t>
            </w:r>
          </w:p>
        </w:tc>
      </w:tr>
      <w:tr>
        <w:trPr>
          <w:trHeight w:val="182"/>
        </w:trPr>
        <w:tc>
          <w:tcPr>
            <w:tcW w:w="734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34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34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2023 and 2022, 1.2 million and 1.4 million, respectively, of potentially dilutive unvested time and performance based RSUs outstanding were excluded from the computation of diluted net income (loss) per common share because to do so would have been anti-dilutive for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March 31, 2023 and December 31, 2022,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March 31, 2023 and December 31, 2022,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March 31, 2023 (dollars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Cumulative Redeemable</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2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 Annum</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First Optional</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Conversion</w:t>
            </w:r>
          </w:p>
        </w:tc>
        <w:tc>
          <w:tcPr>
            <w:tcW w:w="0" w:type="dxa"/>
            <w:vAlign w:val="bottom"/>
          </w:tcPr>
          <w:p>
            <w:pPr>
              <w:spacing w:after="0"/>
              <w:rPr>
                <w:sz w:val="1"/>
                <w:szCs w:val="1"/>
                <w:color w:val="auto"/>
              </w:rPr>
            </w:pPr>
          </w:p>
        </w:tc>
      </w:tr>
      <w:tr>
        <w:trPr>
          <w:trHeight w:val="135"/>
        </w:trPr>
        <w:tc>
          <w:tcPr>
            <w:tcW w:w="190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Dividend</w:t>
            </w: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Redemption Date /</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900" w:type="dxa"/>
            <w:vAlign w:val="bottom"/>
            <w:gridSpan w:val="2"/>
          </w:tcPr>
          <w:p>
            <w:pPr>
              <w:ind w:left="380"/>
              <w:spacing w:after="0" w:line="202"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Issue Date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920" w:type="dxa"/>
            <w:vAlign w:val="bottom"/>
          </w:tcPr>
          <w:p>
            <w:pPr>
              <w:jc w:val="center"/>
              <w:ind w:right="70"/>
              <w:spacing w:after="0"/>
              <w:rPr>
                <w:sz w:val="20"/>
                <w:szCs w:val="20"/>
                <w:color w:val="auto"/>
              </w:rPr>
            </w:pPr>
            <w:r>
              <w:rPr>
                <w:rFonts w:ascii="Arial" w:cs="Arial" w:eastAsia="Arial" w:hAnsi="Arial"/>
                <w:sz w:val="14"/>
                <w:szCs w:val="14"/>
                <w:b w:val="1"/>
                <w:bCs w:val="1"/>
                <w:color w:val="auto"/>
                <w:w w:val="85"/>
              </w:rPr>
              <w:t>Preference</w:t>
            </w:r>
          </w:p>
        </w:tc>
        <w:tc>
          <w:tcPr>
            <w:tcW w:w="1140" w:type="dxa"/>
            <w:vAlign w:val="bottom"/>
            <w:gridSpan w:val="2"/>
          </w:tcPr>
          <w:p>
            <w:pPr>
              <w:jc w:val="center"/>
              <w:spacing w:after="0" w:line="202" w:lineRule="exact"/>
              <w:rPr>
                <w:sz w:val="20"/>
                <w:szCs w:val="20"/>
                <w:color w:val="auto"/>
              </w:rPr>
            </w:pPr>
            <w:r>
              <w:rPr>
                <w:rFonts w:ascii="Arial" w:cs="Arial" w:eastAsia="Arial" w:hAnsi="Arial"/>
                <w:sz w:val="14"/>
                <w:szCs w:val="14"/>
                <w:b w:val="1"/>
                <w:bCs w:val="1"/>
                <w:color w:val="auto"/>
                <w:w w:val="87"/>
              </w:rPr>
              <w:t xml:space="preserve">Rate </w:t>
            </w:r>
            <w:r>
              <w:rPr>
                <w:rFonts w:ascii="Arial" w:cs="Arial" w:eastAsia="Arial" w:hAnsi="Arial"/>
                <w:sz w:val="18"/>
                <w:szCs w:val="18"/>
                <w:b w:val="1"/>
                <w:bCs w:val="1"/>
                <w:color w:val="auto"/>
                <w:w w:val="87"/>
                <w:vertAlign w:val="superscript"/>
              </w:rPr>
              <w:t>2</w:t>
            </w:r>
          </w:p>
        </w:tc>
        <w:tc>
          <w:tcPr>
            <w:tcW w:w="1580" w:type="dxa"/>
            <w:vAlign w:val="bottom"/>
            <w:gridSpan w:val="2"/>
          </w:tcPr>
          <w:p>
            <w:pPr>
              <w:jc w:val="center"/>
              <w:ind w:right="100"/>
              <w:spacing w:after="0" w:line="202" w:lineRule="exact"/>
              <w:rPr>
                <w:sz w:val="20"/>
                <w:szCs w:val="20"/>
                <w:color w:val="auto"/>
              </w:rPr>
            </w:pPr>
            <w:r>
              <w:rPr>
                <w:rFonts w:ascii="Arial" w:cs="Arial" w:eastAsia="Arial" w:hAnsi="Arial"/>
                <w:sz w:val="14"/>
                <w:szCs w:val="14"/>
                <w:b w:val="1"/>
                <w:bCs w:val="1"/>
                <w:color w:val="auto"/>
                <w:w w:val="88"/>
              </w:rPr>
              <w:t xml:space="preserve">Conversion Date </w:t>
            </w:r>
            <w:r>
              <w:rPr>
                <w:rFonts w:ascii="Arial" w:cs="Arial" w:eastAsia="Arial" w:hAnsi="Arial"/>
                <w:sz w:val="18"/>
                <w:szCs w:val="18"/>
                <w:b w:val="1"/>
                <w:bCs w:val="1"/>
                <w:color w:val="auto"/>
                <w:w w:val="88"/>
                <w:vertAlign w:val="superscript"/>
              </w:rPr>
              <w:t>3</w:t>
            </w:r>
          </w:p>
        </w:tc>
        <w:tc>
          <w:tcPr>
            <w:tcW w:w="17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7"/>
              </w:rPr>
              <w:t xml:space="preserve">Rate </w:t>
            </w:r>
            <w:r>
              <w:rPr>
                <w:rFonts w:ascii="Arial" w:cs="Arial" w:eastAsia="Arial" w:hAnsi="Arial"/>
                <w:sz w:val="18"/>
                <w:szCs w:val="18"/>
                <w:b w:val="1"/>
                <w:bCs w:val="1"/>
                <w:color w:val="auto"/>
                <w:w w:val="87"/>
                <w:vertAlign w:val="superscript"/>
              </w:rPr>
              <w:t>4</w:t>
            </w:r>
          </w:p>
        </w:tc>
        <w:tc>
          <w:tcPr>
            <w:tcW w:w="0" w:type="dxa"/>
            <w:vAlign w:val="bottom"/>
          </w:tcPr>
          <w:p>
            <w:pPr>
              <w:spacing w:after="0"/>
              <w:rPr>
                <w:sz w:val="1"/>
                <w:szCs w:val="1"/>
                <w:color w:val="auto"/>
              </w:rPr>
            </w:pPr>
          </w:p>
        </w:tc>
      </w:tr>
      <w:tr>
        <w:trPr>
          <w:trHeight w:val="183"/>
        </w:trPr>
        <w:tc>
          <w:tcPr>
            <w:tcW w:w="1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Fixed-to-Floating Rate:</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00" w:type="dxa"/>
            <w:vAlign w:val="bottom"/>
            <w:gridSpan w:val="2"/>
          </w:tcPr>
          <w:p>
            <w:pPr>
              <w:ind w:left="220"/>
              <w:spacing w:after="0"/>
              <w:rPr>
                <w:sz w:val="20"/>
                <w:szCs w:val="20"/>
                <w:color w:val="auto"/>
              </w:rPr>
            </w:pPr>
            <w:r>
              <w:rPr>
                <w:rFonts w:ascii="Arial" w:cs="Arial" w:eastAsia="Arial" w:hAnsi="Arial"/>
                <w:sz w:val="14"/>
                <w:szCs w:val="14"/>
                <w:color w:val="auto"/>
              </w:rPr>
              <w:t>Series C</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August 22, 2017</w:t>
            </w:r>
          </w:p>
        </w:tc>
        <w:tc>
          <w:tcPr>
            <w:tcW w:w="10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325</w:t>
            </w:r>
          </w:p>
        </w:tc>
        <w:tc>
          <w:tcPr>
            <w:tcW w:w="1040" w:type="dxa"/>
            <w:vAlign w:val="bottom"/>
          </w:tcPr>
          <w:p>
            <w:pPr>
              <w:jc w:val="center"/>
              <w:ind w:left="50"/>
              <w:spacing w:after="0"/>
              <w:rPr>
                <w:sz w:val="20"/>
                <w:szCs w:val="20"/>
                <w:color w:val="auto"/>
              </w:rPr>
            </w:pPr>
            <w:r>
              <w:rPr>
                <w:rFonts w:ascii="Arial" w:cs="Arial" w:eastAsia="Arial" w:hAnsi="Arial"/>
                <w:sz w:val="14"/>
                <w:szCs w:val="14"/>
                <w:color w:val="auto"/>
                <w:w w:val="92"/>
              </w:rPr>
              <w:t>9.941%</w:t>
            </w:r>
          </w:p>
        </w:tc>
        <w:tc>
          <w:tcPr>
            <w:tcW w:w="1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October 15, 2022</w:t>
            </w: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3M LIBOR + 5.111%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Series D</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March 6, 2019</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235</w:t>
            </w:r>
          </w:p>
        </w:tc>
        <w:tc>
          <w:tcPr>
            <w:tcW w:w="1040" w:type="dxa"/>
            <w:vAlign w:val="bottom"/>
            <w:shd w:val="clear" w:color="auto" w:fill="CCEEFF"/>
          </w:tcPr>
          <w:p>
            <w:pPr>
              <w:jc w:val="center"/>
              <w:ind w:left="50"/>
              <w:spacing w:after="0"/>
              <w:rPr>
                <w:sz w:val="20"/>
                <w:szCs w:val="20"/>
                <w:color w:val="auto"/>
              </w:rPr>
            </w:pPr>
            <w:r>
              <w:rPr>
                <w:rFonts w:ascii="Arial" w:cs="Arial" w:eastAsia="Arial" w:hAnsi="Arial"/>
                <w:sz w:val="14"/>
                <w:szCs w:val="14"/>
                <w:color w:val="auto"/>
                <w:w w:val="92"/>
              </w:rPr>
              <w:t>6.875%</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April 15, 2024</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3M LIBOR + 4.332%</w:t>
            </w:r>
          </w:p>
        </w:tc>
        <w:tc>
          <w:tcPr>
            <w:tcW w:w="0" w:type="dxa"/>
            <w:vAlign w:val="bottom"/>
          </w:tcPr>
          <w:p>
            <w:pPr>
              <w:spacing w:after="0"/>
              <w:rPr>
                <w:sz w:val="1"/>
                <w:szCs w:val="1"/>
                <w:color w:val="auto"/>
              </w:rPr>
            </w:pPr>
          </w:p>
        </w:tc>
      </w:tr>
      <w:tr>
        <w:trPr>
          <w:trHeight w:val="184"/>
        </w:trPr>
        <w:tc>
          <w:tcPr>
            <w:tcW w:w="1900" w:type="dxa"/>
            <w:vAlign w:val="bottom"/>
            <w:gridSpan w:val="2"/>
          </w:tcPr>
          <w:p>
            <w:pPr>
              <w:ind w:left="220"/>
              <w:spacing w:after="0"/>
              <w:rPr>
                <w:sz w:val="20"/>
                <w:szCs w:val="20"/>
                <w:color w:val="auto"/>
              </w:rPr>
            </w:pPr>
            <w:r>
              <w:rPr>
                <w:rFonts w:ascii="Arial" w:cs="Arial" w:eastAsia="Arial" w:hAnsi="Arial"/>
                <w:sz w:val="14"/>
                <w:szCs w:val="14"/>
                <w:color w:val="auto"/>
              </w:rPr>
              <w:t>Series 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October 3, 2019</w:t>
            </w:r>
          </w:p>
        </w:tc>
        <w:tc>
          <w:tcPr>
            <w:tcW w:w="10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403</w:t>
            </w:r>
          </w:p>
        </w:tc>
        <w:tc>
          <w:tcPr>
            <w:tcW w:w="1040" w:type="dxa"/>
            <w:vAlign w:val="bottom"/>
          </w:tcPr>
          <w:p>
            <w:pPr>
              <w:jc w:val="center"/>
              <w:ind w:left="50"/>
              <w:spacing w:after="0"/>
              <w:rPr>
                <w:sz w:val="20"/>
                <w:szCs w:val="20"/>
                <w:color w:val="auto"/>
              </w:rPr>
            </w:pPr>
            <w:r>
              <w:rPr>
                <w:rFonts w:ascii="Arial" w:cs="Arial" w:eastAsia="Arial" w:hAnsi="Arial"/>
                <w:sz w:val="14"/>
                <w:szCs w:val="14"/>
                <w:color w:val="auto"/>
                <w:w w:val="92"/>
              </w:rPr>
              <w:t>6.500%</w:t>
            </w:r>
          </w:p>
        </w:tc>
        <w:tc>
          <w:tcPr>
            <w:tcW w:w="1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October 15, 2024</w:t>
            </w: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3M LIBOR + 4.993%</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Series F</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February 11,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575</w:t>
            </w:r>
          </w:p>
        </w:tc>
        <w:tc>
          <w:tcPr>
            <w:tcW w:w="1040" w:type="dxa"/>
            <w:vAlign w:val="bottom"/>
            <w:shd w:val="clear" w:color="auto" w:fill="CCEEFF"/>
          </w:tcPr>
          <w:p>
            <w:pPr>
              <w:jc w:val="center"/>
              <w:ind w:left="50"/>
              <w:spacing w:after="0"/>
              <w:rPr>
                <w:sz w:val="20"/>
                <w:szCs w:val="20"/>
                <w:color w:val="auto"/>
              </w:rPr>
            </w:pPr>
            <w:r>
              <w:rPr>
                <w:rFonts w:ascii="Arial" w:cs="Arial" w:eastAsia="Arial" w:hAnsi="Arial"/>
                <w:sz w:val="14"/>
                <w:szCs w:val="14"/>
                <w:color w:val="auto"/>
                <w:w w:val="92"/>
              </w:rPr>
              <w:t>6.125%</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April 15, 2025</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3M LIBOR + 4.697%</w:t>
            </w:r>
          </w:p>
        </w:tc>
        <w:tc>
          <w:tcPr>
            <w:tcW w:w="0" w:type="dxa"/>
            <w:vAlign w:val="bottom"/>
          </w:tcPr>
          <w:p>
            <w:pPr>
              <w:spacing w:after="0"/>
              <w:rPr>
                <w:sz w:val="1"/>
                <w:szCs w:val="1"/>
                <w:color w:val="auto"/>
              </w:rPr>
            </w:pPr>
          </w:p>
        </w:tc>
      </w:tr>
      <w:tr>
        <w:trPr>
          <w:trHeight w:val="184"/>
        </w:trPr>
        <w:tc>
          <w:tcPr>
            <w:tcW w:w="1900" w:type="dxa"/>
            <w:vAlign w:val="bottom"/>
            <w:gridSpan w:val="2"/>
          </w:tcPr>
          <w:p>
            <w:pPr>
              <w:ind w:left="60"/>
              <w:spacing w:after="0"/>
              <w:rPr>
                <w:sz w:val="20"/>
                <w:szCs w:val="20"/>
                <w:color w:val="auto"/>
              </w:rPr>
            </w:pPr>
            <w:r>
              <w:rPr>
                <w:rFonts w:ascii="Arial" w:cs="Arial" w:eastAsia="Arial" w:hAnsi="Arial"/>
                <w:sz w:val="14"/>
                <w:szCs w:val="14"/>
                <w:color w:val="auto"/>
              </w:rPr>
              <w:t>Fixed-Rate Reset:</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9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Series G</w:t>
            </w:r>
          </w:p>
        </w:tc>
        <w:tc>
          <w:tcPr>
            <w:tcW w:w="15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September 14, 2022</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150</w:t>
            </w:r>
          </w:p>
        </w:tc>
        <w:tc>
          <w:tcPr>
            <w:tcW w:w="1040" w:type="dxa"/>
            <w:vAlign w:val="bottom"/>
            <w:vMerge w:val="restart"/>
            <w:shd w:val="clear" w:color="auto" w:fill="CCEEFF"/>
          </w:tcPr>
          <w:p>
            <w:pPr>
              <w:jc w:val="center"/>
              <w:ind w:left="50"/>
              <w:spacing w:after="0"/>
              <w:rPr>
                <w:sz w:val="20"/>
                <w:szCs w:val="20"/>
                <w:color w:val="auto"/>
              </w:rPr>
            </w:pPr>
            <w:r>
              <w:rPr>
                <w:rFonts w:ascii="Arial" w:cs="Arial" w:eastAsia="Arial" w:hAnsi="Arial"/>
                <w:sz w:val="14"/>
                <w:szCs w:val="14"/>
                <w:color w:val="auto"/>
                <w:w w:val="92"/>
              </w:rPr>
              <w:t>7.750%</w:t>
            </w:r>
          </w:p>
        </w:tc>
        <w:tc>
          <w:tcPr>
            <w:tcW w:w="10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0"/>
              </w:rPr>
              <w:t>October 15, 2027</w:t>
            </w:r>
          </w:p>
        </w:tc>
        <w:tc>
          <w:tcPr>
            <w:tcW w:w="1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0"/>
              </w:rPr>
              <w:t>5 YR US Treasury Rate +</w:t>
            </w:r>
          </w:p>
        </w:tc>
        <w:tc>
          <w:tcPr>
            <w:tcW w:w="0" w:type="dxa"/>
            <w:vAlign w:val="bottom"/>
          </w:tcPr>
          <w:p>
            <w:pPr>
              <w:spacing w:after="0"/>
              <w:rPr>
                <w:sz w:val="1"/>
                <w:szCs w:val="1"/>
                <w:color w:val="auto"/>
              </w:rPr>
            </w:pPr>
          </w:p>
        </w:tc>
      </w:tr>
      <w:tr>
        <w:trPr>
          <w:trHeight w:val="110"/>
        </w:trPr>
        <w:tc>
          <w:tcPr>
            <w:tcW w:w="190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gridSpan w:val="2"/>
            <w:vMerge w:val="continue"/>
            <w:shd w:val="clear" w:color="auto" w:fill="CCEEFF"/>
          </w:tcPr>
          <w:p>
            <w:pPr>
              <w:spacing w:after="0"/>
              <w:rPr>
                <w:sz w:val="9"/>
                <w:szCs w:val="9"/>
                <w:color w:val="auto"/>
              </w:rPr>
            </w:pP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4.39%</w:t>
            </w:r>
          </w:p>
        </w:tc>
        <w:tc>
          <w:tcPr>
            <w:tcW w:w="0" w:type="dxa"/>
            <w:vAlign w:val="bottom"/>
          </w:tcPr>
          <w:p>
            <w:pPr>
              <w:spacing w:after="0"/>
              <w:rPr>
                <w:sz w:val="1"/>
                <w:szCs w:val="1"/>
                <w:color w:val="auto"/>
              </w:rPr>
            </w:pPr>
          </w:p>
        </w:tc>
      </w:tr>
      <w:tr>
        <w:trPr>
          <w:trHeight w:val="93"/>
        </w:trPr>
        <w:tc>
          <w:tcPr>
            <w:tcW w:w="1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7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1,688</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72" w:lineRule="auto"/>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60" w:right="16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Series C per annum dividend rate represents the dividend rate in effect as of March 31, 2023. This rate resets quarterly in accordance with the certificate of designations for such series.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3" w:name="page24"/>
    <w:bookmarkEnd w:id="23"/>
    <w:p>
      <w:pPr>
        <w:ind w:left="660" w:hanging="328"/>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32" w:lineRule="exact"/>
        <w:rPr>
          <w:rFonts w:ascii="Arial" w:cs="Arial" w:eastAsia="Arial" w:hAnsi="Arial"/>
          <w:sz w:val="13"/>
          <w:szCs w:val="13"/>
          <w:color w:val="auto"/>
        </w:rPr>
      </w:pPr>
    </w:p>
    <w:p>
      <w:pPr>
        <w:jc w:val="both"/>
        <w:ind w:left="660" w:hanging="328"/>
        <w:spacing w:after="0" w:line="291" w:lineRule="auto"/>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Commencing on July 15, 2023, the Series C will accrue at a floating rate equal to the 3-Month CME Term SOFR plus 0.26161%, plus a spread of 5.111%, per annum. At the conclusion of the Series D, E, and F fixed rate period ("conversion date") the preferred stock dividend will accrue at a floating rate equal to a LIBOR replacement benchmark rate plus any benchmark spread adjustment determined in accordance with the Adjustable Interest Rate (LIBOR) Act, plus a spread of 4.332%, 4.993% and 4.697%, respectively, per annum.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months ended March 31, 2023, we sold 17.1 million shares of our common stock under the sales agreements for proceeds of $171 million, or $9.95 per common share, net of offering costs. As of March 31, 2023, shares of our common stock with an aggregate offering price of $0.5 billion remained authorized for issuance under this program through June 11,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As of March 31, 2023, shares of our common stock with an aggregate repurchase price of $1 billion remained authorized for repurchase through December 31,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2023 and 2022 (in millions):</w:t>
      </w:r>
    </w:p>
    <w:p>
      <w:pPr>
        <w:spacing w:after="0" w:line="136" w:lineRule="exact"/>
        <w:rPr>
          <w:sz w:val="20"/>
          <w:szCs w:val="20"/>
          <w:color w:val="auto"/>
        </w:rPr>
      </w:pPr>
    </w:p>
    <w:tbl>
      <w:tblPr>
        <w:tblLayout w:type="fixed"/>
        <w:tblInd w:w="88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
        </w:trPr>
        <w:tc>
          <w:tcPr>
            <w:tcW w:w="7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7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91"/>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43"/>
        </w:trPr>
        <w:tc>
          <w:tcPr>
            <w:tcW w:w="7220" w:type="dxa"/>
            <w:vAlign w:val="bottom"/>
            <w:gridSpan w:val="2"/>
          </w:tcPr>
          <w:p>
            <w:pPr>
              <w:ind w:left="180"/>
              <w:spacing w:after="0" w:line="143" w:lineRule="exact"/>
              <w:rPr>
                <w:sz w:val="20"/>
                <w:szCs w:val="20"/>
                <w:color w:val="auto"/>
              </w:rPr>
            </w:pPr>
            <w:r>
              <w:rPr>
                <w:rFonts w:ascii="Arial" w:cs="Arial" w:eastAsia="Arial" w:hAnsi="Arial"/>
                <w:sz w:val="14"/>
                <w:szCs w:val="14"/>
                <w:color w:val="auto"/>
                <w:w w:val="97"/>
              </w:rPr>
              <w:t>Net loss amounts for available-for-sale securities reclassified from accumulated OCI to realized gain (loss) on sale of</w:t>
            </w:r>
          </w:p>
        </w:tc>
        <w:tc>
          <w:tcPr>
            <w:tcW w:w="120" w:type="dxa"/>
            <w:vAlign w:val="bottom"/>
          </w:tcPr>
          <w:p>
            <w:pPr>
              <w:spacing w:after="0"/>
              <w:rPr>
                <w:sz w:val="12"/>
                <w:szCs w:val="12"/>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2023. Our MD&amp;A is presented in the following sections:</w:t>
      </w:r>
    </w:p>
    <w:p>
      <w:pPr>
        <w:spacing w:after="0" w:line="6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Agency RMBS performed well during the first half of the first quarter of 2023, posting one of the asset class’s strongest monthly returns on record in January. These favorable conditions, however, gave way to a more challenging investment environment in the second half of the quarter as stronger than expected economic data, followed by regional bank instability, led to elevated interest rate volatility and an increasingly uncertain macroeconomic outlook.</w:t>
      </w:r>
    </w:p>
    <w:p>
      <w:pPr>
        <w:spacing w:after="0" w:line="9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At its February meeting, the Federal Reserve raised the federal funds rate by 25 basis points. In addition, Chairman Powell indicated that more hikes were likely and that short-term rates would likely remain higher for longer to combat persistently high inflation. By early March, the terminal federal funds rate implied by the futures market approached 6%, implying that another 100 basis points of tightening was expected, and the spread between the two-year and 10-year Treasury yield reached negative 108 basis points. The sharply inverted yield curve and more aggressive monetary policy outlook raised serious concerns about bank earnings and unrealized losses on asset portfolios that ultimately led to the abrupt failure of Silicon Valley Bank and a dramatic repricing of monetary policy expectations. The turbulence in the banking sector also sparked concerns about a potential supply overhang of Agency RMBS from the liquidation of banks’ bond portfolios that would have to be absorbed by the private market.</w:t>
      </w:r>
    </w:p>
    <w:p>
      <w:pPr>
        <w:spacing w:after="0" w:line="1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Against this backdrop, interest rate volatility increased to crisis levels, with Treasury market volatility reaching a 15-year high during the quarter. Short-term interest rates experienced the greatest volatility, with the two-year Treasury yield dropping 61 basis points in a single day, exceeding the worst decline experienced during the Great Financial Crisis. Longer-term Treasury rates were also volatile, with the 10-year Treasury yield increasing 60 basis points in February and falling by a similar amount in March.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ind w:firstLine="405"/>
        <w:spacing w:after="0" w:line="301" w:lineRule="auto"/>
        <w:rPr>
          <w:sz w:val="20"/>
          <w:szCs w:val="20"/>
          <w:color w:val="auto"/>
        </w:rPr>
      </w:pPr>
      <w:r>
        <w:rPr>
          <w:rFonts w:ascii="Arial" w:cs="Arial" w:eastAsia="Arial" w:hAnsi="Arial"/>
          <w:sz w:val="16"/>
          <w:szCs w:val="16"/>
          <w:color w:val="auto"/>
        </w:rPr>
        <w:t>The spike in volatility and the possibility of sales of banks’ bond holdings, which became a reality after the Federal Deposit Insurance Corporation's seizure of Silicon Valley Bank and Signature Bank’s assets, weighed on Agency RMBS performance. This underperformance relative to interest rate hedges late in the quarter was the primary driver of AGNC’s economic loss on tangible common equity of -0.7% for the quarter, comprised of a decline in tangible net book value per common share of $(0.43), or -4.4%, and $0.36 of dividends declared per common share for the quarter.</w:t>
      </w:r>
    </w:p>
    <w:p>
      <w:pPr>
        <w:spacing w:after="0" w:line="10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light of a more uncertain supply and demand outlook for Agency RMBS and continued interest rate volatility, we maintained our relatively conservative positioning during the first quarter. With the Fed tightening cycle likely nearing an end, we reduced our interest rate hedge position from 124% of our mortgage funding liabilities, as of December 31, 2022, to 114%, as of March 31, 2023, and shifted a larger portion of our hedges further out the yield curve. We reduced our mortgage holdings by $2.7 billion during the quarter and maintained our “at risk” leverage ratio towards the lower end of our longer-term historical average at 7.2x tangible stockholders’ equity as of March 31, 2023. Despite the intra-quarter rate volatility, our liquidity position remained strong throughout the quarter. As of March 31, 2023, our unencumbered assets totaled $4.2 billion, or 58% of our tangible stockholders' equity, which consisted of $4.1 billion of cash and unencumbered Agency RMBS and $70 million of unencumbered CRT and non-Agency securities.</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quarter, we continued to shift our portfolio higher in coupon, increasing the weighted average coupon on our fixed rate Agency RMBS and TBA securities to 4.24%, compared to 4.13% as of December 31, 2022, and reducing our exposure to the lowest Agency RMBS coupons, which represent the bulk of banks’ Agency RMBS holdings. The average projected life CPR on our portfolio increased to 10.0% as of March 31, 2023, from 7.4% as of the prior quarter-end, consistent with our higher average coupon and moderately lower forward mortgage rate expectations. Actual CPRs for the first quarter averaged less than 5.5%.</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 non-GAAP measure) declined during the first quarter to $0.70 per diluted common share, compared to $0.74 per diluted common share for fourth quarter 2022 and $0.72 per diluted common share for the first quarter 2022. The decline was largely due to higher funding costs and the addition of longer dated pay fixed interest rate swap hedges, which more than offset higher asset yields.</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Despite the volatility that we experienced in March, our longer-run outlook for Agency RMBS continues to be very positive. A key element of this optimism is our belief that Agency RMBS spreads to Treasury and swap rates will remain meaningfully wider than historical averages, providing a durable opportunity to generate highly attractive returns while maintaining a conservative risk position. For much of the last 15 years, we have competed for investment assets with the world's largest and most price insensitive buyer of Agency MBS, the Federal Reserve. With the Fed gradually repositioning its balance sheet and banks also now expected to reduce their bond portfolios, Agency RMBS valuations are historically attractive and appear poised to remain that way for some time. As a result, we believe AGNC is well-positioned for this favorable investment environment, which, over the long term, will benefit both our earnings profile and franchise value.</w:t>
      </w:r>
    </w:p>
    <w:p>
      <w:pPr>
        <w:spacing w:after="0" w:line="14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in this form 10-Q.</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benchmark interest rates and prices of generic fixed rate Agency RMBS as of each date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 31, 2023</w:t>
            </w:r>
          </w:p>
        </w:tc>
        <w:tc>
          <w:tcPr>
            <w:tcW w:w="0" w:type="dxa"/>
            <w:vAlign w:val="bottom"/>
          </w:tcPr>
          <w:p>
            <w:pPr>
              <w:spacing w:after="0"/>
              <w:rPr>
                <w:sz w:val="1"/>
                <w:szCs w:val="1"/>
                <w:color w:val="auto"/>
              </w:rPr>
            </w:pPr>
          </w:p>
        </w:tc>
      </w:tr>
      <w:tr>
        <w:trPr>
          <w:trHeight w:val="144"/>
        </w:trPr>
        <w:tc>
          <w:tcPr>
            <w:tcW w:w="536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48"/>
              <w:spacing w:after="0" w:line="14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203"/>
        </w:trPr>
        <w:tc>
          <w:tcPr>
            <w:tcW w:w="536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2022</w:t>
            </w: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0.50%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4.50%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5.00%</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SOFR Rate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1.50%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2.98%</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4.30%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4.87%</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 Interest Rate Swap Rate: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2.28%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2.99%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4.25%</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4.06%</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2.25%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2.79%</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3.85%</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3.34%</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2"/>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2.13%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2.81%</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3.59%</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3.56%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3.17%</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1.97%</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4"/>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2.34%</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4.28%</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4.43%</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2"/>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2.46%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3.04%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4.09%</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4.01%</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3.58%</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2.34%</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3.02%</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3.83%</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3.88%</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3.47%</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2"/>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2.45%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3.19%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3.78%</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3.97%</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3.65%</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$92.84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$86.96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$80.91</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$81.69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$82.59</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+$0.90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$95.45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$90.09</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$83.94</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$84.96</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$86.16</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+$1.20</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$97.86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$93.27</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$86.97</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$88.02</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$89.63</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+$1.61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$100.21</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$96.29</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$89.95</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$91.10</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$92.82</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+$1.72</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$102.10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$98.74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$92.73</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$94.03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$95.59</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+$1.56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$103.73</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$100.51</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$95.21</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$96.59</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$97.92</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+$1.33</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$102.17</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$97.39</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$98.80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$99.69</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+$0.89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5.5%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$105.72</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$103.87</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$99.46</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$100.47</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$101.00</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+$0.53</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$106.56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$104.63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$101.61</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$101.69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$102.08</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+$0.39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$94.81</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$91.16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$85.61</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$86.84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$87.95</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+$1.11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$97.11</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$93.52</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$88.06</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$89.28</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$90.36</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+$1.08</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$98.83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$95.70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$90.50</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$91.80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$92.83</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+$1.03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$100.70</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$97.82</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$92.89</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$93.85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$94.83</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+$0.98</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$101.97</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$99.52</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$94.49</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$95.93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$96.68</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+$0.75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$102.50</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$100.95</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$96.43</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$97.75</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$98.41</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+$0.66</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 w:lineRule="exact"/>
        <w:rPr>
          <w:sz w:val="20"/>
          <w:szCs w:val="20"/>
          <w:color w:val="auto"/>
        </w:rPr>
      </w:pPr>
    </w:p>
    <w:p>
      <w:pPr>
        <w:ind w:left="6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The following table summarizes mortgage and credit spreads as of each date presented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 31, 2023</w:t>
            </w:r>
          </w:p>
        </w:tc>
        <w:tc>
          <w:tcPr>
            <w:tcW w:w="0" w:type="dxa"/>
            <w:vAlign w:val="bottom"/>
          </w:tcPr>
          <w:p>
            <w:pPr>
              <w:spacing w:after="0"/>
              <w:rPr>
                <w:sz w:val="1"/>
                <w:szCs w:val="1"/>
                <w:color w:val="auto"/>
              </w:rPr>
            </w:pPr>
          </w:p>
        </w:tc>
      </w:tr>
      <w:tr>
        <w:trPr>
          <w:trHeight w:val="144"/>
        </w:trPr>
        <w:tc>
          <w:tcPr>
            <w:tcW w:w="53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Mortgage Rate/Credit Spread</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48"/>
              <w:spacing w:after="0" w:line="14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6"/>
        </w:trPr>
        <w:tc>
          <w:tcPr>
            <w:tcW w:w="538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2022</w:t>
            </w:r>
          </w:p>
        </w:tc>
        <w:tc>
          <w:tcPr>
            <w:tcW w:w="0" w:type="dxa"/>
            <w:vAlign w:val="bottom"/>
          </w:tcPr>
          <w:p>
            <w:pPr>
              <w:spacing w:after="0"/>
              <w:rPr>
                <w:sz w:val="1"/>
                <w:szCs w:val="1"/>
                <w:color w:val="auto"/>
              </w:rPr>
            </w:pPr>
          </w:p>
        </w:tc>
      </w:tr>
      <w:tr>
        <w:trPr>
          <w:trHeight w:val="202"/>
        </w:trPr>
        <w:tc>
          <w:tcPr>
            <w:tcW w:w="52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 xml:space="preserve">Mortgage Rate: </w:t>
            </w:r>
            <w:r>
              <w:rPr>
                <w:rFonts w:ascii="Arial" w:cs="Arial" w:eastAsia="Arial" w:hAnsi="Arial"/>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30-Year Agency Current Coupon Yield to 5-Year U.S. Treasury Spread</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103</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134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159</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138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147</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9"/>
              </w:rPr>
              <w:t>+9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30-Year Agency Current Coupon Yield to 10-Year U.S. Treasury Spread</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115</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136</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185</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151</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158</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+7</w:t>
            </w:r>
          </w:p>
        </w:tc>
        <w:tc>
          <w:tcPr>
            <w:tcW w:w="0" w:type="dxa"/>
            <w:vAlign w:val="bottom"/>
          </w:tcPr>
          <w:p>
            <w:pPr>
              <w:spacing w:after="0"/>
              <w:rPr>
                <w:sz w:val="1"/>
                <w:szCs w:val="1"/>
                <w:color w:val="auto"/>
              </w:rPr>
            </w:pPr>
          </w:p>
        </w:tc>
      </w:tr>
      <w:tr>
        <w:trPr>
          <w:trHeight w:val="182"/>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30-Year Agency Current Coupon Yield to 5/10-Year U.S. Treasury Spread</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109</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136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171</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145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152</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9"/>
              </w:rPr>
              <w:t>+7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30-Year Agency Current Coupon Yield</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3.49%</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4.38%</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5.68%</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5.39%</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5.05%</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2"/>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30-Year Mortgage Rate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4.79%</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5.79%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6.72%</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6.52%</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6.40%</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 xml:space="preserve">Credit Spread (in bps): </w:t>
            </w:r>
            <w:r>
              <w:rPr>
                <w:rFonts w:ascii="Arial" w:cs="Arial" w:eastAsia="Arial" w:hAnsi="Arial"/>
                <w:sz w:val="18"/>
                <w:szCs w:val="18"/>
                <w:b w:val="1"/>
                <w:bCs w:val="1"/>
                <w:color w:val="auto"/>
                <w:vertAlign w:val="superscript"/>
              </w:rPr>
              <w:t>2</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CRT M2</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385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544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633</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514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423</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8"/>
              </w:rPr>
              <w:t>-91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CMBS AAA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101</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131</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145</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127</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172</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CDX IG</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108</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76</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jc w:val="center"/>
              <w:ind w:right="448"/>
              <w:spacing w:after="0"/>
              <w:rPr>
                <w:sz w:val="20"/>
                <w:szCs w:val="20"/>
                <w:color w:val="auto"/>
              </w:rPr>
            </w:pPr>
            <w:r>
              <w:rPr>
                <w:rFonts w:ascii="Arial" w:cs="Arial" w:eastAsia="Arial" w:hAnsi="Arial"/>
                <w:sz w:val="14"/>
                <w:szCs w:val="14"/>
                <w:color w:val="auto"/>
                <w:w w:val="96"/>
              </w:rPr>
              <w:t>-6</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67" w:lineRule="exact"/>
        <w:rPr>
          <w:sz w:val="20"/>
          <w:szCs w:val="20"/>
          <w:color w:val="auto"/>
        </w:rPr>
      </w:pPr>
    </w:p>
    <w:p>
      <w:pPr>
        <w:ind w:left="660" w:hanging="328"/>
        <w:spacing w:after="0" w:line="256"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30-Year Current Coupon Yield represents yield on new production Agency RMBS. 30-Year Current Coupon Yields are sourced from Bloomberg and 30-Year Mortgage Rates are sourced from Clear Blue.</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CRT and CDX spreads sourced from JP Morgan. CMBS spreads are the average of spreads sourced from JP Morgan and Wells Fargo.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March 31, 2023 and December 31, 2022, our investment portfolio totaled $56.7 billion and $59.5 billion, respectively, consisting of: $46.4 billion and $40.9 billion investment securities, at fair value, respectively; $10.4 billion and $18.6 billion net TBA securities, at fair value, respectively. The following table is a summary of our investment securities as of March 31, 2023 and December 31, 2022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220"/>
              <w:spacing w:after="0"/>
              <w:rPr>
                <w:sz w:val="20"/>
                <w:szCs w:val="20"/>
                <w:color w:val="auto"/>
              </w:rPr>
            </w:pPr>
            <w:r>
              <w:rPr>
                <w:rFonts w:ascii="Arial" w:cs="Arial" w:eastAsia="Arial" w:hAnsi="Arial"/>
                <w:sz w:val="14"/>
                <w:szCs w:val="14"/>
                <w:b w:val="1"/>
                <w:bCs w:val="1"/>
                <w:color w:val="auto"/>
              </w:rPr>
              <w:t>March 31, 2023</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 2022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Investment Securities (Includes TBAs) </w:t>
            </w:r>
            <w:r>
              <w:rPr>
                <w:rFonts w:ascii="Arial" w:cs="Arial" w:eastAsia="Arial" w:hAnsi="Arial"/>
                <w:sz w:val="18"/>
                <w:szCs w:val="18"/>
                <w:b w:val="1"/>
                <w:bCs w:val="1"/>
                <w:color w:val="auto"/>
                <w:vertAlign w:val="superscript"/>
              </w:rPr>
              <w:t>1</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ind w:left="240"/>
              <w:spacing w:after="0" w:line="133"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3"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3.22 %</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1,718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60"/>
              <w:spacing w:after="0" w:line="202"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6"/>
        </w:trPr>
        <w:tc>
          <w:tcPr>
            <w:tcW w:w="35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2"/>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41,922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4.11 %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39,727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36,207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18,407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76"/>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55,164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52,317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58,134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54,781</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58,309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55,149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61,453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57,743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3.86 %</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3.72 %</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CMO</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3.23 %</w:t>
            </w: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58,634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55,460</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4.21 %</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61,792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58,064</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4.12 %</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Non-Agency RMBS</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4.74 %</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6.44 %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6.06 %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59,960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56,734</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4.29 %</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63,287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59,478</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4.18 %</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Table excludes other mortgage credit investments of $25 million as of March 31, 2023 and December 31, 2022 accounted for under the equity method of accounting.</w:t>
      </w:r>
    </w:p>
    <w:p>
      <w:pPr>
        <w:spacing w:after="0" w:line="2"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10-Q</w:t>
      </w:r>
    </w:p>
    <w:p>
      <w:pPr>
        <w:spacing w:after="0" w:line="1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March 31, 2023 and December 31, 2022, our TBA securities had a net carrying value of $10 million and $167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2023 and December 31, 2022, the weighted average yield on our investment securities (excluding TBA and forward settling securities) was 3.55% and 3.37%,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ind w:right="20" w:firstLine="445"/>
        <w:spacing w:after="0" w:line="277" w:lineRule="auto"/>
        <w:rPr>
          <w:sz w:val="20"/>
          <w:szCs w:val="20"/>
          <w:color w:val="auto"/>
        </w:rPr>
      </w:pPr>
      <w:r>
        <w:rPr>
          <w:rFonts w:ascii="Arial" w:cs="Arial" w:eastAsia="Arial" w:hAnsi="Arial"/>
          <w:sz w:val="18"/>
          <w:szCs w:val="18"/>
          <w:color w:val="auto"/>
        </w:rPr>
        <w:t>The following tables summarize certain characteristics of our fixed rate Agency RMBS portfolio, inclusive of TBA securities, as of March 31, 2023 and December 31, 2022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 2023</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Includes Net TBA Position</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Fixed Rate Agency RMBS and TBA</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Amortized</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10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9"/>
              </w:rPr>
              <w:t>Specified Pool</w:t>
            </w:r>
          </w:p>
        </w:tc>
        <w:tc>
          <w:tcPr>
            <w:tcW w:w="1160" w:type="dxa"/>
            <w:vAlign w:val="bottom"/>
            <w:gridSpan w:val="3"/>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2</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1</w:t>
            </w:r>
          </w:p>
        </w:tc>
        <w:tc>
          <w:tcPr>
            <w:tcW w:w="10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Coupon</w:t>
            </w: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Cost Basis</w:t>
            </w: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 15-year: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2.5%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2.42%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105.1%</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182"/>
        </w:trPr>
        <w:tc>
          <w:tcPr>
            <w:tcW w:w="2280" w:type="dxa"/>
            <w:vAlign w:val="bottom"/>
          </w:tcPr>
          <w:p>
            <w:pPr>
              <w:ind w:left="36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3.40%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92"/>
              </w:rPr>
              <w:t>102.1%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4.55%</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102.3%</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147</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17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Total ≤ 15-year</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3.22%</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w w:val="92"/>
              </w:rPr>
              <w:t>102.6%</w:t>
            </w:r>
          </w:p>
        </w:tc>
        <w:tc>
          <w:tcPr>
            <w:tcW w:w="140" w:type="dxa"/>
            <w:vAlign w:val="bottom"/>
          </w:tcPr>
          <w:p>
            <w:pPr>
              <w:spacing w:after="0"/>
              <w:rPr>
                <w:sz w:val="15"/>
                <w:szCs w:val="15"/>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57</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20-year:</w:t>
            </w: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2.5%</w:t>
            </w:r>
          </w:p>
        </w:tc>
        <w:tc>
          <w:tcPr>
            <w:tcW w:w="80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2.15%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92"/>
              </w:rPr>
              <w:t>103.6%</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3.0% - 4.0%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3.60%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102.7%</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93</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2"/>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4.5%</w:t>
            </w: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4.50%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92"/>
              </w:rPr>
              <w:t>105.0%</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77</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20-year: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2.51%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103.5%</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30-year:</w:t>
            </w: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2.5%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5,115</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2.24%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102.0%</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82"/>
        </w:trPr>
        <w:tc>
          <w:tcPr>
            <w:tcW w:w="2280" w:type="dxa"/>
            <w:vAlign w:val="bottom"/>
          </w:tcPr>
          <w:p>
            <w:pPr>
              <w:ind w:left="36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17,268</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15,899</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3.71%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92"/>
              </w:rPr>
              <w:t>104.3%</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31,721</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31,303</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5.04%</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102.4%</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7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Total 30-year</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55,164</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52,317</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4.31%</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w w:val="92"/>
              </w:rPr>
              <w:t>103.0%</w:t>
            </w:r>
          </w:p>
        </w:tc>
        <w:tc>
          <w:tcPr>
            <w:tcW w:w="140" w:type="dxa"/>
            <w:vAlign w:val="bottom"/>
          </w:tcPr>
          <w:p>
            <w:pPr>
              <w:spacing w:after="0"/>
              <w:rPr>
                <w:sz w:val="15"/>
                <w:szCs w:val="15"/>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39</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56,903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58,309</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55,149</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4.24%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92"/>
              </w:rPr>
              <w:t>103.0%</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jc w:val="both"/>
        <w:ind w:left="660" w:hanging="328"/>
        <w:spacing w:after="0" w:line="25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2023, lower balance specified pools had a weighted average original loan balance of $123,000 and $142,000 for 15-year and 30-year securities, respectively, and HARP pools had a weighted average original LTV of 128% and 138% for 15-year and 30-year securities, respectively.</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March 31, 2023.</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December 31, 2022</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34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Fixed Rate Agency RMBS and</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Specified Pool</w:t>
            </w:r>
          </w:p>
        </w:tc>
        <w:tc>
          <w:tcPr>
            <w:tcW w:w="126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01"/>
        </w:trPr>
        <w:tc>
          <w:tcPr>
            <w:tcW w:w="2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TBA Securities</w:t>
            </w: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880" w:type="dxa"/>
            <w:vAlign w:val="bottom"/>
            <w:gridSpan w:val="3"/>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1</w:t>
            </w:r>
          </w:p>
        </w:tc>
        <w:tc>
          <w:tcPr>
            <w:tcW w:w="10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Coupon</w:t>
            </w:r>
          </w:p>
        </w:tc>
        <w:tc>
          <w:tcPr>
            <w:tcW w:w="90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Cost Basis</w:t>
            </w: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 xml:space="preserve">CPR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2.42%</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105.2%</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182"/>
        </w:trPr>
        <w:tc>
          <w:tcPr>
            <w:tcW w:w="2240" w:type="dxa"/>
            <w:vAlign w:val="bottom"/>
          </w:tcPr>
          <w:p>
            <w:pPr>
              <w:ind w:left="360"/>
              <w:spacing w:after="0"/>
              <w:rPr>
                <w:sz w:val="20"/>
                <w:szCs w:val="20"/>
                <w:color w:val="auto"/>
              </w:rPr>
            </w:pPr>
            <w:r>
              <w:rPr>
                <w:rFonts w:ascii="Arial" w:cs="Arial" w:eastAsia="Arial" w:hAnsi="Arial"/>
                <w:sz w:val="14"/>
                <w:szCs w:val="14"/>
                <w:color w:val="auto"/>
              </w:rPr>
              <w:t>3.0% - 4.0%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3.43%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6"/>
              </w:rPr>
              <w:t>102.2%</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4.55%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102.4%</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144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176"/>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3.25%</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color w:val="auto"/>
                <w:w w:val="96"/>
              </w:rPr>
              <w:t>102.7%</w:t>
            </w:r>
          </w:p>
        </w:tc>
        <w:tc>
          <w:tcPr>
            <w:tcW w:w="120" w:type="dxa"/>
            <w:vAlign w:val="bottom"/>
          </w:tcPr>
          <w:p>
            <w:pPr>
              <w:spacing w:after="0"/>
              <w:rPr>
                <w:sz w:val="15"/>
                <w:szCs w:val="15"/>
                <w:color w:val="auto"/>
              </w:rPr>
            </w:pP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 2.5%</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2.15%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6"/>
              </w:rPr>
              <w:t>103.6%</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3.0% - 4.0%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3.60%</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102.7%</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2"/>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 4.5%</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4.50%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6"/>
              </w:rPr>
              <w:t>105.1%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2.51%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103.6%</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62"/>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2.5%</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2.25%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102.0%</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82"/>
        </w:trPr>
        <w:tc>
          <w:tcPr>
            <w:tcW w:w="2240" w:type="dxa"/>
            <w:vAlign w:val="bottom"/>
          </w:tcPr>
          <w:p>
            <w:pPr>
              <w:ind w:left="360"/>
              <w:spacing w:after="0"/>
              <w:rPr>
                <w:sz w:val="20"/>
                <w:szCs w:val="20"/>
                <w:color w:val="auto"/>
              </w:rPr>
            </w:pPr>
            <w:r>
              <w:rPr>
                <w:rFonts w:ascii="Arial" w:cs="Arial" w:eastAsia="Arial" w:hAnsi="Arial"/>
                <w:sz w:val="14"/>
                <w:szCs w:val="14"/>
                <w:color w:val="auto"/>
              </w:rPr>
              <w:t>3.0% - 4.0%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17,605</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3.66%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6"/>
              </w:rPr>
              <w:t>104.6%</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31,293</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4.96%</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102.9%</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176"/>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57,441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58,134</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54,781</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4.20%</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color w:val="auto"/>
                <w:w w:val="96"/>
              </w:rPr>
              <w:t>103.5%</w:t>
            </w:r>
          </w:p>
        </w:tc>
        <w:tc>
          <w:tcPr>
            <w:tcW w:w="120" w:type="dxa"/>
            <w:vAlign w:val="bottom"/>
          </w:tcPr>
          <w:p>
            <w:pPr>
              <w:spacing w:after="0"/>
              <w:rPr>
                <w:sz w:val="15"/>
                <w:szCs w:val="15"/>
                <w:color w:val="auto"/>
              </w:rPr>
            </w:pP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57,743</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4.13%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6"/>
              </w:rPr>
              <w:t>103.5%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78" w:lineRule="auto"/>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2022, lower balance specified pools had a weighted average original loan balance of $123,000 and $140,000 for 15-year and 30-year securities, respectively, and HARP pools had a weighted average original LTV of 128% and 138% for 15-year and 30-year securities, respectively.</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2022.</w:t>
      </w:r>
    </w:p>
    <w:p>
      <w:pPr>
        <w:spacing w:after="0" w:line="16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additional details regarding our CRT and non-Agency securities, including credit ratings, as of March 31, 2023 and December 31, 2022, please refer to Note 3 of our Consolidated Financial Statements in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and "net spread and dollar roll income, excluding 'catch-up' premium amortization, available to common stockholders," and the related per common share measures and certain financial metrics derived from such non-GAAP information.</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and (ii) include interest rate swap periodic income/cost, TBA dollar roll income and other miscellaneous interest income/expense. As defined "Net spread and dollar roll income, excluding 'catch-up' premium amortization, available to common stockholders" includes (i) the components of "economic interest income" and "economic interest expense", plus (ii) other interest income/expense, and less (iii) total operating expenses and dividends on preferred stock (GAAP measures).</w:t>
      </w:r>
    </w:p>
    <w:p>
      <w:pPr>
        <w:spacing w:after="0" w:line="14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"net spread and dollar roll income, excluding 'catch-up' premium amortization,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39"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2023 and December 31, 2022 and condensed consolidated statements of comprehensive income and key statistics for the three months ended March 31, 2023 and 2022 (in millions, except per share amounts):</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5"/>
          </w:tcPr>
          <w:p>
            <w:pPr>
              <w:jc w:val="center"/>
              <w:ind w:left="56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80" w:type="dxa"/>
            <w:vAlign w:val="bottom"/>
            <w:gridSpan w:val="2"/>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00" w:type="dxa"/>
            <w:vAlign w:val="bottom"/>
            <w:tcBorders>
              <w:bottom w:val="single" w:sz="8" w:color="auto"/>
            </w:tcBorders>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880" w:type="dxa"/>
            <w:vAlign w:val="bottom"/>
            <w:gridSpan w:val="3"/>
          </w:tcPr>
          <w:p>
            <w:pPr>
              <w:spacing w:after="0" w:line="166" w:lineRule="exact"/>
              <w:rPr>
                <w:sz w:val="20"/>
                <w:szCs w:val="20"/>
                <w:color w:val="auto"/>
              </w:rPr>
            </w:pPr>
            <w:r>
              <w:rPr>
                <w:rFonts w:ascii="Arial" w:cs="Arial" w:eastAsia="Arial" w:hAnsi="Arial"/>
                <w:sz w:val="16"/>
                <w:szCs w:val="16"/>
                <w:color w:val="auto"/>
                <w:w w:val="97"/>
              </w:rPr>
              <w:t>Investment securities, at fair value of $46,339 and $40,904, respectively, and other mortgage credit</w:t>
            </w:r>
          </w:p>
        </w:tc>
        <w:tc>
          <w:tcPr>
            <w:tcW w:w="3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46,364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40,929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8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3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3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gridSpan w:val="3"/>
          </w:tcPr>
          <w:p>
            <w:pPr>
              <w:spacing w:after="0"/>
              <w:rPr>
                <w:sz w:val="20"/>
                <w:szCs w:val="20"/>
                <w:color w:val="auto"/>
              </w:rPr>
            </w:pPr>
            <w:r>
              <w:rPr>
                <w:rFonts w:ascii="Arial" w:cs="Arial" w:eastAsia="Arial" w:hAnsi="Arial"/>
                <w:sz w:val="16"/>
                <w:szCs w:val="16"/>
                <w:color w:val="auto"/>
              </w:rPr>
              <w:t>Repurchase agreements and other debt</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48,476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gridSpan w:val="3"/>
          </w:tcPr>
          <w:p>
            <w:pPr>
              <w:spacing w:after="0"/>
              <w:rPr>
                <w:sz w:val="20"/>
                <w:szCs w:val="20"/>
                <w:color w:val="auto"/>
              </w:rPr>
            </w:pPr>
            <w:r>
              <w:rPr>
                <w:rFonts w:ascii="Arial" w:cs="Arial" w:eastAsia="Arial" w:hAnsi="Arial"/>
                <w:sz w:val="16"/>
                <w:szCs w:val="16"/>
                <w:color w:val="auto"/>
              </w:rPr>
              <w:t>Total stockholders' equity</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gridSpan w:val="3"/>
            <w:shd w:val="clear" w:color="auto" w:fill="CCEEFF"/>
          </w:tcPr>
          <w:p>
            <w:pPr>
              <w:spacing w:after="0" w:line="219"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3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6880" w:type="dxa"/>
            <w:vAlign w:val="bottom"/>
            <w:gridSpan w:val="3"/>
          </w:tcPr>
          <w:p>
            <w:pPr>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center"/>
              <w:ind w:left="60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Interest expense</w:t>
            </w: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Other gain (loss), net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(181)</w:t>
            </w:r>
          </w:p>
        </w:tc>
        <w:tc>
          <w:tcPr>
            <w:tcW w:w="60" w:type="dxa"/>
            <w:vAlign w:val="bottom"/>
          </w:tcPr>
          <w:p>
            <w:pPr>
              <w:spacing w:after="0"/>
              <w:rPr>
                <w:sz w:val="18"/>
                <w:szCs w:val="18"/>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8"/>
                <w:szCs w:val="18"/>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Comprehensive loss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Comprehensive loss attributable to common stockholders</w:t>
            </w:r>
          </w:p>
        </w:tc>
        <w:tc>
          <w:tcPr>
            <w:tcW w:w="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8"/>
                <w:szCs w:val="18"/>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Net loss per common share - basic</w:t>
            </w:r>
          </w:p>
        </w:tc>
        <w:tc>
          <w:tcPr>
            <w:tcW w:w="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(0.31)</w:t>
            </w:r>
          </w:p>
        </w:tc>
        <w:tc>
          <w:tcPr>
            <w:tcW w:w="60" w:type="dxa"/>
            <w:vAlign w:val="bottom"/>
          </w:tcPr>
          <w:p>
            <w:pPr>
              <w:spacing w:after="0"/>
              <w:rPr>
                <w:sz w:val="16"/>
                <w:szCs w:val="16"/>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loss per common share - diluted</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(0.07)</w:t>
            </w:r>
          </w:p>
        </w:tc>
        <w:tc>
          <w:tcPr>
            <w:tcW w:w="60" w:type="dxa"/>
            <w:vAlign w:val="bottom"/>
          </w:tcPr>
          <w:p>
            <w:pPr>
              <w:spacing w:after="0"/>
              <w:rPr>
                <w:sz w:val="16"/>
                <w:szCs w:val="16"/>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80" w:type="dxa"/>
            <w:vAlign w:val="bottom"/>
            <w:gridSpan w:val="3"/>
          </w:tcPr>
          <w:p>
            <w:pPr>
              <w:ind w:left="20"/>
              <w:spacing w:after="0"/>
              <w:rPr>
                <w:sz w:val="20"/>
                <w:szCs w:val="20"/>
                <w:color w:val="auto"/>
              </w:rPr>
            </w:pPr>
            <w:r>
              <w:rPr>
                <w:rFonts w:ascii="Arial" w:cs="Arial" w:eastAsia="Arial" w:hAnsi="Arial"/>
                <w:sz w:val="14"/>
                <w:szCs w:val="14"/>
                <w:color w:val="auto"/>
              </w:rPr>
              <w:t>Dividends declared per common share</w:t>
            </w:r>
          </w:p>
        </w:tc>
        <w:tc>
          <w:tcPr>
            <w:tcW w:w="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2" w:name="page33"/>
    <w:bookmarkEnd w:id="32"/>
    <w:tbl>
      <w:tblPr>
        <w:tblLayout w:type="fixed"/>
        <w:tblInd w:w="7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46,374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51,749</w:t>
            </w:r>
          </w:p>
        </w:tc>
      </w:tr>
      <w:tr>
        <w:trPr>
          <w:trHeight w:val="213"/>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42"/>
              <w:spacing w:after="0"/>
              <w:rPr>
                <w:sz w:val="20"/>
                <w:szCs w:val="20"/>
                <w:color w:val="auto"/>
              </w:rPr>
            </w:pPr>
            <w:r>
              <w:rPr>
                <w:rFonts w:ascii="Arial" w:cs="Arial" w:eastAsia="Arial" w:hAnsi="Arial"/>
                <w:sz w:val="16"/>
                <w:szCs w:val="16"/>
                <w:color w:val="auto"/>
              </w:rPr>
              <w:t>47,846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53,535</w:t>
            </w:r>
          </w:p>
        </w:tc>
      </w:tr>
      <w:tr>
        <w:trPr>
          <w:trHeight w:val="21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dollar roll position - at cost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17,851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23,605</w:t>
            </w:r>
          </w:p>
        </w:tc>
      </w:tr>
      <w:tr>
        <w:trPr>
          <w:trHeight w:val="213"/>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42"/>
              <w:spacing w:after="0"/>
              <w:rPr>
                <w:sz w:val="20"/>
                <w:szCs w:val="20"/>
                <w:color w:val="auto"/>
              </w:rPr>
            </w:pPr>
            <w:r>
              <w:rPr>
                <w:rFonts w:ascii="Arial" w:cs="Arial" w:eastAsia="Arial" w:hAnsi="Arial"/>
                <w:sz w:val="16"/>
                <w:szCs w:val="16"/>
                <w:color w:val="auto"/>
              </w:rPr>
              <w:t>58,267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67,213</w:t>
            </w:r>
          </w:p>
        </w:tc>
      </w:tr>
      <w:tr>
        <w:trPr>
          <w:trHeight w:val="21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3</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39,824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46,570</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42"/>
              <w:spacing w:after="0"/>
              <w:rPr>
                <w:sz w:val="20"/>
                <w:szCs w:val="20"/>
                <w:color w:val="auto"/>
              </w:rPr>
            </w:pPr>
            <w:r>
              <w:rPr>
                <w:rFonts w:ascii="Arial" w:cs="Arial" w:eastAsia="Arial" w:hAnsi="Arial"/>
                <w:sz w:val="16"/>
                <w:szCs w:val="16"/>
                <w:color w:val="auto"/>
              </w:rPr>
              <w:t>8,053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9,545</w:t>
            </w:r>
          </w:p>
        </w:tc>
      </w:tr>
    </w:tbl>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5</w:t>
            </w:r>
          </w:p>
        </w:tc>
        <w:tc>
          <w:tcPr>
            <w:tcW w:w="25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7.7:1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16"/>
        </w:trPr>
        <w:tc>
          <w:tcPr>
            <w:tcW w:w="6140" w:type="dxa"/>
            <w:vAlign w:val="bottom"/>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6</w:t>
            </w:r>
          </w:p>
        </w:tc>
        <w:tc>
          <w:tcPr>
            <w:tcW w:w="2520" w:type="dxa"/>
            <w:vAlign w:val="bottom"/>
          </w:tcPr>
          <w:p>
            <w:pPr>
              <w:jc w:val="right"/>
              <w:ind w:right="439"/>
              <w:spacing w:after="0"/>
              <w:rPr>
                <w:sz w:val="20"/>
                <w:szCs w:val="20"/>
                <w:color w:val="auto"/>
              </w:rPr>
            </w:pPr>
            <w:r>
              <w:rPr>
                <w:rFonts w:ascii="Arial" w:cs="Arial" w:eastAsia="Arial" w:hAnsi="Arial"/>
                <w:sz w:val="16"/>
                <w:szCs w:val="16"/>
                <w:color w:val="auto"/>
              </w:rPr>
              <w:t>7.2:1</w:t>
            </w:r>
          </w:p>
        </w:tc>
        <w:tc>
          <w:tcPr>
            <w:tcW w:w="1080" w:type="dxa"/>
            <w:vAlign w:val="bottom"/>
          </w:tcPr>
          <w:p>
            <w:pPr>
              <w:jc w:val="right"/>
              <w:spacing w:after="0"/>
              <w:rPr>
                <w:sz w:val="20"/>
                <w:szCs w:val="20"/>
                <w:color w:val="auto"/>
              </w:rPr>
            </w:pPr>
            <w:r>
              <w:rPr>
                <w:rFonts w:ascii="Arial" w:cs="Arial" w:eastAsia="Arial" w:hAnsi="Arial"/>
                <w:sz w:val="16"/>
                <w:szCs w:val="16"/>
                <w:color w:val="auto"/>
              </w:rPr>
              <w:t>7.5:1</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 unannualized </w:t>
            </w:r>
            <w:r>
              <w:rPr>
                <w:rFonts w:ascii="Arial" w:cs="Arial" w:eastAsia="Arial" w:hAnsi="Arial"/>
                <w:sz w:val="18"/>
                <w:szCs w:val="18"/>
                <w:color w:val="auto"/>
                <w:vertAlign w:val="superscript"/>
              </w:rPr>
              <w:t>7</w:t>
            </w:r>
          </w:p>
        </w:tc>
        <w:tc>
          <w:tcPr>
            <w:tcW w:w="25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6140" w:type="dxa"/>
            <w:vAlign w:val="bottom"/>
          </w:tcPr>
          <w:p>
            <w:pPr>
              <w:ind w:left="20"/>
              <w:spacing w:after="0"/>
              <w:rPr>
                <w:sz w:val="20"/>
                <w:szCs w:val="20"/>
                <w:color w:val="auto"/>
              </w:rPr>
            </w:pPr>
            <w:r>
              <w:rPr>
                <w:rFonts w:ascii="Arial" w:cs="Arial" w:eastAsia="Arial" w:hAnsi="Arial"/>
                <w:sz w:val="14"/>
                <w:szCs w:val="14"/>
                <w:color w:val="auto"/>
              </w:rPr>
              <w:t>Expenses % of average total assets - annualized</w:t>
            </w:r>
          </w:p>
        </w:tc>
        <w:tc>
          <w:tcPr>
            <w:tcW w:w="2520" w:type="dxa"/>
            <w:vAlign w:val="bottom"/>
          </w:tcPr>
          <w:p>
            <w:pPr>
              <w:jc w:val="right"/>
              <w:ind w:right="439"/>
              <w:spacing w:after="0"/>
              <w:rPr>
                <w:sz w:val="20"/>
                <w:szCs w:val="20"/>
                <w:color w:val="auto"/>
              </w:rPr>
            </w:pPr>
            <w:r>
              <w:rPr>
                <w:rFonts w:ascii="Arial" w:cs="Arial" w:eastAsia="Arial" w:hAnsi="Arial"/>
                <w:sz w:val="16"/>
                <w:szCs w:val="16"/>
                <w:color w:val="auto"/>
              </w:rPr>
              <w:t>0.15 %</w:t>
            </w:r>
          </w:p>
        </w:tc>
        <w:tc>
          <w:tcPr>
            <w:tcW w:w="1080" w:type="dxa"/>
            <w:vAlign w:val="bottom"/>
          </w:tcPr>
          <w:p>
            <w:pPr>
              <w:jc w:val="right"/>
              <w:spacing w:after="0"/>
              <w:rPr>
                <w:sz w:val="20"/>
                <w:szCs w:val="20"/>
                <w:color w:val="auto"/>
              </w:rPr>
            </w:pPr>
            <w:r>
              <w:rPr>
                <w:rFonts w:ascii="Arial" w:cs="Arial" w:eastAsia="Arial" w:hAnsi="Arial"/>
                <w:sz w:val="16"/>
                <w:szCs w:val="16"/>
                <w:color w:val="auto"/>
              </w:rPr>
              <w:t>0.12 %</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 - annualized</w:t>
            </w:r>
          </w:p>
        </w:tc>
        <w:tc>
          <w:tcPr>
            <w:tcW w:w="25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0.12 %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r>
      <w:tr>
        <w:trPr>
          <w:trHeight w:val="210"/>
        </w:trPr>
        <w:tc>
          <w:tcPr>
            <w:tcW w:w="6140" w:type="dxa"/>
            <w:vAlign w:val="bottom"/>
          </w:tcPr>
          <w:p>
            <w:pPr>
              <w:ind w:left="20"/>
              <w:spacing w:after="0"/>
              <w:rPr>
                <w:sz w:val="20"/>
                <w:szCs w:val="20"/>
                <w:color w:val="auto"/>
              </w:rPr>
            </w:pPr>
            <w:r>
              <w:rPr>
                <w:rFonts w:ascii="Arial" w:cs="Arial" w:eastAsia="Arial" w:hAnsi="Arial"/>
                <w:sz w:val="14"/>
                <w:szCs w:val="14"/>
                <w:color w:val="auto"/>
              </w:rPr>
              <w:t>Expenses % of average stockholders' equity - annualized</w:t>
            </w:r>
          </w:p>
        </w:tc>
        <w:tc>
          <w:tcPr>
            <w:tcW w:w="2520" w:type="dxa"/>
            <w:vAlign w:val="bottom"/>
          </w:tcPr>
          <w:p>
            <w:pPr>
              <w:jc w:val="right"/>
              <w:ind w:right="439"/>
              <w:spacing w:after="0"/>
              <w:rPr>
                <w:sz w:val="20"/>
                <w:szCs w:val="20"/>
                <w:color w:val="auto"/>
              </w:rPr>
            </w:pPr>
            <w:r>
              <w:rPr>
                <w:rFonts w:ascii="Arial" w:cs="Arial" w:eastAsia="Arial" w:hAnsi="Arial"/>
                <w:sz w:val="16"/>
                <w:szCs w:val="16"/>
                <w:color w:val="auto"/>
              </w:rPr>
              <w:t>1.09 %</w:t>
            </w:r>
          </w:p>
        </w:tc>
        <w:tc>
          <w:tcPr>
            <w:tcW w:w="1080" w:type="dxa"/>
            <w:vAlign w:val="bottom"/>
          </w:tcPr>
          <w:p>
            <w:pPr>
              <w:jc w:val="right"/>
              <w:spacing w:after="0"/>
              <w:rPr>
                <w:sz w:val="20"/>
                <w:szCs w:val="20"/>
                <w:color w:val="auto"/>
              </w:rPr>
            </w:pPr>
            <w:r>
              <w:rPr>
                <w:rFonts w:ascii="Arial" w:cs="Arial" w:eastAsia="Arial" w:hAnsi="Arial"/>
                <w:sz w:val="16"/>
                <w:szCs w:val="16"/>
                <w:color w:val="auto"/>
              </w:rPr>
              <w:t>0.88 %</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3" w:lineRule="exact"/>
        <w:rPr>
          <w:sz w:val="20"/>
          <w:szCs w:val="20"/>
          <w:color w:val="auto"/>
        </w:rPr>
      </w:pPr>
    </w:p>
    <w:p>
      <w:pPr>
        <w:ind w:left="660" w:hanging="328"/>
        <w:spacing w:after="0" w:line="257"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6" w:lineRule="exact"/>
        <w:rPr>
          <w:rFonts w:ascii="Arial" w:cs="Arial" w:eastAsia="Arial" w:hAnsi="Arial"/>
          <w:sz w:val="14"/>
          <w:szCs w:val="14"/>
          <w:color w:val="auto"/>
        </w:rPr>
      </w:pPr>
    </w:p>
    <w:p>
      <w:pPr>
        <w:jc w:val="both"/>
        <w:ind w:left="660" w:hanging="328"/>
        <w:spacing w:after="0" w:line="25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ind w:left="660" w:hanging="328"/>
        <w:spacing w:after="0" w:line="275" w:lineRule="auto"/>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ind w:left="660" w:right="20" w:hanging="328"/>
        <w:spacing w:after="0" w:line="275"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months ended March 31, 2023 and 2022,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97"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2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7"/>
              </w:rPr>
              <w:t>Three Months Ended March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3"/>
        </w:trPr>
        <w:tc>
          <w:tcPr>
            <w:tcW w:w="5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0" w:type="dxa"/>
            <w:vAlign w:val="bottom"/>
          </w:tcPr>
          <w:p>
            <w:pPr>
              <w:spacing w:after="0"/>
              <w:rPr>
                <w:sz w:val="1"/>
                <w:szCs w:val="1"/>
                <w:color w:val="auto"/>
              </w:rPr>
            </w:pPr>
          </w:p>
        </w:tc>
      </w:tr>
      <w:tr>
        <w:trPr>
          <w:trHeight w:val="182"/>
        </w:trPr>
        <w:tc>
          <w:tcPr>
            <w:tcW w:w="5140" w:type="dxa"/>
            <w:vAlign w:val="bottom"/>
          </w:tcPr>
          <w:p>
            <w:pPr>
              <w:ind w:left="100"/>
              <w:spacing w:after="0"/>
              <w:rPr>
                <w:sz w:val="20"/>
                <w:szCs w:val="20"/>
                <w:color w:val="auto"/>
              </w:rPr>
            </w:pPr>
            <w:r>
              <w:rPr>
                <w:rFonts w:ascii="Arial" w:cs="Arial" w:eastAsia="Arial" w:hAnsi="Arial"/>
                <w:sz w:val="14"/>
                <w:szCs w:val="14"/>
                <w:color w:val="auto"/>
              </w:rPr>
              <w:t>Net premium amortization benefit (cost)</w:t>
            </w: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0.48 %</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3.55 %</w:t>
            </w:r>
          </w:p>
        </w:tc>
        <w:tc>
          <w:tcPr>
            <w:tcW w:w="0" w:type="dxa"/>
            <w:vAlign w:val="bottom"/>
          </w:tcPr>
          <w:p>
            <w:pPr>
              <w:spacing w:after="0"/>
              <w:rPr>
                <w:sz w:val="1"/>
                <w:szCs w:val="1"/>
                <w:color w:val="auto"/>
              </w:rPr>
            </w:pPr>
          </w:p>
        </w:tc>
      </w:tr>
      <w:tr>
        <w:trPr>
          <w:trHeight w:val="135"/>
        </w:trPr>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rPr>
              <w:t>Estimated "catch-up" premium amortization cost (benefit) due to change in CPR</w:t>
            </w:r>
          </w:p>
        </w:tc>
        <w:tc>
          <w:tcPr>
            <w:tcW w:w="1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0.58 %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2"/>
        </w:trPr>
        <w:tc>
          <w:tcPr>
            <w:tcW w:w="5140" w:type="dxa"/>
            <w:vAlign w:val="bottom"/>
          </w:tcPr>
          <w:p>
            <w:pPr>
              <w:ind w:left="100"/>
              <w:spacing w:after="0"/>
              <w:rPr>
                <w:sz w:val="20"/>
                <w:szCs w:val="20"/>
                <w:color w:val="auto"/>
              </w:rPr>
            </w:pPr>
            <w:r>
              <w:rPr>
                <w:rFonts w:ascii="Arial" w:cs="Arial" w:eastAsia="Arial" w:hAnsi="Arial"/>
                <w:sz w:val="14"/>
                <w:szCs w:val="14"/>
                <w:color w:val="auto"/>
              </w:rPr>
              <w:t>forecast</w:t>
            </w: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2.09 %</w:t>
            </w:r>
          </w:p>
        </w:tc>
        <w:tc>
          <w:tcPr>
            <w:tcW w:w="0" w:type="dxa"/>
            <w:vAlign w:val="bottom"/>
          </w:tcPr>
          <w:p>
            <w:pPr>
              <w:spacing w:after="0"/>
              <w:rPr>
                <w:sz w:val="1"/>
                <w:szCs w:val="1"/>
                <w:color w:val="auto"/>
              </w:rPr>
            </w:pPr>
          </w:p>
        </w:tc>
      </w:tr>
      <w:tr>
        <w:trPr>
          <w:trHeight w:val="221"/>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w w:val="97"/>
              </w:rPr>
              <w:t xml:space="preserve">Economic interest income, excluding "catch-up" amortization (non-GAAP measure) </w:t>
            </w:r>
            <w:r>
              <w:rPr>
                <w:rFonts w:ascii="Arial" w:cs="Arial" w:eastAsia="Arial" w:hAnsi="Arial"/>
                <w:sz w:val="18"/>
                <w:szCs w:val="18"/>
                <w:color w:val="auto"/>
                <w:w w:val="97"/>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Weighted average actual portfolio CPR for investment securities held during the</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140" w:type="dxa"/>
            <w:vAlign w:val="bottom"/>
          </w:tcPr>
          <w:p>
            <w:pPr>
              <w:ind w:left="20"/>
              <w:spacing w:after="0" w:line="135" w:lineRule="exact"/>
              <w:rPr>
                <w:sz w:val="20"/>
                <w:szCs w:val="20"/>
                <w:color w:val="auto"/>
              </w:rPr>
            </w:pPr>
            <w:r>
              <w:rPr>
                <w:rFonts w:ascii="Arial" w:cs="Arial" w:eastAsia="Arial" w:hAnsi="Arial"/>
                <w:sz w:val="14"/>
                <w:szCs w:val="14"/>
                <w:color w:val="auto"/>
                <w:w w:val="98"/>
              </w:rPr>
              <w:t>Weighted average projected CPR for the remaining life of investment securities held</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rPr>
                <w:sz w:val="20"/>
                <w:szCs w:val="20"/>
                <w:color w:val="auto"/>
              </w:rPr>
            </w:pPr>
            <w:r>
              <w:rPr>
                <w:rFonts w:ascii="Arial" w:cs="Arial" w:eastAsia="Arial" w:hAnsi="Arial"/>
                <w:sz w:val="14"/>
                <w:szCs w:val="14"/>
                <w:color w:val="auto"/>
              </w:rPr>
              <w:t>as of period end</w:t>
            </w: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30-year fixed rate mortgage rate as of period end </w:t>
            </w:r>
            <w:r>
              <w:rPr>
                <w:rFonts w:ascii="Arial" w:cs="Arial" w:eastAsia="Arial" w:hAnsi="Arial"/>
                <w:sz w:val="18"/>
                <w:szCs w:val="18"/>
                <w:color w:val="auto"/>
                <w:vertAlign w:val="superscript"/>
              </w:rPr>
              <w:t>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0"/>
              <w:spacing w:after="0"/>
              <w:rPr>
                <w:sz w:val="20"/>
                <w:szCs w:val="20"/>
                <w:color w:val="auto"/>
              </w:rPr>
            </w:pPr>
            <w:r>
              <w:rPr>
                <w:rFonts w:ascii="Arial" w:cs="Arial" w:eastAsia="Arial" w:hAnsi="Arial"/>
                <w:sz w:val="14"/>
                <w:szCs w:val="14"/>
                <w:color w:val="auto"/>
              </w:rPr>
              <w:t xml:space="preserve">10-year U.S. Treasury rate as of period end </w:t>
            </w:r>
            <w:r>
              <w:rPr>
                <w:rFonts w:ascii="Arial" w:cs="Arial" w:eastAsia="Arial" w:hAnsi="Arial"/>
                <w:sz w:val="18"/>
                <w:szCs w:val="18"/>
                <w:color w:val="auto"/>
                <w:vertAlign w:val="superscript"/>
              </w:rPr>
              <w:t>4</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3" w:name="page34"/>
    <w:bookmarkEnd w:id="33"/>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2" w:lineRule="exact"/>
        <w:rPr>
          <w:rFonts w:ascii="Arial" w:cs="Arial" w:eastAsia="Arial" w:hAnsi="Arial"/>
          <w:sz w:val="14"/>
          <w:szCs w:val="14"/>
          <w:color w:val="auto"/>
        </w:rPr>
      </w:pPr>
    </w:p>
    <w:p>
      <w:pPr>
        <w:jc w:val="both"/>
        <w:ind w:left="660" w:hanging="328"/>
        <w:spacing w:after="0" w:line="259"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7" w:lineRule="exact"/>
        <w:rPr>
          <w:rFonts w:ascii="Arial" w:cs="Arial" w:eastAsia="Arial" w:hAnsi="Arial"/>
          <w:sz w:val="13"/>
          <w:szCs w:val="13"/>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30-year fixed rate mortgage rates are sourced from Clear Blue. 10-year U.S. Treasury rates are sourced from Bloomberg.</w:t>
      </w:r>
    </w:p>
    <w:p>
      <w:pPr>
        <w:spacing w:after="0" w:line="169"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months ended March 31, 2023 compared to the prior year period (in millions):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 March 31, 2023 vs.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Due to Change in Average</w:t>
            </w:r>
          </w:p>
        </w:tc>
      </w:tr>
      <w:tr>
        <w:trPr>
          <w:trHeight w:val="139"/>
        </w:trPr>
        <w:tc>
          <w:tcPr>
            <w:tcW w:w="6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2"/>
                <w:szCs w:val="12"/>
                <w:color w:val="auto"/>
              </w:rPr>
            </w:pPr>
          </w:p>
        </w:tc>
        <w:tc>
          <w:tcPr>
            <w:tcW w:w="1120" w:type="dxa"/>
            <w:vAlign w:val="bottom"/>
          </w:tcPr>
          <w:p>
            <w:pPr>
              <w:ind w:left="240"/>
              <w:spacing w:after="0" w:line="139" w:lineRule="exact"/>
              <w:rPr>
                <w:sz w:val="20"/>
                <w:szCs w:val="20"/>
                <w:color w:val="auto"/>
              </w:rPr>
            </w:pPr>
            <w:r>
              <w:rPr>
                <w:rFonts w:ascii="Arial" w:cs="Arial" w:eastAsia="Arial" w:hAnsi="Arial"/>
                <w:sz w:val="14"/>
                <w:szCs w:val="14"/>
                <w:b w:val="1"/>
                <w:bCs w:val="1"/>
                <w:color w:val="auto"/>
              </w:rPr>
              <w:t>Asset</w:t>
            </w:r>
          </w:p>
        </w:tc>
      </w:tr>
      <w:tr>
        <w:trPr>
          <w:trHeight w:val="192"/>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Yield</w:t>
            </w:r>
          </w:p>
        </w:tc>
      </w:tr>
      <w:tr>
        <w:trPr>
          <w:trHeight w:val="182"/>
        </w:trPr>
        <w:tc>
          <w:tcPr>
            <w:tcW w:w="6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w w:val="96"/>
              </w:rPr>
              <w:t>(74)</w:t>
            </w:r>
          </w:p>
        </w:tc>
      </w:tr>
      <w:tr>
        <w:trPr>
          <w:trHeight w:val="182"/>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left="70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228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(50)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154</w:t>
            </w:r>
          </w:p>
        </w:tc>
      </w:tr>
      <w:tr>
        <w:trPr>
          <w:trHeight w:val="182"/>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left="788"/>
              <w:spacing w:after="0"/>
              <w:rPr>
                <w:sz w:val="20"/>
                <w:szCs w:val="20"/>
                <w:color w:val="auto"/>
              </w:rPr>
            </w:pPr>
            <w:r>
              <w:rPr>
                <w:rFonts w:ascii="Arial" w:cs="Arial" w:eastAsia="Arial" w:hAnsi="Arial"/>
                <w:sz w:val="14"/>
                <w:szCs w:val="14"/>
                <w:color w:val="auto"/>
                <w:w w:val="96"/>
              </w:rPr>
              <w:t>(30)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127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281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average investment portfolio, inclusive of TBAs (at cost), decreased 15% for the three months ended March 31, 2023 primarily due to a decline in stockholders' equity. The average yield on our investment portfolio, including TBA implied asset yields and excluding "catch-up" premium amortization, increased 162 basis points for the three months ended March 31, 2023 largely due to changes in our asset composition as we shifted our portfolio higher in coupon.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9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6"/>
          </w:tcPr>
          <w:p>
            <w:pPr>
              <w:jc w:val="center"/>
              <w:ind w:left="472"/>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2"/>
              <w:spacing w:after="0" w:line="122"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Average Tangible Net</w:t>
            </w:r>
          </w:p>
        </w:tc>
        <w:tc>
          <w:tcPr>
            <w:tcW w:w="13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9"/>
              </w:rPr>
              <w:t>Value "At Risk"</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Ending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89"/>
        </w:trPr>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Quarter Ended</w:t>
            </w:r>
          </w:p>
        </w:tc>
        <w:tc>
          <w:tcPr>
            <w:tcW w:w="160" w:type="dxa"/>
            <w:vAlign w:val="bottom"/>
          </w:tcPr>
          <w:p>
            <w:pPr>
              <w:spacing w:after="0"/>
              <w:rPr>
                <w:sz w:val="16"/>
                <w:szCs w:val="16"/>
                <w:color w:val="auto"/>
              </w:rPr>
            </w:pPr>
          </w:p>
        </w:tc>
        <w:tc>
          <w:tcPr>
            <w:tcW w:w="700" w:type="dxa"/>
            <w:vAlign w:val="bottom"/>
          </w:tcPr>
          <w:p>
            <w:pPr>
              <w:jc w:val="right"/>
              <w:ind w:right="132"/>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3"/>
              </w:rPr>
              <w:t>Daily Amount</w:t>
            </w:r>
          </w:p>
        </w:tc>
        <w:tc>
          <w:tcPr>
            <w:tcW w:w="16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16"/>
                <w:szCs w:val="16"/>
                <w:b w:val="1"/>
                <w:bCs w:val="1"/>
                <w:color w:val="auto"/>
                <w:w w:val="88"/>
                <w:vertAlign w:val="superscript"/>
              </w:rPr>
              <w:t>3</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6"/>
              </w:rPr>
              <w:t xml:space="preserve">Period End </w:t>
            </w:r>
            <w:r>
              <w:rPr>
                <w:rFonts w:ascii="Arial" w:cs="Arial" w:eastAsia="Arial" w:hAnsi="Arial"/>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76"/>
        </w:trPr>
        <w:tc>
          <w:tcPr>
            <w:tcW w:w="3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42,919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17,851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10,385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7.2:1</w:t>
            </w:r>
          </w:p>
        </w:tc>
        <w:tc>
          <w:tcPr>
            <w:tcW w:w="0" w:type="dxa"/>
            <w:vAlign w:val="bottom"/>
          </w:tcPr>
          <w:p>
            <w:pPr>
              <w:spacing w:after="0"/>
              <w:rPr>
                <w:sz w:val="1"/>
                <w:szCs w:val="1"/>
                <w:color w:val="auto"/>
              </w:rPr>
            </w:pPr>
          </w:p>
        </w:tc>
      </w:tr>
      <w:tr>
        <w:trPr>
          <w:trHeight w:val="182"/>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35,486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39,399</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36,002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4"/>
              <w:spacing w:after="0"/>
              <w:rPr>
                <w:sz w:val="20"/>
                <w:szCs w:val="20"/>
                <w:color w:val="auto"/>
              </w:rPr>
            </w:pPr>
            <w:r>
              <w:rPr>
                <w:rFonts w:ascii="Arial" w:cs="Arial" w:eastAsia="Arial" w:hAnsi="Arial"/>
                <w:sz w:val="14"/>
                <w:szCs w:val="14"/>
                <w:color w:val="auto"/>
              </w:rPr>
              <w:t>18,988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18,407</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2022</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47,940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23,605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20,152</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7.8:1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 Includes forward settling non-Agency securities.</w:t>
      </w:r>
    </w:p>
    <w:p>
      <w:pPr>
        <w:spacing w:after="0" w:line="14" w:lineRule="exact"/>
        <w:rPr>
          <w:rFonts w:ascii="Arial" w:cs="Arial" w:eastAsia="Arial" w:hAnsi="Arial"/>
          <w:sz w:val="14"/>
          <w:szCs w:val="14"/>
          <w:color w:val="auto"/>
        </w:rPr>
      </w:pPr>
    </w:p>
    <w:p>
      <w:pPr>
        <w:jc w:val="both"/>
        <w:ind w:left="660" w:hanging="328"/>
        <w:spacing w:after="0" w:line="257"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months ended March 31, 2023 and 2022 (dollars in millions), which includes the combination of interest expense on Agency repurchase agreements and other debt (GAAP measure), implied financing cost (benefit) of our TBA securities and interest rate swap periodic cost (benefit):</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6"/>
              </w:rPr>
              <w:t>Three Months Ended March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18"/>
                <w:szCs w:val="18"/>
                <w:b w:val="1"/>
                <w:bCs w:val="1"/>
                <w:color w:val="auto"/>
                <w:vertAlign w:val="superscript"/>
              </w:rPr>
              <w:t>1</w:t>
            </w:r>
          </w:p>
        </w:tc>
        <w:tc>
          <w:tcPr>
            <w:tcW w:w="1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148"/>
              <w:spacing w:after="0" w:line="139" w:lineRule="exact"/>
              <w:rPr>
                <w:sz w:val="20"/>
                <w:szCs w:val="20"/>
                <w:color w:val="auto"/>
              </w:rPr>
            </w:pPr>
            <w:r>
              <w:rPr>
                <w:rFonts w:ascii="Arial" w:cs="Arial" w:eastAsia="Arial" w:hAnsi="Arial"/>
                <w:sz w:val="14"/>
                <w:szCs w:val="14"/>
                <w:b w:val="1"/>
                <w:bCs w:val="1"/>
                <w:color w:val="auto"/>
                <w:w w:val="95"/>
              </w:rPr>
              <w:t>Cost of</w:t>
            </w:r>
          </w:p>
        </w:tc>
        <w:tc>
          <w:tcPr>
            <w:tcW w:w="0" w:type="dxa"/>
            <w:vAlign w:val="bottom"/>
          </w:tcPr>
          <w:p>
            <w:pPr>
              <w:spacing w:after="0"/>
              <w:rPr>
                <w:sz w:val="1"/>
                <w:szCs w:val="1"/>
                <w:color w:val="auto"/>
              </w:rPr>
            </w:pPr>
          </w:p>
        </w:tc>
      </w:tr>
      <w:tr>
        <w:trPr>
          <w:trHeight w:val="198"/>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176"/>
        </w:trPr>
        <w:tc>
          <w:tcPr>
            <w:tcW w:w="5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Repurchase agreement and other debt - interest expense (GAAP measure)</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center"/>
              <w:ind w:left="228"/>
              <w:spacing w:after="0"/>
              <w:rPr>
                <w:sz w:val="20"/>
                <w:szCs w:val="20"/>
                <w:color w:val="auto"/>
              </w:rPr>
            </w:pPr>
            <w:r>
              <w:rPr>
                <w:rFonts w:ascii="Arial" w:cs="Arial" w:eastAsia="Arial" w:hAnsi="Arial"/>
                <w:sz w:val="14"/>
                <w:szCs w:val="14"/>
                <w:color w:val="auto"/>
                <w:w w:val="85"/>
              </w:rPr>
              <w:t>449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0.23 %</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20" w:type="dxa"/>
            <w:vAlign w:val="bottom"/>
          </w:tcPr>
          <w:p>
            <w:pPr>
              <w:spacing w:after="0"/>
              <w:rPr>
                <w:sz w:val="17"/>
                <w:szCs w:val="17"/>
                <w:color w:val="auto"/>
              </w:rPr>
            </w:pPr>
          </w:p>
        </w:tc>
        <w:tc>
          <w:tcPr>
            <w:tcW w:w="660" w:type="dxa"/>
            <w:vAlign w:val="bottom"/>
          </w:tcPr>
          <w:p>
            <w:pPr>
              <w:jc w:val="center"/>
              <w:ind w:left="228"/>
              <w:spacing w:after="0"/>
              <w:rPr>
                <w:sz w:val="20"/>
                <w:szCs w:val="20"/>
                <w:color w:val="auto"/>
              </w:rPr>
            </w:pPr>
            <w:r>
              <w:rPr>
                <w:rFonts w:ascii="Arial" w:cs="Arial" w:eastAsia="Arial" w:hAnsi="Arial"/>
                <w:sz w:val="14"/>
                <w:szCs w:val="14"/>
                <w:color w:val="auto"/>
                <w:w w:val="85"/>
              </w:rPr>
              <w:t>202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4.53 %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4"/>
                <w:szCs w:val="14"/>
                <w:color w:val="auto"/>
              </w:rPr>
              <w:t xml:space="preserve">Economic interest expense - before interest rate swap periodic cost (income), net </w:t>
            </w:r>
            <w:r>
              <w:rPr>
                <w:rFonts w:ascii="Arial" w:cs="Arial" w:eastAsia="Arial" w:hAnsi="Arial"/>
                <w:sz w:val="18"/>
                <w:szCs w:val="18"/>
                <w:color w:val="auto"/>
                <w:vertAlign w:val="superscript"/>
              </w:rPr>
              <w:t>4</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85"/>
              </w:rPr>
              <w:t>651</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Interest rate swap periodic cost (benefit), net </w:t>
            </w:r>
            <w:r>
              <w:rPr>
                <w:rFonts w:ascii="Arial" w:cs="Arial" w:eastAsia="Arial" w:hAnsi="Arial"/>
                <w:sz w:val="18"/>
                <w:szCs w:val="18"/>
                <w:color w:val="auto"/>
                <w:vertAlign w:val="superscript"/>
              </w:rPr>
              <w:t>2,5</w:t>
            </w:r>
          </w:p>
        </w:tc>
        <w:tc>
          <w:tcPr>
            <w:tcW w:w="120" w:type="dxa"/>
            <w:vAlign w:val="bottom"/>
          </w:tcPr>
          <w:p>
            <w:pPr>
              <w:spacing w:after="0"/>
              <w:rPr>
                <w:sz w:val="17"/>
                <w:szCs w:val="17"/>
                <w:color w:val="auto"/>
              </w:rPr>
            </w:pPr>
          </w:p>
        </w:tc>
        <w:tc>
          <w:tcPr>
            <w:tcW w:w="660" w:type="dxa"/>
            <w:vAlign w:val="bottom"/>
          </w:tcPr>
          <w:p>
            <w:pPr>
              <w:jc w:val="center"/>
              <w:ind w:left="208"/>
              <w:spacing w:after="0"/>
              <w:rPr>
                <w:sz w:val="20"/>
                <w:szCs w:val="20"/>
                <w:color w:val="auto"/>
              </w:rPr>
            </w:pPr>
            <w:r>
              <w:rPr>
                <w:rFonts w:ascii="Arial" w:cs="Arial" w:eastAsia="Arial" w:hAnsi="Arial"/>
                <w:sz w:val="14"/>
                <w:szCs w:val="14"/>
                <w:color w:val="auto"/>
                <w:w w:val="91"/>
              </w:rPr>
              <w:t>(504)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221"/>
        </w:trPr>
        <w:tc>
          <w:tcPr>
            <w:tcW w:w="54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economic interest expense (non-GAAP measure)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85"/>
              </w:rPr>
              <w:t>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48"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4" w:lineRule="exact"/>
        <w:rPr>
          <w:rFonts w:ascii="Arial" w:cs="Arial" w:eastAsia="Arial" w:hAnsi="Arial"/>
          <w:sz w:val="14"/>
          <w:szCs w:val="14"/>
          <w:color w:val="auto"/>
        </w:rPr>
      </w:pPr>
    </w:p>
    <w:p>
      <w:pPr>
        <w:jc w:val="both"/>
        <w:ind w:left="660" w:hanging="328"/>
        <w:spacing w:after="0" w:line="256"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6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Interest rate swap periodic cost (benefit) is measured as a percent of average mortgage borrowings outstanding for the period.</w:t>
      </w:r>
    </w:p>
    <w:p>
      <w:pPr>
        <w:spacing w:after="0" w:line="25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months ended March 31, 2023 compared to the prior year period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32385</wp:posOffset>
            </wp:positionV>
            <wp:extent cx="67036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2023 vs. March 31, 2022</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6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Due to Change in Average</w:t>
            </w:r>
          </w:p>
        </w:tc>
      </w:tr>
      <w:tr>
        <w:trPr>
          <w:trHeight w:val="135"/>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Borrowing / Swap</w:t>
            </w:r>
          </w:p>
        </w:tc>
      </w:tr>
      <w:tr>
        <w:trPr>
          <w:trHeight w:val="196"/>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7"/>
                <w:szCs w:val="17"/>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Rate</w:t>
            </w:r>
          </w:p>
        </w:tc>
      </w:tr>
      <w:tr>
        <w:trPr>
          <w:trHeight w:val="183"/>
        </w:trPr>
        <w:tc>
          <w:tcPr>
            <w:tcW w:w="6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CCEEFF"/>
            </w:tcBorders>
            <w:shd w:val="clear" w:color="auto" w:fill="CCEEFF"/>
          </w:tcPr>
          <w:p>
            <w:pPr>
              <w:jc w:val="center"/>
              <w:ind w:left="808"/>
              <w:spacing w:after="0"/>
              <w:rPr>
                <w:sz w:val="20"/>
                <w:szCs w:val="20"/>
                <w:color w:val="auto"/>
              </w:rPr>
            </w:pPr>
            <w:r>
              <w:rPr>
                <w:rFonts w:ascii="Arial" w:cs="Arial" w:eastAsia="Arial" w:hAnsi="Arial"/>
                <w:sz w:val="14"/>
                <w:szCs w:val="14"/>
                <w:color w:val="auto"/>
                <w:w w:val="85"/>
              </w:rPr>
              <w:t>422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CCEEFF"/>
            </w:tcBorders>
            <w:shd w:val="clear" w:color="auto" w:fill="CCEEFF"/>
          </w:tcPr>
          <w:p>
            <w:pPr>
              <w:jc w:val="center"/>
              <w:ind w:left="968"/>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CCEEFF"/>
            </w:tcBorders>
            <w:shd w:val="clear" w:color="auto" w:fill="CCEEFF"/>
          </w:tcPr>
          <w:p>
            <w:pPr>
              <w:jc w:val="center"/>
              <w:ind w:left="848"/>
              <w:spacing w:after="0"/>
              <w:rPr>
                <w:sz w:val="20"/>
                <w:szCs w:val="20"/>
                <w:color w:val="auto"/>
              </w:rPr>
            </w:pPr>
            <w:r>
              <w:rPr>
                <w:rFonts w:ascii="Arial" w:cs="Arial" w:eastAsia="Arial" w:hAnsi="Arial"/>
                <w:sz w:val="14"/>
                <w:szCs w:val="14"/>
                <w:color w:val="auto"/>
                <w:w w:val="94"/>
              </w:rPr>
              <w:t>426</w:t>
            </w:r>
          </w:p>
        </w:tc>
      </w:tr>
      <w:tr>
        <w:trPr>
          <w:trHeight w:val="182"/>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40" w:type="dxa"/>
            <w:vAlign w:val="bottom"/>
          </w:tcPr>
          <w:p>
            <w:pPr>
              <w:spacing w:after="0"/>
              <w:rPr>
                <w:sz w:val="15"/>
                <w:szCs w:val="15"/>
                <w:color w:val="auto"/>
              </w:rPr>
            </w:pPr>
          </w:p>
        </w:tc>
        <w:tc>
          <w:tcPr>
            <w:tcW w:w="1240" w:type="dxa"/>
            <w:vAlign w:val="bottom"/>
          </w:tcPr>
          <w:p>
            <w:pPr>
              <w:jc w:val="center"/>
              <w:ind w:left="808"/>
              <w:spacing w:after="0"/>
              <w:rPr>
                <w:sz w:val="20"/>
                <w:szCs w:val="20"/>
                <w:color w:val="auto"/>
              </w:rPr>
            </w:pPr>
            <w:r>
              <w:rPr>
                <w:rFonts w:ascii="Arial" w:cs="Arial" w:eastAsia="Arial" w:hAnsi="Arial"/>
                <w:sz w:val="14"/>
                <w:szCs w:val="14"/>
                <w:color w:val="auto"/>
                <w:w w:val="85"/>
              </w:rPr>
              <w:t>231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left="9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left="848"/>
              <w:spacing w:after="0"/>
              <w:rPr>
                <w:sz w:val="20"/>
                <w:szCs w:val="20"/>
                <w:color w:val="auto"/>
              </w:rPr>
            </w:pPr>
            <w:r>
              <w:rPr>
                <w:rFonts w:ascii="Arial" w:cs="Arial" w:eastAsia="Arial" w:hAnsi="Arial"/>
                <w:sz w:val="14"/>
                <w:szCs w:val="14"/>
                <w:color w:val="auto"/>
                <w:w w:val="94"/>
              </w:rPr>
              <w:t>224</w:t>
            </w: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periodic income/cost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left="788"/>
              <w:spacing w:after="0"/>
              <w:rPr>
                <w:sz w:val="20"/>
                <w:szCs w:val="20"/>
                <w:color w:val="auto"/>
              </w:rPr>
            </w:pPr>
            <w:r>
              <w:rPr>
                <w:rFonts w:ascii="Arial" w:cs="Arial" w:eastAsia="Arial" w:hAnsi="Arial"/>
                <w:sz w:val="14"/>
                <w:szCs w:val="14"/>
                <w:color w:val="auto"/>
                <w:w w:val="91"/>
              </w:rPr>
              <w:t>(522)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9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828"/>
              <w:spacing w:after="0"/>
              <w:rPr>
                <w:sz w:val="20"/>
                <w:szCs w:val="20"/>
                <w:color w:val="auto"/>
              </w:rPr>
            </w:pPr>
            <w:r>
              <w:rPr>
                <w:rFonts w:ascii="Arial" w:cs="Arial" w:eastAsia="Arial" w:hAnsi="Arial"/>
                <w:sz w:val="14"/>
                <w:szCs w:val="14"/>
                <w:color w:val="auto"/>
                <w:w w:val="97"/>
              </w:rPr>
              <w:t>(521)</w:t>
            </w:r>
          </w:p>
        </w:tc>
      </w:tr>
      <w:tr>
        <w:trPr>
          <w:trHeight w:val="19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center"/>
              <w:ind w:left="808"/>
              <w:spacing w:after="0"/>
              <w:rPr>
                <w:sz w:val="20"/>
                <w:szCs w:val="20"/>
                <w:color w:val="auto"/>
              </w:rPr>
            </w:pPr>
            <w:r>
              <w:rPr>
                <w:rFonts w:ascii="Arial" w:cs="Arial" w:eastAsia="Arial" w:hAnsi="Arial"/>
                <w:sz w:val="14"/>
                <w:szCs w:val="14"/>
                <w:color w:val="auto"/>
                <w:w w:val="85"/>
              </w:rPr>
              <w:t>131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center"/>
              <w:ind w:left="9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center"/>
              <w:ind w:left="848"/>
              <w:spacing w:after="0"/>
              <w:rPr>
                <w:sz w:val="20"/>
                <w:szCs w:val="20"/>
                <w:color w:val="auto"/>
              </w:rPr>
            </w:pPr>
            <w:r>
              <w:rPr>
                <w:rFonts w:ascii="Arial" w:cs="Arial" w:eastAsia="Arial" w:hAnsi="Arial"/>
                <w:sz w:val="14"/>
                <w:szCs w:val="14"/>
                <w:color w:val="auto"/>
                <w:w w:val="94"/>
              </w:rPr>
              <w:t>129</w:t>
            </w: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average mortgage borrowings, inclusive of TBAs, decreased 18% for the three months ended March 31, 2023 due to a decline in our asset base. The average interest rate on our mortgage borrowings increased 453 basis points for the three months ended March 31, 2023 due to higher short-term interest rates.</w:t>
      </w:r>
    </w:p>
    <w:p>
      <w:pPr>
        <w:spacing w:after="0" w:line="14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decrease in our interest rate swap periodic cost for March 31, 2023 was primarily attributable to higher receive rates on our pay-fixed swaps. The following is a summary of our average interest rate swaps outstanding and the related average swap pay and receive rates for the three months ended March 31, 2023 and 2022 (dollars in millions). Amounts exclude forward starting swaps not yet in effect.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tbl>
      <w:tblPr>
        <w:tblLayout w:type="fixed"/>
        <w:tblInd w:w="10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7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Average Ratio of Interest Rate Swaps (Excluding Forward Starting Swaps) to Mortgage Borrowings</w:t>
            </w:r>
          </w:p>
        </w:tc>
        <w:tc>
          <w:tcPr>
            <w:tcW w:w="240" w:type="dxa"/>
            <w:vAlign w:val="bottom"/>
          </w:tcPr>
          <w:p>
            <w:pPr>
              <w:spacing w:after="0"/>
              <w:rPr>
                <w:sz w:val="10"/>
                <w:szCs w:val="10"/>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Average Agency repo and other debt outstanding</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39,824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46,570</w:t>
            </w:r>
          </w:p>
        </w:tc>
        <w:tc>
          <w:tcPr>
            <w:tcW w:w="0" w:type="dxa"/>
            <w:vAlign w:val="bottom"/>
          </w:tcPr>
          <w:p>
            <w:pPr>
              <w:spacing w:after="0"/>
              <w:rPr>
                <w:sz w:val="1"/>
                <w:szCs w:val="1"/>
                <w:color w:val="auto"/>
              </w:rPr>
            </w:pPr>
          </w:p>
        </w:tc>
      </w:tr>
      <w:tr>
        <w:trPr>
          <w:trHeight w:val="182"/>
        </w:trPr>
        <w:tc>
          <w:tcPr>
            <w:tcW w:w="6760" w:type="dxa"/>
            <w:vAlign w:val="bottom"/>
            <w:gridSpan w:val="2"/>
          </w:tcPr>
          <w:p>
            <w:pPr>
              <w:spacing w:after="0"/>
              <w:rPr>
                <w:sz w:val="20"/>
                <w:szCs w:val="20"/>
                <w:color w:val="auto"/>
              </w:rPr>
            </w:pPr>
            <w:r>
              <w:rPr>
                <w:rFonts w:ascii="Arial" w:cs="Arial" w:eastAsia="Arial" w:hAnsi="Arial"/>
                <w:sz w:val="14"/>
                <w:szCs w:val="14"/>
                <w:color w:val="auto"/>
              </w:rPr>
              <w:t>Average net TBA dollar roll position outstanding - at cost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17,851</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23,605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Average mortgage borrowings outstanding</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57,675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70,175</w:t>
            </w:r>
          </w:p>
        </w:tc>
        <w:tc>
          <w:tcPr>
            <w:tcW w:w="0" w:type="dxa"/>
            <w:vAlign w:val="bottom"/>
          </w:tcPr>
          <w:p>
            <w:pPr>
              <w:spacing w:after="0"/>
              <w:rPr>
                <w:sz w:val="1"/>
                <w:szCs w:val="1"/>
                <w:color w:val="auto"/>
              </w:rPr>
            </w:pPr>
          </w:p>
        </w:tc>
      </w:tr>
      <w:tr>
        <w:trPr>
          <w:trHeight w:val="182"/>
        </w:trPr>
        <w:tc>
          <w:tcPr>
            <w:tcW w:w="6760" w:type="dxa"/>
            <w:vAlign w:val="bottom"/>
            <w:gridSpan w:val="2"/>
          </w:tcPr>
          <w:p>
            <w:pPr>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49,243</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52,543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4" w:right="339" w:bottom="1440" w:gutter="0" w:footer="0" w:header="0"/>
        </w:sectPr>
      </w:pPr>
    </w:p>
    <w:p>
      <w:pPr>
        <w:spacing w:after="0" w:line="3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Average interest rate swap pay-fixed rate (excluding forward starting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-90805</wp:posOffset>
            </wp:positionV>
            <wp:extent cx="57861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86120" cy="128905"/>
                    </a:xfrm>
                    <a:prstGeom prst="rect">
                      <a:avLst/>
                    </a:prstGeom>
                    <a:noFill/>
                  </pic:spPr>
                </pic:pic>
              </a:graphicData>
            </a:graphic>
          </wp:anchor>
        </w:drawing>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Average interest rate swap receive-floating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29845</wp:posOffset>
            </wp:positionV>
            <wp:extent cx="57861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0.45 %</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(4.54)%</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62865</wp:posOffset>
            </wp:positionV>
            <wp:extent cx="711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1080"/>
        <w:spacing w:after="0"/>
        <w:rPr>
          <w:sz w:val="20"/>
          <w:szCs w:val="20"/>
          <w:color w:val="auto"/>
        </w:rPr>
      </w:pPr>
      <w:r>
        <w:rPr>
          <w:rFonts w:ascii="Arial" w:cs="Arial" w:eastAsia="Arial" w:hAnsi="Arial"/>
          <w:sz w:val="14"/>
          <w:szCs w:val="14"/>
          <w:color w:val="auto"/>
        </w:rPr>
        <w:t>0.23 %</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(0.09)%</w:t>
      </w:r>
    </w:p>
    <w:p>
      <w:pPr>
        <w:spacing w:after="0" w:line="67" w:lineRule="exact"/>
        <w:rPr>
          <w:sz w:val="20"/>
          <w:szCs w:val="20"/>
          <w:color w:val="auto"/>
        </w:rPr>
      </w:pPr>
    </w:p>
    <w:p>
      <w:pPr>
        <w:jc w:val="right"/>
        <w:ind w:right="1080"/>
        <w:spacing w:after="0"/>
        <w:rPr>
          <w:sz w:val="20"/>
          <w:szCs w:val="20"/>
          <w:color w:val="auto"/>
        </w:rPr>
      </w:pPr>
      <w:r>
        <w:rPr>
          <w:rFonts w:ascii="Arial" w:cs="Arial" w:eastAsia="Arial" w:hAnsi="Arial"/>
          <w:sz w:val="14"/>
          <w:szCs w:val="14"/>
          <w:color w:val="auto"/>
        </w:rPr>
        <w:t>0.14 %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55245</wp:posOffset>
            </wp:positionV>
            <wp:extent cx="7112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740" w:space="720"/>
            <w:col w:w="500" w:space="720"/>
            <w:col w:w="1560"/>
          </w:cols>
          <w:pgMar w:left="320" w:top="914" w:right="339" w:bottom="1440" w:gutter="0" w:footer="0" w:header="0"/>
          <w:type w:val="continuous"/>
        </w:sectPr>
      </w:pPr>
    </w:p>
    <w:p>
      <w:pPr>
        <w:spacing w:after="0" w:line="12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 the three months ended March 31, 2023 and 2022, we had an average forward starting swap balance of $101 million and $59 million, respectively. Forward starting interest rate swaps do not impact our economic interest expense and aggregate cost of funds until they commence accruing net interest settlements on their forward start 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months ended March 31, 2023 and 2022:</w:t>
      </w:r>
    </w:p>
    <w:p>
      <w:pPr>
        <w:spacing w:after="0" w:line="13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r>
      <w:tr>
        <w:trPr>
          <w:trHeight w:val="196"/>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3"/>
        </w:trPr>
        <w:tc>
          <w:tcPr>
            <w:tcW w:w="6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2.28 %</w:t>
            </w:r>
          </w:p>
        </w:tc>
      </w:tr>
      <w:tr>
        <w:trPr>
          <w:trHeight w:val="182"/>
        </w:trPr>
        <w:tc>
          <w:tcPr>
            <w:tcW w:w="6780" w:type="dxa"/>
            <w:vAlign w:val="bottom"/>
            <w:gridSpan w:val="2"/>
          </w:tcPr>
          <w:p>
            <w:pPr>
              <w:spacing w:after="0"/>
              <w:rPr>
                <w:sz w:val="20"/>
                <w:szCs w:val="20"/>
                <w:color w:val="auto"/>
              </w:rPr>
            </w:pPr>
            <w:r>
              <w:rPr>
                <w:rFonts w:ascii="Arial" w:cs="Arial" w:eastAsia="Arial" w:hAnsi="Arial"/>
                <w:sz w:val="14"/>
                <w:szCs w:val="14"/>
                <w:color w:val="auto"/>
              </w:rPr>
              <w:t>Average aggregate cost of funds</w:t>
            </w:r>
          </w:p>
        </w:tc>
        <w:tc>
          <w:tcPr>
            <w:tcW w:w="11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1"/>
        </w:trPr>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table presents a reconciliation of net spread and dollar roll income, excluding "catch-up" premium amortization, available to common stockholders (non-GAAP measure) from comprehensive income (loss) available (attributable) to common stockholders (the most comparable GAAP financial measure) for the three months ended March 31, 2023 and 2022 (dollars in millions):</w:t>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Three Months Ended</w:t>
      </w:r>
    </w:p>
    <w:p>
      <w:pPr>
        <w:jc w:val="center"/>
        <w:ind w:left="708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7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attributable to common stockholders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94"/>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Adjustments to exclude realized and unrealized (gains) losses reported through net income: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Realized loss on sale of investment securities, net</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2"/>
        </w:trPr>
        <w:tc>
          <w:tcPr>
            <w:tcW w:w="7100" w:type="dxa"/>
            <w:vAlign w:val="bottom"/>
          </w:tcPr>
          <w:p>
            <w:pPr>
              <w:ind w:left="140"/>
              <w:spacing w:after="0"/>
              <w:rPr>
                <w:sz w:val="20"/>
                <w:szCs w:val="20"/>
                <w:color w:val="auto"/>
              </w:rPr>
            </w:pPr>
            <w:r>
              <w:rPr>
                <w:rFonts w:ascii="Arial" w:cs="Arial" w:eastAsia="Arial" w:hAnsi="Arial"/>
                <w:sz w:val="14"/>
                <w:szCs w:val="14"/>
                <w:color w:val="auto"/>
              </w:rPr>
              <w:t>Unrealized (gain) loss on investment securities measured at fair value through net income, net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(Gain) loss on derivative instruments and other securities, net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194"/>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Adjustment to exclude unrealized (gain) loss reported through other comprehensive income: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5"/>
              </w:rPr>
              <w:t>Unrealized (gain) loss on available-for-sale securities measure at fair value through other comprehensive income, net</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94"/>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Interest rate swap periodic income (cost), net </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Other interest income (expense), net </w:t>
            </w:r>
            <w:r>
              <w:rPr>
                <w:rFonts w:ascii="Arial" w:cs="Arial" w:eastAsia="Arial" w:hAnsi="Arial"/>
                <w:sz w:val="18"/>
                <w:szCs w:val="18"/>
                <w:color w:val="auto"/>
                <w:vertAlign w:val="superscript"/>
              </w:rPr>
              <w:t>1,3</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Net spread and dollar roll income available to common stockholders (non-GAAP measure)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Estimated "catch-up" premium amortization cost (benefit) due to change in CPR forecast </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15"/>
        </w:trPr>
        <w:tc>
          <w:tcPr>
            <w:tcW w:w="710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Net spread and dollar roll income, excluding "catch-up" premium amortization, available to common</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6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1"/>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stockholders (non-GAAP measure)</w:t>
            </w:r>
          </w:p>
        </w:tc>
        <w:tc>
          <w:tcPr>
            <w:tcW w:w="2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524.3</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0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0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interest income in our consolidated statements of comprehensive income.</w:t>
      </w:r>
    </w:p>
    <w:p>
      <w:pPr>
        <w:spacing w:after="0" w:line="14" w:lineRule="exact"/>
        <w:rPr>
          <w:rFonts w:ascii="Arial" w:cs="Arial" w:eastAsia="Arial" w:hAnsi="Arial"/>
          <w:sz w:val="14"/>
          <w:szCs w:val="14"/>
          <w:color w:val="auto"/>
        </w:rPr>
      </w:pPr>
    </w:p>
    <w:p>
      <w:pPr>
        <w:ind w:left="660" w:hanging="328"/>
        <w:spacing w:after="0" w:line="283"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on investment securities for the three months ended March 31, 2023 and 2022 (in millions):</w:t>
      </w:r>
    </w:p>
    <w:p>
      <w:pPr>
        <w:spacing w:after="0" w:line="10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6"/>
                <w:szCs w:val="16"/>
                <w:color w:val="auto"/>
              </w:rPr>
            </w:pPr>
          </w:p>
        </w:tc>
      </w:tr>
      <w:tr>
        <w:trPr>
          <w:trHeight w:val="196"/>
        </w:trPr>
        <w:tc>
          <w:tcPr>
            <w:tcW w:w="70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9"/>
                <w:szCs w:val="9"/>
                <w:b w:val="1"/>
                <w:bCs w:val="1"/>
                <w:color w:val="auto"/>
              </w:rPr>
              <w:t>1</w:t>
            </w:r>
          </w:p>
        </w:tc>
        <w:tc>
          <w:tcPr>
            <w:tcW w:w="240" w:type="dxa"/>
            <w:vAlign w:val="bottom"/>
          </w:tcPr>
          <w:p>
            <w:pPr>
              <w:spacing w:after="0"/>
              <w:rPr>
                <w:sz w:val="17"/>
                <w:szCs w:val="17"/>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183"/>
        </w:trPr>
        <w:tc>
          <w:tcPr>
            <w:tcW w:w="6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sale of investment securities, net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w:t>
            </w:r>
          </w:p>
        </w:tc>
      </w:tr>
      <w:tr>
        <w:trPr>
          <w:trHeight w:val="182"/>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 xml:space="preserve">Unrealized loss on investment securities measured at fair value through net income, net </w:t>
            </w:r>
            <w:r>
              <w:rPr>
                <w:rFonts w:ascii="Arial" w:cs="Arial" w:eastAsia="Arial" w:hAnsi="Arial"/>
                <w:sz w:val="9"/>
                <w:szCs w:val="9"/>
                <w:color w:val="auto"/>
              </w:rPr>
              <w:t>2</w:t>
            </w:r>
          </w:p>
        </w:tc>
        <w:tc>
          <w:tcPr>
            <w:tcW w:w="240" w:type="dxa"/>
            <w:vAlign w:val="bottom"/>
          </w:tcPr>
          <w:p>
            <w:pPr>
              <w:spacing w:after="0"/>
              <w:rPr>
                <w:sz w:val="15"/>
                <w:szCs w:val="15"/>
                <w:color w:val="auto"/>
              </w:rPr>
            </w:pPr>
          </w:p>
        </w:tc>
        <w:tc>
          <w:tcPr>
            <w:tcW w:w="820" w:type="dxa"/>
            <w:vAlign w:val="bottom"/>
          </w:tcPr>
          <w:p>
            <w:pPr>
              <w:ind w:left="540"/>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(2,532)</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Unrealized loss on investment securities measured at fair value through other comprehensive income, net</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96"/>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Total loss on investment securities, net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(3,365)</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59"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months ended March 31, 2023 and 2022 (in millions):</w:t>
      </w:r>
    </w:p>
    <w:p>
      <w:pPr>
        <w:spacing w:after="0" w:line="54"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202"/>
        </w:trPr>
        <w:tc>
          <w:tcPr>
            <w:tcW w:w="718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TBA securities, dollar roll income</w:t>
            </w:r>
          </w:p>
        </w:tc>
        <w:tc>
          <w:tcPr>
            <w:tcW w:w="66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TBA securities, mark-to-market loss</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(1,386)</w:t>
            </w: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swaps, periodic cost</w:t>
            </w: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Interest rate swaps, mark-to-market gain</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(736)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1,975</w:t>
            </w: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default swaps - CDX IG - buy protection</w:t>
            </w: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Payer swaptions</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w:t>
            </w: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securities - short position</w:t>
            </w: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(157)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U.S. Treasury securities - long position</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futures contracts - short position</w:t>
            </w: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(235)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SOFR futures contracts - long position</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interest income (expense), net</w:t>
            </w: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Other gain (loss), net</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1"/>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(544)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most recent Annual Report on Form 10-K and Item</w:t>
      </w:r>
    </w:p>
    <w:p>
      <w:pPr>
        <w:spacing w:after="0" w:line="4" w:lineRule="exact"/>
        <w:rPr>
          <w:sz w:val="20"/>
          <w:szCs w:val="20"/>
          <w:color w:val="auto"/>
        </w:rPr>
      </w:pPr>
    </w:p>
    <w:p>
      <w:pPr>
        <w:jc w:val="both"/>
        <w:ind w:firstLine="8"/>
        <w:spacing w:after="0" w:line="30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Quantitative and Qualitative Disclosures of Market Risks </w:t>
      </w:r>
      <w:r>
        <w:rPr>
          <w:rFonts w:ascii="Arial" w:cs="Arial" w:eastAsia="Arial" w:hAnsi="Arial"/>
          <w:sz w:val="16"/>
          <w:szCs w:val="16"/>
          <w:color w:val="auto"/>
        </w:rPr>
        <w:t>in this Form 10-Q. In assessing our liquidity, we consider a number of factors,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Financing Sources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7.2x and 7.4x as of March 31, 2023 and December 31, 2022, respectively. The following table includes a summary of our mortgage borrowings outstanding as of March 31, 2023 and December 31, 2022 (dollars in millions). For additional details of our mortgage borrowings refer to Notes 2, 4 and 5 to our Consolidated Financial Statements in this Form 10-Q.</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60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Arial" w:cs="Arial" w:eastAsia="Arial" w:hAnsi="Arial"/>
                <w:sz w:val="14"/>
                <w:szCs w:val="14"/>
                <w:b w:val="1"/>
                <w:bCs w:val="1"/>
                <w:color w:val="auto"/>
                <w:w w:val="90"/>
              </w:rPr>
              <w:t>December 31, 2022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568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Agency repurchase agreements </w:t>
            </w:r>
            <w:r>
              <w:rPr>
                <w:rFonts w:ascii="Arial" w:cs="Arial" w:eastAsia="Arial" w:hAnsi="Arial"/>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41,930</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35,907</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2"/>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42,022</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2"/>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TBA and forward settling non-Agency securities, at cost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10,385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18,407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52,407</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54,409</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59" w:lineRule="auto"/>
        <w:tabs>
          <w:tab w:leader="none" w:pos="65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Agency RMBS, CRT and non-Agency MBS repurchase agreements. Excludes U.S. Treasury repurchase agreements totaling $6,454 million and $355 million as of March 31, 2023 and December 31, 2022, respectively.</w:t>
      </w:r>
    </w:p>
    <w:p>
      <w:pPr>
        <w:ind w:left="660" w:hanging="328"/>
        <w:spacing w:after="0" w:line="28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March 31, 2023 and December 31, 2022, 38% and 48%, respectively, of our repurchase agreements, including 44% and 48% or our Agency repurchase agreements, respectively, were funded through the Fixed Income Clearing Corporation's GCF Repo service.</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March 31, 2023, we had met all our margin requirements.</w:t>
      </w:r>
    </w:p>
    <w:p>
      <w:pPr>
        <w:spacing w:after="0" w:line="13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March 31, 2023, approximately 18% our investment portfolio consisted of TBA securities, which are not subject to monthly principal pay-downs. The remainder of our portfolio, primarily consisted of Agency RMBS, which had an average one-year CPR forecast of 7%.</w:t>
      </w:r>
    </w:p>
    <w:p>
      <w:pPr>
        <w:spacing w:after="0" w:line="13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Haircut levels and minimum margin requirements imposed by our counterparties reduce the amount of our unencumbered assets and limit the amount we can borrow against our investment securities. During the three months ended March 31, 2023, haircuts on our repo funding arrangements remained stable. As of March 31, 2023, the weighted average haircut on our repurchase agreements was approximately 3.6% of the value of our collateral, compared to 3.7% as of December 31, 2022.</w:t>
      </w:r>
    </w:p>
    <w:p>
      <w:pPr>
        <w:spacing w:after="0" w:line="13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To mitigate the risk of margins calls, we seek to maintain excess liquidity by holding unencumbered liquid assets that can be used to satisfy collateral requirements, collateralize additional borrowings or sold for cash. As of March 31, 2023, our unencumbered assets totaled approximately $4.2 billion, or 58% of tangible equity, consisting of $4.1 billion of unencumbered cash and Agency RMBS and $0.1 billion of unencumbered credit assets. This compares to $4.4 billion of unencumbered assets, or 60% of tangible equity, as of December 31, 2022, consisting of $4.3 billion of unencumbered cash and Agency RMBS and $0.1 billion of unencumbered credit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7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both"/>
        <w:ind w:firstLine="445"/>
        <w:spacing w:after="0" w:line="296" w:lineRule="auto"/>
        <w:rPr>
          <w:sz w:val="20"/>
          <w:szCs w:val="20"/>
          <w:color w:val="auto"/>
        </w:rPr>
      </w:pPr>
      <w:r>
        <w:rPr>
          <w:rFonts w:ascii="Arial" w:cs="Arial" w:eastAsia="Arial" w:hAnsi="Arial"/>
          <w:sz w:val="16"/>
          <w:szCs w:val="16"/>
          <w:color w:val="auto"/>
        </w:rPr>
        <w:t>As of March 31, 2023, our maximum amount at risk (or the excess/shortfall of the value of collateral pledged/received over our repurchase agreement liabilities/reverse repurchase agreement receivables) with any of our repurchase agreement counterparties, excluding the FICC, was less than 4% of our tangible stockholders' equity, with our top five repo counterparties, excluding the FICC, representing approximately 8% of our tangible stockholders' equity. As of March 31, 2023, less than 8% of our tangible stockholder's equity was at risk with the FICC. Excluding central clearing exchanges, as of March 31, 2023, our amount at risk with any counterparty to our derivative agreements was less than 1% of our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Arial" w:cs="Arial" w:eastAsia="Arial" w:hAnsi="Arial"/>
          <w:sz w:val="17"/>
          <w:szCs w:val="17"/>
          <w:i w:val="1"/>
          <w:iCs w:val="1"/>
          <w:color w:val="auto"/>
        </w:rPr>
        <w:t>Trends and Recent Market Impacts</w:t>
      </w:r>
      <w:r>
        <w:rPr>
          <w:rFonts w:ascii="Arial" w:cs="Arial" w:eastAsia="Arial" w:hAnsi="Arial"/>
          <w:sz w:val="17"/>
          <w:szCs w:val="17"/>
          <w:color w:val="auto"/>
        </w:rPr>
        <w:t xml:space="preserve"> of this Management Discussion and Analysis for further information regarding Agency RMBS and TBA market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if 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2023,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2023,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41" w:lineRule="exact"/>
        <w:rPr>
          <w:sz w:val="20"/>
          <w:szCs w:val="20"/>
          <w:color w:val="auto"/>
        </w:rPr>
      </w:pPr>
    </w:p>
    <w:p>
      <w:pPr>
        <w:ind w:left="660" w:hanging="247"/>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U.S. monetary policy or interest rates, including actions taken by the Federal Reserve to normalize monetary policy and to reduce the size of its U.S. Treasury and Agency RMBS bond portfolio;</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ind w:left="660" w:right="100" w:hanging="247"/>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 including changes in the available supply of such securities or investor appetite therefor;</w:t>
      </w:r>
    </w:p>
    <w:p>
      <w:pPr>
        <w:spacing w:after="0" w:line="2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that affect the economy, the housing sector or financial markets;</w:t>
      </w:r>
    </w:p>
    <w:p>
      <w:pPr>
        <w:spacing w:after="0" w:line="11"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ongoing availability of personnel and systems to conduct our operations;</w:t>
      </w:r>
    </w:p>
    <w:p>
      <w:pPr>
        <w:spacing w:after="0" w:line="47"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to laws, regulations, rules or policies that affect U.S. housing finance activity, the GSE's or the markets for Agency RMBS; and</w:t>
      </w:r>
    </w:p>
    <w:p>
      <w:pPr>
        <w:spacing w:after="0" w:line="74" w:lineRule="exact"/>
        <w:rPr>
          <w:rFonts w:ascii="Arial" w:cs="Arial" w:eastAsia="Arial" w:hAnsi="Arial"/>
          <w:sz w:val="17"/>
          <w:szCs w:val="17"/>
          <w:color w:val="auto"/>
        </w:rPr>
      </w:pPr>
    </w:p>
    <w:p>
      <w:pPr>
        <w:ind w:left="660" w:hanging="247"/>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0.2 years as of March 31, 2023, compared to 0.4 years as of December 31, 2022.</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2023 and December 31, 2022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March 31, 2023 and December 31,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p>
      <w:pPr>
        <w:spacing w:after="0" w:line="8"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March 31, 2023</w:t>
            </w:r>
          </w:p>
        </w:tc>
        <w:tc>
          <w:tcPr>
            <w:tcW w:w="278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 Change in</w:t>
            </w:r>
          </w:p>
        </w:tc>
        <w:tc>
          <w:tcPr>
            <w:tcW w:w="13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9"/>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Value Per Common</w:t>
            </w: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Portfolio Market</w:t>
            </w:r>
          </w:p>
        </w:tc>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6"/>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-0.9%</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0.0%</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0.0%</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+0.3%</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1.0%</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-0.9%</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-1.4%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-3.3%</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-5.4%</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7"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 and Extension Risk</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3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of March 31, 2023 and December 31, 2022, our investment securities (excluding TBAs) had a weighted average projected CPR of 10.0% and 7.4%, respectively, and a weighted average yield of 3.55% and 3.37%,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p>
      <w:pPr>
        <w:spacing w:after="0" w:line="8" w:lineRule="exact"/>
        <w:rPr>
          <w:sz w:val="20"/>
          <w:szCs w:val="20"/>
          <w:color w:val="auto"/>
        </w:rPr>
      </w:pPr>
    </w:p>
    <w:tbl>
      <w:tblPr>
        <w:tblLayout w:type="fixed"/>
        <w:tblInd w:w="1280" w:type="dxa"/>
        <w:tblCellMar>
          <w:top w:w="0" w:type="dxa"/>
          <w:left w:w="0" w:type="dxa"/>
          <w:bottom w:w="0" w:type="dxa"/>
          <w:right w:w="0" w:type="dxa"/>
        </w:tblCellMar>
      </w:tblPr>
      <w:tr>
        <w:trPr>
          <w:trHeight w:val="191"/>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March 31, 2023</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5"/>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2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1"/>
        </w:trPr>
        <w:tc>
          <w:tcPr>
            <w:tcW w:w="318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Projected CPR</w:t>
            </w:r>
          </w:p>
        </w:tc>
        <w:tc>
          <w:tcPr>
            <w:tcW w:w="1440" w:type="dxa"/>
            <w:vAlign w:val="bottom"/>
            <w:gridSpan w:val="2"/>
          </w:tcPr>
          <w:p>
            <w:pPr>
              <w:jc w:val="center"/>
              <w:ind w:right="160"/>
              <w:spacing w:after="0" w:line="201"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Projected CPR</w:t>
            </w:r>
          </w:p>
        </w:tc>
        <w:tc>
          <w:tcPr>
            <w:tcW w:w="130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76"/>
        </w:trPr>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3.48%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3.33%</w:t>
            </w:r>
          </w:p>
        </w:tc>
        <w:tc>
          <w:tcPr>
            <w:tcW w:w="0" w:type="dxa"/>
            <w:vAlign w:val="bottom"/>
          </w:tcPr>
          <w:p>
            <w:pPr>
              <w:spacing w:after="0"/>
              <w:rPr>
                <w:sz w:val="1"/>
                <w:szCs w:val="1"/>
                <w:color w:val="auto"/>
              </w:rPr>
            </w:pPr>
          </w:p>
        </w:tc>
      </w:tr>
      <w:tr>
        <w:trPr>
          <w:trHeight w:val="182"/>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11.5%</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3.50%</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3.34%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3.52%</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7.6%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3.36%</w:t>
            </w:r>
          </w:p>
        </w:tc>
        <w:tc>
          <w:tcPr>
            <w:tcW w:w="0" w:type="dxa"/>
            <w:vAlign w:val="bottom"/>
          </w:tcPr>
          <w:p>
            <w:pPr>
              <w:spacing w:after="0"/>
              <w:rPr>
                <w:sz w:val="1"/>
                <w:szCs w:val="1"/>
                <w:color w:val="auto"/>
              </w:rPr>
            </w:pPr>
          </w:p>
        </w:tc>
      </w:tr>
      <w:tr>
        <w:trPr>
          <w:trHeight w:val="182"/>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10.0%</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7.4%</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9.3%</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3.57%</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7.2%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3.38%</w:t>
            </w:r>
          </w:p>
        </w:tc>
        <w:tc>
          <w:tcPr>
            <w:tcW w:w="0" w:type="dxa"/>
            <w:vAlign w:val="bottom"/>
          </w:tcPr>
          <w:p>
            <w:pPr>
              <w:spacing w:after="0"/>
              <w:rPr>
                <w:sz w:val="1"/>
                <w:szCs w:val="1"/>
                <w:color w:val="auto"/>
              </w:rPr>
            </w:pPr>
          </w:p>
        </w:tc>
      </w:tr>
      <w:tr>
        <w:trPr>
          <w:trHeight w:val="182"/>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8.8%</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3.59%</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7.0%</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8.4%</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3.60%</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3.40%</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48"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and assumes a static portfolio. Actual results could differ materially from these estimates. Table excludes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2023 and December 31, 2022 should spreads widen or tighten by 10, 25 and 50 basis points. The estimated impact of changes in spreads is in addition to our interest rate shock sensitivity included in the interest rate shock table above. The table below assumes a spread duration of 4.9 and 5.8 years as of March 31, 2023 and December 31, 2022,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p>
      <w:pPr>
        <w:spacing w:after="0" w:line="8"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3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March 31, 2023</w:t>
            </w:r>
          </w:p>
        </w:tc>
        <w:tc>
          <w:tcPr>
            <w:tcW w:w="272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Tangible Net Book</w:t>
            </w: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 Portfolio Market</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Per Common</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3"/>
        </w:trPr>
        <w:tc>
          <w:tcPr>
            <w:tcW w:w="30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+30.6%</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+12.5%</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+15.3%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+5.0%</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+6.1%</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-5.0%</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-6.1%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-12.5%</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-15.3%</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-25.1%</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-30.6%</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48"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March 31, 2023,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10-Q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March 31, 2023, our maximum amount at risk with any counterparty related to our repurchase agreements and derivative agreements was less than 4% and 1%, respectively, of tangible stockholders' equity.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2023.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85" w:lineRule="exact"/>
        <w:rPr>
          <w:sz w:val="20"/>
          <w:szCs w:val="20"/>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71">
        <w:r>
          <w:rPr>
            <w:rFonts w:ascii="Arial" w:cs="Arial" w:eastAsia="Arial" w:hAnsi="Arial"/>
            <w:sz w:val="18"/>
            <w:szCs w:val="18"/>
            <w:color w:val="auto"/>
          </w:rPr>
          <w:t>*3.1</w:t>
        </w:r>
      </w:hyperlink>
      <w:r>
        <w:rPr>
          <w:rFonts w:ascii="Arial" w:cs="Arial" w:eastAsia="Arial" w:hAnsi="Arial"/>
          <w:sz w:val="18"/>
          <w:szCs w:val="18"/>
          <w:color w:val="auto"/>
        </w:rPr>
        <w:tab/>
      </w:r>
      <w:hyperlink r:id="rId71">
        <w:r>
          <w:rPr>
            <w:rFonts w:ascii="Arial" w:cs="Arial" w:eastAsia="Arial" w:hAnsi="Arial"/>
            <w:sz w:val="18"/>
            <w:szCs w:val="18"/>
            <w:color w:val="auto"/>
          </w:rPr>
          <w:t>AGNC Investment Corp. Amended and Restated Certificate of Incorporation, as amended, incorporated by reference from Exhibit 3.1 of Form 10-K</w:t>
        </w:r>
      </w:hyperlink>
      <w:r>
        <w:rPr>
          <w:rFonts w:ascii="Arial" w:cs="Arial" w:eastAsia="Arial" w:hAnsi="Arial"/>
          <w:sz w:val="18"/>
          <w:szCs w:val="18"/>
          <w:color w:val="auto"/>
        </w:rPr>
        <w:t xml:space="preserve"> </w:t>
      </w:r>
      <w:hyperlink r:id="rId71">
        <w:r>
          <w:rPr>
            <w:rFonts w:ascii="Arial" w:cs="Arial" w:eastAsia="Arial" w:hAnsi="Arial"/>
            <w:sz w:val="18"/>
            <w:szCs w:val="18"/>
            <w:color w:val="auto"/>
          </w:rPr>
          <w:t>for the year ended December 31, 2021 (File No. 001-34057), filed February 23, 2022.</w:t>
        </w:r>
      </w:hyperlink>
    </w:p>
    <w:p>
      <w:pPr>
        <w:spacing w:after="0" w:line="116"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r:id="rId72">
        <w:r>
          <w:rPr>
            <w:rFonts w:ascii="Arial" w:cs="Arial" w:eastAsia="Arial" w:hAnsi="Arial"/>
            <w:sz w:val="18"/>
            <w:szCs w:val="18"/>
            <w:color w:val="auto"/>
          </w:rPr>
          <w:t>*3.2</w:t>
        </w:r>
      </w:hyperlink>
      <w:r>
        <w:rPr>
          <w:rFonts w:ascii="Arial" w:cs="Arial" w:eastAsia="Arial" w:hAnsi="Arial"/>
          <w:sz w:val="18"/>
          <w:szCs w:val="18"/>
          <w:color w:val="auto"/>
        </w:rPr>
        <w:tab/>
      </w:r>
      <w:hyperlink r:id="rId72">
        <w:r>
          <w:rPr>
            <w:rFonts w:ascii="Arial" w:cs="Arial" w:eastAsia="Arial" w:hAnsi="Arial"/>
            <w:sz w:val="16"/>
            <w:szCs w:val="16"/>
            <w:color w:val="auto"/>
          </w:rPr>
          <w:t>AGNC Investment Corp. Fourth Amended and Restated Bylaws, as amended, incorporated herein by reference to Exhibit 3.1 of Form 8-K (File No.</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2">
        <w:r>
          <w:rPr>
            <w:rFonts w:ascii="Arial" w:cs="Arial" w:eastAsia="Arial" w:hAnsi="Arial"/>
            <w:sz w:val="18"/>
            <w:szCs w:val="18"/>
            <w:color w:val="auto"/>
          </w:rPr>
          <w:t>001-34057), filed March 11, 2021.</w:t>
        </w:r>
      </w:hyperlink>
    </w:p>
    <w:p>
      <w:pPr>
        <w:spacing w:after="0" w:line="157" w:lineRule="exact"/>
        <w:rPr>
          <w:sz w:val="20"/>
          <w:szCs w:val="20"/>
          <w:color w:val="auto"/>
        </w:rPr>
      </w:pPr>
    </w:p>
    <w:p>
      <w:pPr>
        <w:jc w:val="both"/>
        <w:ind w:left="520" w:hanging="1295"/>
        <w:spacing w:after="0" w:line="277" w:lineRule="auto"/>
        <w:tabs>
          <w:tab w:leader="none" w:pos="500" w:val="left"/>
        </w:tabs>
        <w:rPr>
          <w:rFonts w:ascii="Arial" w:cs="Arial" w:eastAsia="Arial" w:hAnsi="Arial"/>
          <w:sz w:val="18"/>
          <w:szCs w:val="18"/>
          <w:color w:val="auto"/>
        </w:rPr>
      </w:pPr>
      <w:hyperlink r:id="rId73">
        <w:r>
          <w:rPr>
            <w:rFonts w:ascii="Arial" w:cs="Arial" w:eastAsia="Arial" w:hAnsi="Arial"/>
            <w:sz w:val="18"/>
            <w:szCs w:val="18"/>
            <w:color w:val="auto"/>
          </w:rPr>
          <w:t>*3.3</w:t>
        </w:r>
      </w:hyperlink>
      <w:r>
        <w:rPr>
          <w:rFonts w:ascii="Arial" w:cs="Arial" w:eastAsia="Arial" w:hAnsi="Arial"/>
          <w:sz w:val="18"/>
          <w:szCs w:val="18"/>
          <w:color w:val="auto"/>
        </w:rPr>
        <w:tab/>
      </w:r>
      <w:hyperlink r:id="rId73">
        <w:r>
          <w:rPr>
            <w:rFonts w:ascii="Arial" w:cs="Arial" w:eastAsia="Arial" w:hAnsi="Arial"/>
            <w:sz w:val="18"/>
            <w:szCs w:val="18"/>
            <w:color w:val="auto"/>
          </w:rPr>
          <w:t>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Exhibit 3.5 of Form 8-A (File No. 001-34057), filed August 18,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4">
        <w:r>
          <w:rPr>
            <w:rFonts w:ascii="Arial" w:cs="Arial" w:eastAsia="Arial" w:hAnsi="Arial"/>
            <w:sz w:val="18"/>
            <w:szCs w:val="18"/>
            <w:color w:val="auto"/>
          </w:rPr>
          <w:t>*3.4</w:t>
        </w:r>
      </w:hyperlink>
      <w:r>
        <w:rPr>
          <w:rFonts w:ascii="Arial" w:cs="Arial" w:eastAsia="Arial" w:hAnsi="Arial"/>
          <w:sz w:val="18"/>
          <w:szCs w:val="18"/>
          <w:color w:val="auto"/>
        </w:rPr>
        <w:tab/>
      </w:r>
      <w:hyperlink r:id="rId74">
        <w:r>
          <w:rPr>
            <w:rFonts w:ascii="Arial" w:cs="Arial" w:eastAsia="Arial" w:hAnsi="Arial"/>
            <w:sz w:val="18"/>
            <w:szCs w:val="18"/>
            <w:color w:val="auto"/>
          </w:rPr>
          <w:t>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(File No 001-34057), filed October 26,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5">
        <w:r>
          <w:rPr>
            <w:rFonts w:ascii="Arial" w:cs="Arial" w:eastAsia="Arial" w:hAnsi="Arial"/>
            <w:sz w:val="18"/>
            <w:szCs w:val="18"/>
            <w:color w:val="auto"/>
          </w:rPr>
          <w:t>*3.5</w:t>
        </w:r>
      </w:hyperlink>
      <w:r>
        <w:rPr>
          <w:rFonts w:ascii="Arial" w:cs="Arial" w:eastAsia="Arial" w:hAnsi="Arial"/>
          <w:sz w:val="18"/>
          <w:szCs w:val="18"/>
          <w:color w:val="auto"/>
        </w:rPr>
        <w:tab/>
      </w:r>
      <w:hyperlink r:id="rId75">
        <w:r>
          <w:rPr>
            <w:rFonts w:ascii="Arial" w:cs="Arial" w:eastAsia="Arial" w:hAnsi="Arial"/>
            <w:sz w:val="18"/>
            <w:szCs w:val="18"/>
            <w:color w:val="auto"/>
          </w:rPr>
          <w:t>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75">
        <w:r>
          <w:rPr>
            <w:rFonts w:ascii="Arial" w:cs="Arial" w:eastAsia="Arial" w:hAnsi="Arial"/>
            <w:sz w:val="18"/>
            <w:szCs w:val="18"/>
            <w:color w:val="auto"/>
          </w:rPr>
          <w:t>Exhibit 3.5 of Form 8-A (File No 001-34057), filed March 6,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6">
        <w:r>
          <w:rPr>
            <w:rFonts w:ascii="Arial" w:cs="Arial" w:eastAsia="Arial" w:hAnsi="Arial"/>
            <w:sz w:val="18"/>
            <w:szCs w:val="18"/>
            <w:color w:val="auto"/>
          </w:rPr>
          <w:t>*3.6</w:t>
        </w:r>
      </w:hyperlink>
      <w:r>
        <w:rPr>
          <w:rFonts w:ascii="Arial" w:cs="Arial" w:eastAsia="Arial" w:hAnsi="Arial"/>
          <w:sz w:val="18"/>
          <w:szCs w:val="18"/>
          <w:color w:val="auto"/>
        </w:rPr>
        <w:tab/>
      </w:r>
      <w:hyperlink r:id="rId76">
        <w:r>
          <w:rPr>
            <w:rFonts w:ascii="Arial" w:cs="Arial" w:eastAsia="Arial" w:hAnsi="Arial"/>
            <w:sz w:val="18"/>
            <w:szCs w:val="18"/>
            <w:color w:val="auto"/>
          </w:rPr>
          <w:t>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76">
        <w:r>
          <w:rPr>
            <w:rFonts w:ascii="Arial" w:cs="Arial" w:eastAsia="Arial" w:hAnsi="Arial"/>
            <w:sz w:val="18"/>
            <w:szCs w:val="18"/>
            <w:color w:val="auto"/>
          </w:rPr>
          <w:t>Exhibit 3.6 of Form 8-A (File No 001-34057), filed October 3, 2019.</w:t>
        </w:r>
      </w:hyperlink>
    </w:p>
    <w:p>
      <w:pPr>
        <w:spacing w:after="0" w:line="116" w:lineRule="exact"/>
        <w:rPr>
          <w:rFonts w:ascii="Arial" w:cs="Arial" w:eastAsia="Arial" w:hAnsi="Arial"/>
          <w:sz w:val="18"/>
          <w:szCs w:val="18"/>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77">
        <w:r>
          <w:rPr>
            <w:rFonts w:ascii="Arial" w:cs="Arial" w:eastAsia="Arial" w:hAnsi="Arial"/>
            <w:sz w:val="18"/>
            <w:szCs w:val="18"/>
            <w:color w:val="auto"/>
          </w:rPr>
          <w:t>*3.7</w:t>
        </w:r>
      </w:hyperlink>
      <w:r>
        <w:rPr>
          <w:rFonts w:ascii="Arial" w:cs="Arial" w:eastAsia="Arial" w:hAnsi="Arial"/>
          <w:sz w:val="18"/>
          <w:szCs w:val="18"/>
          <w:color w:val="auto"/>
        </w:rPr>
        <w:tab/>
      </w:r>
      <w:hyperlink r:id="rId77">
        <w:r>
          <w:rPr>
            <w:rFonts w:ascii="Arial" w:cs="Arial" w:eastAsia="Arial" w:hAnsi="Arial"/>
            <w:sz w:val="18"/>
            <w:szCs w:val="18"/>
            <w:color w:val="auto"/>
          </w:rPr>
          <w:t>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77">
        <w:r>
          <w:rPr>
            <w:rFonts w:ascii="Arial" w:cs="Arial" w:eastAsia="Arial" w:hAnsi="Arial"/>
            <w:sz w:val="18"/>
            <w:szCs w:val="18"/>
            <w:color w:val="auto"/>
          </w:rPr>
          <w:t>(File No 001-34057), filed December 13,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8">
        <w:r>
          <w:rPr>
            <w:rFonts w:ascii="Arial" w:cs="Arial" w:eastAsia="Arial" w:hAnsi="Arial"/>
            <w:sz w:val="18"/>
            <w:szCs w:val="18"/>
            <w:color w:val="auto"/>
          </w:rPr>
          <w:t>*3.8</w:t>
        </w:r>
      </w:hyperlink>
      <w:r>
        <w:rPr>
          <w:rFonts w:ascii="Arial" w:cs="Arial" w:eastAsia="Arial" w:hAnsi="Arial"/>
          <w:sz w:val="18"/>
          <w:szCs w:val="18"/>
          <w:color w:val="auto"/>
        </w:rPr>
        <w:tab/>
      </w:r>
      <w:hyperlink r:id="rId78">
        <w:r>
          <w:rPr>
            <w:rFonts w:ascii="Arial" w:cs="Arial" w:eastAsia="Arial" w:hAnsi="Arial"/>
            <w:sz w:val="18"/>
            <w:szCs w:val="18"/>
            <w:color w:val="auto"/>
          </w:rPr>
          <w:t>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78">
        <w:r>
          <w:rPr>
            <w:rFonts w:ascii="Arial" w:cs="Arial" w:eastAsia="Arial" w:hAnsi="Arial"/>
            <w:sz w:val="18"/>
            <w:szCs w:val="18"/>
            <w:color w:val="auto"/>
          </w:rPr>
          <w:t>Exhibit 3.6 of Form 8-A (File No 001-34057), filed February 11, 2020.</w:t>
        </w:r>
      </w:hyperlink>
    </w:p>
    <w:p>
      <w:pPr>
        <w:spacing w:after="0" w:line="116" w:lineRule="exact"/>
        <w:rPr>
          <w:rFonts w:ascii="Arial" w:cs="Arial" w:eastAsia="Arial" w:hAnsi="Arial"/>
          <w:sz w:val="18"/>
          <w:szCs w:val="18"/>
          <w:color w:val="auto"/>
        </w:rPr>
      </w:pPr>
    </w:p>
    <w:p>
      <w:pPr>
        <w:jc w:val="both"/>
        <w:ind w:left="600" w:hanging="1295"/>
        <w:spacing w:after="0" w:line="277" w:lineRule="auto"/>
        <w:tabs>
          <w:tab w:leader="none" w:pos="580" w:val="left"/>
        </w:tabs>
        <w:rPr>
          <w:rFonts w:ascii="Arial" w:cs="Arial" w:eastAsia="Arial" w:hAnsi="Arial"/>
          <w:sz w:val="18"/>
          <w:szCs w:val="18"/>
          <w:color w:val="auto"/>
        </w:rPr>
      </w:pPr>
      <w:hyperlink r:id="rId79">
        <w:r>
          <w:rPr>
            <w:rFonts w:ascii="Arial" w:cs="Arial" w:eastAsia="Arial" w:hAnsi="Arial"/>
            <w:sz w:val="18"/>
            <w:szCs w:val="18"/>
            <w:color w:val="auto"/>
          </w:rPr>
          <w:t>*3.9</w:t>
        </w:r>
      </w:hyperlink>
      <w:r>
        <w:rPr>
          <w:rFonts w:ascii="Arial" w:cs="Arial" w:eastAsia="Arial" w:hAnsi="Arial"/>
          <w:sz w:val="18"/>
          <w:szCs w:val="18"/>
          <w:color w:val="auto"/>
        </w:rPr>
        <w:tab/>
      </w:r>
      <w:hyperlink r:id="rId79">
        <w:r>
          <w:rPr>
            <w:rFonts w:ascii="Arial" w:cs="Arial" w:eastAsia="Arial" w:hAnsi="Arial"/>
            <w:sz w:val="18"/>
            <w:szCs w:val="18"/>
            <w:color w:val="auto"/>
          </w:rPr>
          <w:t>Certificate of Designations of 7.75% Series G Fixed-Rate Reset Cumulative Redeemable Preferred Stock, incorporated herein by reference to</w:t>
        </w:r>
      </w:hyperlink>
      <w:r>
        <w:rPr>
          <w:rFonts w:ascii="Arial" w:cs="Arial" w:eastAsia="Arial" w:hAnsi="Arial"/>
          <w:sz w:val="18"/>
          <w:szCs w:val="18"/>
          <w:color w:val="auto"/>
        </w:rPr>
        <w:t xml:space="preserve"> </w:t>
      </w:r>
      <w:hyperlink r:id="rId79">
        <w:r>
          <w:rPr>
            <w:rFonts w:ascii="Arial" w:cs="Arial" w:eastAsia="Arial" w:hAnsi="Arial"/>
            <w:sz w:val="18"/>
            <w:szCs w:val="18"/>
            <w:color w:val="auto"/>
          </w:rPr>
          <w:t>Exhibit 3.7 of Form 8-A (File No 001-34057), filed September 14, 2022.</w:t>
        </w:r>
      </w:hyperlink>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left="580" w:hanging="1295"/>
        <w:spacing w:after="0" w:line="263" w:lineRule="auto"/>
        <w:tabs>
          <w:tab w:leader="none" w:pos="560" w:val="left"/>
        </w:tabs>
        <w:rPr>
          <w:rFonts w:ascii="Arial" w:cs="Arial" w:eastAsia="Arial" w:hAnsi="Arial"/>
          <w:sz w:val="18"/>
          <w:szCs w:val="18"/>
          <w:color w:val="auto"/>
        </w:rPr>
      </w:pPr>
      <w:hyperlink r:id="rId71">
        <w:r>
          <w:rPr>
            <w:rFonts w:ascii="Arial" w:cs="Arial" w:eastAsia="Arial" w:hAnsi="Arial"/>
            <w:sz w:val="18"/>
            <w:szCs w:val="18"/>
            <w:color w:val="auto"/>
          </w:rPr>
          <w:t>*4.1</w:t>
        </w:r>
      </w:hyperlink>
      <w:r>
        <w:rPr>
          <w:rFonts w:ascii="Arial" w:cs="Arial" w:eastAsia="Arial" w:hAnsi="Arial"/>
          <w:sz w:val="18"/>
          <w:szCs w:val="18"/>
          <w:color w:val="auto"/>
        </w:rPr>
        <w:tab/>
      </w:r>
      <w:hyperlink r:id="rId71">
        <w:r>
          <w:rPr>
            <w:rFonts w:ascii="Arial" w:cs="Arial" w:eastAsia="Arial" w:hAnsi="Arial"/>
            <w:sz w:val="18"/>
            <w:szCs w:val="18"/>
            <w:color w:val="auto"/>
          </w:rPr>
          <w:t>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71">
        <w:r>
          <w:rPr>
            <w:rFonts w:ascii="Arial" w:cs="Arial" w:eastAsia="Arial" w:hAnsi="Arial"/>
            <w:sz w:val="18"/>
            <w:szCs w:val="18"/>
            <w:color w:val="auto"/>
          </w:rPr>
          <w:t>incorporated herein by reference to Exhibit 3.1 of Form 10-K for the year ended December 31, 2021 (File No. 001-34057), filed February</w:t>
        </w:r>
      </w:hyperlink>
      <w:r>
        <w:rPr>
          <w:rFonts w:ascii="Arial" w:cs="Arial" w:eastAsia="Arial" w:hAnsi="Arial"/>
          <w:sz w:val="18"/>
          <w:szCs w:val="18"/>
          <w:color w:val="auto"/>
        </w:rPr>
        <w:t xml:space="preserve"> </w:t>
      </w:r>
      <w:hyperlink r:id="rId71">
        <w:r>
          <w:rPr>
            <w:rFonts w:ascii="Arial" w:cs="Arial" w:eastAsia="Arial" w:hAnsi="Arial"/>
            <w:sz w:val="18"/>
            <w:szCs w:val="18"/>
            <w:color w:val="auto"/>
          </w:rPr>
          <w:t>23, 2022.</w:t>
        </w:r>
      </w:hyperlink>
    </w:p>
    <w:p>
      <w:pPr>
        <w:spacing w:after="0" w:line="130" w:lineRule="exact"/>
        <w:rPr>
          <w:rFonts w:ascii="Arial" w:cs="Arial" w:eastAsia="Arial" w:hAnsi="Arial"/>
          <w:sz w:val="18"/>
          <w:szCs w:val="18"/>
          <w:color w:val="auto"/>
        </w:rPr>
      </w:pPr>
    </w:p>
    <w:p>
      <w:pPr>
        <w:jc w:val="both"/>
        <w:ind w:left="580" w:hanging="1295"/>
        <w:spacing w:after="0" w:line="277" w:lineRule="auto"/>
        <w:tabs>
          <w:tab w:leader="none" w:pos="560" w:val="left"/>
        </w:tabs>
        <w:rPr>
          <w:rFonts w:ascii="Arial" w:cs="Arial" w:eastAsia="Arial" w:hAnsi="Arial"/>
          <w:sz w:val="18"/>
          <w:szCs w:val="18"/>
          <w:color w:val="auto"/>
        </w:rPr>
      </w:pPr>
      <w:hyperlink r:id="rId72">
        <w:r>
          <w:rPr>
            <w:rFonts w:ascii="Arial" w:cs="Arial" w:eastAsia="Arial" w:hAnsi="Arial"/>
            <w:sz w:val="18"/>
            <w:szCs w:val="18"/>
            <w:color w:val="auto"/>
          </w:rPr>
          <w:t>*4.2</w:t>
        </w:r>
      </w:hyperlink>
      <w:r>
        <w:rPr>
          <w:rFonts w:ascii="Arial" w:cs="Arial" w:eastAsia="Arial" w:hAnsi="Arial"/>
          <w:sz w:val="18"/>
          <w:szCs w:val="18"/>
          <w:color w:val="auto"/>
        </w:rPr>
        <w:tab/>
      </w:r>
      <w:hyperlink r:id="rId72">
        <w:r>
          <w:rPr>
            <w:rFonts w:ascii="Arial" w:cs="Arial" w:eastAsia="Arial" w:hAnsi="Arial"/>
            <w:sz w:val="18"/>
            <w:szCs w:val="18"/>
            <w:color w:val="auto"/>
          </w:rPr>
          <w:t>Instruments defining the rights of holders of securities: See Article VI of our Fourth Amended and Restated Bylaws, as amended, incorporated</w:t>
        </w:r>
      </w:hyperlink>
      <w:r>
        <w:rPr>
          <w:rFonts w:ascii="Arial" w:cs="Arial" w:eastAsia="Arial" w:hAnsi="Arial"/>
          <w:sz w:val="18"/>
          <w:szCs w:val="18"/>
          <w:color w:val="auto"/>
        </w:rPr>
        <w:t xml:space="preserve"> </w:t>
      </w:r>
      <w:hyperlink r:id="rId72">
        <w:r>
          <w:rPr>
            <w:rFonts w:ascii="Arial" w:cs="Arial" w:eastAsia="Arial" w:hAnsi="Arial"/>
            <w:sz w:val="18"/>
            <w:szCs w:val="18"/>
            <w:color w:val="auto"/>
          </w:rPr>
          <w:t>herein by reference to Exhibit 3.1 of Form 8-K, filed March 11, 2021.</w:t>
        </w:r>
      </w:hyperlink>
    </w:p>
    <w:p>
      <w:pPr>
        <w:spacing w:after="0" w:line="116" w:lineRule="exact"/>
        <w:rPr>
          <w:rFonts w:ascii="Arial" w:cs="Arial" w:eastAsia="Arial" w:hAnsi="Arial"/>
          <w:sz w:val="18"/>
          <w:szCs w:val="18"/>
          <w:color w:val="auto"/>
        </w:rPr>
      </w:pPr>
    </w:p>
    <w:p>
      <w:pPr>
        <w:jc w:val="both"/>
        <w:ind w:left="560" w:hanging="1295"/>
        <w:spacing w:after="0" w:line="277" w:lineRule="auto"/>
        <w:tabs>
          <w:tab w:leader="none" w:pos="540" w:val="left"/>
        </w:tabs>
        <w:rPr>
          <w:rFonts w:ascii="Arial" w:cs="Arial" w:eastAsia="Arial" w:hAnsi="Arial"/>
          <w:sz w:val="18"/>
          <w:szCs w:val="18"/>
          <w:color w:val="auto"/>
        </w:rPr>
      </w:pPr>
      <w:hyperlink r:id="rId81">
        <w:r>
          <w:rPr>
            <w:rFonts w:ascii="Arial" w:cs="Arial" w:eastAsia="Arial" w:hAnsi="Arial"/>
            <w:sz w:val="18"/>
            <w:szCs w:val="18"/>
            <w:color w:val="auto"/>
          </w:rPr>
          <w:t>*4.3</w:t>
        </w:r>
      </w:hyperlink>
      <w:r>
        <w:rPr>
          <w:rFonts w:ascii="Arial" w:cs="Arial" w:eastAsia="Arial" w:hAnsi="Arial"/>
          <w:sz w:val="18"/>
          <w:szCs w:val="18"/>
          <w:color w:val="auto"/>
        </w:rPr>
        <w:tab/>
      </w:r>
      <w:hyperlink r:id="rId81">
        <w:r>
          <w:rPr>
            <w:rFonts w:ascii="Arial" w:cs="Arial" w:eastAsia="Arial" w:hAnsi="Arial"/>
            <w:sz w:val="18"/>
            <w:szCs w:val="18"/>
            <w:color w:val="auto"/>
          </w:rPr>
          <w:t>Form of Certificate for Common Stock, incorporated herein by reference to Exhibit 4.3 of Form 10-Q for the quarter ended September 30, 2022</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(File No. 001-34057), filed November 7, 2022.</w:t>
        </w:r>
      </w:hyperlink>
    </w:p>
    <w:p>
      <w:pPr>
        <w:spacing w:after="0" w:line="116" w:lineRule="exact"/>
        <w:rPr>
          <w:rFonts w:ascii="Arial" w:cs="Arial" w:eastAsia="Arial" w:hAnsi="Arial"/>
          <w:sz w:val="18"/>
          <w:szCs w:val="18"/>
          <w:color w:val="auto"/>
        </w:rPr>
      </w:pPr>
    </w:p>
    <w:p>
      <w:pPr>
        <w:spacing w:after="0"/>
        <w:tabs>
          <w:tab w:leader="none" w:pos="500" w:val="left"/>
        </w:tabs>
        <w:rPr>
          <w:rFonts w:ascii="Arial" w:cs="Arial" w:eastAsia="Arial" w:hAnsi="Arial"/>
          <w:sz w:val="16"/>
          <w:szCs w:val="16"/>
          <w:color w:val="auto"/>
        </w:rPr>
      </w:pPr>
      <w:hyperlink r:id="rId82">
        <w:r>
          <w:rPr>
            <w:rFonts w:ascii="Arial" w:cs="Arial" w:eastAsia="Arial" w:hAnsi="Arial"/>
            <w:sz w:val="18"/>
            <w:szCs w:val="18"/>
            <w:color w:val="auto"/>
          </w:rPr>
          <w:t>*4.4</w:t>
        </w:r>
      </w:hyperlink>
      <w:r>
        <w:rPr>
          <w:rFonts w:ascii="Arial" w:cs="Arial" w:eastAsia="Arial" w:hAnsi="Arial"/>
          <w:sz w:val="18"/>
          <w:szCs w:val="18"/>
          <w:color w:val="auto"/>
        </w:rPr>
        <w:tab/>
      </w:r>
      <w:hyperlink r:id="rId82">
        <w:r>
          <w:rPr>
            <w:rFonts w:ascii="Arial" w:cs="Arial" w:eastAsia="Arial" w:hAnsi="Arial"/>
            <w:sz w:val="16"/>
            <w:szCs w:val="16"/>
            <w:color w:val="auto"/>
          </w:rPr>
          <w:t>Specimen 7.00% Series C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2">
        <w:r>
          <w:rPr>
            <w:rFonts w:ascii="Arial" w:cs="Arial" w:eastAsia="Arial" w:hAnsi="Arial"/>
            <w:sz w:val="18"/>
            <w:szCs w:val="18"/>
            <w:color w:val="auto"/>
          </w:rPr>
          <w:t>4.1 of Form 8-A (File No. 001-34057), filed August 18, 2017.</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83">
        <w:r>
          <w:rPr>
            <w:rFonts w:ascii="Arial" w:cs="Arial" w:eastAsia="Arial" w:hAnsi="Arial"/>
            <w:sz w:val="18"/>
            <w:szCs w:val="18"/>
            <w:color w:val="auto"/>
          </w:rPr>
          <w:t>*4.5</w:t>
        </w:r>
      </w:hyperlink>
      <w:r>
        <w:rPr>
          <w:rFonts w:ascii="Arial" w:cs="Arial" w:eastAsia="Arial" w:hAnsi="Arial"/>
          <w:sz w:val="18"/>
          <w:szCs w:val="18"/>
          <w:color w:val="auto"/>
        </w:rPr>
        <w:tab/>
      </w:r>
      <w:hyperlink r:id="rId83">
        <w:r>
          <w:rPr>
            <w:rFonts w:ascii="Arial" w:cs="Arial" w:eastAsia="Arial" w:hAnsi="Arial"/>
            <w:sz w:val="16"/>
            <w:szCs w:val="16"/>
            <w:color w:val="auto"/>
          </w:rPr>
          <w:t>Specimen 6.875% Series D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3">
        <w:r>
          <w:rPr>
            <w:rFonts w:ascii="Arial" w:cs="Arial" w:eastAsia="Arial" w:hAnsi="Arial"/>
            <w:sz w:val="18"/>
            <w:szCs w:val="18"/>
            <w:color w:val="auto"/>
          </w:rPr>
          <w:t>4.1 of Form 8-A (File No. 001-34057), filed March 6, 2019.</w:t>
        </w:r>
      </w:hyperlink>
    </w:p>
    <w:p>
      <w:pPr>
        <w:spacing w:after="0" w:line="157" w:lineRule="exact"/>
        <w:rPr>
          <w:sz w:val="20"/>
          <w:szCs w:val="20"/>
          <w:color w:val="auto"/>
        </w:rPr>
      </w:pPr>
    </w:p>
    <w:p>
      <w:pPr>
        <w:spacing w:after="0"/>
        <w:tabs>
          <w:tab w:leader="none" w:pos="520" w:val="left"/>
        </w:tabs>
        <w:rPr>
          <w:rFonts w:ascii="Arial" w:cs="Arial" w:eastAsia="Arial" w:hAnsi="Arial"/>
          <w:sz w:val="16"/>
          <w:szCs w:val="16"/>
          <w:color w:val="auto"/>
        </w:rPr>
      </w:pPr>
      <w:hyperlink r:id="rId84">
        <w:r>
          <w:rPr>
            <w:rFonts w:ascii="Arial" w:cs="Arial" w:eastAsia="Arial" w:hAnsi="Arial"/>
            <w:sz w:val="18"/>
            <w:szCs w:val="18"/>
            <w:color w:val="auto"/>
          </w:rPr>
          <w:t>*4.6</w:t>
        </w:r>
      </w:hyperlink>
      <w:r>
        <w:rPr>
          <w:rFonts w:ascii="Arial" w:cs="Arial" w:eastAsia="Arial" w:hAnsi="Arial"/>
          <w:sz w:val="18"/>
          <w:szCs w:val="18"/>
          <w:color w:val="auto"/>
        </w:rPr>
        <w:tab/>
      </w:r>
      <w:hyperlink r:id="rId84">
        <w:r>
          <w:rPr>
            <w:rFonts w:ascii="Arial" w:cs="Arial" w:eastAsia="Arial" w:hAnsi="Arial"/>
            <w:sz w:val="16"/>
            <w:szCs w:val="16"/>
            <w:color w:val="auto"/>
          </w:rPr>
          <w:t>Specimen 6.50% Series E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4">
        <w:r>
          <w:rPr>
            <w:rFonts w:ascii="Arial" w:cs="Arial" w:eastAsia="Arial" w:hAnsi="Arial"/>
            <w:sz w:val="18"/>
            <w:szCs w:val="18"/>
            <w:color w:val="auto"/>
          </w:rPr>
          <w:t>4.1 of Form 8-A (File No. 001-34057), filed October 3, 2019.</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85">
        <w:r>
          <w:rPr>
            <w:rFonts w:ascii="Arial" w:cs="Arial" w:eastAsia="Arial" w:hAnsi="Arial"/>
            <w:sz w:val="18"/>
            <w:szCs w:val="18"/>
            <w:color w:val="auto"/>
          </w:rPr>
          <w:t>*4.7</w:t>
        </w:r>
      </w:hyperlink>
      <w:r>
        <w:rPr>
          <w:rFonts w:ascii="Arial" w:cs="Arial" w:eastAsia="Arial" w:hAnsi="Arial"/>
          <w:sz w:val="18"/>
          <w:szCs w:val="18"/>
          <w:color w:val="auto"/>
        </w:rPr>
        <w:tab/>
      </w:r>
      <w:hyperlink r:id="rId85">
        <w:r>
          <w:rPr>
            <w:rFonts w:ascii="Arial" w:cs="Arial" w:eastAsia="Arial" w:hAnsi="Arial"/>
            <w:sz w:val="16"/>
            <w:szCs w:val="16"/>
            <w:color w:val="auto"/>
          </w:rPr>
          <w:t>Specimen 6.125% Series F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5">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86">
        <w:r>
          <w:rPr>
            <w:rFonts w:ascii="Arial" w:cs="Arial" w:eastAsia="Arial" w:hAnsi="Arial"/>
            <w:sz w:val="18"/>
            <w:szCs w:val="18"/>
            <w:color w:val="auto"/>
          </w:rPr>
          <w:t>*4.8</w:t>
        </w:r>
      </w:hyperlink>
      <w:r>
        <w:rPr>
          <w:rFonts w:ascii="Arial" w:cs="Arial" w:eastAsia="Arial" w:hAnsi="Arial"/>
          <w:sz w:val="18"/>
          <w:szCs w:val="18"/>
          <w:color w:val="auto"/>
        </w:rPr>
        <w:tab/>
      </w:r>
      <w:hyperlink r:id="rId86">
        <w:r>
          <w:rPr>
            <w:rFonts w:ascii="Arial" w:cs="Arial" w:eastAsia="Arial" w:hAnsi="Arial"/>
            <w:sz w:val="18"/>
            <w:szCs w:val="18"/>
            <w:color w:val="auto"/>
          </w:rPr>
          <w:t>Specimen 7.75% Series G Fixed-Rate Reset Cumulative Redeemable Preferred Stock Certificate, incorporated herein by reference to Exhibit 4.1 of</w:t>
        </w:r>
      </w:hyperlink>
      <w:r>
        <w:rPr>
          <w:rFonts w:ascii="Arial" w:cs="Arial" w:eastAsia="Arial" w:hAnsi="Arial"/>
          <w:sz w:val="18"/>
          <w:szCs w:val="18"/>
          <w:color w:val="auto"/>
        </w:rPr>
        <w:t xml:space="preserve"> </w:t>
      </w:r>
      <w:hyperlink r:id="rId86">
        <w:r>
          <w:rPr>
            <w:rFonts w:ascii="Arial" w:cs="Arial" w:eastAsia="Arial" w:hAnsi="Arial"/>
            <w:sz w:val="18"/>
            <w:szCs w:val="18"/>
            <w:color w:val="auto"/>
          </w:rPr>
          <w:t>Form 8-A (File No 001-34057), filed September 14, 2022.</w:t>
        </w:r>
      </w:hyperlink>
    </w:p>
    <w:p>
      <w:pPr>
        <w:spacing w:after="0" w:line="116" w:lineRule="exact"/>
        <w:rPr>
          <w:rFonts w:ascii="Arial" w:cs="Arial" w:eastAsia="Arial" w:hAnsi="Arial"/>
          <w:sz w:val="18"/>
          <w:szCs w:val="18"/>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87">
        <w:r>
          <w:rPr>
            <w:rFonts w:ascii="Arial" w:cs="Arial" w:eastAsia="Arial" w:hAnsi="Arial"/>
            <w:sz w:val="18"/>
            <w:szCs w:val="18"/>
            <w:color w:val="auto"/>
          </w:rPr>
          <w:t>*4.9</w:t>
        </w:r>
      </w:hyperlink>
      <w:r>
        <w:rPr>
          <w:rFonts w:ascii="Arial" w:cs="Arial" w:eastAsia="Arial" w:hAnsi="Arial"/>
          <w:sz w:val="18"/>
          <w:szCs w:val="18"/>
          <w:color w:val="auto"/>
        </w:rPr>
        <w:tab/>
      </w:r>
      <w:hyperlink r:id="rId87">
        <w:r>
          <w:rPr>
            <w:rFonts w:ascii="Arial" w:cs="Arial" w:eastAsia="Arial" w:hAnsi="Arial"/>
            <w:sz w:val="18"/>
            <w:szCs w:val="18"/>
            <w:color w:val="auto"/>
          </w:rPr>
          <w:t>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87">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7">
        <w:r>
          <w:rPr>
            <w:rFonts w:ascii="Arial" w:cs="Arial" w:eastAsia="Arial" w:hAnsi="Arial"/>
            <w:sz w:val="18"/>
            <w:szCs w:val="18"/>
            <w:color w:val="auto"/>
          </w:rPr>
          <w:t>reference to Exhibit 4.2 of Form 8-K (File No. 001-34057) filed August 22, 2017.</w:t>
        </w:r>
      </w:hyperlink>
    </w:p>
    <w:p>
      <w:pPr>
        <w:spacing w:after="0" w:line="130" w:lineRule="exact"/>
        <w:rPr>
          <w:rFonts w:ascii="Arial" w:cs="Arial" w:eastAsia="Arial" w:hAnsi="Arial"/>
          <w:sz w:val="18"/>
          <w:szCs w:val="18"/>
          <w:color w:val="auto"/>
        </w:rPr>
      </w:pPr>
    </w:p>
    <w:p>
      <w:pPr>
        <w:jc w:val="both"/>
        <w:ind w:left="620" w:hanging="1295"/>
        <w:spacing w:after="0" w:line="263" w:lineRule="auto"/>
        <w:tabs>
          <w:tab w:leader="none" w:pos="600" w:val="left"/>
        </w:tabs>
        <w:rPr>
          <w:rFonts w:ascii="Arial" w:cs="Arial" w:eastAsia="Arial" w:hAnsi="Arial"/>
          <w:sz w:val="18"/>
          <w:szCs w:val="18"/>
          <w:color w:val="auto"/>
        </w:rPr>
      </w:pPr>
      <w:hyperlink r:id="rId87">
        <w:r>
          <w:rPr>
            <w:rFonts w:ascii="Arial" w:cs="Arial" w:eastAsia="Arial" w:hAnsi="Arial"/>
            <w:sz w:val="18"/>
            <w:szCs w:val="18"/>
            <w:color w:val="auto"/>
          </w:rPr>
          <w:t>*4.10</w:t>
        </w:r>
      </w:hyperlink>
      <w:r>
        <w:rPr>
          <w:rFonts w:ascii="Arial" w:cs="Arial" w:eastAsia="Arial" w:hAnsi="Arial"/>
          <w:sz w:val="18"/>
          <w:szCs w:val="18"/>
          <w:color w:val="auto"/>
        </w:rPr>
        <w:tab/>
      </w:r>
      <w:hyperlink r:id="rId87">
        <w:r>
          <w:rPr>
            <w:rFonts w:ascii="Arial" w:cs="Arial" w:eastAsia="Arial" w:hAnsi="Arial"/>
            <w:sz w:val="18"/>
            <w:szCs w:val="18"/>
            <w:color w:val="auto"/>
          </w:rPr>
          <w:t>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87">
        <w:r>
          <w:rPr>
            <w:rFonts w:ascii="Arial" w:cs="Arial" w:eastAsia="Arial" w:hAnsi="Arial"/>
            <w:sz w:val="18"/>
            <w:szCs w:val="18"/>
            <w:color w:val="auto"/>
          </w:rPr>
          <w:t>(included as part of Exhibit 4.9), incorporated herein by reference to Exhibit A of Exhibit 4.2 of Form 8-K (File No. 001-34057) filed</w:t>
        </w:r>
      </w:hyperlink>
      <w:r>
        <w:rPr>
          <w:rFonts w:ascii="Arial" w:cs="Arial" w:eastAsia="Arial" w:hAnsi="Arial"/>
          <w:sz w:val="18"/>
          <w:szCs w:val="18"/>
          <w:color w:val="auto"/>
        </w:rPr>
        <w:t xml:space="preserve"> </w:t>
      </w:r>
      <w:hyperlink r:id="rId87">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660" w:hanging="1295"/>
        <w:spacing w:after="0" w:line="263" w:lineRule="auto"/>
        <w:tabs>
          <w:tab w:leader="none" w:pos="640" w:val="left"/>
        </w:tabs>
        <w:rPr>
          <w:rFonts w:ascii="Arial" w:cs="Arial" w:eastAsia="Arial" w:hAnsi="Arial"/>
          <w:sz w:val="18"/>
          <w:szCs w:val="18"/>
          <w:color w:val="auto"/>
        </w:rPr>
      </w:pPr>
      <w:hyperlink r:id="rId88">
        <w:r>
          <w:rPr>
            <w:rFonts w:ascii="Arial" w:cs="Arial" w:eastAsia="Arial" w:hAnsi="Arial"/>
            <w:sz w:val="18"/>
            <w:szCs w:val="18"/>
            <w:color w:val="auto"/>
          </w:rPr>
          <w:t>*4.11</w:t>
        </w:r>
      </w:hyperlink>
      <w:r>
        <w:rPr>
          <w:rFonts w:ascii="Arial" w:cs="Arial" w:eastAsia="Arial" w:hAnsi="Arial"/>
          <w:sz w:val="18"/>
          <w:szCs w:val="18"/>
          <w:color w:val="auto"/>
        </w:rPr>
        <w:tab/>
      </w:r>
      <w:hyperlink r:id="rId88">
        <w:r>
          <w:rPr>
            <w:rFonts w:ascii="Arial" w:cs="Arial" w:eastAsia="Arial" w:hAnsi="Arial"/>
            <w:sz w:val="18"/>
            <w:szCs w:val="18"/>
            <w:color w:val="auto"/>
          </w:rPr>
          <w:t>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88">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8">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600" w:hanging="1295"/>
        <w:spacing w:after="0" w:line="263" w:lineRule="auto"/>
        <w:tabs>
          <w:tab w:leader="none" w:pos="580" w:val="left"/>
        </w:tabs>
        <w:rPr>
          <w:rFonts w:ascii="Arial" w:cs="Arial" w:eastAsia="Arial" w:hAnsi="Arial"/>
          <w:sz w:val="18"/>
          <w:szCs w:val="18"/>
          <w:color w:val="auto"/>
        </w:rPr>
      </w:pPr>
      <w:hyperlink r:id="rId88">
        <w:r>
          <w:rPr>
            <w:rFonts w:ascii="Arial" w:cs="Arial" w:eastAsia="Arial" w:hAnsi="Arial"/>
            <w:sz w:val="18"/>
            <w:szCs w:val="18"/>
            <w:color w:val="auto"/>
          </w:rPr>
          <w:t>*4.12</w:t>
        </w:r>
      </w:hyperlink>
      <w:r>
        <w:rPr>
          <w:rFonts w:ascii="Arial" w:cs="Arial" w:eastAsia="Arial" w:hAnsi="Arial"/>
          <w:sz w:val="18"/>
          <w:szCs w:val="18"/>
          <w:color w:val="auto"/>
        </w:rPr>
        <w:tab/>
      </w:r>
      <w:hyperlink r:id="rId88">
        <w:r>
          <w:rPr>
            <w:rFonts w:ascii="Arial" w:cs="Arial" w:eastAsia="Arial" w:hAnsi="Arial"/>
            <w:sz w:val="18"/>
            <w:szCs w:val="18"/>
            <w:color w:val="auto"/>
          </w:rPr>
          <w:t>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88">
        <w:r>
          <w:rPr>
            <w:rFonts w:ascii="Arial" w:cs="Arial" w:eastAsia="Arial" w:hAnsi="Arial"/>
            <w:sz w:val="18"/>
            <w:szCs w:val="18"/>
            <w:color w:val="auto"/>
          </w:rPr>
          <w:t>(included as part of Exhibit 4.11), incorporated herein by reference to Exhibit A of Exhibit 4.2 of Form 8-K (File No. 001-34057) filed</w:t>
        </w:r>
      </w:hyperlink>
      <w:r>
        <w:rPr>
          <w:rFonts w:ascii="Arial" w:cs="Arial" w:eastAsia="Arial" w:hAnsi="Arial"/>
          <w:sz w:val="18"/>
          <w:szCs w:val="18"/>
          <w:color w:val="auto"/>
        </w:rPr>
        <w:t xml:space="preserve"> </w:t>
      </w:r>
      <w:hyperlink r:id="rId88">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jc w:val="both"/>
        <w:ind w:left="600" w:right="320" w:hanging="1295"/>
        <w:spacing w:after="0" w:line="263" w:lineRule="auto"/>
        <w:tabs>
          <w:tab w:leader="none" w:pos="580" w:val="left"/>
        </w:tabs>
        <w:rPr>
          <w:rFonts w:ascii="Arial" w:cs="Arial" w:eastAsia="Arial" w:hAnsi="Arial"/>
          <w:sz w:val="18"/>
          <w:szCs w:val="18"/>
          <w:color w:val="auto"/>
        </w:rPr>
      </w:pPr>
      <w:hyperlink r:id="rId89">
        <w:r>
          <w:rPr>
            <w:rFonts w:ascii="Arial" w:cs="Arial" w:eastAsia="Arial" w:hAnsi="Arial"/>
            <w:sz w:val="18"/>
            <w:szCs w:val="18"/>
            <w:color w:val="auto"/>
          </w:rPr>
          <w:t>*4.13</w:t>
        </w:r>
      </w:hyperlink>
      <w:r>
        <w:rPr>
          <w:rFonts w:ascii="Arial" w:cs="Arial" w:eastAsia="Arial" w:hAnsi="Arial"/>
          <w:sz w:val="18"/>
          <w:szCs w:val="18"/>
          <w:color w:val="auto"/>
        </w:rPr>
        <w:tab/>
      </w:r>
      <w:hyperlink r:id="rId89">
        <w:r>
          <w:rPr>
            <w:rFonts w:ascii="Arial" w:cs="Arial" w:eastAsia="Arial" w:hAnsi="Arial"/>
            <w:sz w:val="18"/>
            <w:szCs w:val="18"/>
            <w:color w:val="auto"/>
          </w:rPr>
          <w:t>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89">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9">
        <w:r>
          <w:rPr>
            <w:rFonts w:ascii="Arial" w:cs="Arial" w:eastAsia="Arial" w:hAnsi="Arial"/>
            <w:sz w:val="18"/>
            <w:szCs w:val="18"/>
            <w:color w:val="auto"/>
          </w:rPr>
          <w:t>reference to Exhibit 4.2 of Form 8-K (File No. 001-34057) filed October 3, 2019.</w:t>
        </w:r>
      </w:hyperlink>
    </w:p>
    <w:p>
      <w:pPr>
        <w:spacing w:after="0" w:line="130" w:lineRule="exact"/>
        <w:rPr>
          <w:rFonts w:ascii="Arial" w:cs="Arial" w:eastAsia="Arial" w:hAnsi="Arial"/>
          <w:sz w:val="18"/>
          <w:szCs w:val="18"/>
          <w:color w:val="auto"/>
        </w:rPr>
      </w:pPr>
    </w:p>
    <w:p>
      <w:pPr>
        <w:jc w:val="both"/>
        <w:ind w:left="600" w:right="200" w:hanging="1295"/>
        <w:spacing w:after="0" w:line="263" w:lineRule="auto"/>
        <w:tabs>
          <w:tab w:leader="none" w:pos="580" w:val="left"/>
        </w:tabs>
        <w:rPr>
          <w:rFonts w:ascii="Arial" w:cs="Arial" w:eastAsia="Arial" w:hAnsi="Arial"/>
          <w:sz w:val="18"/>
          <w:szCs w:val="18"/>
          <w:color w:val="auto"/>
        </w:rPr>
      </w:pPr>
      <w:hyperlink r:id="rId89">
        <w:r>
          <w:rPr>
            <w:rFonts w:ascii="Arial" w:cs="Arial" w:eastAsia="Arial" w:hAnsi="Arial"/>
            <w:sz w:val="18"/>
            <w:szCs w:val="18"/>
            <w:color w:val="auto"/>
          </w:rPr>
          <w:t>*4.14</w:t>
        </w:r>
      </w:hyperlink>
      <w:r>
        <w:rPr>
          <w:rFonts w:ascii="Arial" w:cs="Arial" w:eastAsia="Arial" w:hAnsi="Arial"/>
          <w:sz w:val="18"/>
          <w:szCs w:val="18"/>
          <w:color w:val="auto"/>
        </w:rPr>
        <w:tab/>
      </w:r>
      <w:hyperlink r:id="rId89">
        <w:r>
          <w:rPr>
            <w:rFonts w:ascii="Arial" w:cs="Arial" w:eastAsia="Arial" w:hAnsi="Arial"/>
            <w:sz w:val="18"/>
            <w:szCs w:val="18"/>
            <w:color w:val="auto"/>
          </w:rPr>
          <w:t>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89">
        <w:r>
          <w:rPr>
            <w:rFonts w:ascii="Arial" w:cs="Arial" w:eastAsia="Arial" w:hAnsi="Arial"/>
            <w:sz w:val="18"/>
            <w:szCs w:val="18"/>
            <w:color w:val="auto"/>
          </w:rPr>
          <w:t>(included as part of Exhibit 4.13), incorporated herein by reference to Exhibit A of Exhibit 4.2 of Form 8-K (File No. 001-34057) filed</w:t>
        </w:r>
      </w:hyperlink>
      <w:r>
        <w:rPr>
          <w:rFonts w:ascii="Arial" w:cs="Arial" w:eastAsia="Arial" w:hAnsi="Arial"/>
          <w:sz w:val="18"/>
          <w:szCs w:val="18"/>
          <w:color w:val="auto"/>
        </w:rPr>
        <w:t xml:space="preserve"> </w:t>
      </w:r>
      <w:hyperlink r:id="rId89">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ind w:left="600" w:right="140" w:hanging="1295"/>
        <w:spacing w:after="0" w:line="263" w:lineRule="auto"/>
        <w:tabs>
          <w:tab w:leader="none" w:pos="580" w:val="left"/>
        </w:tabs>
        <w:rPr>
          <w:rFonts w:ascii="Arial" w:cs="Arial" w:eastAsia="Arial" w:hAnsi="Arial"/>
          <w:sz w:val="18"/>
          <w:szCs w:val="18"/>
          <w:color w:val="auto"/>
        </w:rPr>
      </w:pPr>
      <w:hyperlink r:id="rId90">
        <w:r>
          <w:rPr>
            <w:rFonts w:ascii="Arial" w:cs="Arial" w:eastAsia="Arial" w:hAnsi="Arial"/>
            <w:sz w:val="18"/>
            <w:szCs w:val="18"/>
            <w:color w:val="auto"/>
          </w:rPr>
          <w:t>*4.15</w:t>
        </w:r>
      </w:hyperlink>
      <w:r>
        <w:rPr>
          <w:rFonts w:ascii="Arial" w:cs="Arial" w:eastAsia="Arial" w:hAnsi="Arial"/>
          <w:sz w:val="18"/>
          <w:szCs w:val="18"/>
          <w:color w:val="auto"/>
        </w:rPr>
        <w:tab/>
      </w:r>
      <w:hyperlink r:id="rId90">
        <w:r>
          <w:rPr>
            <w:rFonts w:ascii="Arial" w:cs="Arial" w:eastAsia="Arial" w:hAnsi="Arial"/>
            <w:sz w:val="18"/>
            <w:szCs w:val="18"/>
            <w:color w:val="auto"/>
          </w:rPr>
          <w:t>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90">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90">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ind w:left="600" w:right="120" w:hanging="1295"/>
        <w:spacing w:after="0" w:line="263" w:lineRule="auto"/>
        <w:tabs>
          <w:tab w:leader="none" w:pos="580" w:val="left"/>
        </w:tabs>
        <w:rPr>
          <w:rFonts w:ascii="Arial" w:cs="Arial" w:eastAsia="Arial" w:hAnsi="Arial"/>
          <w:sz w:val="18"/>
          <w:szCs w:val="18"/>
          <w:color w:val="auto"/>
        </w:rPr>
      </w:pPr>
      <w:hyperlink r:id="rId90">
        <w:r>
          <w:rPr>
            <w:rFonts w:ascii="Arial" w:cs="Arial" w:eastAsia="Arial" w:hAnsi="Arial"/>
            <w:sz w:val="18"/>
            <w:szCs w:val="18"/>
            <w:color w:val="auto"/>
          </w:rPr>
          <w:t>*4.16</w:t>
        </w:r>
      </w:hyperlink>
      <w:r>
        <w:rPr>
          <w:rFonts w:ascii="Arial" w:cs="Arial" w:eastAsia="Arial" w:hAnsi="Arial"/>
          <w:sz w:val="18"/>
          <w:szCs w:val="18"/>
          <w:color w:val="auto"/>
        </w:rPr>
        <w:tab/>
      </w:r>
      <w:hyperlink r:id="rId90">
        <w:r>
          <w:rPr>
            <w:rFonts w:ascii="Arial" w:cs="Arial" w:eastAsia="Arial" w:hAnsi="Arial"/>
            <w:sz w:val="18"/>
            <w:szCs w:val="18"/>
            <w:color w:val="auto"/>
          </w:rPr>
          <w:t>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90">
        <w:r>
          <w:rPr>
            <w:rFonts w:ascii="Arial" w:cs="Arial" w:eastAsia="Arial" w:hAnsi="Arial"/>
            <w:sz w:val="18"/>
            <w:szCs w:val="18"/>
            <w:color w:val="auto"/>
          </w:rPr>
          <w:t>(included as part of Exhibit 4.15), incorporated herein by reference to Exhibit A of Exhibit 4.1 of Form 8-K (File No. 001-34057) filed</w:t>
        </w:r>
      </w:hyperlink>
      <w:r>
        <w:rPr>
          <w:rFonts w:ascii="Arial" w:cs="Arial" w:eastAsia="Arial" w:hAnsi="Arial"/>
          <w:sz w:val="18"/>
          <w:szCs w:val="18"/>
          <w:color w:val="auto"/>
        </w:rPr>
        <w:t xml:space="preserve"> </w:t>
      </w:r>
      <w:hyperlink r:id="rId90">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ind w:left="600" w:right="460" w:hanging="1295"/>
        <w:spacing w:after="0" w:line="277" w:lineRule="auto"/>
        <w:tabs>
          <w:tab w:leader="none" w:pos="580" w:val="left"/>
        </w:tabs>
        <w:rPr>
          <w:rFonts w:ascii="Arial" w:cs="Arial" w:eastAsia="Arial" w:hAnsi="Arial"/>
          <w:sz w:val="18"/>
          <w:szCs w:val="18"/>
          <w:color w:val="auto"/>
        </w:rPr>
      </w:pPr>
      <w:hyperlink r:id="rId91">
        <w:r>
          <w:rPr>
            <w:rFonts w:ascii="Arial" w:cs="Arial" w:eastAsia="Arial" w:hAnsi="Arial"/>
            <w:sz w:val="18"/>
            <w:szCs w:val="18"/>
            <w:color w:val="auto"/>
          </w:rPr>
          <w:t>*4.17</w:t>
        </w:r>
      </w:hyperlink>
      <w:r>
        <w:rPr>
          <w:rFonts w:ascii="Arial" w:cs="Arial" w:eastAsia="Arial" w:hAnsi="Arial"/>
          <w:sz w:val="18"/>
          <w:szCs w:val="18"/>
          <w:color w:val="auto"/>
        </w:rPr>
        <w:tab/>
      </w:r>
      <w:hyperlink r:id="rId91">
        <w:r>
          <w:rPr>
            <w:rFonts w:ascii="Arial" w:cs="Arial" w:eastAsia="Arial" w:hAnsi="Arial"/>
            <w:sz w:val="18"/>
            <w:szCs w:val="18"/>
            <w:color w:val="auto"/>
          </w:rPr>
          <w:t>Deposit Agreement relating to 7.75% Series G Fixed-Rate Reset Cumulative Redeemable Preferred Stock, dated September 14, 2022, among</w:t>
        </w:r>
      </w:hyperlink>
      <w:r>
        <w:rPr>
          <w:rFonts w:ascii="Arial" w:cs="Arial" w:eastAsia="Arial" w:hAnsi="Arial"/>
          <w:sz w:val="18"/>
          <w:szCs w:val="18"/>
          <w:color w:val="auto"/>
        </w:rPr>
        <w:t xml:space="preserve"> </w:t>
      </w:r>
      <w:hyperlink r:id="rId91">
        <w:r>
          <w:rPr>
            <w:rFonts w:ascii="Arial" w:cs="Arial" w:eastAsia="Arial" w:hAnsi="Arial"/>
            <w:sz w:val="18"/>
            <w:szCs w:val="18"/>
            <w:color w:val="auto"/>
          </w:rPr>
          <w:t>AGNC Investment Corp., Computershare Inc. and Computershare Trust</w:t>
        </w:r>
      </w:hyperlink>
    </w:p>
    <w:p>
      <w:pPr>
        <w:sectPr>
          <w:pgSz w:w="11900" w:h="16838" w:orient="portrait"/>
          <w:cols w:equalWidth="0" w:num="1">
            <w:col w:w="11240"/>
          </w:cols>
          <w:pgMar w:left="320" w:top="1057" w:right="339" w:bottom="1440" w:gutter="0" w:footer="0" w:header="0"/>
        </w:sect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7" w:name="page48"/>
    <w:bookmarkEnd w:id="47"/>
    <w:p>
      <w:pPr>
        <w:ind w:left="1300" w:right="60"/>
        <w:spacing w:after="0" w:line="277" w:lineRule="auto"/>
        <w:rPr>
          <w:rFonts w:ascii="Arial" w:cs="Arial" w:eastAsia="Arial" w:hAnsi="Arial"/>
          <w:sz w:val="18"/>
          <w:szCs w:val="18"/>
          <w:color w:val="auto"/>
        </w:rPr>
      </w:pPr>
      <w:hyperlink r:id="rId91">
        <w:r>
          <w:rPr>
            <w:rFonts w:ascii="Arial" w:cs="Arial" w:eastAsia="Arial" w:hAnsi="Arial"/>
            <w:sz w:val="18"/>
            <w:szCs w:val="18"/>
            <w:color w:val="auto"/>
          </w:rPr>
          <w:t>Company, N.A., jointly as depositary, incorporated herein by reference to Exhibit 4.2 of Form 8-K (File No. 001-34057) filed September</w:t>
        </w:r>
      </w:hyperlink>
      <w:r>
        <w:rPr>
          <w:rFonts w:ascii="Arial" w:cs="Arial" w:eastAsia="Arial" w:hAnsi="Arial"/>
          <w:sz w:val="18"/>
          <w:szCs w:val="18"/>
          <w:color w:val="auto"/>
        </w:rPr>
        <w:t xml:space="preserve"> </w:t>
      </w:r>
      <w:hyperlink r:id="rId91">
        <w:r>
          <w:rPr>
            <w:rFonts w:ascii="Arial" w:cs="Arial" w:eastAsia="Arial" w:hAnsi="Arial"/>
            <w:sz w:val="18"/>
            <w:szCs w:val="18"/>
            <w:color w:val="auto"/>
          </w:rPr>
          <w:t>14, 2022.</w:t>
        </w:r>
      </w:hyperlink>
    </w:p>
    <w:p>
      <w:pPr>
        <w:spacing w:after="0" w:line="116" w:lineRule="exact"/>
        <w:rPr>
          <w:sz w:val="20"/>
          <w:szCs w:val="20"/>
          <w:color w:val="auto"/>
        </w:rPr>
      </w:pPr>
    </w:p>
    <w:p>
      <w:pPr>
        <w:ind w:left="600" w:right="220" w:hanging="1295"/>
        <w:spacing w:after="0" w:line="263" w:lineRule="auto"/>
        <w:tabs>
          <w:tab w:leader="none" w:pos="580" w:val="left"/>
        </w:tabs>
        <w:rPr>
          <w:rFonts w:ascii="Arial" w:cs="Arial" w:eastAsia="Arial" w:hAnsi="Arial"/>
          <w:sz w:val="18"/>
          <w:szCs w:val="18"/>
          <w:color w:val="auto"/>
        </w:rPr>
      </w:pPr>
      <w:hyperlink r:id="rId91">
        <w:r>
          <w:rPr>
            <w:rFonts w:ascii="Arial" w:cs="Arial" w:eastAsia="Arial" w:hAnsi="Arial"/>
            <w:sz w:val="18"/>
            <w:szCs w:val="18"/>
            <w:color w:val="auto"/>
          </w:rPr>
          <w:t>*4.18</w:t>
        </w:r>
      </w:hyperlink>
      <w:r>
        <w:rPr>
          <w:rFonts w:ascii="Arial" w:cs="Arial" w:eastAsia="Arial" w:hAnsi="Arial"/>
          <w:sz w:val="18"/>
          <w:szCs w:val="18"/>
          <w:color w:val="auto"/>
        </w:rPr>
        <w:tab/>
      </w:r>
      <w:hyperlink r:id="rId91">
        <w:r>
          <w:rPr>
            <w:rFonts w:ascii="Arial" w:cs="Arial" w:eastAsia="Arial" w:hAnsi="Arial"/>
            <w:sz w:val="18"/>
            <w:szCs w:val="18"/>
            <w:color w:val="auto"/>
          </w:rPr>
          <w:t>Form of Depositary Receipt representing 1/1,000th of a share of 7.75% Series G Fixed-Rate Reset Cumulative Redeemable Preferred Stock</w:t>
        </w:r>
      </w:hyperlink>
      <w:r>
        <w:rPr>
          <w:rFonts w:ascii="Arial" w:cs="Arial" w:eastAsia="Arial" w:hAnsi="Arial"/>
          <w:sz w:val="18"/>
          <w:szCs w:val="18"/>
          <w:color w:val="auto"/>
        </w:rPr>
        <w:t xml:space="preserve"> </w:t>
      </w:r>
      <w:hyperlink r:id="rId91">
        <w:r>
          <w:rPr>
            <w:rFonts w:ascii="Arial" w:cs="Arial" w:eastAsia="Arial" w:hAnsi="Arial"/>
            <w:sz w:val="18"/>
            <w:szCs w:val="18"/>
            <w:color w:val="auto"/>
          </w:rPr>
          <w:t>(included as part of Exhibit 4.17), incorporated herein by reference to Exhibit A of Exhibit 4.2 of Form 8-K (File No. 001-34057) filed</w:t>
        </w:r>
      </w:hyperlink>
      <w:r>
        <w:rPr>
          <w:rFonts w:ascii="Arial" w:cs="Arial" w:eastAsia="Arial" w:hAnsi="Arial"/>
          <w:sz w:val="18"/>
          <w:szCs w:val="18"/>
          <w:color w:val="auto"/>
        </w:rPr>
        <w:t xml:space="preserve"> </w:t>
      </w:r>
      <w:hyperlink r:id="rId91">
        <w:r>
          <w:rPr>
            <w:rFonts w:ascii="Arial" w:cs="Arial" w:eastAsia="Arial" w:hAnsi="Arial"/>
            <w:sz w:val="18"/>
            <w:szCs w:val="18"/>
            <w:color w:val="auto"/>
          </w:rPr>
          <w:t>September 14, 2022.</w:t>
        </w:r>
      </w:hyperlink>
    </w:p>
    <w:p>
      <w:pPr>
        <w:spacing w:after="0" w:line="130" w:lineRule="exact"/>
        <w:rPr>
          <w:rFonts w:ascii="Arial" w:cs="Arial" w:eastAsia="Arial" w:hAnsi="Arial"/>
          <w:sz w:val="18"/>
          <w:szCs w:val="18"/>
          <w:color w:val="auto"/>
        </w:rPr>
      </w:pPr>
    </w:p>
    <w:p>
      <w:pPr>
        <w:ind w:left="1300" w:right="200" w:hanging="1292"/>
        <w:spacing w:after="0" w:line="277" w:lineRule="auto"/>
        <w:tabs>
          <w:tab w:leader="none" w:pos="1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10.1 Form of AGNC Investment Corp. 2016 Equity and Incentive Compensation Plan Restricted Stock Unit Agreement for Section 16 Officers, filed herewith.</w:t>
      </w:r>
    </w:p>
    <w:p>
      <w:pPr>
        <w:spacing w:after="0" w:line="116" w:lineRule="exact"/>
        <w:rPr>
          <w:rFonts w:ascii="Arial" w:cs="Arial" w:eastAsia="Arial" w:hAnsi="Arial"/>
          <w:sz w:val="18"/>
          <w:szCs w:val="18"/>
          <w:color w:val="auto"/>
        </w:rPr>
      </w:pPr>
    </w:p>
    <w:p>
      <w:pPr>
        <w:ind w:left="1300" w:hanging="1292"/>
        <w:spacing w:after="0" w:line="277" w:lineRule="auto"/>
        <w:tabs>
          <w:tab w:leader="none" w:pos="1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10.2 Form of AGNC Investment Corp. 2016 Equity and Incentive Compensation Plan Performance-Based Restricted Stock Unit Agreement for Section 16 Officers, filed herewith.</w:t>
      </w:r>
    </w:p>
    <w:p>
      <w:pPr>
        <w:spacing w:after="0" w:line="116" w:lineRule="exact"/>
        <w:rPr>
          <w:rFonts w:ascii="Arial" w:cs="Arial" w:eastAsia="Arial" w:hAnsi="Arial"/>
          <w:sz w:val="18"/>
          <w:szCs w:val="18"/>
          <w:color w:val="auto"/>
        </w:rPr>
      </w:pPr>
    </w:p>
    <w:p>
      <w:pPr>
        <w:spacing w:after="0"/>
        <w:tabs>
          <w:tab w:leader="none" w:pos="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CEO Pursuant to Section 302(a) of the Sarbanes-Oxley Act of 2002.</w:t>
      </w:r>
    </w:p>
    <w:p>
      <w:pPr>
        <w:spacing w:after="0" w:line="171" w:lineRule="exact"/>
        <w:rPr>
          <w:rFonts w:ascii="Arial" w:cs="Arial" w:eastAsia="Arial" w:hAnsi="Arial"/>
          <w:sz w:val="18"/>
          <w:szCs w:val="18"/>
          <w:color w:val="auto"/>
        </w:rPr>
      </w:pPr>
    </w:p>
    <w:p>
      <w:pPr>
        <w:spacing w:after="0"/>
        <w:tabs>
          <w:tab w:leader="none" w:pos="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CFO Pursuant to Section 302(a) of the Sarbanes-Oxley Act of 2002.</w:t>
      </w:r>
    </w:p>
    <w:p>
      <w:pPr>
        <w:spacing w:after="0" w:line="171" w:lineRule="exact"/>
        <w:rPr>
          <w:rFonts w:ascii="Arial" w:cs="Arial" w:eastAsia="Arial" w:hAnsi="Arial"/>
          <w:sz w:val="18"/>
          <w:szCs w:val="18"/>
          <w:color w:val="auto"/>
        </w:rPr>
      </w:pPr>
    </w:p>
    <w:p>
      <w:pPr>
        <w:spacing w:after="0"/>
        <w:tabs>
          <w:tab w:leader="none" w:pos="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Section 906 of the Sarbanes-Oxley Act of 2002.</w:t>
      </w:r>
    </w:p>
    <w:p>
      <w:pPr>
        <w:sectPr>
          <w:pgSz w:w="11900" w:h="16838" w:orient="portrait"/>
          <w:cols w:equalWidth="0" w:num="1">
            <w:col w:w="11220"/>
          </w:cols>
          <w:pgMar w:left="320" w:top="1057" w:right="359" w:bottom="1440" w:gutter="0" w:footer="0" w:header="0"/>
        </w:sectPr>
      </w:pP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5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93" w:lineRule="exact"/>
        <w:rPr>
          <w:rFonts w:ascii="Arial" w:cs="Arial" w:eastAsia="Arial" w:hAnsi="Arial"/>
          <w:sz w:val="18"/>
          <w:szCs w:val="18"/>
          <w:color w:val="auto"/>
        </w:rPr>
      </w:pPr>
    </w:p>
    <w:p>
      <w:pPr>
        <w:sectPr>
          <w:pgSz w:w="11900" w:h="16838" w:orient="portrait"/>
          <w:cols w:equalWidth="0" w:num="2">
            <w:col w:w="800" w:space="160"/>
            <w:col w:w="10260"/>
          </w:cols>
          <w:pgMar w:left="320" w:top="1057" w:right="35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rFonts w:ascii="Arial" w:cs="Arial" w:eastAsia="Arial" w:hAnsi="Arial"/>
          <w:sz w:val="18"/>
          <w:szCs w:val="18"/>
          <w:color w:val="auto"/>
        </w:rPr>
      </w:pPr>
    </w:p>
    <w:p>
      <w:pPr>
        <w:sectPr>
          <w:pgSz w:w="11900" w:h="16838" w:orient="portrait"/>
          <w:cols w:equalWidth="0" w:num="2">
            <w:col w:w="860" w:space="180"/>
            <w:col w:w="10180"/>
          </w:cols>
          <w:pgMar w:left="320" w:top="1057" w:right="35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rFonts w:ascii="Arial" w:cs="Arial" w:eastAsia="Arial" w:hAnsi="Arial"/>
          <w:sz w:val="18"/>
          <w:szCs w:val="18"/>
          <w:color w:val="auto"/>
        </w:rPr>
      </w:pPr>
    </w:p>
    <w:p>
      <w:pPr>
        <w:sectPr>
          <w:pgSz w:w="11900" w:h="16838" w:orient="portrait"/>
          <w:cols w:equalWidth="0" w:num="2">
            <w:col w:w="860" w:space="180"/>
            <w:col w:w="10180"/>
          </w:cols>
          <w:pgMar w:left="320" w:top="1057" w:right="3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rFonts w:ascii="Arial" w:cs="Arial" w:eastAsia="Arial" w:hAnsi="Arial"/>
          <w:sz w:val="18"/>
          <w:szCs w:val="18"/>
          <w:color w:val="auto"/>
        </w:rPr>
      </w:pPr>
    </w:p>
    <w:p>
      <w:pPr>
        <w:sectPr>
          <w:pgSz w:w="11900" w:h="16838" w:orient="portrait"/>
          <w:cols w:equalWidth="0" w:num="2">
            <w:col w:w="860" w:space="180"/>
            <w:col w:w="10180"/>
          </w:cols>
          <w:pgMar w:left="320" w:top="1057" w:right="35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rFonts w:ascii="Arial" w:cs="Arial" w:eastAsia="Arial" w:hAnsi="Arial"/>
          <w:sz w:val="18"/>
          <w:szCs w:val="18"/>
          <w:color w:val="auto"/>
        </w:rPr>
      </w:pPr>
    </w:p>
    <w:p>
      <w:pPr>
        <w:sectPr>
          <w:pgSz w:w="11900" w:h="16838" w:orient="portrait"/>
          <w:cols w:equalWidth="0" w:num="2">
            <w:col w:w="840" w:space="180"/>
            <w:col w:w="10200"/>
          </w:cols>
          <w:pgMar w:left="320" w:top="1057" w:right="35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6" w:lineRule="exact"/>
        <w:rPr>
          <w:rFonts w:ascii="Arial" w:cs="Arial" w:eastAsia="Arial" w:hAnsi="Arial"/>
          <w:sz w:val="18"/>
          <w:szCs w:val="18"/>
          <w:color w:val="auto"/>
        </w:rPr>
      </w:pPr>
    </w:p>
    <w:p>
      <w:pPr>
        <w:sectPr>
          <w:pgSz w:w="11900" w:h="16838" w:orient="portrait"/>
          <w:cols w:equalWidth="0" w:num="2">
            <w:col w:w="840" w:space="180"/>
            <w:col w:w="10200"/>
          </w:cols>
          <w:pgMar w:left="320" w:top="1057" w:right="35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18" w:lineRule="exact"/>
        <w:rPr>
          <w:rFonts w:ascii="Arial" w:cs="Arial" w:eastAsia="Arial" w:hAnsi="Arial"/>
          <w:sz w:val="18"/>
          <w:szCs w:val="18"/>
          <w:color w:val="auto"/>
        </w:rPr>
      </w:pPr>
    </w:p>
    <w:p>
      <w:pPr>
        <w:ind w:left="360" w:right="340" w:hanging="647"/>
        <w:spacing w:after="0" w:line="250" w:lineRule="auto"/>
        <w:tabs>
          <w:tab w:leader="none" w:pos="340" w:val="left"/>
        </w:tabs>
        <w:rPr>
          <w:sz w:val="20"/>
          <w:szCs w:val="20"/>
          <w:color w:val="auto"/>
        </w:rPr>
      </w:pPr>
      <w:r>
        <w:rPr>
          <w:rFonts w:ascii="Arial" w:cs="Arial" w:eastAsia="Arial" w:hAnsi="Arial"/>
          <w:sz w:val="18"/>
          <w:szCs w:val="18"/>
          <w:color w:val="auto"/>
        </w:rPr>
        <w:t>**</w:t>
        <w:tab/>
        <w:t>This exhibit is being furnished rather than filed, and shall not be deemed incorporated by reference into any filing, in accordance with Item 601 of Regulation S-K</w:t>
      </w:r>
    </w:p>
    <w:p>
      <w:pPr>
        <w:spacing w:after="0" w:line="1" w:lineRule="exact"/>
        <w:rPr>
          <w:rFonts w:ascii="Arial" w:cs="Arial" w:eastAsia="Arial" w:hAnsi="Arial"/>
          <w:sz w:val="18"/>
          <w:szCs w:val="18"/>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38" w:lineRule="exact"/>
        <w:rPr>
          <w:rFonts w:ascii="Arial" w:cs="Arial" w:eastAsia="Arial" w:hAnsi="Arial"/>
          <w:sz w:val="18"/>
          <w:szCs w:val="18"/>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rFonts w:ascii="Arial" w:cs="Arial" w:eastAsia="Arial" w:hAnsi="Arial"/>
          <w:sz w:val="18"/>
          <w:szCs w:val="18"/>
          <w:color w:val="auto"/>
        </w:rPr>
      </w:pPr>
    </w:p>
    <w:p>
      <w:pPr>
        <w:ind w:left="82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rFonts w:ascii="Arial" w:cs="Arial" w:eastAsia="Arial" w:hAnsi="Arial"/>
          <w:sz w:val="18"/>
          <w:szCs w:val="18"/>
          <w:color w:val="auto"/>
        </w:rPr>
      </w:pPr>
    </w:p>
    <w:p>
      <w:pPr>
        <w:ind w:left="680" w:right="7480" w:hanging="227"/>
        <w:spacing w:after="0" w:line="277" w:lineRule="auto"/>
        <w:tabs>
          <w:tab w:leader="none" w:pos="8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0" w:lineRule="exact"/>
        <w:rPr>
          <w:sz w:val="20"/>
          <w:szCs w:val="20"/>
          <w:color w:val="auto"/>
        </w:rPr>
      </w:pPr>
    </w:p>
    <w:p>
      <w:pPr>
        <w:ind w:left="5540"/>
        <w:spacing w:after="0"/>
        <w:tabs>
          <w:tab w:leader="none" w:pos="776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658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Peter J. Federico</w:t>
      </w:r>
    </w:p>
    <w:p>
      <w:pPr>
        <w:jc w:val="center"/>
        <w:ind w:left="6020"/>
        <w:spacing w:after="0" w:line="226" w:lineRule="auto"/>
        <w:rPr>
          <w:sz w:val="20"/>
          <w:szCs w:val="20"/>
          <w:color w:val="auto"/>
        </w:rPr>
      </w:pPr>
      <w:r>
        <w:rPr>
          <w:rFonts w:ascii="Arial" w:cs="Arial" w:eastAsia="Arial" w:hAnsi="Arial"/>
          <w:sz w:val="14"/>
          <w:szCs w:val="14"/>
          <w:b w:val="1"/>
          <w:bCs w:val="1"/>
          <w:color w:val="auto"/>
        </w:rPr>
        <w:t>President and</w:t>
      </w:r>
    </w:p>
    <w:p>
      <w:pPr>
        <w:jc w:val="center"/>
        <w:ind w:left="6020"/>
        <w:spacing w:after="0"/>
        <w:rPr>
          <w:sz w:val="20"/>
          <w:szCs w:val="20"/>
          <w:color w:val="auto"/>
        </w:rPr>
      </w:pPr>
      <w:r>
        <w:rPr>
          <w:rFonts w:ascii="Arial" w:cs="Arial" w:eastAsia="Arial" w:hAnsi="Arial"/>
          <w:sz w:val="14"/>
          <w:szCs w:val="14"/>
          <w:b w:val="1"/>
          <w:bCs w:val="1"/>
          <w:color w:val="auto"/>
        </w:rPr>
        <w:t>Chief Executive Officer (Principal Executive 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May 8, 2023</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658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Bernice E. Bell</w:t>
      </w:r>
    </w:p>
    <w:p>
      <w:pPr>
        <w:ind w:left="7740"/>
        <w:spacing w:after="0" w:line="226" w:lineRule="auto"/>
        <w:rPr>
          <w:sz w:val="20"/>
          <w:szCs w:val="20"/>
          <w:color w:val="auto"/>
        </w:rPr>
      </w:pPr>
      <w:r>
        <w:rPr>
          <w:rFonts w:ascii="Arial" w:cs="Arial" w:eastAsia="Arial" w:hAnsi="Arial"/>
          <w:sz w:val="14"/>
          <w:szCs w:val="14"/>
          <w:b w:val="1"/>
          <w:bCs w:val="1"/>
          <w:color w:val="auto"/>
        </w:rPr>
        <w:t>Executive Vice President and</w:t>
      </w:r>
    </w:p>
    <w:p>
      <w:pPr>
        <w:ind w:left="6260"/>
        <w:spacing w:after="0" w:line="217" w:lineRule="auto"/>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00"/>
        <w:spacing w:after="0"/>
        <w:rPr>
          <w:sz w:val="20"/>
          <w:szCs w:val="20"/>
          <w:color w:val="auto"/>
        </w:rPr>
      </w:pPr>
      <w:r>
        <w:rPr>
          <w:rFonts w:ascii="Arial" w:cs="Arial" w:eastAsia="Arial" w:hAnsi="Arial"/>
          <w:sz w:val="14"/>
          <w:szCs w:val="14"/>
          <w:b w:val="1"/>
          <w:bCs w:val="1"/>
          <w:color w:val="auto"/>
        </w:rPr>
        <w:t>Officer)</w:t>
      </w:r>
    </w:p>
    <w:p>
      <w:pPr>
        <w:spacing w:after="0" w:line="34"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May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891"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line="327" w:lineRule="auto"/>
        <w:rPr>
          <w:sz w:val="20"/>
          <w:szCs w:val="20"/>
          <w:color w:val="auto"/>
        </w:rPr>
      </w:pPr>
      <w:r>
        <w:rPr>
          <w:rFonts w:ascii="Arial" w:cs="Arial" w:eastAsia="Arial" w:hAnsi="Arial"/>
          <w:sz w:val="21"/>
          <w:szCs w:val="21"/>
          <w:b w:val="1"/>
          <w:bCs w:val="1"/>
          <w:color w:val="auto"/>
        </w:rPr>
        <w:t>AMENDED AND RESTATED AGNC INVESTMENT CORP. 2016 EQUITY AND INCENTIVE COMPENSATION PLAN RESTRICTED STOCK UNIT AGREEMENT</w:t>
      </w:r>
    </w:p>
    <w:p>
      <w:pPr>
        <w:spacing w:after="0" w:line="261" w:lineRule="exact"/>
        <w:rPr>
          <w:sz w:val="20"/>
          <w:szCs w:val="20"/>
          <w:color w:val="auto"/>
        </w:rPr>
      </w:pPr>
    </w:p>
    <w:p>
      <w:pPr>
        <w:ind w:right="480"/>
        <w:spacing w:after="0" w:line="343" w:lineRule="auto"/>
        <w:rPr>
          <w:sz w:val="20"/>
          <w:szCs w:val="20"/>
          <w:color w:val="auto"/>
        </w:rPr>
      </w:pPr>
      <w:r>
        <w:rPr>
          <w:rFonts w:ascii="Arial" w:cs="Arial" w:eastAsia="Arial" w:hAnsi="Arial"/>
          <w:sz w:val="19"/>
          <w:szCs w:val="19"/>
          <w:color w:val="auto"/>
        </w:rPr>
        <w:t>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 ]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AGNC Investment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[_______________]</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Grantee</w:t>
      </w:r>
      <w:r>
        <w:rPr>
          <w:rFonts w:ascii="Arial" w:cs="Arial" w:eastAsia="Arial" w:hAnsi="Arial"/>
          <w:sz w:val="19"/>
          <w:szCs w:val="19"/>
          <w:color w:val="auto"/>
        </w:rPr>
        <w:t>”).</w:t>
      </w:r>
    </w:p>
    <w:p>
      <w:pPr>
        <w:spacing w:after="0" w:line="233" w:lineRule="exact"/>
        <w:rPr>
          <w:sz w:val="20"/>
          <w:szCs w:val="20"/>
          <w:color w:val="auto"/>
        </w:rPr>
      </w:pPr>
    </w:p>
    <w:p>
      <w:pPr>
        <w:ind w:left="660" w:right="200" w:hanging="328"/>
        <w:spacing w:after="0" w:line="256" w:lineRule="auto"/>
        <w:tabs>
          <w:tab w:leader="none" w:pos="651"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Capitalized terms used, but not otherwise defined, in this Agreement will have the meanings given</w:t>
      </w:r>
      <w:r>
        <w:rPr>
          <w:rFonts w:ascii="Arial" w:cs="Arial" w:eastAsia="Arial" w:hAnsi="Arial"/>
          <w:sz w:val="22"/>
          <w:szCs w:val="22"/>
          <w:b w:val="1"/>
          <w:bCs w:val="1"/>
          <w:color w:val="auto"/>
        </w:rPr>
        <w:t xml:space="preserve"> </w:t>
      </w:r>
      <w:r>
        <w:rPr>
          <w:rFonts w:ascii="Arial" w:cs="Arial" w:eastAsia="Arial" w:hAnsi="Arial"/>
          <w:sz w:val="22"/>
          <w:szCs w:val="22"/>
          <w:color w:val="auto"/>
        </w:rPr>
        <w:t>to such terms in the Company’s Amended and Restated 2016 Equity and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As used in this Agreement:</w:t>
      </w:r>
    </w:p>
    <w:p>
      <w:pPr>
        <w:spacing w:after="0" w:line="33" w:lineRule="exact"/>
        <w:rPr>
          <w:rFonts w:ascii="Arial" w:cs="Arial" w:eastAsia="Arial" w:hAnsi="Arial"/>
          <w:sz w:val="22"/>
          <w:szCs w:val="22"/>
          <w:color w:val="auto"/>
        </w:rPr>
      </w:pPr>
    </w:p>
    <w:p>
      <w:pPr>
        <w:ind w:left="1300" w:right="20" w:hanging="320"/>
        <w:spacing w:after="0" w:line="292" w:lineRule="auto"/>
        <w:tabs>
          <w:tab w:leader="none" w:pos="1291"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Continuous Retirement Service</w:t>
      </w:r>
      <w:r>
        <w:rPr>
          <w:rFonts w:ascii="Arial" w:cs="Arial" w:eastAsia="Arial" w:hAnsi="Arial"/>
          <w:sz w:val="19"/>
          <w:szCs w:val="19"/>
          <w:color w:val="auto"/>
        </w:rPr>
        <w:t>” means full-time service or part-time service (equal to at least twenty-four (24) hours per week) as an employee of the Company or its Subsidiaries, which shall be measured from the later of (i) the date of hire with the Company (or the applicable Subsidiary) and (ii) AGNC Investment Corp.’s initial public offering (“</w:t>
      </w:r>
      <w:r>
        <w:rPr>
          <w:rFonts w:ascii="Arial" w:cs="Arial" w:eastAsia="Arial" w:hAnsi="Arial"/>
          <w:sz w:val="19"/>
          <w:szCs w:val="19"/>
          <w:u w:val="single" w:color="auto"/>
          <w:color w:val="auto"/>
        </w:rPr>
        <w:t>IPO</w:t>
      </w:r>
      <w:r>
        <w:rPr>
          <w:rFonts w:ascii="Arial" w:cs="Arial" w:eastAsia="Arial" w:hAnsi="Arial"/>
          <w:sz w:val="19"/>
          <w:szCs w:val="19"/>
          <w:color w:val="auto"/>
        </w:rPr>
        <w:t>”) in May 2008; provided, however, that “Continuous Retirement Service” shall also include service by employees of American Capital, Ltd. whose job duties were significantly devoted to AGNC Mortgage Management, LLC (“</w:t>
      </w:r>
      <w:r>
        <w:rPr>
          <w:rFonts w:ascii="Arial" w:cs="Arial" w:eastAsia="Arial" w:hAnsi="Arial"/>
          <w:sz w:val="19"/>
          <w:szCs w:val="19"/>
          <w:u w:val="single" w:color="auto"/>
          <w:color w:val="auto"/>
        </w:rPr>
        <w:t>AMM</w:t>
      </w:r>
      <w:r>
        <w:rPr>
          <w:rFonts w:ascii="Arial" w:cs="Arial" w:eastAsia="Arial" w:hAnsi="Arial"/>
          <w:sz w:val="19"/>
          <w:szCs w:val="19"/>
          <w:color w:val="auto"/>
        </w:rPr>
        <w:t xml:space="preserve">”), AGNC Investment Corp., AGNC Management, LLC, or MTGE Management, LLC prior to AGNC Investment Corp.’s acquisition of AMM in 2016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left="1300" w:hanging="320"/>
        <w:spacing w:after="0"/>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 ].</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57" w:lineRule="exact"/>
        <w:rPr>
          <w:rFonts w:ascii="Arial" w:cs="Arial" w:eastAsia="Arial" w:hAnsi="Arial"/>
          <w:sz w:val="22"/>
          <w:szCs w:val="22"/>
          <w:color w:val="auto"/>
        </w:rPr>
      </w:pPr>
    </w:p>
    <w:p>
      <w:pPr>
        <w:ind w:left="1300" w:right="80" w:hanging="320"/>
        <w:spacing w:after="0" w:line="259" w:lineRule="auto"/>
        <w:tabs>
          <w:tab w:leader="none" w:pos="1291"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Re-Externalization</w:t>
      </w:r>
      <w:r>
        <w:rPr>
          <w:rFonts w:ascii="Arial" w:cs="Arial" w:eastAsia="Arial" w:hAnsi="Arial"/>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18" w:lineRule="exact"/>
        <w:rPr>
          <w:rFonts w:ascii="Arial" w:cs="Arial" w:eastAsia="Arial" w:hAnsi="Arial"/>
          <w:sz w:val="22"/>
          <w:szCs w:val="22"/>
          <w:color w:val="auto"/>
        </w:rPr>
      </w:pPr>
    </w:p>
    <w:p>
      <w:pPr>
        <w:ind w:left="1300" w:hanging="320"/>
        <w:spacing w:after="0"/>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the release described in subparagraph 6(f) of the Employment Agreement.</w:t>
      </w:r>
    </w:p>
    <w:p>
      <w:pPr>
        <w:spacing w:after="0" w:line="57" w:lineRule="exact"/>
        <w:rPr>
          <w:rFonts w:ascii="Arial" w:cs="Arial" w:eastAsia="Arial" w:hAnsi="Arial"/>
          <w:sz w:val="22"/>
          <w:szCs w:val="22"/>
          <w:color w:val="auto"/>
        </w:rPr>
      </w:pPr>
    </w:p>
    <w:p>
      <w:pPr>
        <w:ind w:left="1300" w:right="100" w:hanging="320"/>
        <w:spacing w:after="0" w:line="292" w:lineRule="auto"/>
        <w:tabs>
          <w:tab w:leader="none" w:pos="1291"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Award</w:t>
      </w:r>
      <w:r>
        <w:rPr>
          <w:rFonts w:ascii="Arial" w:cs="Arial" w:eastAsia="Arial" w:hAnsi="Arial"/>
          <w:sz w:val="19"/>
          <w:szCs w:val="19"/>
          <w:color w:val="auto"/>
        </w:rPr>
        <w:t>”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w:t>
      </w:r>
    </w:p>
    <w:p>
      <w:pPr>
        <w:sectPr>
          <w:pgSz w:w="11900" w:h="16838" w:orient="portrait"/>
          <w:cols w:equalWidth="0" w:num="1">
            <w:col w:w="11240"/>
          </w:cols>
          <w:pgMar w:left="320" w:top="147" w:right="339" w:bottom="1440" w:gutter="0" w:footer="0" w:header="0"/>
        </w:sectPr>
      </w:pPr>
    </w:p>
    <w:bookmarkStart w:id="50" w:name="page51"/>
    <w:bookmarkEnd w:id="50"/>
    <w:p>
      <w:pPr>
        <w:spacing w:after="0" w:line="42" w:lineRule="exact"/>
        <w:rPr>
          <w:sz w:val="20"/>
          <w:szCs w:val="20"/>
          <w:color w:val="auto"/>
        </w:rPr>
      </w:pPr>
    </w:p>
    <w:p>
      <w:pPr>
        <w:ind w:left="320" w:right="160"/>
        <w:spacing w:after="0" w:line="292" w:lineRule="auto"/>
        <w:rPr>
          <w:sz w:val="20"/>
          <w:szCs w:val="20"/>
          <w:color w:val="auto"/>
        </w:rPr>
      </w:pPr>
      <w:r>
        <w:rPr>
          <w:rFonts w:ascii="Arial" w:cs="Arial" w:eastAsia="Arial" w:hAnsi="Arial"/>
          <w:sz w:val="19"/>
          <w:szCs w:val="19"/>
          <w:color w:val="auto"/>
        </w:rPr>
        <w:t>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1(g) are satisfied will be made by the Committee, as constituted immediately prior to the Change of Control, in its sole discretion.</w:t>
      </w:r>
    </w:p>
    <w:p>
      <w:pPr>
        <w:spacing w:after="0" w:line="2" w:lineRule="exact"/>
        <w:rPr>
          <w:sz w:val="20"/>
          <w:szCs w:val="20"/>
          <w:color w:val="auto"/>
        </w:rPr>
      </w:pPr>
    </w:p>
    <w:p>
      <w:pPr>
        <w:ind w:left="320" w:hanging="320"/>
        <w:spacing w:after="0" w:line="290" w:lineRule="auto"/>
        <w:tabs>
          <w:tab w:leader="none" w:pos="311"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Restrictive Covenant Obligations</w:t>
      </w:r>
      <w:r>
        <w:rPr>
          <w:rFonts w:ascii="Arial" w:cs="Arial" w:eastAsia="Arial" w:hAnsi="Arial"/>
          <w:sz w:val="19"/>
          <w:szCs w:val="19"/>
          <w:color w:val="auto"/>
        </w:rPr>
        <w:t>” means, collectively, the Employment Agreement Covenants (as defined in Section 13) and the requirement that, upon Retirement, Grantee must not: (i) either directly or indirectly, whether as a director, officer, consultant, employee or advisor or in any other capacity, render any services to any company, business, agency, partnership or entity engaged in a business competitive with the Company or its Subsidiaries (“</w:t>
      </w:r>
      <w:r>
        <w:rPr>
          <w:rFonts w:ascii="Arial" w:cs="Arial" w:eastAsia="Arial" w:hAnsi="Arial"/>
          <w:sz w:val="19"/>
          <w:szCs w:val="19"/>
          <w:u w:val="single" w:color="auto"/>
          <w:color w:val="auto"/>
        </w:rPr>
        <w:t>Restricted Busines</w:t>
      </w:r>
      <w:r>
        <w:rPr>
          <w:rFonts w:ascii="Arial" w:cs="Arial" w:eastAsia="Arial" w:hAnsi="Arial"/>
          <w:sz w:val="19"/>
          <w:szCs w:val="19"/>
          <w:color w:val="auto"/>
        </w:rPr>
        <w:t>s”) other than the Company or its Subsidiaries; (ii) directly or indirectly induce or attempt to influence any employee of the Company or its Subsidiaries to leave its employ; (iii) directly or indirectly induce or attempt to influence any customer, vendor, supplier, counterparty or consultant of the Company or its Subsidiaries to alter its relationship with the Company or its Subsidiaries; (iv) make or hold any investment in any Restricted Business other than the Company or its Subsidiaries, whether such investment be by way of loan, purchase of stock or other securities or otherwise, provided that there shall be excluded from the foregoing the ownership of not more than 2% of the listed or traded stock of any publicly held corporation; or (v) agree, commit, or otherwise reach an understanding in writing to do any of the foregoing.</w:t>
      </w:r>
    </w:p>
    <w:p>
      <w:pPr>
        <w:spacing w:after="0" w:line="4" w:lineRule="exact"/>
        <w:rPr>
          <w:rFonts w:ascii="Arial" w:cs="Arial" w:eastAsia="Arial" w:hAnsi="Arial"/>
          <w:sz w:val="19"/>
          <w:szCs w:val="19"/>
          <w:color w:val="auto"/>
        </w:rPr>
      </w:pPr>
    </w:p>
    <w:p>
      <w:pPr>
        <w:ind w:left="320" w:right="640" w:hanging="320"/>
        <w:spacing w:after="0" w:line="263" w:lineRule="auto"/>
        <w:tabs>
          <w:tab w:leader="none" w:pos="3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the termination of Grantee’s employment with the applicable employer after becoming Retirement Eligible.</w:t>
      </w:r>
    </w:p>
    <w:p>
      <w:pPr>
        <w:spacing w:after="0" w:line="12" w:lineRule="exact"/>
        <w:rPr>
          <w:rFonts w:ascii="Arial" w:cs="Arial" w:eastAsia="Arial" w:hAnsi="Arial"/>
          <w:sz w:val="22"/>
          <w:szCs w:val="22"/>
          <w:color w:val="auto"/>
        </w:rPr>
      </w:pPr>
    </w:p>
    <w:p>
      <w:pPr>
        <w:ind w:left="320" w:hanging="320"/>
        <w:spacing w:after="0" w:line="260" w:lineRule="auto"/>
        <w:tabs>
          <w:tab w:leader="none" w:pos="3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Retirement Conditions</w:t>
      </w:r>
      <w:r>
        <w:rPr>
          <w:rFonts w:ascii="Arial" w:cs="Arial" w:eastAsia="Arial" w:hAnsi="Arial"/>
          <w:sz w:val="21"/>
          <w:szCs w:val="21"/>
          <w:color w:val="auto"/>
        </w:rPr>
        <w:t>” means, upon Grantee’s Retirement: (i) Grantee must have fully complied with the Restrictive Covenant Obligations, as well as the terms and conditions of Grantee’s employment, including compliance with all of the Company’s policies and procedures; (ii) there must not be any circumstances that exist at the time of such Grantee’s Retirement that would give the Company grounds to terminate Grantee’s employment for “Cause” (as such term or similar term is defined in the Employment Agreement) as determined by the Committee in its sole discretion; (iii) within sixty (60) days following Grantee’s Retirement, Grantee must execute and not revoke a Release; and (iv) in the case of a voluntary termination of employment by Grantee, Grantee must have delivered written notice to the Committee or the Chief Executive Officer of the Company (other than for himself or herself) of his or her intent to retire from the Company at least ninety (90) days prior to the effective date of such Grantee’s Retirement (unless such notice period is waived by the Committee or the Chief Executive Officer (other than for himself or herself)).</w:t>
      </w:r>
    </w:p>
    <w:p>
      <w:pPr>
        <w:sectPr>
          <w:pgSz w:w="11900" w:h="16838" w:orient="portrait"/>
          <w:cols w:equalWidth="0" w:num="1">
            <w:col w:w="10260"/>
          </w:cols>
          <w:pgMar w:left="1300" w:top="1440" w:right="339" w:bottom="1440" w:gutter="0" w:footer="0" w:header="0"/>
        </w:sectPr>
      </w:pPr>
    </w:p>
    <w:bookmarkStart w:id="51" w:name="page52"/>
    <w:bookmarkEnd w:id="51"/>
    <w:p>
      <w:pPr>
        <w:spacing w:after="0" w:line="42" w:lineRule="exact"/>
        <w:rPr>
          <w:sz w:val="20"/>
          <w:szCs w:val="20"/>
          <w:color w:val="auto"/>
        </w:rPr>
      </w:pPr>
    </w:p>
    <w:p>
      <w:pPr>
        <w:ind w:left="968" w:hanging="320"/>
        <w:spacing w:after="0"/>
        <w:tabs>
          <w:tab w:leader="none" w:pos="968"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Eligible</w:t>
      </w:r>
      <w:r>
        <w:rPr>
          <w:rFonts w:ascii="Arial" w:cs="Arial" w:eastAsia="Arial" w:hAnsi="Arial"/>
          <w:sz w:val="22"/>
          <w:szCs w:val="22"/>
          <w:color w:val="auto"/>
        </w:rPr>
        <w:t>” has the meaning set forth in Section 5(c) below.</w:t>
      </w:r>
    </w:p>
    <w:p>
      <w:pPr>
        <w:spacing w:after="0" w:line="57" w:lineRule="exact"/>
        <w:rPr>
          <w:rFonts w:ascii="Arial" w:cs="Arial" w:eastAsia="Arial" w:hAnsi="Arial"/>
          <w:sz w:val="22"/>
          <w:szCs w:val="22"/>
          <w:color w:val="auto"/>
        </w:rPr>
      </w:pPr>
    </w:p>
    <w:p>
      <w:pPr>
        <w:ind w:left="968" w:hanging="320"/>
        <w:spacing w:after="0"/>
        <w:tabs>
          <w:tab w:leader="none" w:pos="968" w:val="left"/>
        </w:tabs>
        <w:numPr>
          <w:ilvl w:val="1"/>
          <w:numId w:val="43"/>
        </w:numPr>
        <w:rPr>
          <w:rFonts w:ascii="Arial" w:cs="Arial" w:eastAsia="Arial" w:hAnsi="Arial"/>
          <w:sz w:val="22"/>
          <w:szCs w:val="22"/>
          <w:color w:val="auto"/>
        </w:rPr>
      </w:pPr>
      <w:r>
        <w:rPr>
          <w:rFonts w:ascii="Arial" w:cs="Arial" w:eastAsia="Arial" w:hAnsi="Arial"/>
          <w:sz w:val="22"/>
          <w:szCs w:val="22"/>
          <w:color w:val="auto"/>
        </w:rPr>
        <w:t>T</w:t>
      </w:r>
      <w:r>
        <w:rPr>
          <w:rFonts w:ascii="Arial" w:cs="Arial" w:eastAsia="Arial" w:hAnsi="Arial"/>
          <w:sz w:val="22"/>
          <w:szCs w:val="22"/>
          <w:u w:val="single" w:color="auto"/>
          <w:color w:val="auto"/>
        </w:rPr>
        <w:t>ermination For Good Reason</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968" w:hanging="320"/>
        <w:spacing w:after="0"/>
        <w:tabs>
          <w:tab w:leader="none" w:pos="968"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has the meaning set forth in the Employment Agreement.</w:t>
      </w:r>
    </w:p>
    <w:p>
      <w:pPr>
        <w:spacing w:after="0" w:line="65" w:lineRule="exact"/>
        <w:rPr>
          <w:rFonts w:ascii="Arial" w:cs="Arial" w:eastAsia="Arial" w:hAnsi="Arial"/>
          <w:sz w:val="22"/>
          <w:szCs w:val="22"/>
          <w:color w:val="auto"/>
        </w:rPr>
      </w:pPr>
    </w:p>
    <w:p>
      <w:pPr>
        <w:ind w:left="328" w:hanging="328"/>
        <w:spacing w:after="0" w:line="252" w:lineRule="auto"/>
        <w:tabs>
          <w:tab w:leader="none" w:pos="319"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Grant of RSUs</w:t>
      </w:r>
      <w:r>
        <w:rPr>
          <w:rFonts w:ascii="Arial" w:cs="Arial" w:eastAsia="Arial" w:hAnsi="Arial"/>
          <w:sz w:val="22"/>
          <w:szCs w:val="22"/>
          <w:color w:val="auto"/>
        </w:rPr>
        <w:t>. Subject to and upon the terms, conditions and restrictions set forth in this Agreement and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hereby grants to Grantee </w:t>
      </w:r>
      <w:r>
        <w:rPr>
          <w:rFonts w:ascii="Arial" w:cs="Arial" w:eastAsia="Arial" w:hAnsi="Arial"/>
          <w:sz w:val="22"/>
          <w:szCs w:val="22"/>
          <w:b w:val="1"/>
          <w:bCs w:val="1"/>
          <w:color w:val="auto"/>
        </w:rPr>
        <w:t>[_____]</w:t>
      </w:r>
      <w:r>
        <w:rPr>
          <w:rFonts w:ascii="Arial" w:cs="Arial" w:eastAsia="Arial" w:hAnsi="Arial"/>
          <w:sz w:val="22"/>
          <w:szCs w:val="22"/>
          <w:color w:val="auto"/>
        </w:rPr>
        <w:t xml:space="preserve">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Each RSU shall represent the right of Grantee to receive one share of Common stock of the Company as defined in Section 2(i) of the Plan (“</w:t>
      </w:r>
      <w:r>
        <w:rPr>
          <w:rFonts w:ascii="Arial" w:cs="Arial" w:eastAsia="Arial" w:hAnsi="Arial"/>
          <w:sz w:val="22"/>
          <w:szCs w:val="22"/>
          <w:u w:val="single" w:color="auto"/>
          <w:color w:val="auto"/>
        </w:rPr>
        <w:t>Common Stock</w:t>
      </w:r>
      <w:r>
        <w:rPr>
          <w:rFonts w:ascii="Arial" w:cs="Arial" w:eastAsia="Arial" w:hAnsi="Arial"/>
          <w:sz w:val="22"/>
          <w:szCs w:val="22"/>
          <w:color w:val="auto"/>
        </w:rPr>
        <w:t>”) subject to and upon the terms and conditions of this Agreement.</w:t>
      </w:r>
    </w:p>
    <w:p>
      <w:pPr>
        <w:spacing w:after="0" w:line="17" w:lineRule="exact"/>
        <w:rPr>
          <w:rFonts w:ascii="Arial" w:cs="Arial" w:eastAsia="Arial" w:hAnsi="Arial"/>
          <w:sz w:val="22"/>
          <w:szCs w:val="22"/>
          <w:color w:val="auto"/>
        </w:rPr>
      </w:pPr>
    </w:p>
    <w:p>
      <w:pPr>
        <w:ind w:left="328" w:right="380" w:hanging="328"/>
        <w:spacing w:after="0" w:line="262" w:lineRule="auto"/>
        <w:tabs>
          <w:tab w:leader="none" w:pos="319"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8" w:lineRule="exact"/>
        <w:rPr>
          <w:rFonts w:ascii="Arial" w:cs="Arial" w:eastAsia="Arial" w:hAnsi="Arial"/>
          <w:sz w:val="22"/>
          <w:szCs w:val="22"/>
          <w:color w:val="auto"/>
        </w:rPr>
      </w:pPr>
    </w:p>
    <w:p>
      <w:pPr>
        <w:jc w:val="both"/>
        <w:ind w:left="328" w:hanging="328"/>
        <w:spacing w:after="0" w:line="252" w:lineRule="auto"/>
        <w:tabs>
          <w:tab w:leader="none" w:pos="319"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pursuant to Section 7</w:t>
      </w:r>
      <w:r>
        <w:rPr>
          <w:rFonts w:ascii="Arial" w:cs="Arial" w:eastAsia="Arial" w:hAnsi="Arial"/>
          <w:sz w:val="22"/>
          <w:szCs w:val="22"/>
          <w:b w:val="1"/>
          <w:bCs w:val="1"/>
          <w:color w:val="auto"/>
        </w:rPr>
        <w:t xml:space="preserve"> </w:t>
      </w:r>
      <w:r>
        <w:rPr>
          <w:rFonts w:ascii="Arial" w:cs="Arial" w:eastAsia="Arial" w:hAnsi="Arial"/>
          <w:sz w:val="22"/>
          <w:szCs w:val="22"/>
          <w:color w:val="auto"/>
        </w:rPr>
        <w:t>hereof with respect to one-third (1/3) of the RSUs granted pursuant to this Agreement on each of [ ], [ ] and [ ] (each such date, an “</w:t>
      </w:r>
      <w:r>
        <w:rPr>
          <w:rFonts w:ascii="Arial" w:cs="Arial" w:eastAsia="Arial" w:hAnsi="Arial"/>
          <w:sz w:val="22"/>
          <w:szCs w:val="22"/>
          <w:u w:val="single" w:color="auto"/>
          <w:color w:val="auto"/>
        </w:rPr>
        <w:t>Applicable Vesting Date</w:t>
      </w:r>
      <w:r>
        <w:rPr>
          <w:rFonts w:ascii="Arial" w:cs="Arial" w:eastAsia="Arial" w:hAnsi="Arial"/>
          <w:sz w:val="22"/>
          <w:szCs w:val="22"/>
          <w:color w:val="auto"/>
        </w:rPr>
        <w:t>”) if Grantee remains continuously employed by the Company or any of its Subsidiaries (or any of their successors) as of each such date.</w:t>
      </w:r>
    </w:p>
    <w:p>
      <w:pPr>
        <w:spacing w:after="0" w:line="31" w:lineRule="exact"/>
        <w:rPr>
          <w:rFonts w:ascii="Arial" w:cs="Arial" w:eastAsia="Arial" w:hAnsi="Arial"/>
          <w:sz w:val="22"/>
          <w:szCs w:val="22"/>
          <w:color w:val="auto"/>
        </w:rPr>
      </w:pPr>
    </w:p>
    <w:p>
      <w:pPr>
        <w:ind w:left="328" w:right="160" w:hanging="328"/>
        <w:spacing w:after="0" w:line="298" w:lineRule="auto"/>
        <w:tabs>
          <w:tab w:leader="none" w:pos="319"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Accelerated Vesting</w:t>
      </w:r>
      <w:r>
        <w:rPr>
          <w:rFonts w:ascii="Arial" w:cs="Arial" w:eastAsia="Arial" w:hAnsi="Arial"/>
          <w:sz w:val="19"/>
          <w:szCs w:val="19"/>
          <w:color w:val="auto"/>
        </w:rPr>
        <w:t>. Notwithstanding the provisions of Section 4 hereof, all or a portion of the RSUs covered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that have not already vested and become nonforfeitable pursuant to Section 4 hereof will become nonforfeitable and payable to Grantee pursuant to Section 7 hereof earlier than the time provided in Section 4 hereof (to the extent provided below) upon the occurrence of the earliest of any of the following events:</w:t>
      </w:r>
    </w:p>
    <w:p>
      <w:pPr>
        <w:ind w:left="968" w:right="220" w:hanging="320"/>
        <w:spacing w:after="0" w:line="300" w:lineRule="auto"/>
        <w:tabs>
          <w:tab w:leader="none" w:pos="959" w:val="left"/>
        </w:tabs>
        <w:numPr>
          <w:ilvl w:val="1"/>
          <w:numId w:val="44"/>
        </w:numPr>
        <w:rPr>
          <w:rFonts w:ascii="Arial" w:cs="Arial" w:eastAsia="Arial" w:hAnsi="Arial"/>
          <w:sz w:val="19"/>
          <w:szCs w:val="19"/>
          <w:color w:val="auto"/>
        </w:rPr>
      </w:pPr>
      <w:r>
        <w:rPr>
          <w:rFonts w:ascii="Arial" w:cs="Arial" w:eastAsia="Arial" w:hAnsi="Arial"/>
          <w:sz w:val="19"/>
          <w:szCs w:val="19"/>
          <w:color w:val="auto"/>
        </w:rPr>
        <w:t>While Grantee is continuously employed by the Company or any of its Subsidiaries (or any of their successors), Grantee’s employment with the Company or any of its Subsidiaries (or any of their successors) terminates as a result of: (i) Grantee’s death, (ii) Grantee’s Disability (pursuant to subparagraph 5(b)(ii) of the Employment Agreement), (iii) a Termination Without Cause or (iv) a Termination For Good Reason.</w:t>
      </w:r>
    </w:p>
    <w:p>
      <w:pPr>
        <w:spacing w:after="0" w:line="1" w:lineRule="exact"/>
        <w:rPr>
          <w:rFonts w:ascii="Arial" w:cs="Arial" w:eastAsia="Arial" w:hAnsi="Arial"/>
          <w:sz w:val="19"/>
          <w:szCs w:val="19"/>
          <w:color w:val="auto"/>
        </w:rPr>
      </w:pPr>
    </w:p>
    <w:p>
      <w:pPr>
        <w:ind w:left="968" w:right="60" w:hanging="320"/>
        <w:spacing w:after="0" w:line="259" w:lineRule="auto"/>
        <w:tabs>
          <w:tab w:leader="none" w:pos="959" w:val="left"/>
        </w:tabs>
        <w:numPr>
          <w:ilvl w:val="1"/>
          <w:numId w:val="44"/>
        </w:numPr>
        <w:rPr>
          <w:rFonts w:ascii="Arial" w:cs="Arial" w:eastAsia="Arial" w:hAnsi="Arial"/>
          <w:sz w:val="22"/>
          <w:szCs w:val="22"/>
          <w:color w:val="auto"/>
        </w:rPr>
      </w:pPr>
      <w:r>
        <w:rPr>
          <w:rFonts w:ascii="Arial" w:cs="Arial" w:eastAsia="Arial" w:hAnsi="Arial"/>
          <w:sz w:val="22"/>
          <w:szCs w:val="22"/>
          <w:color w:val="auto"/>
        </w:rPr>
        <w:t>While Grantee is continuously employed by the Company or any of its Subsidiaries (or any of their successors), a Change of Control occurs and a Replacement Award is not provided to Grantee on the date of such Change of Control.</w:t>
      </w:r>
    </w:p>
    <w:p>
      <w:pPr>
        <w:spacing w:after="0" w:line="18" w:lineRule="exact"/>
        <w:rPr>
          <w:rFonts w:ascii="Arial" w:cs="Arial" w:eastAsia="Arial" w:hAnsi="Arial"/>
          <w:sz w:val="22"/>
          <w:szCs w:val="22"/>
          <w:color w:val="auto"/>
        </w:rPr>
      </w:pPr>
    </w:p>
    <w:p>
      <w:pPr>
        <w:ind w:left="968" w:right="120" w:hanging="320"/>
        <w:spacing w:after="0" w:line="297" w:lineRule="auto"/>
        <w:tabs>
          <w:tab w:leader="none" w:pos="960" w:val="left"/>
        </w:tabs>
        <w:numPr>
          <w:ilvl w:val="1"/>
          <w:numId w:val="44"/>
        </w:numPr>
        <w:rPr>
          <w:rFonts w:ascii="Arial" w:cs="Arial" w:eastAsia="Arial" w:hAnsi="Arial"/>
          <w:sz w:val="19"/>
          <w:szCs w:val="19"/>
          <w:color w:val="auto"/>
        </w:rPr>
      </w:pPr>
      <w:r>
        <w:rPr>
          <w:rFonts w:ascii="Arial" w:cs="Arial" w:eastAsia="Arial" w:hAnsi="Arial"/>
          <w:sz w:val="19"/>
          <w:szCs w:val="19"/>
          <w:color w:val="auto"/>
        </w:rPr>
        <w:t>Subject to the remainder of this Section 5(c) and Grantee’s compliance with the Retirement Conditions, if, on or after January 1, 2026, Grantee has: (i) attained the age of 65 and completed at least three (3) years of Continuous Retirement Service; (ii) attained the age of 55 and completed at least three (3) years of Continuous Retirement Service, and the sum of Grantee’s age (rounded down to the nearest whole year) and years of Continuous Retirement Service is equal to or greater than 70; or (iii) completed at least twenty (20) years of Continuous Retirement Service (any of the circumstances described in clauses (i), (ii), or (iii)</w:t>
      </w:r>
    </w:p>
    <w:p>
      <w:pPr>
        <w:sectPr>
          <w:pgSz w:w="11900" w:h="16838" w:orient="portrait"/>
          <w:cols w:equalWidth="0" w:num="1">
            <w:col w:w="10848"/>
          </w:cols>
          <w:pgMar w:left="652" w:top="1440" w:right="399" w:bottom="1440" w:gutter="0" w:footer="0" w:header="0"/>
        </w:sectPr>
      </w:pPr>
    </w:p>
    <w:bookmarkStart w:id="52" w:name="page53"/>
    <w:bookmarkEnd w:id="52"/>
    <w:p>
      <w:pPr>
        <w:spacing w:after="0" w:line="42" w:lineRule="exact"/>
        <w:rPr>
          <w:sz w:val="20"/>
          <w:szCs w:val="20"/>
          <w:color w:val="auto"/>
        </w:rPr>
      </w:pPr>
    </w:p>
    <w:p>
      <w:pPr>
        <w:ind w:left="968" w:right="120"/>
        <w:spacing w:after="0" w:line="308" w:lineRule="auto"/>
        <w:rPr>
          <w:sz w:val="20"/>
          <w:szCs w:val="20"/>
          <w:color w:val="auto"/>
        </w:rPr>
      </w:pPr>
      <w:r>
        <w:rPr>
          <w:rFonts w:ascii="Arial" w:cs="Arial" w:eastAsia="Arial" w:hAnsi="Arial"/>
          <w:sz w:val="19"/>
          <w:szCs w:val="19"/>
          <w:color w:val="auto"/>
        </w:rPr>
        <w:t>of this Section 5(c) referred to as becoming “</w:t>
      </w:r>
      <w:r>
        <w:rPr>
          <w:rFonts w:ascii="Arial" w:cs="Arial" w:eastAsia="Arial" w:hAnsi="Arial"/>
          <w:sz w:val="19"/>
          <w:szCs w:val="19"/>
          <w:u w:val="single" w:color="auto"/>
          <w:color w:val="auto"/>
        </w:rPr>
        <w:t>Retirement Eligible</w:t>
      </w:r>
      <w:r>
        <w:rPr>
          <w:rFonts w:ascii="Arial" w:cs="Arial" w:eastAsia="Arial" w:hAnsi="Arial"/>
          <w:sz w:val="19"/>
          <w:szCs w:val="19"/>
          <w:color w:val="auto"/>
        </w:rPr>
        <w:t>”), Grantee’s RSUs that have not yet vested shall fully vest and become nonforfeitable and payable to Grantee on the date of Grantee’s Retirement.</w:t>
      </w:r>
    </w:p>
    <w:p>
      <w:pPr>
        <w:ind w:left="328" w:right="140" w:hanging="328"/>
        <w:spacing w:after="0" w:line="253" w:lineRule="auto"/>
        <w:tabs>
          <w:tab w:leader="none" w:pos="319"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Except to the extent the RSUs covered by this Agreement have become nonforfeitable pursuant to 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or 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16" w:lineRule="exact"/>
        <w:rPr>
          <w:rFonts w:ascii="Arial" w:cs="Arial" w:eastAsia="Arial" w:hAnsi="Arial"/>
          <w:sz w:val="22"/>
          <w:szCs w:val="22"/>
          <w:color w:val="auto"/>
        </w:rPr>
      </w:pPr>
    </w:p>
    <w:p>
      <w:pPr>
        <w:ind w:left="308" w:hanging="308"/>
        <w:spacing w:after="0"/>
        <w:tabs>
          <w:tab w:leader="none" w:pos="308"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pacing w:after="0" w:line="77" w:lineRule="exact"/>
        <w:rPr>
          <w:rFonts w:ascii="Arial" w:cs="Arial" w:eastAsia="Arial" w:hAnsi="Arial"/>
          <w:sz w:val="22"/>
          <w:szCs w:val="22"/>
          <w:color w:val="auto"/>
        </w:rPr>
      </w:pPr>
    </w:p>
    <w:p>
      <w:pPr>
        <w:ind w:left="968" w:hanging="320"/>
        <w:spacing w:after="0" w:line="293" w:lineRule="auto"/>
        <w:tabs>
          <w:tab w:leader="none" w:pos="959"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9"/>
          <w:szCs w:val="19"/>
          <w:color w:val="auto"/>
        </w:rPr>
      </w:pPr>
    </w:p>
    <w:p>
      <w:pPr>
        <w:ind w:left="968" w:hanging="320"/>
        <w:spacing w:after="0"/>
        <w:tabs>
          <w:tab w:leader="none" w:pos="968"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1628" w:hanging="440"/>
        <w:spacing w:after="0" w:line="253" w:lineRule="auto"/>
        <w:tabs>
          <w:tab w:leader="none" w:pos="1628" w:val="left"/>
        </w:tabs>
        <w:numPr>
          <w:ilvl w:val="2"/>
          <w:numId w:val="45"/>
        </w:numPr>
        <w:rPr>
          <w:rFonts w:ascii="Arial" w:cs="Arial" w:eastAsia="Arial" w:hAnsi="Arial"/>
          <w:sz w:val="22"/>
          <w:szCs w:val="22"/>
          <w:color w:val="auto"/>
        </w:rPr>
      </w:pPr>
      <w:r>
        <w:rPr>
          <w:rFonts w:ascii="Arial" w:cs="Arial" w:eastAsia="Arial" w:hAnsi="Arial"/>
          <w:sz w:val="22"/>
          <w:szCs w:val="22"/>
          <w:u w:val="single" w:color="auto"/>
          <w:color w:val="auto"/>
        </w:rPr>
        <w:t>Normal Payment Timing</w:t>
      </w:r>
      <w:r>
        <w:rPr>
          <w:rFonts w:ascii="Arial" w:cs="Arial" w:eastAsia="Arial" w:hAnsi="Arial"/>
          <w:sz w:val="22"/>
          <w:szCs w:val="22"/>
          <w:color w:val="auto"/>
        </w:rPr>
        <w:t>. RSUs that become payable to Grantee and that do not constitute “nonqualified deferred compensation” subject to Section 409A of the Code (assuming the timing of payment as described in Sections 7(b)(i)(A)-7(b)(i)(D) below) shall be paid as follows:</w:t>
      </w:r>
    </w:p>
    <w:p>
      <w:pPr>
        <w:spacing w:after="0" w:line="23" w:lineRule="exact"/>
        <w:rPr>
          <w:rFonts w:ascii="Arial" w:cs="Arial" w:eastAsia="Arial" w:hAnsi="Arial"/>
          <w:sz w:val="22"/>
          <w:szCs w:val="22"/>
          <w:color w:val="auto"/>
        </w:rPr>
      </w:pPr>
    </w:p>
    <w:p>
      <w:pPr>
        <w:ind w:left="2268" w:right="340" w:hanging="324"/>
        <w:spacing w:after="0" w:line="263" w:lineRule="auto"/>
        <w:tabs>
          <w:tab w:leader="none" w:pos="2262" w:val="left"/>
        </w:tabs>
        <w:numPr>
          <w:ilvl w:val="3"/>
          <w:numId w:val="45"/>
        </w:numPr>
        <w:rPr>
          <w:rFonts w:ascii="Arial" w:cs="Arial" w:eastAsia="Arial" w:hAnsi="Arial"/>
          <w:sz w:val="22"/>
          <w:szCs w:val="22"/>
          <w:color w:val="auto"/>
        </w:rPr>
      </w:pPr>
      <w:r>
        <w:rPr>
          <w:rFonts w:ascii="Arial" w:cs="Arial" w:eastAsia="Arial" w:hAnsi="Arial"/>
          <w:sz w:val="22"/>
          <w:szCs w:val="22"/>
          <w:color w:val="auto"/>
        </w:rPr>
        <w:t>RSUs that become nonforfeitable pursuant to Section 4 hereof shall be paid within ten (10) days following the date on which such RSUs become nonforfeitable.</w:t>
      </w:r>
    </w:p>
    <w:p>
      <w:pPr>
        <w:spacing w:after="0" w:line="26" w:lineRule="exact"/>
        <w:rPr>
          <w:rFonts w:ascii="Arial" w:cs="Arial" w:eastAsia="Arial" w:hAnsi="Arial"/>
          <w:sz w:val="22"/>
          <w:szCs w:val="22"/>
          <w:color w:val="auto"/>
        </w:rPr>
      </w:pPr>
    </w:p>
    <w:p>
      <w:pPr>
        <w:ind w:left="2268" w:right="220" w:hanging="324"/>
        <w:spacing w:after="0" w:line="301" w:lineRule="auto"/>
        <w:tabs>
          <w:tab w:leader="none" w:pos="2264" w:val="left"/>
        </w:tabs>
        <w:numPr>
          <w:ilvl w:val="3"/>
          <w:numId w:val="45"/>
        </w:numPr>
        <w:rPr>
          <w:rFonts w:ascii="Arial" w:cs="Arial" w:eastAsia="Arial" w:hAnsi="Arial"/>
          <w:sz w:val="19"/>
          <w:szCs w:val="19"/>
          <w:color w:val="auto"/>
        </w:rPr>
      </w:pPr>
      <w:r>
        <w:rPr>
          <w:rFonts w:ascii="Arial" w:cs="Arial" w:eastAsia="Arial" w:hAnsi="Arial"/>
          <w:sz w:val="19"/>
          <w:szCs w:val="19"/>
          <w:color w:val="auto"/>
        </w:rPr>
        <w:t>RSUs that become nonforfeitable pursuant to Section 5(a) hereof shall be paid on the first payroll date following the 60th day after such termination of employment; provided that Grantee (or, if applicable, his estate) shall have first executed and not revoked the Release.</w:t>
      </w:r>
    </w:p>
    <w:p>
      <w:pPr>
        <w:spacing w:after="0" w:line="1" w:lineRule="exact"/>
        <w:rPr>
          <w:rFonts w:ascii="Arial" w:cs="Arial" w:eastAsia="Arial" w:hAnsi="Arial"/>
          <w:sz w:val="19"/>
          <w:szCs w:val="19"/>
          <w:color w:val="auto"/>
        </w:rPr>
      </w:pPr>
    </w:p>
    <w:p>
      <w:pPr>
        <w:ind w:left="2268" w:right="80" w:hanging="324"/>
        <w:spacing w:after="0" w:line="263" w:lineRule="auto"/>
        <w:tabs>
          <w:tab w:leader="none" w:pos="2264" w:val="left"/>
        </w:tabs>
        <w:numPr>
          <w:ilvl w:val="3"/>
          <w:numId w:val="45"/>
        </w:numPr>
        <w:rPr>
          <w:rFonts w:ascii="Arial" w:cs="Arial" w:eastAsia="Arial" w:hAnsi="Arial"/>
          <w:sz w:val="22"/>
          <w:szCs w:val="22"/>
          <w:color w:val="auto"/>
        </w:rPr>
      </w:pPr>
      <w:r>
        <w:rPr>
          <w:rFonts w:ascii="Arial" w:cs="Arial" w:eastAsia="Arial" w:hAnsi="Arial"/>
          <w:sz w:val="22"/>
          <w:szCs w:val="22"/>
          <w:color w:val="auto"/>
        </w:rPr>
        <w:t>RSUs that become nonforfeitable pursuant to Section 5(b) shall be paid on the date of such Change of Control.</w:t>
      </w:r>
    </w:p>
    <w:p>
      <w:pPr>
        <w:spacing w:after="0" w:line="26" w:lineRule="exact"/>
        <w:rPr>
          <w:rFonts w:ascii="Arial" w:cs="Arial" w:eastAsia="Arial" w:hAnsi="Arial"/>
          <w:sz w:val="22"/>
          <w:szCs w:val="22"/>
          <w:color w:val="auto"/>
        </w:rPr>
      </w:pPr>
    </w:p>
    <w:p>
      <w:pPr>
        <w:ind w:left="2268" w:right="180" w:hanging="324"/>
        <w:spacing w:after="0" w:line="265" w:lineRule="auto"/>
        <w:tabs>
          <w:tab w:leader="none" w:pos="2262" w:val="left"/>
        </w:tabs>
        <w:numPr>
          <w:ilvl w:val="3"/>
          <w:numId w:val="45"/>
        </w:numPr>
        <w:rPr>
          <w:rFonts w:ascii="Arial" w:cs="Arial" w:eastAsia="Arial" w:hAnsi="Arial"/>
          <w:sz w:val="21"/>
          <w:szCs w:val="21"/>
          <w:color w:val="auto"/>
        </w:rPr>
      </w:pPr>
      <w:r>
        <w:rPr>
          <w:rFonts w:ascii="Arial" w:cs="Arial" w:eastAsia="Arial" w:hAnsi="Arial"/>
          <w:sz w:val="21"/>
          <w:szCs w:val="21"/>
          <w:color w:val="auto"/>
        </w:rPr>
        <w:t>RSUs that become nonforfeitable pursuant to Section 5(c) shall be paid on the first payroll date following the 60th day after Grantee’s Retirement; provided that Grantee shall have first executed and not revoked the Release; provided further, that Grantee has complied with the Restrictive Covenant Obligations until the date of payment of such RSUs.</w:t>
      </w:r>
    </w:p>
    <w:p>
      <w:pPr>
        <w:spacing w:after="0" w:line="13" w:lineRule="exact"/>
        <w:rPr>
          <w:rFonts w:ascii="Arial" w:cs="Arial" w:eastAsia="Arial" w:hAnsi="Arial"/>
          <w:sz w:val="21"/>
          <w:szCs w:val="21"/>
          <w:color w:val="auto"/>
        </w:rPr>
      </w:pPr>
    </w:p>
    <w:p>
      <w:pPr>
        <w:ind w:left="2268" w:hanging="324"/>
        <w:spacing w:after="0"/>
        <w:tabs>
          <w:tab w:leader="none" w:pos="2268" w:val="left"/>
        </w:tabs>
        <w:numPr>
          <w:ilvl w:val="3"/>
          <w:numId w:val="45"/>
        </w:numPr>
        <w:rPr>
          <w:rFonts w:ascii="Arial" w:cs="Arial" w:eastAsia="Arial" w:hAnsi="Arial"/>
          <w:sz w:val="19"/>
          <w:szCs w:val="19"/>
          <w:color w:val="auto"/>
        </w:rPr>
      </w:pPr>
      <w:r>
        <w:rPr>
          <w:rFonts w:ascii="Arial" w:cs="Arial" w:eastAsia="Arial" w:hAnsi="Arial"/>
          <w:sz w:val="19"/>
          <w:szCs w:val="19"/>
          <w:color w:val="auto"/>
        </w:rPr>
        <w:t>Notwithstanding the foregoing, any and all RSUs that become payable pursuant to this Section 7(b)</w:t>
      </w:r>
    </w:p>
    <w:p>
      <w:pPr>
        <w:spacing w:after="0" w:line="55" w:lineRule="exact"/>
        <w:rPr>
          <w:rFonts w:ascii="Arial" w:cs="Arial" w:eastAsia="Arial" w:hAnsi="Arial"/>
          <w:sz w:val="19"/>
          <w:szCs w:val="19"/>
          <w:color w:val="auto"/>
        </w:rPr>
      </w:pPr>
    </w:p>
    <w:p>
      <w:pPr>
        <w:ind w:left="2268" w:right="260"/>
        <w:spacing w:after="0" w:line="259" w:lineRule="auto"/>
        <w:rPr>
          <w:rFonts w:ascii="Arial" w:cs="Arial" w:eastAsia="Arial" w:hAnsi="Arial"/>
          <w:sz w:val="19"/>
          <w:szCs w:val="19"/>
          <w:color w:val="auto"/>
        </w:rPr>
      </w:pPr>
      <w:r>
        <w:rPr>
          <w:rFonts w:ascii="Arial" w:cs="Arial" w:eastAsia="Arial" w:hAnsi="Arial"/>
          <w:sz w:val="22"/>
          <w:szCs w:val="22"/>
          <w:color w:val="auto"/>
        </w:rPr>
        <w:t>(i) shall be paid to Grantee within the short-term deferral period specified in Treasury Regulation §1.409A-1(b)(4).</w:t>
      </w:r>
    </w:p>
    <w:p>
      <w:pPr>
        <w:sectPr>
          <w:pgSz w:w="11900" w:h="16838" w:orient="portrait"/>
          <w:cols w:equalWidth="0" w:num="1">
            <w:col w:w="10908"/>
          </w:cols>
          <w:pgMar w:left="652" w:top="1440" w:right="339" w:bottom="1440" w:gutter="0" w:footer="0" w:header="0"/>
        </w:sectPr>
      </w:pPr>
    </w:p>
    <w:bookmarkStart w:id="53" w:name="page54"/>
    <w:bookmarkEnd w:id="53"/>
    <w:p>
      <w:pPr>
        <w:spacing w:after="0" w:line="42" w:lineRule="exact"/>
        <w:rPr>
          <w:sz w:val="20"/>
          <w:szCs w:val="20"/>
          <w:color w:val="auto"/>
        </w:rPr>
      </w:pPr>
    </w:p>
    <w:p>
      <w:pPr>
        <w:ind w:left="1960" w:right="40" w:hanging="488"/>
        <w:spacing w:after="0" w:line="292" w:lineRule="auto"/>
        <w:tabs>
          <w:tab w:leader="none" w:pos="201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Nonqualified Deferred Compensation Payment Timing</w:t>
      </w:r>
      <w:r>
        <w:rPr>
          <w:rFonts w:ascii="Arial" w:cs="Arial" w:eastAsia="Arial" w:hAnsi="Arial"/>
          <w:sz w:val="19"/>
          <w:szCs w:val="19"/>
          <w:color w:val="auto"/>
        </w:rPr>
        <w:t>. Notwithstanding Section 7(b)(i), if and to the extent any of the RSUs that become payable to Grantee constitute “nonqualified deferred compensation” subject to Section 409A of the Code (i.e., such RSUs are not covered by Section 7(b)(i) above), to the extent the RSUs are not subject to a “substantial risk of forfeiture” (within the meaning of Section 409A of the Code), such RSUs to the extent vested on such date or event (whether vested by virtue of such date, event or otherwise) shall be paid on the earliest to occur of the following events in a manner and to the extent necessary to comply with Section 409A of the Code:</w:t>
      </w:r>
    </w:p>
    <w:p>
      <w:pPr>
        <w:spacing w:after="0" w:line="2" w:lineRule="exact"/>
        <w:rPr>
          <w:rFonts w:ascii="Arial" w:cs="Arial" w:eastAsia="Arial" w:hAnsi="Arial"/>
          <w:sz w:val="19"/>
          <w:szCs w:val="19"/>
          <w:color w:val="auto"/>
        </w:rPr>
      </w:pPr>
    </w:p>
    <w:p>
      <w:pPr>
        <w:ind w:left="2600" w:hanging="324"/>
        <w:spacing w:after="0"/>
        <w:tabs>
          <w:tab w:leader="none" w:pos="26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Applicable Vesting Date, with payment to be made within 10 days following such date;</w:t>
      </w:r>
    </w:p>
    <w:p>
      <w:pPr>
        <w:spacing w:after="0" w:line="82" w:lineRule="exact"/>
        <w:rPr>
          <w:rFonts w:ascii="Arial" w:cs="Arial" w:eastAsia="Arial" w:hAnsi="Arial"/>
          <w:sz w:val="21"/>
          <w:szCs w:val="21"/>
          <w:color w:val="auto"/>
        </w:rPr>
      </w:pPr>
    </w:p>
    <w:p>
      <w:pPr>
        <w:ind w:left="2600" w:right="40" w:hanging="324"/>
        <w:spacing w:after="0" w:line="285" w:lineRule="auto"/>
        <w:tabs>
          <w:tab w:leader="none" w:pos="2596"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date that Grantee experiences a “separation from service” within the meaning of Section 409A(a)(2)(A)(i) of Code (including by reason of Grantee’s Retirement), with payment to be made on the first payroll date following the 60th day after such date; provided, however, that: (1) Grantee shall have first executed and not revoked a Release during such 60-day period in the event that the RSUs became nonforfeitable and payable pursuant to Section 5(a) or 5(c) above; (2) Grantee shall have complied with all Retirement Conditions through such date in the event that the RSUs became nonforfeitable and payable pursuant to Section 5(c); and (3) if Grantee is a “specified employee” as determined pursuant to procedures adopted by the Company in compliance with Section 409A of the Code, then payment for the RSUs shall be made on the earlier of the first day of the seventh month after the date of Grantee’s “separation from service” within the meaning of Section 409A(a)</w:t>
      </w:r>
    </w:p>
    <w:p>
      <w:pPr>
        <w:spacing w:after="0" w:line="1" w:lineRule="exact"/>
        <w:rPr>
          <w:rFonts w:ascii="Arial" w:cs="Arial" w:eastAsia="Arial" w:hAnsi="Arial"/>
          <w:sz w:val="19"/>
          <w:szCs w:val="19"/>
          <w:color w:val="auto"/>
        </w:rPr>
      </w:pPr>
    </w:p>
    <w:p>
      <w:pPr>
        <w:ind w:left="2600"/>
        <w:spacing w:after="0"/>
        <w:rPr>
          <w:rFonts w:ascii="Arial" w:cs="Arial" w:eastAsia="Arial" w:hAnsi="Arial"/>
          <w:sz w:val="19"/>
          <w:szCs w:val="19"/>
          <w:color w:val="auto"/>
        </w:rPr>
      </w:pPr>
      <w:r>
        <w:rPr>
          <w:rFonts w:ascii="Arial" w:cs="Arial" w:eastAsia="Arial" w:hAnsi="Arial"/>
          <w:sz w:val="22"/>
          <w:szCs w:val="22"/>
          <w:color w:val="auto"/>
        </w:rPr>
        <w:t>(2)(A)(i) of the Code or the Grantee’s death;</w:t>
      </w:r>
    </w:p>
    <w:p>
      <w:pPr>
        <w:spacing w:after="0" w:line="53" w:lineRule="exact"/>
        <w:rPr>
          <w:rFonts w:ascii="Arial" w:cs="Arial" w:eastAsia="Arial" w:hAnsi="Arial"/>
          <w:sz w:val="19"/>
          <w:szCs w:val="19"/>
          <w:color w:val="auto"/>
        </w:rPr>
      </w:pPr>
    </w:p>
    <w:p>
      <w:pPr>
        <w:ind w:left="2600" w:hanging="324"/>
        <w:spacing w:after="0" w:line="265" w:lineRule="auto"/>
        <w:tabs>
          <w:tab w:leader="none" w:pos="2596"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date of a Change of Control that constitutes a “change in ownership,” a “change in effective control,” or a “change in the ownership of a substantial portion of the assets” of the Company under Section 409A(a)(2)(A)(v) of the Code (such circumstances, a “</w:t>
      </w:r>
      <w:r>
        <w:rPr>
          <w:rFonts w:ascii="Arial" w:cs="Arial" w:eastAsia="Arial" w:hAnsi="Arial"/>
          <w:sz w:val="21"/>
          <w:szCs w:val="21"/>
          <w:u w:val="single" w:color="auto"/>
          <w:color w:val="auto"/>
        </w:rPr>
        <w:t>409A Change in Control</w:t>
      </w:r>
      <w:r>
        <w:rPr>
          <w:rFonts w:ascii="Arial" w:cs="Arial" w:eastAsia="Arial" w:hAnsi="Arial"/>
          <w:sz w:val="21"/>
          <w:szCs w:val="21"/>
          <w:color w:val="auto"/>
        </w:rPr>
        <w:t>”) with payment to be made within ten (10) days following such date; or</w:t>
      </w:r>
    </w:p>
    <w:p>
      <w:pPr>
        <w:spacing w:after="0" w:line="13" w:lineRule="exact"/>
        <w:rPr>
          <w:rFonts w:ascii="Arial" w:cs="Arial" w:eastAsia="Arial" w:hAnsi="Arial"/>
          <w:sz w:val="21"/>
          <w:szCs w:val="21"/>
          <w:color w:val="auto"/>
        </w:rPr>
      </w:pPr>
    </w:p>
    <w:p>
      <w:pPr>
        <w:ind w:left="2600" w:hanging="324"/>
        <w:spacing w:after="0"/>
        <w:tabs>
          <w:tab w:leader="none" w:pos="26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date of Grantee’s death.</w:t>
      </w:r>
    </w:p>
    <w:p>
      <w:pPr>
        <w:spacing w:after="0" w:line="368" w:lineRule="exact"/>
        <w:rPr>
          <w:sz w:val="20"/>
          <w:szCs w:val="20"/>
          <w:color w:val="auto"/>
        </w:rPr>
      </w:pPr>
    </w:p>
    <w:p>
      <w:pPr>
        <w:ind w:right="60" w:firstLine="648"/>
        <w:spacing w:after="0" w:line="271" w:lineRule="auto"/>
        <w:rPr>
          <w:sz w:val="20"/>
          <w:szCs w:val="20"/>
          <w:color w:val="auto"/>
        </w:rPr>
      </w:pPr>
      <w:r>
        <w:rPr>
          <w:rFonts w:ascii="Arial" w:cs="Arial" w:eastAsia="Arial" w:hAnsi="Arial"/>
          <w:sz w:val="21"/>
          <w:szCs w:val="21"/>
          <w:color w:val="auto"/>
        </w:rPr>
        <w:t>Notwithstanding the foregoing in this Section 7, the Company reserves the right to withhold payment for any vested RSUs that become nonforfeitable pursuant to Section 5(c) in the event that Grantee violates the Restrictive Covenant Obligations prior to the payment of such RSUs (and such vested RSUs shall be forfeited for no consideration).</w:t>
      </w:r>
    </w:p>
    <w:p>
      <w:pPr>
        <w:sectPr>
          <w:pgSz w:w="11900" w:h="16838" w:orient="portrait"/>
          <w:cols w:equalWidth="0" w:num="1">
            <w:col w:w="11240"/>
          </w:cols>
          <w:pgMar w:left="320" w:top="1440" w:right="339" w:bottom="1440" w:gutter="0" w:footer="0" w:header="0"/>
        </w:sectPr>
      </w:pPr>
    </w:p>
    <w:bookmarkStart w:id="54" w:name="page55"/>
    <w:bookmarkEnd w:id="54"/>
    <w:p>
      <w:pPr>
        <w:spacing w:after="0" w:line="36" w:lineRule="exact"/>
        <w:rPr>
          <w:sz w:val="20"/>
          <w:szCs w:val="20"/>
          <w:color w:val="auto"/>
        </w:rPr>
      </w:pPr>
    </w:p>
    <w:p>
      <w:pPr>
        <w:ind w:left="370" w:hanging="208"/>
        <w:spacing w:after="0"/>
        <w:tabs>
          <w:tab w:leader="none" w:pos="370"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63" w:lineRule="exact"/>
        <w:rPr>
          <w:rFonts w:ascii="Arial" w:cs="Arial" w:eastAsia="Arial" w:hAnsi="Arial"/>
          <w:sz w:val="22"/>
          <w:szCs w:val="22"/>
          <w:b w:val="1"/>
          <w:bCs w:val="1"/>
          <w:color w:val="auto"/>
        </w:rPr>
      </w:pPr>
    </w:p>
    <w:p>
      <w:pPr>
        <w:ind w:left="1130" w:right="20" w:hanging="320"/>
        <w:spacing w:after="0" w:line="289" w:lineRule="auto"/>
        <w:tabs>
          <w:tab w:leader="none" w:pos="1118" w:val="left"/>
        </w:tabs>
        <w:numPr>
          <w:ilvl w:val="2"/>
          <w:numId w:val="47"/>
        </w:numPr>
        <w:rPr>
          <w:rFonts w:ascii="Arial" w:cs="Arial" w:eastAsia="Arial" w:hAnsi="Arial"/>
          <w:sz w:val="19"/>
          <w:szCs w:val="19"/>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8" w:lineRule="exact"/>
        <w:rPr>
          <w:rFonts w:ascii="Arial" w:cs="Arial" w:eastAsia="Arial" w:hAnsi="Arial"/>
          <w:sz w:val="19"/>
          <w:szCs w:val="19"/>
          <w:color w:val="auto"/>
        </w:rPr>
      </w:pPr>
    </w:p>
    <w:p>
      <w:pPr>
        <w:ind w:left="1130" w:right="340" w:hanging="320"/>
        <w:spacing w:after="0" w:line="277" w:lineRule="auto"/>
        <w:tabs>
          <w:tab w:leader="none" w:pos="1130" w:val="left"/>
        </w:tabs>
        <w:numPr>
          <w:ilvl w:val="2"/>
          <w:numId w:val="47"/>
        </w:numPr>
        <w:rPr>
          <w:rFonts w:ascii="Arial" w:cs="Arial" w:eastAsia="Arial" w:hAnsi="Arial"/>
          <w:sz w:val="21"/>
          <w:szCs w:val="21"/>
          <w:color w:val="auto"/>
        </w:rPr>
      </w:pPr>
      <w:r>
        <w:rPr>
          <w:rFonts w:ascii="Arial" w:cs="Arial" w:eastAsia="Arial" w:hAnsi="Arial"/>
          <w:sz w:val="21"/>
          <w:szCs w:val="21"/>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ind w:left="1130" w:right="100" w:hanging="320"/>
        <w:spacing w:after="0" w:line="265" w:lineRule="auto"/>
        <w:tabs>
          <w:tab w:leader="none" w:pos="1118" w:val="left"/>
        </w:tabs>
        <w:numPr>
          <w:ilvl w:val="2"/>
          <w:numId w:val="47"/>
        </w:numPr>
        <w:rPr>
          <w:rFonts w:ascii="Arial" w:cs="Arial" w:eastAsia="Arial" w:hAnsi="Arial"/>
          <w:sz w:val="21"/>
          <w:szCs w:val="21"/>
          <w:color w:val="auto"/>
        </w:rPr>
      </w:pPr>
      <w:r>
        <w:rPr>
          <w:rFonts w:ascii="Arial" w:cs="Arial" w:eastAsia="Arial" w:hAnsi="Arial"/>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0" w:lineRule="exact"/>
        <w:rPr>
          <w:rFonts w:ascii="Arial" w:cs="Arial" w:eastAsia="Arial" w:hAnsi="Arial"/>
          <w:sz w:val="21"/>
          <w:szCs w:val="21"/>
          <w:color w:val="auto"/>
        </w:rPr>
      </w:pPr>
    </w:p>
    <w:p>
      <w:pPr>
        <w:ind w:left="490" w:right="160" w:hanging="490"/>
        <w:spacing w:after="0" w:line="263" w:lineRule="auto"/>
        <w:tabs>
          <w:tab w:leader="none" w:pos="22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No Right to Future Awards or Employment</w:t>
      </w:r>
      <w:r>
        <w:rPr>
          <w:rFonts w:ascii="Arial" w:cs="Arial" w:eastAsia="Arial" w:hAnsi="Arial"/>
          <w:sz w:val="21"/>
          <w:szCs w:val="21"/>
          <w:color w:val="auto"/>
        </w:rPr>
        <w:t>. The grant of the RSUs under this Agreement to Grantee is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10" w:lineRule="exact"/>
        <w:rPr>
          <w:rFonts w:ascii="Arial" w:cs="Arial" w:eastAsia="Arial" w:hAnsi="Arial"/>
          <w:sz w:val="21"/>
          <w:szCs w:val="21"/>
          <w:b w:val="1"/>
          <w:bCs w:val="1"/>
          <w:color w:val="auto"/>
        </w:rPr>
      </w:pPr>
    </w:p>
    <w:p>
      <w:pPr>
        <w:ind w:left="490" w:right="200" w:hanging="490"/>
        <w:spacing w:after="0" w:line="311" w:lineRule="auto"/>
        <w:tabs>
          <w:tab w:leader="none" w:pos="478"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The number of shares of Common Stock issuable for each RSU and the other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evidenced by this Agreement are subject to adjustment as provided in Section 11 of the Plan.</w:t>
      </w:r>
    </w:p>
    <w:p>
      <w:pPr>
        <w:ind w:left="490" w:hanging="490"/>
        <w:spacing w:after="0" w:line="272" w:lineRule="auto"/>
        <w:tabs>
          <w:tab w:leader="none" w:pos="474"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To the extent that the Company is required to withhold federal, state, local or foreign taxes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w:t>
      </w:r>
    </w:p>
    <w:p>
      <w:pPr>
        <w:sectPr>
          <w:pgSz w:w="11900" w:h="16838" w:orient="portrait"/>
          <w:cols w:equalWidth="0" w:num="1">
            <w:col w:w="11050"/>
          </w:cols>
          <w:pgMar w:left="490" w:top="1440" w:right="359" w:bottom="1440" w:gutter="0" w:footer="0" w:header="0"/>
        </w:sectPr>
      </w:pPr>
    </w:p>
    <w:bookmarkStart w:id="55" w:name="page56"/>
    <w:bookmarkEnd w:id="55"/>
    <w:p>
      <w:pPr>
        <w:spacing w:after="0" w:line="42" w:lineRule="exact"/>
        <w:rPr>
          <w:sz w:val="20"/>
          <w:szCs w:val="20"/>
          <w:color w:val="auto"/>
        </w:rPr>
      </w:pPr>
    </w:p>
    <w:p>
      <w:pPr>
        <w:ind w:left="490"/>
        <w:spacing w:after="0" w:line="289" w:lineRule="auto"/>
        <w:rPr>
          <w:sz w:val="20"/>
          <w:szCs w:val="20"/>
          <w:color w:val="auto"/>
        </w:rPr>
      </w:pPr>
      <w:r>
        <w:rPr>
          <w:rFonts w:ascii="Arial" w:cs="Arial" w:eastAsia="Arial" w:hAnsi="Arial"/>
          <w:sz w:val="19"/>
          <w:szCs w:val="19"/>
          <w:color w:val="auto"/>
        </w:rPr>
        <w:t>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9" w:lineRule="exact"/>
        <w:rPr>
          <w:sz w:val="20"/>
          <w:szCs w:val="20"/>
          <w:color w:val="auto"/>
        </w:rPr>
      </w:pPr>
    </w:p>
    <w:p>
      <w:pPr>
        <w:ind w:left="490" w:right="360" w:hanging="490"/>
        <w:spacing w:after="0" w:line="252" w:lineRule="auto"/>
        <w:tabs>
          <w:tab w:leader="none" w:pos="49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31" w:lineRule="exact"/>
        <w:rPr>
          <w:rFonts w:ascii="Arial" w:cs="Arial" w:eastAsia="Arial" w:hAnsi="Arial"/>
          <w:sz w:val="22"/>
          <w:szCs w:val="22"/>
          <w:b w:val="1"/>
          <w:bCs w:val="1"/>
          <w:color w:val="auto"/>
        </w:rPr>
      </w:pPr>
    </w:p>
    <w:p>
      <w:pPr>
        <w:ind w:left="490" w:right="40" w:hanging="490"/>
        <w:spacing w:after="0" w:line="288" w:lineRule="auto"/>
        <w:tabs>
          <w:tab w:leader="none" w:pos="49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Clawback</w:t>
      </w:r>
      <w:r>
        <w:rPr>
          <w:rFonts w:ascii="Arial" w:cs="Arial" w:eastAsia="Arial" w:hAnsi="Arial"/>
          <w:sz w:val="19"/>
          <w:szCs w:val="19"/>
          <w:color w:val="auto"/>
        </w:rPr>
        <w:t>. The RSUs shall be subject to the Company’s Clawback Policy, as in effect on the Date of Grant,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or as the Clawback Policy otherwise may be amended or adopted in good faith by the Board for the Company’s employees. In addition, in the event that Grantee breaches any provision of subparagraphs 7(a) and 7(b) of the Employment Agreement during the Non-Competition Period (as defined in the Employment Agreement) (the “</w:t>
      </w:r>
      <w:r>
        <w:rPr>
          <w:rFonts w:ascii="Arial" w:cs="Arial" w:eastAsia="Arial" w:hAnsi="Arial"/>
          <w:sz w:val="19"/>
          <w:szCs w:val="19"/>
          <w:u w:val="single" w:color="auto"/>
          <w:color w:val="auto"/>
        </w:rPr>
        <w:t>Employment Agreement Covenants</w:t>
      </w:r>
      <w:r>
        <w:rPr>
          <w:rFonts w:ascii="Arial" w:cs="Arial" w:eastAsia="Arial" w:hAnsi="Arial"/>
          <w:sz w:val="19"/>
          <w:szCs w:val="19"/>
          <w:color w:val="auto"/>
        </w:rPr>
        <w:t>”), Grantee shall forfeit any right to receive shares of Common Stock with respect to RSUs that have vested pursuant to Section 5(a) or 5(c)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1" w:lineRule="exact"/>
        <w:rPr>
          <w:rFonts w:ascii="Arial" w:cs="Arial" w:eastAsia="Arial" w:hAnsi="Arial"/>
          <w:sz w:val="19"/>
          <w:szCs w:val="19"/>
          <w:b w:val="1"/>
          <w:bCs w:val="1"/>
          <w:color w:val="auto"/>
        </w:rPr>
      </w:pPr>
    </w:p>
    <w:p>
      <w:pPr>
        <w:ind w:left="490" w:right="120" w:hanging="490"/>
        <w:spacing w:after="0" w:line="272" w:lineRule="auto"/>
        <w:tabs>
          <w:tab w:leader="none" w:pos="49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Relation to Other Benefits</w:t>
      </w:r>
      <w:r>
        <w:rPr>
          <w:rFonts w:ascii="Arial" w:cs="Arial" w:eastAsia="Arial" w:hAnsi="Arial"/>
          <w:sz w:val="21"/>
          <w:szCs w:val="21"/>
          <w:color w:val="auto"/>
        </w:rPr>
        <w:t>. Any economic or other benefit to Grantee under this Agreement or the Plan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w:t>
      </w:r>
    </w:p>
    <w:p>
      <w:pPr>
        <w:sectPr>
          <w:pgSz w:w="11900" w:h="16838" w:orient="portrait"/>
          <w:cols w:equalWidth="0" w:num="1">
            <w:col w:w="11070"/>
          </w:cols>
          <w:pgMar w:left="490" w:top="1440" w:right="339" w:bottom="1440" w:gutter="0" w:footer="0" w:header="0"/>
        </w:sectPr>
      </w:pPr>
    </w:p>
    <w:bookmarkStart w:id="56" w:name="page57"/>
    <w:bookmarkEnd w:id="56"/>
    <w:p>
      <w:pPr>
        <w:spacing w:after="0" w:line="42" w:lineRule="exact"/>
        <w:rPr>
          <w:sz w:val="20"/>
          <w:szCs w:val="20"/>
          <w:color w:val="auto"/>
        </w:rPr>
      </w:pPr>
    </w:p>
    <w:p>
      <w:pPr>
        <w:ind w:left="490" w:right="340"/>
        <w:spacing w:after="0" w:line="263" w:lineRule="auto"/>
        <w:rPr>
          <w:sz w:val="20"/>
          <w:szCs w:val="20"/>
          <w:color w:val="auto"/>
        </w:rPr>
      </w:pPr>
      <w:r>
        <w:rPr>
          <w:rFonts w:ascii="Arial" w:cs="Arial" w:eastAsia="Arial" w:hAnsi="Arial"/>
          <w:sz w:val="22"/>
          <w:szCs w:val="22"/>
          <w:color w:val="auto"/>
        </w:rPr>
        <w:t>any beneficiary under any life insurance plan covering employees of the Company or any of its Subsidiaries (or any of their successors).</w:t>
      </w:r>
    </w:p>
    <w:p>
      <w:pPr>
        <w:spacing w:after="0" w:line="7" w:lineRule="exact"/>
        <w:rPr>
          <w:sz w:val="20"/>
          <w:szCs w:val="20"/>
          <w:color w:val="auto"/>
        </w:rPr>
      </w:pPr>
    </w:p>
    <w:p>
      <w:pPr>
        <w:ind w:left="490" w:right="100" w:hanging="490"/>
        <w:spacing w:after="0" w:line="291" w:lineRule="auto"/>
        <w:tabs>
          <w:tab w:leader="none" w:pos="478"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 ] of the Employment Agreement.</w:t>
      </w:r>
    </w:p>
    <w:p>
      <w:pPr>
        <w:spacing w:after="0" w:line="5" w:lineRule="exact"/>
        <w:rPr>
          <w:rFonts w:ascii="Arial" w:cs="Arial" w:eastAsia="Arial" w:hAnsi="Arial"/>
          <w:sz w:val="19"/>
          <w:szCs w:val="19"/>
          <w:b w:val="1"/>
          <w:bCs w:val="1"/>
          <w:color w:val="auto"/>
        </w:rPr>
      </w:pPr>
    </w:p>
    <w:p>
      <w:pPr>
        <w:jc w:val="both"/>
        <w:ind w:left="490" w:right="320" w:hanging="490"/>
        <w:spacing w:after="0" w:line="306" w:lineRule="auto"/>
        <w:tabs>
          <w:tab w:leader="none" w:pos="49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In the event that one or more of the provisions of this Agreement shall be invalidated for any reason by a</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9"/>
          <w:szCs w:val="19"/>
          <w:b w:val="1"/>
          <w:bCs w:val="1"/>
          <w:color w:val="auto"/>
        </w:rPr>
      </w:pPr>
    </w:p>
    <w:p>
      <w:pPr>
        <w:ind w:left="490" w:right="140" w:hanging="490"/>
        <w:spacing w:after="0" w:line="268" w:lineRule="auto"/>
        <w:tabs>
          <w:tab w:leader="none" w:pos="49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2" w:lineRule="exact"/>
        <w:rPr>
          <w:rFonts w:ascii="Arial" w:cs="Arial" w:eastAsia="Arial" w:hAnsi="Arial"/>
          <w:sz w:val="22"/>
          <w:szCs w:val="22"/>
          <w:b w:val="1"/>
          <w:bCs w:val="1"/>
          <w:color w:val="auto"/>
        </w:rPr>
      </w:pPr>
    </w:p>
    <w:p>
      <w:pPr>
        <w:jc w:val="both"/>
        <w:ind w:left="490" w:right="60" w:hanging="490"/>
        <w:spacing w:after="0" w:line="256" w:lineRule="auto"/>
        <w:tabs>
          <w:tab w:leader="none" w:pos="478"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w:t>
      </w:r>
      <w:r>
        <w:rPr>
          <w:rFonts w:ascii="Arial" w:cs="Arial" w:eastAsia="Arial" w:hAnsi="Arial"/>
          <w:sz w:val="22"/>
          <w:szCs w:val="22"/>
          <w:color w:val="auto"/>
        </w:rPr>
        <w:t>. Grantee acknowledges that Grantee (a) has received a copy of the Plan, (b) has had an opportunity to</w:t>
      </w:r>
      <w:r>
        <w:rPr>
          <w:rFonts w:ascii="Arial" w:cs="Arial" w:eastAsia="Arial" w:hAnsi="Arial"/>
          <w:sz w:val="22"/>
          <w:szCs w:val="22"/>
          <w:b w:val="1"/>
          <w:bCs w:val="1"/>
          <w:color w:val="auto"/>
        </w:rPr>
        <w:t xml:space="preserve"> </w:t>
      </w:r>
      <w:r>
        <w:rPr>
          <w:rFonts w:ascii="Arial" w:cs="Arial" w:eastAsia="Arial" w:hAnsi="Arial"/>
          <w:sz w:val="22"/>
          <w:szCs w:val="22"/>
          <w:color w:val="auto"/>
        </w:rPr>
        <w:t>review the terms of this Agreement and the Plan, (c) understands the terms and conditions of this Agreement and the Plan and (d) agrees to such terms and conditions.</w:t>
      </w:r>
    </w:p>
    <w:p>
      <w:pPr>
        <w:spacing w:after="0" w:line="27" w:lineRule="exact"/>
        <w:rPr>
          <w:rFonts w:ascii="Arial" w:cs="Arial" w:eastAsia="Arial" w:hAnsi="Arial"/>
          <w:sz w:val="22"/>
          <w:szCs w:val="22"/>
          <w:b w:val="1"/>
          <w:bCs w:val="1"/>
          <w:color w:val="auto"/>
        </w:rPr>
      </w:pPr>
    </w:p>
    <w:p>
      <w:pPr>
        <w:jc w:val="both"/>
        <w:ind w:left="490" w:hanging="490"/>
        <w:spacing w:after="0" w:line="256" w:lineRule="auto"/>
        <w:tabs>
          <w:tab w:leader="none" w:pos="49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14" w:lineRule="exact"/>
        <w:rPr>
          <w:rFonts w:ascii="Arial" w:cs="Arial" w:eastAsia="Arial" w:hAnsi="Arial"/>
          <w:sz w:val="22"/>
          <w:szCs w:val="22"/>
          <w:b w:val="1"/>
          <w:bCs w:val="1"/>
          <w:color w:val="auto"/>
        </w:rPr>
      </w:pPr>
    </w:p>
    <w:p>
      <w:pPr>
        <w:ind w:left="490" w:right="100" w:hanging="490"/>
        <w:spacing w:after="0" w:line="262" w:lineRule="auto"/>
        <w:tabs>
          <w:tab w:leader="none" w:pos="49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8" w:lineRule="exact"/>
        <w:rPr>
          <w:rFonts w:ascii="Arial" w:cs="Arial" w:eastAsia="Arial" w:hAnsi="Arial"/>
          <w:sz w:val="22"/>
          <w:szCs w:val="22"/>
          <w:b w:val="1"/>
          <w:bCs w:val="1"/>
          <w:color w:val="auto"/>
        </w:rPr>
      </w:pPr>
    </w:p>
    <w:p>
      <w:pPr>
        <w:ind w:left="490" w:right="100" w:hanging="490"/>
        <w:spacing w:after="0" w:line="292" w:lineRule="auto"/>
        <w:tabs>
          <w:tab w:leader="none" w:pos="49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the Company provided for herein shall be in writing (including electronically)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rFonts w:ascii="Arial" w:cs="Arial" w:eastAsia="Arial" w:hAnsi="Arial"/>
          <w:sz w:val="19"/>
          <w:szCs w:val="19"/>
          <w:b w:val="1"/>
          <w:bCs w:val="1"/>
          <w:color w:val="auto"/>
        </w:rPr>
      </w:pPr>
    </w:p>
    <w:p>
      <w:pPr>
        <w:ind w:left="490" w:right="160" w:hanging="490"/>
        <w:spacing w:after="0" w:line="256" w:lineRule="auto"/>
        <w:tabs>
          <w:tab w:leader="none" w:pos="49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RSUs and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or future awards that may be granted under the Plan, by electronic means. Grantee hereby consents to receive such</w:t>
      </w:r>
    </w:p>
    <w:p>
      <w:pPr>
        <w:sectPr>
          <w:pgSz w:w="11900" w:h="16838" w:orient="portrait"/>
          <w:cols w:equalWidth="0" w:num="1">
            <w:col w:w="11070"/>
          </w:cols>
          <w:pgMar w:left="490" w:top="1440" w:right="339" w:bottom="1440" w:gutter="0" w:footer="0" w:header="0"/>
        </w:sectPr>
      </w:pPr>
    </w:p>
    <w:bookmarkStart w:id="57" w:name="page58"/>
    <w:bookmarkEnd w:id="57"/>
    <w:p>
      <w:pPr>
        <w:spacing w:after="0" w:line="42" w:lineRule="exact"/>
        <w:rPr>
          <w:sz w:val="20"/>
          <w:szCs w:val="20"/>
          <w:color w:val="auto"/>
        </w:rPr>
      </w:pPr>
    </w:p>
    <w:p>
      <w:pPr>
        <w:ind w:left="490" w:right="20"/>
        <w:spacing w:after="0" w:line="308" w:lineRule="auto"/>
        <w:rPr>
          <w:sz w:val="20"/>
          <w:szCs w:val="20"/>
          <w:color w:val="auto"/>
        </w:rPr>
      </w:pPr>
      <w:r>
        <w:rPr>
          <w:rFonts w:ascii="Arial" w:cs="Arial" w:eastAsia="Arial" w:hAnsi="Arial"/>
          <w:sz w:val="19"/>
          <w:szCs w:val="19"/>
          <w:color w:val="auto"/>
        </w:rPr>
        <w:t>documents by electronic delivery and, if requested, agrees to participate in the Plan through an online or electronic system established and maintained by the Company or another third party designated by the Company.</w:t>
      </w:r>
    </w:p>
    <w:p>
      <w:pPr>
        <w:ind w:left="490" w:right="20" w:hanging="490"/>
        <w:spacing w:after="0" w:line="262" w:lineRule="auto"/>
        <w:tabs>
          <w:tab w:leader="none" w:pos="49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 of the Code</w:t>
      </w:r>
      <w:r>
        <w:rPr>
          <w:rFonts w:ascii="Arial" w:cs="Arial" w:eastAsia="Arial" w:hAnsi="Arial"/>
          <w:sz w:val="21"/>
          <w:szCs w:val="21"/>
          <w:color w:val="auto"/>
        </w:rPr>
        <w:t>. To the extent applicable, it is intended that this Agreement and the Plan comply with or be</w:t>
      </w:r>
      <w:r>
        <w:rPr>
          <w:rFonts w:ascii="Arial" w:cs="Arial" w:eastAsia="Arial" w:hAnsi="Arial"/>
          <w:sz w:val="21"/>
          <w:szCs w:val="21"/>
          <w:b w:val="1"/>
          <w:bCs w:val="1"/>
          <w:color w:val="auto"/>
        </w:rPr>
        <w:t xml:space="preserve"> </w:t>
      </w:r>
      <w:r>
        <w:rPr>
          <w:rFonts w:ascii="Arial" w:cs="Arial" w:eastAsia="Arial" w:hAnsi="Arial"/>
          <w:sz w:val="21"/>
          <w:szCs w:val="21"/>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Each payment under this Agreement shall be considered a separate payment and not one of a series of payments for purposes of Section 409A of the Code.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9" w:lineRule="exact"/>
        <w:rPr>
          <w:rFonts w:ascii="Arial" w:cs="Arial" w:eastAsia="Arial" w:hAnsi="Arial"/>
          <w:sz w:val="21"/>
          <w:szCs w:val="21"/>
          <w:b w:val="1"/>
          <w:bCs w:val="1"/>
          <w:color w:val="auto"/>
        </w:rPr>
      </w:pPr>
    </w:p>
    <w:p>
      <w:pPr>
        <w:ind w:left="490" w:hanging="490"/>
        <w:spacing w:after="0" w:line="262" w:lineRule="auto"/>
        <w:tabs>
          <w:tab w:leader="none" w:pos="49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transmitted counterparts), each of which shall be deemed to be an original but all of which together will constitute one and the same agreement.</w:t>
      </w:r>
    </w:p>
    <w:p>
      <w:pPr>
        <w:spacing w:after="0" w:line="9" w:lineRule="exact"/>
        <w:rPr>
          <w:sz w:val="20"/>
          <w:szCs w:val="20"/>
          <w:color w:val="auto"/>
        </w:rPr>
      </w:pPr>
    </w:p>
    <w:p>
      <w:pPr>
        <w:jc w:val="center"/>
        <w:ind w:right="150"/>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1070"/>
          </w:cols>
          <w:pgMar w:left="490" w:top="1440" w:right="339" w:bottom="1440" w:gutter="0" w:footer="0" w:header="0"/>
        </w:sectPr>
      </w:pPr>
    </w:p>
    <w:bookmarkStart w:id="58" w:name="page59"/>
    <w:bookmarkEnd w:id="58"/>
    <w:p>
      <w:pPr>
        <w:jc w:val="center"/>
        <w:spacing w:after="0" w:line="250"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82"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By:</w:t>
      </w:r>
    </w:p>
    <w:p>
      <w:pPr>
        <w:ind w:left="4040"/>
        <w:spacing w:after="0" w:line="238" w:lineRule="auto"/>
        <w:rPr>
          <w:sz w:val="20"/>
          <w:szCs w:val="20"/>
          <w:color w:val="auto"/>
        </w:rPr>
      </w:pPr>
      <w:r>
        <w:rPr>
          <w:rFonts w:ascii="Arial" w:cs="Arial" w:eastAsia="Arial" w:hAnsi="Arial"/>
          <w:sz w:val="22"/>
          <w:szCs w:val="22"/>
          <w:color w:val="auto"/>
        </w:rPr>
        <w:t>Name:</w:t>
      </w:r>
    </w:p>
    <w:p>
      <w:pPr>
        <w:ind w:left="404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GRANTEE’S SIGNATURE</w:t>
      </w:r>
    </w:p>
    <w:p>
      <w:pPr>
        <w:spacing w:after="0" w:line="23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Print Name: _________________</w:t>
      </w:r>
    </w:p>
    <w:p>
      <w:pPr>
        <w:sectPr>
          <w:pgSz w:w="11900" w:h="16838" w:orient="portrait"/>
          <w:cols w:equalWidth="0" w:num="1">
            <w:col w:w="10900"/>
          </w:cols>
          <w:pgMar w:left="500" w:top="1414" w:right="499" w:bottom="1440" w:gutter="0" w:footer="0" w:header="0"/>
        </w:sectPr>
      </w:pPr>
    </w:p>
    <w:bookmarkStart w:id="59" w:name="page60"/>
    <w:bookmarkEnd w:id="59"/>
    <w:p>
      <w:pPr>
        <w:ind w:left="728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8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Former American Capital, Ltd., employees will be credited with “Continuous Retirement Service” under this Agreement for their service with American Capital, Ltd. from and after the IPO, as follows: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62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Percentage of Job Duties Allocated to AGNC Investment</w:t>
            </w:r>
          </w:p>
        </w:tc>
        <w:tc>
          <w:tcPr>
            <w:tcW w:w="5600" w:type="dxa"/>
            <w:vAlign w:val="bottom"/>
            <w:tcBorders>
              <w:top w:val="single" w:sz="8" w:color="auto"/>
              <w:right w:val="single" w:sz="8" w:color="auto"/>
            </w:tcBorders>
            <w:shd w:val="clear" w:color="auto" w:fill="BFBFBF"/>
          </w:tcPr>
          <w:p>
            <w:pPr>
              <w:ind w:left="2120"/>
              <w:spacing w:after="0"/>
              <w:rPr>
                <w:sz w:val="20"/>
                <w:szCs w:val="20"/>
                <w:color w:val="auto"/>
              </w:rPr>
            </w:pPr>
            <w:r>
              <w:rPr>
                <w:rFonts w:ascii="Arial" w:cs="Arial" w:eastAsia="Arial" w:hAnsi="Arial"/>
                <w:sz w:val="22"/>
                <w:szCs w:val="22"/>
                <w:b w:val="1"/>
                <w:bCs w:val="1"/>
                <w:color w:val="auto"/>
              </w:rPr>
              <w:t>Service Credit</w:t>
            </w:r>
          </w:p>
        </w:tc>
      </w:tr>
      <w:tr>
        <w:trPr>
          <w:trHeight w:val="257"/>
        </w:trPr>
        <w:tc>
          <w:tcPr>
            <w:tcW w:w="562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6"/>
              </w:rPr>
              <w:t>Corp., AMM, AGNC Management, LLC or MTGE</w:t>
            </w:r>
          </w:p>
        </w:tc>
        <w:tc>
          <w:tcPr>
            <w:tcW w:w="5600" w:type="dxa"/>
            <w:vAlign w:val="bottom"/>
            <w:tcBorders>
              <w:right w:val="single" w:sz="8" w:color="auto"/>
            </w:tcBorders>
            <w:shd w:val="clear" w:color="auto" w:fill="BFBFBF"/>
          </w:tcPr>
          <w:p>
            <w:pPr>
              <w:spacing w:after="0"/>
              <w:rPr>
                <w:sz w:val="22"/>
                <w:szCs w:val="22"/>
                <w:color w:val="auto"/>
              </w:rPr>
            </w:pPr>
          </w:p>
        </w:tc>
      </w:tr>
      <w:tr>
        <w:trPr>
          <w:trHeight w:val="280"/>
        </w:trPr>
        <w:tc>
          <w:tcPr>
            <w:tcW w:w="562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3"/>
              </w:rPr>
              <w:t>Management, LLC</w:t>
            </w:r>
          </w:p>
        </w:tc>
        <w:tc>
          <w:tcPr>
            <w:tcW w:w="5600" w:type="dxa"/>
            <w:vAlign w:val="bottom"/>
            <w:tcBorders>
              <w:right w:val="single" w:sz="8" w:color="auto"/>
            </w:tcBorders>
            <w:shd w:val="clear" w:color="auto" w:fill="BFBFBF"/>
          </w:tcPr>
          <w:p>
            <w:pPr>
              <w:spacing w:after="0"/>
              <w:rPr>
                <w:sz w:val="24"/>
                <w:szCs w:val="24"/>
                <w:color w:val="auto"/>
              </w:rPr>
            </w:pPr>
          </w:p>
        </w:tc>
      </w:tr>
      <w:tr>
        <w:trPr>
          <w:trHeight w:val="260"/>
        </w:trPr>
        <w:tc>
          <w:tcPr>
            <w:tcW w:w="5620" w:type="dxa"/>
            <w:vAlign w:val="bottom"/>
            <w:tcBorders>
              <w:left w:val="single" w:sz="8" w:color="auto"/>
              <w:bottom w:val="single" w:sz="8" w:color="auto"/>
              <w:right w:val="single" w:sz="8" w:color="auto"/>
            </w:tcBorders>
            <w:shd w:val="clear" w:color="auto" w:fill="BFBFBF"/>
          </w:tcPr>
          <w:p>
            <w:pPr>
              <w:spacing w:after="0"/>
              <w:rPr>
                <w:sz w:val="22"/>
                <w:szCs w:val="22"/>
                <w:color w:val="auto"/>
              </w:rPr>
            </w:pPr>
          </w:p>
        </w:tc>
        <w:tc>
          <w:tcPr>
            <w:tcW w:w="5600" w:type="dxa"/>
            <w:vAlign w:val="bottom"/>
            <w:tcBorders>
              <w:bottom w:val="single" w:sz="8" w:color="auto"/>
              <w:right w:val="single" w:sz="8" w:color="auto"/>
            </w:tcBorders>
            <w:shd w:val="clear" w:color="auto" w:fill="BFBFBF"/>
          </w:tcPr>
          <w:p>
            <w:pPr>
              <w:spacing w:after="0"/>
              <w:rPr>
                <w:sz w:val="22"/>
                <w:szCs w:val="22"/>
                <w:color w:val="auto"/>
              </w:rPr>
            </w:pPr>
          </w:p>
        </w:tc>
      </w:tr>
      <w:tr>
        <w:trPr>
          <w:trHeight w:val="27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75% or greater</w:t>
            </w:r>
          </w:p>
        </w:tc>
        <w:tc>
          <w:tcPr>
            <w:tcW w:w="56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100%</w:t>
            </w:r>
          </w:p>
        </w:tc>
      </w:tr>
      <w:tr>
        <w:trPr>
          <w:trHeight w:val="260"/>
        </w:trPr>
        <w:tc>
          <w:tcPr>
            <w:tcW w:w="562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74"/>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25% to 75%</w:t>
            </w:r>
          </w:p>
        </w:tc>
        <w:tc>
          <w:tcPr>
            <w:tcW w:w="56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50%</w:t>
            </w:r>
          </w:p>
        </w:tc>
      </w:tr>
      <w:tr>
        <w:trPr>
          <w:trHeight w:val="260"/>
        </w:trPr>
        <w:tc>
          <w:tcPr>
            <w:tcW w:w="562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73"/>
        </w:trPr>
        <w:tc>
          <w:tcPr>
            <w:tcW w:w="5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&lt;25%</w:t>
            </w:r>
          </w:p>
        </w:tc>
        <w:tc>
          <w:tcPr>
            <w:tcW w:w="56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260"/>
        </w:trPr>
        <w:tc>
          <w:tcPr>
            <w:tcW w:w="562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bl>
    <w:p>
      <w:pPr>
        <w:spacing w:after="0" w:line="303"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Employees who were former American Capital employees will receive the benefit of this service credit even if their employment with the Company did not commence on or before July 1, 2016.</w:t>
      </w:r>
    </w:p>
    <w:p>
      <w:pPr>
        <w:sectPr>
          <w:pgSz w:w="11900" w:h="16838" w:orient="portrait"/>
          <w:cols w:equalWidth="0" w:num="1">
            <w:col w:w="11220"/>
          </w:cols>
          <w:pgMar w:left="320" w:top="1408"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340" w:right="2200"/>
        <w:spacing w:after="0" w:line="327" w:lineRule="auto"/>
        <w:rPr>
          <w:sz w:val="20"/>
          <w:szCs w:val="20"/>
          <w:color w:val="auto"/>
        </w:rPr>
      </w:pPr>
      <w:r>
        <w:rPr>
          <w:rFonts w:ascii="Arial" w:cs="Arial" w:eastAsia="Arial" w:hAnsi="Arial"/>
          <w:sz w:val="21"/>
          <w:szCs w:val="21"/>
          <w:b w:val="1"/>
          <w:bCs w:val="1"/>
          <w:color w:val="auto"/>
        </w:rPr>
        <w:t>AMENDED AND RESTATED AGNC INVESTMENT CORP. 2016 EQUITY AND INCENTIVE COMPENSATION PLAN PERFORMANCE-BASED RESTRICTED STOCK UNIT AGREEMENT</w:t>
      </w:r>
    </w:p>
    <w:p>
      <w:pPr>
        <w:spacing w:after="0" w:line="261" w:lineRule="exact"/>
        <w:rPr>
          <w:sz w:val="20"/>
          <w:szCs w:val="20"/>
          <w:color w:val="auto"/>
        </w:rPr>
      </w:pPr>
    </w:p>
    <w:p>
      <w:pPr>
        <w:jc w:val="both"/>
        <w:ind w:right="180"/>
        <w:spacing w:after="0" w:line="291" w:lineRule="auto"/>
        <w:rPr>
          <w:sz w:val="20"/>
          <w:szCs w:val="20"/>
          <w:color w:val="auto"/>
        </w:rPr>
      </w:pPr>
      <w:r>
        <w:rPr>
          <w:rFonts w:ascii="Arial" w:cs="Arial" w:eastAsia="Arial" w:hAnsi="Arial"/>
          <w:sz w:val="19"/>
          <w:szCs w:val="19"/>
          <w:color w:val="auto"/>
        </w:rPr>
        <w:t>This PERFORMANCE-BASED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 ]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AGNC Investment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w:t>
      </w:r>
    </w:p>
    <w:p>
      <w:pPr>
        <w:spacing w:after="0" w:line="331" w:lineRule="exact"/>
        <w:rPr>
          <w:sz w:val="20"/>
          <w:szCs w:val="20"/>
          <w:color w:val="auto"/>
        </w:rPr>
      </w:pPr>
    </w:p>
    <w:p>
      <w:pPr>
        <w:ind w:left="660" w:right="200" w:hanging="328"/>
        <w:spacing w:after="0" w:line="262" w:lineRule="auto"/>
        <w:tabs>
          <w:tab w:leader="none" w:pos="651"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Capitalized terms used, but not otherwise defined, in this Agreement will have the meanings given</w:t>
      </w:r>
      <w:r>
        <w:rPr>
          <w:rFonts w:ascii="Arial" w:cs="Arial" w:eastAsia="Arial" w:hAnsi="Arial"/>
          <w:sz w:val="22"/>
          <w:szCs w:val="22"/>
          <w:b w:val="1"/>
          <w:bCs w:val="1"/>
          <w:color w:val="auto"/>
        </w:rPr>
        <w:t xml:space="preserve"> </w:t>
      </w:r>
      <w:r>
        <w:rPr>
          <w:rFonts w:ascii="Arial" w:cs="Arial" w:eastAsia="Arial" w:hAnsi="Arial"/>
          <w:sz w:val="22"/>
          <w:szCs w:val="22"/>
          <w:color w:val="auto"/>
        </w:rPr>
        <w:t>to such terms in the Company’s Amended and Restated 2016 Equity and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As used in this Agreement:</w:t>
      </w:r>
    </w:p>
    <w:p>
      <w:pPr>
        <w:spacing w:after="0" w:line="14" w:lineRule="exact"/>
        <w:rPr>
          <w:rFonts w:ascii="Arial" w:cs="Arial" w:eastAsia="Arial" w:hAnsi="Arial"/>
          <w:sz w:val="22"/>
          <w:szCs w:val="22"/>
          <w:color w:val="auto"/>
        </w:rPr>
      </w:pPr>
    </w:p>
    <w:p>
      <w:pPr>
        <w:ind w:left="1300" w:right="20" w:hanging="320"/>
        <w:spacing w:after="0" w:line="292" w:lineRule="auto"/>
        <w:tabs>
          <w:tab w:leader="none" w:pos="1291"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Continuous Retirement Service</w:t>
      </w:r>
      <w:r>
        <w:rPr>
          <w:rFonts w:ascii="Arial" w:cs="Arial" w:eastAsia="Arial" w:hAnsi="Arial"/>
          <w:sz w:val="19"/>
          <w:szCs w:val="19"/>
          <w:color w:val="auto"/>
        </w:rPr>
        <w:t>” means full-time service or part-time service (equal to at least twenty-four (24) hours per week) as an employee of the Company or its Subsidiaries, which shall be measured from the later of (i) the date of hire with the Company (or the applicable Subsidiary) and (ii) AGNC Investment Corp.’s initial public offering (“</w:t>
      </w:r>
      <w:r>
        <w:rPr>
          <w:rFonts w:ascii="Arial" w:cs="Arial" w:eastAsia="Arial" w:hAnsi="Arial"/>
          <w:sz w:val="19"/>
          <w:szCs w:val="19"/>
          <w:u w:val="single" w:color="auto"/>
          <w:color w:val="auto"/>
        </w:rPr>
        <w:t>IPO</w:t>
      </w:r>
      <w:r>
        <w:rPr>
          <w:rFonts w:ascii="Arial" w:cs="Arial" w:eastAsia="Arial" w:hAnsi="Arial"/>
          <w:sz w:val="19"/>
          <w:szCs w:val="19"/>
          <w:color w:val="auto"/>
        </w:rPr>
        <w:t>”) in May 2008; provided, however, that “Continuous Retirement Service” shall also include service by employees of American Capital, Ltd. whose job duties were significantly devoted to AGNC Mortgage Management, LLC (“</w:t>
      </w:r>
      <w:r>
        <w:rPr>
          <w:rFonts w:ascii="Arial" w:cs="Arial" w:eastAsia="Arial" w:hAnsi="Arial"/>
          <w:sz w:val="19"/>
          <w:szCs w:val="19"/>
          <w:u w:val="single" w:color="auto"/>
          <w:color w:val="auto"/>
        </w:rPr>
        <w:t>AMM</w:t>
      </w:r>
      <w:r>
        <w:rPr>
          <w:rFonts w:ascii="Arial" w:cs="Arial" w:eastAsia="Arial" w:hAnsi="Arial"/>
          <w:sz w:val="19"/>
          <w:szCs w:val="19"/>
          <w:color w:val="auto"/>
        </w:rPr>
        <w:t xml:space="preserve">”), AGNC Investment Corp., AGNC Management, LLC, or MTGE Management, LLC prior to AGNC Investment Corp.’s acquisition of AMM in 2016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 ].</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71" w:lineRule="exact"/>
        <w:rPr>
          <w:rFonts w:ascii="Arial" w:cs="Arial" w:eastAsia="Arial" w:hAnsi="Arial"/>
          <w:sz w:val="22"/>
          <w:szCs w:val="22"/>
          <w:color w:val="auto"/>
        </w:rPr>
      </w:pPr>
    </w:p>
    <w:p>
      <w:pPr>
        <w:ind w:left="1300" w:right="380" w:hanging="320"/>
        <w:spacing w:after="0" w:line="263" w:lineRule="auto"/>
        <w:tabs>
          <w:tab w:leader="none" w:pos="1291"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xml:space="preserve">” means the AER Performance Period or the RER Performance Period, each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w:t>
      </w:r>
    </w:p>
    <w:p>
      <w:pPr>
        <w:spacing w:after="0" w:line="12" w:lineRule="exact"/>
        <w:rPr>
          <w:rFonts w:ascii="Arial" w:cs="Arial" w:eastAsia="Arial" w:hAnsi="Arial"/>
          <w:sz w:val="22"/>
          <w:szCs w:val="22"/>
          <w:color w:val="auto"/>
        </w:rPr>
      </w:pPr>
    </w:p>
    <w:p>
      <w:pPr>
        <w:ind w:left="1300" w:right="80" w:hanging="320"/>
        <w:spacing w:after="0" w:line="253" w:lineRule="auto"/>
        <w:tabs>
          <w:tab w:leader="none" w:pos="1299"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Re-Externalization</w:t>
      </w:r>
      <w:r>
        <w:rPr>
          <w:rFonts w:ascii="Arial" w:cs="Arial" w:eastAsia="Arial" w:hAnsi="Arial"/>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36" w:lineRule="exact"/>
        <w:rPr>
          <w:rFonts w:ascii="Arial" w:cs="Arial" w:eastAsia="Arial" w:hAnsi="Arial"/>
          <w:sz w:val="22"/>
          <w:szCs w:val="22"/>
          <w:color w:val="auto"/>
        </w:rPr>
      </w:pPr>
    </w:p>
    <w:p>
      <w:pPr>
        <w:ind w:left="1340" w:hanging="360"/>
        <w:spacing w:after="0"/>
        <w:tabs>
          <w:tab w:leader="none" w:pos="13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the release described in subparagraph 6(f) of the Employment Agreement.</w:t>
      </w:r>
    </w:p>
    <w:p>
      <w:pPr>
        <w:spacing w:after="0" w:line="57" w:lineRule="exact"/>
        <w:rPr>
          <w:rFonts w:ascii="Arial" w:cs="Arial" w:eastAsia="Arial" w:hAnsi="Arial"/>
          <w:sz w:val="22"/>
          <w:szCs w:val="22"/>
          <w:color w:val="auto"/>
        </w:rPr>
      </w:pPr>
    </w:p>
    <w:p>
      <w:pPr>
        <w:ind w:left="1300" w:right="60" w:hanging="320"/>
        <w:spacing w:after="0" w:line="297" w:lineRule="auto"/>
        <w:tabs>
          <w:tab w:leader="none" w:pos="1291"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Award</w:t>
      </w:r>
      <w:r>
        <w:rPr>
          <w:rFonts w:ascii="Arial" w:cs="Arial" w:eastAsia="Arial" w:hAnsi="Arial"/>
          <w:sz w:val="19"/>
          <w:szCs w:val="19"/>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on a Prorated Basis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of the most recent date prior to the Change of Control for which applicable data for such determination is publicly available, as determined by the Board or the Committee pursuant to </w:t>
      </w:r>
      <w:r>
        <w:rPr>
          <w:rFonts w:ascii="Arial" w:cs="Arial" w:eastAsia="Arial" w:hAnsi="Arial"/>
          <w:sz w:val="19"/>
          <w:szCs w:val="19"/>
          <w:u w:val="single" w:color="auto"/>
          <w:color w:val="auto"/>
        </w:rPr>
        <w:t>Exhibit A</w:t>
      </w:r>
      <w:r>
        <w:rPr>
          <w:rFonts w:ascii="Arial" w:cs="Arial" w:eastAsia="Arial" w:hAnsi="Arial"/>
          <w:sz w:val="19"/>
          <w:szCs w:val="19"/>
          <w:color w:val="auto"/>
        </w:rPr>
        <w:t>, (ii) that vests in full on the date set forth in Section 4, (iii) that relates to publicly traded equity securities of the Company or</w:t>
      </w:r>
    </w:p>
    <w:p>
      <w:pPr>
        <w:sectPr>
          <w:pgSz w:w="11900" w:h="16838" w:orient="portrait"/>
          <w:cols w:equalWidth="0" w:num="1">
            <w:col w:w="11240"/>
          </w:cols>
          <w:pgMar w:left="320" w:top="132" w:right="339" w:bottom="1440" w:gutter="0" w:footer="0" w:header="0"/>
        </w:sectPr>
      </w:pPr>
    </w:p>
    <w:bookmarkStart w:id="61" w:name="page62"/>
    <w:bookmarkEnd w:id="61"/>
    <w:p>
      <w:pPr>
        <w:spacing w:after="0" w:line="42" w:lineRule="exact"/>
        <w:rPr>
          <w:sz w:val="20"/>
          <w:szCs w:val="20"/>
          <w:color w:val="auto"/>
        </w:rPr>
      </w:pPr>
    </w:p>
    <w:p>
      <w:pPr>
        <w:ind w:left="320" w:right="80"/>
        <w:spacing w:after="0" w:line="289" w:lineRule="auto"/>
        <w:rPr>
          <w:sz w:val="20"/>
          <w:szCs w:val="20"/>
          <w:color w:val="auto"/>
        </w:rPr>
      </w:pPr>
      <w:r>
        <w:rPr>
          <w:rFonts w:ascii="Arial" w:cs="Arial" w:eastAsia="Arial" w:hAnsi="Arial"/>
          <w:sz w:val="19"/>
          <w:szCs w:val="19"/>
          <w:color w:val="auto"/>
        </w:rPr>
        <w:t>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1(h) are satisfied will be made by the Committee, as constituted immediately prior to the Change of Control, in its sole discretion.</w:t>
      </w:r>
    </w:p>
    <w:p>
      <w:pPr>
        <w:spacing w:after="0" w:line="2" w:lineRule="exact"/>
        <w:rPr>
          <w:sz w:val="20"/>
          <w:szCs w:val="20"/>
          <w:color w:val="auto"/>
        </w:rPr>
      </w:pPr>
    </w:p>
    <w:p>
      <w:pPr>
        <w:ind w:left="320" w:hanging="320"/>
        <w:spacing w:after="0" w:line="290" w:lineRule="auto"/>
        <w:tabs>
          <w:tab w:leader="none" w:pos="3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Restrictive Covenant Obligations</w:t>
      </w:r>
      <w:r>
        <w:rPr>
          <w:rFonts w:ascii="Arial" w:cs="Arial" w:eastAsia="Arial" w:hAnsi="Arial"/>
          <w:sz w:val="19"/>
          <w:szCs w:val="19"/>
          <w:color w:val="auto"/>
        </w:rPr>
        <w:t>” means, collectively, the Employment Agreement Covenants (as defined in Section 13) and the requirement that, upon Retirement, Grantee must not: (i) either directly or indirectly, whether as a director, officer, consultant, employee or advisor or in any other capacity, render any services to any company, business, agency, partnership or entity engaged in a business competitive with the Company or its Subsidiaries (“</w:t>
      </w:r>
      <w:r>
        <w:rPr>
          <w:rFonts w:ascii="Arial" w:cs="Arial" w:eastAsia="Arial" w:hAnsi="Arial"/>
          <w:sz w:val="19"/>
          <w:szCs w:val="19"/>
          <w:u w:val="single" w:color="auto"/>
          <w:color w:val="auto"/>
        </w:rPr>
        <w:t>Restricted Busines</w:t>
      </w:r>
      <w:r>
        <w:rPr>
          <w:rFonts w:ascii="Arial" w:cs="Arial" w:eastAsia="Arial" w:hAnsi="Arial"/>
          <w:sz w:val="19"/>
          <w:szCs w:val="19"/>
          <w:color w:val="auto"/>
        </w:rPr>
        <w:t>s”) other than the Company or its Subsidiaries; (ii) directly or indirectly induce or attempt to influence any employee of the Company or its Subsidiaries to leave its employ; (iii) directly or indirectly induce or attempt to influence any customer, vendor, supplier, counterparty or consultant of the Company or its Subsidiaries to alter its relationship with the Company or its Subsidiaries; (iv) make or hold any investment in any Restricted Business other than the Company or its Subsidiaries, whether such investment be by way of loan, purchase of stock or other securities or otherwise, provided that there shall be excluded from the foregoing the ownership of not more than 2% of the listed or traded stock of any publicly held corporation; or (v) agree, commit, or otherwise reach an understanding in writing to do any of the foregoing.</w:t>
      </w:r>
    </w:p>
    <w:p>
      <w:pPr>
        <w:spacing w:after="0" w:line="4" w:lineRule="exact"/>
        <w:rPr>
          <w:rFonts w:ascii="Arial" w:cs="Arial" w:eastAsia="Arial" w:hAnsi="Arial"/>
          <w:sz w:val="19"/>
          <w:szCs w:val="19"/>
          <w:color w:val="auto"/>
        </w:rPr>
      </w:pPr>
    </w:p>
    <w:p>
      <w:pPr>
        <w:ind w:left="320" w:right="640" w:hanging="320"/>
        <w:spacing w:after="0" w:line="263" w:lineRule="auto"/>
        <w:tabs>
          <w:tab w:leader="none" w:pos="3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the termination of Grantee’s employment with the applicable employer after becoming Retirement Eligible.</w:t>
      </w:r>
    </w:p>
    <w:p>
      <w:pPr>
        <w:spacing w:after="0" w:line="12" w:lineRule="exact"/>
        <w:rPr>
          <w:rFonts w:ascii="Arial" w:cs="Arial" w:eastAsia="Arial" w:hAnsi="Arial"/>
          <w:sz w:val="22"/>
          <w:szCs w:val="22"/>
          <w:color w:val="auto"/>
        </w:rPr>
      </w:pPr>
    </w:p>
    <w:p>
      <w:pPr>
        <w:ind w:left="320" w:hanging="320"/>
        <w:spacing w:after="0" w:line="297" w:lineRule="auto"/>
        <w:tabs>
          <w:tab w:leader="none" w:pos="3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Retirement Conditions</w:t>
      </w:r>
      <w:r>
        <w:rPr>
          <w:rFonts w:ascii="Arial" w:cs="Arial" w:eastAsia="Arial" w:hAnsi="Arial"/>
          <w:sz w:val="19"/>
          <w:szCs w:val="19"/>
          <w:color w:val="auto"/>
        </w:rPr>
        <w:t>” means, upon Grantee’s Retirement: (i) Grantee must have fully complied with the Restrictive Covenant Obligations, as well as the terms and conditions of Grantee’s employment, including compliance with all of the Company’s policies and procedures; (ii) there must not be any circumstances that exist at the time of such Grantee’s Retirement that would give the Company grounds to terminate Grantee’s employment for “Cause” (as such term or similar term is defined in the Employment Agreement) as determined by the Committee in its sole discretion; (iii) within sixty (60) days following Grantee’s Retirement,</w:t>
      </w:r>
    </w:p>
    <w:p>
      <w:pPr>
        <w:sectPr>
          <w:pgSz w:w="11900" w:h="16838" w:orient="portrait"/>
          <w:cols w:equalWidth="0" w:num="1">
            <w:col w:w="10260"/>
          </w:cols>
          <w:pgMar w:left="1300" w:top="1440" w:right="339" w:bottom="1440" w:gutter="0" w:footer="0" w:header="0"/>
        </w:sectPr>
      </w:pPr>
    </w:p>
    <w:bookmarkStart w:id="62" w:name="page63"/>
    <w:bookmarkEnd w:id="62"/>
    <w:p>
      <w:pPr>
        <w:spacing w:after="0" w:line="42" w:lineRule="exact"/>
        <w:rPr>
          <w:sz w:val="20"/>
          <w:szCs w:val="20"/>
          <w:color w:val="auto"/>
        </w:rPr>
      </w:pPr>
    </w:p>
    <w:p>
      <w:pPr>
        <w:ind w:left="968" w:right="120"/>
        <w:spacing w:after="0" w:line="296" w:lineRule="auto"/>
        <w:rPr>
          <w:sz w:val="20"/>
          <w:szCs w:val="20"/>
          <w:color w:val="auto"/>
        </w:rPr>
      </w:pPr>
      <w:r>
        <w:rPr>
          <w:rFonts w:ascii="Arial" w:cs="Arial" w:eastAsia="Arial" w:hAnsi="Arial"/>
          <w:sz w:val="19"/>
          <w:szCs w:val="19"/>
          <w:color w:val="auto"/>
        </w:rPr>
        <w:t>Grantee must execute and not revoke a Release; and (iv) in the case of a voluntary termination of employment by Grantee, Grantee must have delivered written notice to the Committee or the Chief Executive Officer of the Company (other than for himself or herself) of his or her intent to retire from the Company at least ninety (90) days prior to the effective date of such Grantee’s Retirement (unless such notice period is waived by the Committee or the Chief Executive Officer (other than for himself or herself)).</w:t>
      </w:r>
    </w:p>
    <w:p>
      <w:pPr>
        <w:spacing w:after="0" w:line="3" w:lineRule="exact"/>
        <w:rPr>
          <w:sz w:val="20"/>
          <w:szCs w:val="20"/>
          <w:color w:val="auto"/>
        </w:rPr>
      </w:pPr>
    </w:p>
    <w:p>
      <w:pPr>
        <w:ind w:left="968" w:hanging="320"/>
        <w:spacing w:after="0"/>
        <w:tabs>
          <w:tab w:leader="none" w:pos="968" w:val="left"/>
        </w:tabs>
        <w:numPr>
          <w:ilvl w:val="1"/>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Eligible</w:t>
      </w:r>
      <w:r>
        <w:rPr>
          <w:rFonts w:ascii="Arial" w:cs="Arial" w:eastAsia="Arial" w:hAnsi="Arial"/>
          <w:sz w:val="22"/>
          <w:szCs w:val="22"/>
          <w:color w:val="auto"/>
        </w:rPr>
        <w:t>” has the meaning set forth in Section 5(c) below.</w:t>
      </w:r>
    </w:p>
    <w:p>
      <w:pPr>
        <w:spacing w:after="0" w:line="57" w:lineRule="exact"/>
        <w:rPr>
          <w:rFonts w:ascii="Arial" w:cs="Arial" w:eastAsia="Arial" w:hAnsi="Arial"/>
          <w:sz w:val="22"/>
          <w:szCs w:val="22"/>
          <w:color w:val="auto"/>
        </w:rPr>
      </w:pPr>
    </w:p>
    <w:p>
      <w:pPr>
        <w:ind w:left="968" w:hanging="320"/>
        <w:spacing w:after="0"/>
        <w:tabs>
          <w:tab w:leader="none" w:pos="968" w:val="left"/>
        </w:tabs>
        <w:numPr>
          <w:ilvl w:val="1"/>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968" w:hanging="320"/>
        <w:spacing w:after="0"/>
        <w:tabs>
          <w:tab w:leader="none" w:pos="968" w:val="left"/>
        </w:tabs>
        <w:numPr>
          <w:ilvl w:val="1"/>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has the meaning set forth in the Employment Agreement.</w:t>
      </w:r>
    </w:p>
    <w:p>
      <w:pPr>
        <w:spacing w:after="0" w:line="65" w:lineRule="exact"/>
        <w:rPr>
          <w:rFonts w:ascii="Arial" w:cs="Arial" w:eastAsia="Arial" w:hAnsi="Arial"/>
          <w:sz w:val="22"/>
          <w:szCs w:val="22"/>
          <w:color w:val="auto"/>
        </w:rPr>
      </w:pPr>
    </w:p>
    <w:p>
      <w:pPr>
        <w:ind w:left="328" w:right="40" w:hanging="328"/>
        <w:spacing w:after="0" w:line="292" w:lineRule="auto"/>
        <w:tabs>
          <w:tab w:leader="none" w:pos="319"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Grant of RSUs</w:t>
      </w:r>
      <w:r>
        <w:rPr>
          <w:rFonts w:ascii="Arial" w:cs="Arial" w:eastAsia="Arial" w:hAnsi="Arial"/>
          <w:sz w:val="19"/>
          <w:szCs w:val="19"/>
          <w:color w:val="auto"/>
        </w:rPr>
        <w:t>. Subject to and upon the terms, conditions and restrictions set forth in this Agreement and in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hereby grants to Grantee a target number of [_____] Restricted Stock Units (the “</w:t>
      </w:r>
      <w:r>
        <w:rPr>
          <w:rFonts w:ascii="Arial" w:cs="Arial" w:eastAsia="Arial" w:hAnsi="Arial"/>
          <w:sz w:val="19"/>
          <w:szCs w:val="19"/>
          <w:u w:val="single" w:color="auto"/>
          <w:color w:val="auto"/>
        </w:rPr>
        <w:t>Target Number of RSUs</w:t>
      </w:r>
      <w:r>
        <w:rPr>
          <w:rFonts w:ascii="Arial" w:cs="Arial" w:eastAsia="Arial" w:hAnsi="Arial"/>
          <w:sz w:val="19"/>
          <w:szCs w:val="19"/>
          <w:color w:val="auto"/>
        </w:rPr>
        <w:t xml:space="preserve">”) (with a maximum number of [_____] Restricted Stock Units to be potentially earned pursuant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Maximum Number of RSUs</w:t>
      </w:r>
      <w:r>
        <w:rPr>
          <w:rFonts w:ascii="Arial" w:cs="Arial" w:eastAsia="Arial" w:hAnsi="Arial"/>
          <w:sz w:val="19"/>
          <w:szCs w:val="19"/>
          <w:color w:val="auto"/>
        </w:rPr>
        <w:t>”, and all Restricted Stock Units covered by this Agreement, the “</w:t>
      </w:r>
      <w:r>
        <w:rPr>
          <w:rFonts w:ascii="Arial" w:cs="Arial" w:eastAsia="Arial" w:hAnsi="Arial"/>
          <w:sz w:val="19"/>
          <w:szCs w:val="19"/>
          <w:u w:val="single" w:color="auto"/>
          <w:color w:val="auto"/>
        </w:rPr>
        <w:t>RSUs</w:t>
      </w:r>
      <w:r>
        <w:rPr>
          <w:rFonts w:ascii="Arial" w:cs="Arial" w:eastAsia="Arial" w:hAnsi="Arial"/>
          <w:sz w:val="19"/>
          <w:szCs w:val="19"/>
          <w:color w:val="auto"/>
        </w:rPr>
        <w:t xml:space="preserve">”)), plus the related RSUs granted as dividend equivalents pursuant to the terms of Section 8(a), and subject to the terms and conditions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Each RSU shall represent the right of Grantee to receive one share of Common stock of the Company as defined in Section 2(i) of the Plan (“</w:t>
      </w:r>
      <w:r>
        <w:rPr>
          <w:rFonts w:ascii="Arial" w:cs="Arial" w:eastAsia="Arial" w:hAnsi="Arial"/>
          <w:sz w:val="19"/>
          <w:szCs w:val="19"/>
          <w:u w:val="single" w:color="auto"/>
          <w:color w:val="auto"/>
        </w:rPr>
        <w:t>Common Stock</w:t>
      </w:r>
      <w:r>
        <w:rPr>
          <w:rFonts w:ascii="Arial" w:cs="Arial" w:eastAsia="Arial" w:hAnsi="Arial"/>
          <w:sz w:val="19"/>
          <w:szCs w:val="19"/>
          <w:color w:val="auto"/>
        </w:rPr>
        <w:t>”) subject to and upon the terms and conditions of this Agreement.</w:t>
      </w:r>
    </w:p>
    <w:p>
      <w:pPr>
        <w:spacing w:after="0" w:line="2" w:lineRule="exact"/>
        <w:rPr>
          <w:rFonts w:ascii="Arial" w:cs="Arial" w:eastAsia="Arial" w:hAnsi="Arial"/>
          <w:sz w:val="19"/>
          <w:szCs w:val="19"/>
          <w:color w:val="auto"/>
        </w:rPr>
      </w:pPr>
    </w:p>
    <w:p>
      <w:pPr>
        <w:ind w:left="328" w:right="420" w:hanging="328"/>
        <w:spacing w:after="0" w:line="256" w:lineRule="auto"/>
        <w:tabs>
          <w:tab w:leader="none" w:pos="319"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14" w:lineRule="exact"/>
        <w:rPr>
          <w:rFonts w:ascii="Arial" w:cs="Arial" w:eastAsia="Arial" w:hAnsi="Arial"/>
          <w:sz w:val="22"/>
          <w:szCs w:val="22"/>
          <w:color w:val="auto"/>
        </w:rPr>
      </w:pPr>
    </w:p>
    <w:p>
      <w:pPr>
        <w:ind w:left="328" w:hanging="328"/>
        <w:spacing w:after="0" w:line="256" w:lineRule="auto"/>
        <w:tabs>
          <w:tab w:leader="none" w:pos="319"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on [ ], provided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Board or the Committee has certified achievement of the applicable performance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Grantee remains continuously employed by the Company or any of its Subsidiaries (or any of their successors) through such date.</w:t>
      </w:r>
    </w:p>
    <w:p>
      <w:pPr>
        <w:spacing w:after="0" w:line="14" w:lineRule="exact"/>
        <w:rPr>
          <w:rFonts w:ascii="Arial" w:cs="Arial" w:eastAsia="Arial" w:hAnsi="Arial"/>
          <w:sz w:val="22"/>
          <w:szCs w:val="22"/>
          <w:color w:val="auto"/>
        </w:rPr>
      </w:pPr>
    </w:p>
    <w:p>
      <w:pPr>
        <w:ind w:left="328" w:right="80" w:hanging="328"/>
        <w:spacing w:after="0" w:line="262" w:lineRule="auto"/>
        <w:tabs>
          <w:tab w:leader="none" w:pos="319"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Accelerated Vesting</w:t>
      </w:r>
      <w:r>
        <w:rPr>
          <w:rFonts w:ascii="Arial" w:cs="Arial" w:eastAsia="Arial" w:hAnsi="Arial"/>
          <w:sz w:val="22"/>
          <w:szCs w:val="22"/>
          <w:color w:val="auto"/>
        </w:rPr>
        <w:t>. Notwithstanding the provisions of Section 4 hereof, all or a portion of the RSUs covered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become nonforfeitable and payable to Grantee upon the occurrence of the earliest of any of the following events (to the extent provided below):</w:t>
      </w:r>
    </w:p>
    <w:p>
      <w:pPr>
        <w:spacing w:after="0" w:line="14" w:lineRule="exact"/>
        <w:rPr>
          <w:rFonts w:ascii="Arial" w:cs="Arial" w:eastAsia="Arial" w:hAnsi="Arial"/>
          <w:sz w:val="22"/>
          <w:szCs w:val="22"/>
          <w:color w:val="auto"/>
        </w:rPr>
      </w:pPr>
    </w:p>
    <w:p>
      <w:pPr>
        <w:ind w:left="968" w:hanging="320"/>
        <w:spacing w:after="0" w:line="264" w:lineRule="auto"/>
        <w:tabs>
          <w:tab w:leader="none" w:pos="959"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on a Prorated Basis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as of the most recent date prior to the Change of Control for which applicable data for such determination is</w:t>
      </w:r>
    </w:p>
    <w:p>
      <w:pPr>
        <w:sectPr>
          <w:pgSz w:w="11900" w:h="16838" w:orient="portrait"/>
          <w:cols w:equalWidth="0" w:num="1">
            <w:col w:w="10888"/>
          </w:cols>
          <w:pgMar w:left="652" w:top="1440" w:right="359" w:bottom="1440" w:gutter="0" w:footer="0" w:header="0"/>
        </w:sectPr>
      </w:pPr>
    </w:p>
    <w:bookmarkStart w:id="63" w:name="page64"/>
    <w:bookmarkEnd w:id="63"/>
    <w:p>
      <w:pPr>
        <w:spacing w:after="0" w:line="42" w:lineRule="exact"/>
        <w:rPr>
          <w:sz w:val="20"/>
          <w:szCs w:val="20"/>
          <w:color w:val="auto"/>
        </w:rPr>
      </w:pPr>
    </w:p>
    <w:p>
      <w:pPr>
        <w:ind w:left="968" w:right="380"/>
        <w:spacing w:after="0" w:line="281" w:lineRule="auto"/>
        <w:rPr>
          <w:sz w:val="20"/>
          <w:szCs w:val="20"/>
          <w:color w:val="auto"/>
        </w:rPr>
      </w:pPr>
      <w:r>
        <w:rPr>
          <w:rFonts w:ascii="Arial" w:cs="Arial" w:eastAsia="Arial" w:hAnsi="Arial"/>
          <w:sz w:val="21"/>
          <w:szCs w:val="21"/>
          <w:color w:val="auto"/>
        </w:rPr>
        <w:t xml:space="preserve">publicly available, as determined by the Board or the Committee pursuant to </w:t>
      </w:r>
      <w:r>
        <w:rPr>
          <w:rFonts w:ascii="Arial" w:cs="Arial" w:eastAsia="Arial" w:hAnsi="Arial"/>
          <w:sz w:val="21"/>
          <w:szCs w:val="21"/>
          <w:u w:val="single" w:color="auto"/>
          <w:color w:val="auto"/>
        </w:rPr>
        <w:t>Exhibit A</w:t>
      </w:r>
      <w:r>
        <w:rPr>
          <w:rFonts w:ascii="Arial" w:cs="Arial" w:eastAsia="Arial" w:hAnsi="Arial"/>
          <w:sz w:val="21"/>
          <w:szCs w:val="21"/>
          <w:color w:val="auto"/>
        </w:rPr>
        <w:t>. Such number of RSUs shall become nonforfeitable and payable to Grantee on the date of such Change of Control.</w:t>
      </w:r>
    </w:p>
    <w:p>
      <w:pPr>
        <w:spacing w:after="0" w:line="2" w:lineRule="exact"/>
        <w:rPr>
          <w:sz w:val="20"/>
          <w:szCs w:val="20"/>
          <w:color w:val="auto"/>
        </w:rPr>
      </w:pPr>
    </w:p>
    <w:p>
      <w:pPr>
        <w:ind w:left="968" w:hanging="320"/>
        <w:spacing w:after="0" w:line="291" w:lineRule="auto"/>
        <w:tabs>
          <w:tab w:leader="none" w:pos="959"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If Grantee’s employment with the Company or any of its Subsidiaries (or any of their successors) terminates at any time as a result of: (i) Grantee’s death, (ii) Grantee’s Disability (pursuant to subparagraph 5(b)(ii) of the Employment Agreement), (iii) a Termination Without Cause or (iv) a Termination For Good Reason,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during the Performance Period, as determined by the Board or the Committee after the end of the Performance Period). Such number of RSUs shall become nonforfeitable and payable to Grantee on or before March 15 of the calendar year immediately following the end of the Performance Period.</w:t>
      </w:r>
    </w:p>
    <w:p>
      <w:pPr>
        <w:spacing w:after="0" w:line="5" w:lineRule="exact"/>
        <w:rPr>
          <w:rFonts w:ascii="Arial" w:cs="Arial" w:eastAsia="Arial" w:hAnsi="Arial"/>
          <w:sz w:val="19"/>
          <w:szCs w:val="19"/>
          <w:color w:val="auto"/>
        </w:rPr>
      </w:pPr>
    </w:p>
    <w:p>
      <w:pPr>
        <w:ind w:left="968" w:right="40" w:hanging="320"/>
        <w:spacing w:after="0" w:line="289" w:lineRule="auto"/>
        <w:tabs>
          <w:tab w:leader="none" w:pos="960" w:val="left"/>
        </w:tabs>
        <w:numPr>
          <w:ilvl w:val="1"/>
          <w:numId w:val="56"/>
        </w:numPr>
        <w:rPr>
          <w:rFonts w:ascii="Arial" w:cs="Arial" w:eastAsia="Arial" w:hAnsi="Arial"/>
          <w:sz w:val="19"/>
          <w:szCs w:val="19"/>
          <w:color w:val="auto"/>
        </w:rPr>
      </w:pPr>
      <w:r>
        <w:rPr>
          <w:rFonts w:ascii="Arial" w:cs="Arial" w:eastAsia="Arial" w:hAnsi="Arial"/>
          <w:sz w:val="19"/>
          <w:szCs w:val="19"/>
          <w:color w:val="auto"/>
        </w:rPr>
        <w:t>Subject to the remainder of this Section 5(c) and Grantee’s compliance with the Retirement Conditions, if, on or after January 1, 2026, Grantee has: (i) attained the age of 65 and completed at least three (3) years of Continuous Retirement Service; (ii) attained the age of 55 and completed at least three (3) years of Continuous Retirement Service, and the sum of Grantee’s age (rounded down to the nearest whole year) and years of Continuous Retirement Service is equal to or greater than 70; or (iii) completed at least twenty (20) years of Continuous Retirement Service (any of the circumstances described in clauses (i), (ii), or (iii) of this Section 5(c) referred to as becoming “</w:t>
      </w:r>
      <w:r>
        <w:rPr>
          <w:rFonts w:ascii="Arial" w:cs="Arial" w:eastAsia="Arial" w:hAnsi="Arial"/>
          <w:sz w:val="19"/>
          <w:szCs w:val="19"/>
          <w:u w:val="single" w:color="auto"/>
          <w:color w:val="auto"/>
        </w:rPr>
        <w:t>Retirement Eligible</w:t>
      </w:r>
      <w:r>
        <w:rPr>
          <w:rFonts w:ascii="Arial" w:cs="Arial" w:eastAsia="Arial" w:hAnsi="Arial"/>
          <w:sz w:val="19"/>
          <w:szCs w:val="19"/>
          <w:color w:val="auto"/>
        </w:rPr>
        <w:t>”), the RSUs covered by this Agreement shall continue to vest in accordance with this Agreement on the same terms as though Grantee had remained employed until the last day of the Performance Period. Such number of RSUs shall become nonforfeitable and payable to Grantee on or before March 15 of the calendar year immediately following the end of the Performance Period. Notwithstanding the foregoing, the continued vesting and settlement of RSUs described in this Section 5(c) shall only apply if Grantee complies with the Restrictive Covenant Obligations until the time that such RSUs are paid to Grantee, and the Company reserves the right to withhold payment for any vested RSUs in the event that Grantee violates the Restrictive Covenant Obligations prior to the date on which such RSUs are paid to Grantee (and such vested RSUs shall be forfeited for no consideration).</w:t>
      </w:r>
    </w:p>
    <w:p>
      <w:pPr>
        <w:spacing w:after="0" w:line="252" w:lineRule="exact"/>
        <w:rPr>
          <w:rFonts w:ascii="Arial" w:cs="Arial" w:eastAsia="Arial" w:hAnsi="Arial"/>
          <w:sz w:val="19"/>
          <w:szCs w:val="19"/>
          <w:color w:val="auto"/>
        </w:rPr>
      </w:pPr>
    </w:p>
    <w:p>
      <w:pPr>
        <w:ind w:left="328" w:right="140" w:hanging="328"/>
        <w:spacing w:after="0" w:line="253" w:lineRule="auto"/>
        <w:tabs>
          <w:tab w:leader="none" w:pos="319"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Except to the extent the RSUs covered by this Agreement have become nonforfeitable pursuant to 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or 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ectPr>
          <w:pgSz w:w="11900" w:h="16838" w:orient="portrait"/>
          <w:cols w:equalWidth="0" w:num="1">
            <w:col w:w="10908"/>
          </w:cols>
          <w:pgMar w:left="652" w:top="1440" w:right="339" w:bottom="1440" w:gutter="0" w:footer="0" w:header="0"/>
        </w:sectPr>
      </w:pPr>
    </w:p>
    <w:bookmarkStart w:id="64" w:name="page65"/>
    <w:bookmarkEnd w:id="64"/>
    <w:p>
      <w:pPr>
        <w:spacing w:after="0" w:line="36" w:lineRule="exact"/>
        <w:rPr>
          <w:sz w:val="20"/>
          <w:szCs w:val="20"/>
          <w:color w:val="auto"/>
        </w:rPr>
      </w:pPr>
    </w:p>
    <w:p>
      <w:pPr>
        <w:ind w:left="308" w:hanging="308"/>
        <w:spacing w:after="0"/>
        <w:tabs>
          <w:tab w:leader="none" w:pos="308"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hanging="320"/>
        <w:spacing w:after="0" w:line="296" w:lineRule="auto"/>
        <w:tabs>
          <w:tab w:leader="none" w:pos="959"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9"/>
          <w:szCs w:val="19"/>
          <w:color w:val="auto"/>
        </w:rPr>
      </w:pPr>
    </w:p>
    <w:p>
      <w:pPr>
        <w:ind w:left="968" w:hanging="320"/>
        <w:spacing w:after="0"/>
        <w:tabs>
          <w:tab w:leader="none" w:pos="968"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628" w:right="580" w:hanging="440"/>
        <w:spacing w:after="0" w:line="275" w:lineRule="auto"/>
        <w:tabs>
          <w:tab w:leader="none" w:pos="1628"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4 hereof shall be paid within ten (10) days following the date on which such RSUs become nonforfeitable.</w:t>
      </w:r>
    </w:p>
    <w:p>
      <w:pPr>
        <w:ind w:left="1628" w:right="460" w:hanging="488"/>
        <w:spacing w:after="0" w:line="263" w:lineRule="auto"/>
        <w:tabs>
          <w:tab w:leader="none" w:pos="1628"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5(a) hereof shall be paid on the date of such Change of Control.</w:t>
      </w:r>
    </w:p>
    <w:p>
      <w:pPr>
        <w:spacing w:after="0" w:line="12" w:lineRule="exact"/>
        <w:rPr>
          <w:rFonts w:ascii="Arial" w:cs="Arial" w:eastAsia="Arial" w:hAnsi="Arial"/>
          <w:sz w:val="22"/>
          <w:szCs w:val="22"/>
          <w:color w:val="auto"/>
        </w:rPr>
      </w:pPr>
    </w:p>
    <w:p>
      <w:pPr>
        <w:ind w:left="1628" w:hanging="536"/>
        <w:spacing w:after="0" w:line="251" w:lineRule="auto"/>
        <w:tabs>
          <w:tab w:leader="none" w:pos="1628"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5(b) or 5(c) hereof shall be paid on or before March 15 of the calendar year immediately following the end of the Performance Period; provided that if any of the events contemplated in Section 5(b) or 5(c) hereof occurs on or before the last day of the Performance Period, Grantee (or, if applicable, Grantee’s estate) shall have first executed and not revoked a Release.</w:t>
      </w:r>
    </w:p>
    <w:p>
      <w:pPr>
        <w:spacing w:after="0" w:line="21" w:lineRule="exact"/>
        <w:rPr>
          <w:rFonts w:ascii="Arial" w:cs="Arial" w:eastAsia="Arial" w:hAnsi="Arial"/>
          <w:sz w:val="22"/>
          <w:szCs w:val="22"/>
          <w:color w:val="auto"/>
        </w:rPr>
      </w:pPr>
    </w:p>
    <w:p>
      <w:pPr>
        <w:ind w:left="308" w:hanging="308"/>
        <w:spacing w:after="0"/>
        <w:tabs>
          <w:tab w:leader="none" w:pos="308"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right="20" w:hanging="320"/>
        <w:spacing w:after="0" w:line="289" w:lineRule="auto"/>
        <w:tabs>
          <w:tab w:leader="none" w:pos="959" w:val="left"/>
        </w:tabs>
        <w:numPr>
          <w:ilvl w:val="1"/>
          <w:numId w:val="58"/>
        </w:numPr>
        <w:rPr>
          <w:rFonts w:ascii="Arial" w:cs="Arial" w:eastAsia="Arial" w:hAnsi="Arial"/>
          <w:sz w:val="19"/>
          <w:szCs w:val="19"/>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8" w:lineRule="exact"/>
        <w:rPr>
          <w:rFonts w:ascii="Arial" w:cs="Arial" w:eastAsia="Arial" w:hAnsi="Arial"/>
          <w:sz w:val="19"/>
          <w:szCs w:val="19"/>
          <w:color w:val="auto"/>
        </w:rPr>
      </w:pPr>
    </w:p>
    <w:p>
      <w:pPr>
        <w:ind w:left="968" w:right="380" w:hanging="320"/>
        <w:spacing w:after="0" w:line="306" w:lineRule="auto"/>
        <w:tabs>
          <w:tab w:leader="none" w:pos="959" w:val="left"/>
        </w:tabs>
        <w:numPr>
          <w:ilvl w:val="1"/>
          <w:numId w:val="58"/>
        </w:numPr>
        <w:rPr>
          <w:rFonts w:ascii="Arial" w:cs="Arial" w:eastAsia="Arial" w:hAnsi="Arial"/>
          <w:sz w:val="19"/>
          <w:szCs w:val="19"/>
          <w:color w:val="auto"/>
        </w:rPr>
      </w:pPr>
      <w:r>
        <w:rPr>
          <w:rFonts w:ascii="Arial" w:cs="Arial" w:eastAsia="Arial" w:hAnsi="Arial"/>
          <w:sz w:val="19"/>
          <w:szCs w:val="19"/>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9"/>
          <w:szCs w:val="19"/>
          <w:color w:val="auto"/>
        </w:rPr>
      </w:pPr>
    </w:p>
    <w:p>
      <w:pPr>
        <w:ind w:left="968" w:right="140" w:hanging="320"/>
        <w:spacing w:after="0" w:line="263" w:lineRule="auto"/>
        <w:tabs>
          <w:tab w:leader="none" w:pos="9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shares of Common</w:t>
      </w:r>
    </w:p>
    <w:p>
      <w:pPr>
        <w:sectPr>
          <w:pgSz w:w="11900" w:h="16838" w:orient="portrait"/>
          <w:cols w:equalWidth="0" w:num="1">
            <w:col w:w="10908"/>
          </w:cols>
          <w:pgMar w:left="652" w:top="1440" w:right="339" w:bottom="1440" w:gutter="0" w:footer="0" w:header="0"/>
        </w:sectPr>
      </w:pPr>
    </w:p>
    <w:bookmarkStart w:id="65" w:name="page66"/>
    <w:bookmarkEnd w:id="65"/>
    <w:p>
      <w:pPr>
        <w:spacing w:after="0" w:line="42" w:lineRule="exact"/>
        <w:rPr>
          <w:sz w:val="20"/>
          <w:szCs w:val="20"/>
          <w:color w:val="auto"/>
        </w:rPr>
      </w:pPr>
    </w:p>
    <w:p>
      <w:pPr>
        <w:ind w:left="968" w:right="180"/>
        <w:spacing w:after="0" w:line="253" w:lineRule="auto"/>
        <w:rPr>
          <w:sz w:val="20"/>
          <w:szCs w:val="20"/>
          <w:color w:val="auto"/>
        </w:rPr>
      </w:pPr>
      <w:r>
        <w:rPr>
          <w:rFonts w:ascii="Arial" w:cs="Arial" w:eastAsia="Arial" w:hAnsi="Arial"/>
          <w:sz w:val="22"/>
          <w:szCs w:val="22"/>
          <w:color w:val="auto"/>
        </w:rPr>
        <w:t>Stock or pay cash in the future, and the rights of Grantee will be no greater than that of an unsecured general creditor. No assets of the Company will be held or set aside as security for the obligations of the Company under this Agreement.</w:t>
      </w:r>
    </w:p>
    <w:p>
      <w:pPr>
        <w:spacing w:after="0" w:line="31" w:lineRule="exact"/>
        <w:rPr>
          <w:sz w:val="20"/>
          <w:szCs w:val="20"/>
          <w:color w:val="auto"/>
        </w:rPr>
      </w:pPr>
    </w:p>
    <w:p>
      <w:pPr>
        <w:ind w:left="328" w:right="160" w:hanging="328"/>
        <w:spacing w:after="0" w:line="263" w:lineRule="auto"/>
        <w:tabs>
          <w:tab w:leader="none" w:pos="319"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No Right to Future Awards or Employment</w:t>
      </w:r>
      <w:r>
        <w:rPr>
          <w:rFonts w:ascii="Arial" w:cs="Arial" w:eastAsia="Arial" w:hAnsi="Arial"/>
          <w:sz w:val="21"/>
          <w:szCs w:val="21"/>
          <w:color w:val="auto"/>
        </w:rPr>
        <w:t>. The grant of the RSUs under this Agreement to Grantee is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10" w:lineRule="exact"/>
        <w:rPr>
          <w:rFonts w:ascii="Arial" w:cs="Arial" w:eastAsia="Arial" w:hAnsi="Arial"/>
          <w:sz w:val="21"/>
          <w:szCs w:val="21"/>
          <w:color w:val="auto"/>
        </w:rPr>
      </w:pPr>
    </w:p>
    <w:p>
      <w:pPr>
        <w:ind w:left="328" w:right="200" w:hanging="328"/>
        <w:spacing w:after="0" w:line="311" w:lineRule="auto"/>
        <w:tabs>
          <w:tab w:leader="none" w:pos="318"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The number of shares of Common Stock issuable for each RSU and the other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evidenced by this Agreement are subject to adjustment as provided in Section 11 of the Plan.</w:t>
      </w:r>
    </w:p>
    <w:p>
      <w:pPr>
        <w:ind w:left="328" w:hanging="328"/>
        <w:spacing w:after="0" w:line="289" w:lineRule="auto"/>
        <w:tabs>
          <w:tab w:leader="none" w:pos="318"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2" w:lineRule="exact"/>
        <w:rPr>
          <w:rFonts w:ascii="Arial" w:cs="Arial" w:eastAsia="Arial" w:hAnsi="Arial"/>
          <w:sz w:val="19"/>
          <w:szCs w:val="19"/>
          <w:color w:val="auto"/>
        </w:rPr>
      </w:pPr>
    </w:p>
    <w:p>
      <w:pPr>
        <w:ind w:left="328" w:right="340" w:hanging="328"/>
        <w:spacing w:after="0" w:line="252" w:lineRule="auto"/>
        <w:tabs>
          <w:tab w:leader="none" w:pos="31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31" w:lineRule="exact"/>
        <w:rPr>
          <w:rFonts w:ascii="Arial" w:cs="Arial" w:eastAsia="Arial" w:hAnsi="Arial"/>
          <w:sz w:val="22"/>
          <w:szCs w:val="22"/>
          <w:color w:val="auto"/>
        </w:rPr>
      </w:pPr>
    </w:p>
    <w:p>
      <w:pPr>
        <w:ind w:left="328" w:right="60" w:hanging="328"/>
        <w:spacing w:after="0" w:line="267" w:lineRule="auto"/>
        <w:tabs>
          <w:tab w:leader="none" w:pos="318"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Clawback</w:t>
      </w:r>
      <w:r>
        <w:rPr>
          <w:rFonts w:ascii="Arial" w:cs="Arial" w:eastAsia="Arial" w:hAnsi="Arial"/>
          <w:sz w:val="21"/>
          <w:szCs w:val="21"/>
          <w:color w:val="auto"/>
        </w:rPr>
        <w:t>. The RSUs shall be subject to the Company’s Clawback Policy, as in effect on the Date of Grant,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w:t>
      </w:r>
    </w:p>
    <w:p>
      <w:pPr>
        <w:sectPr>
          <w:pgSz w:w="11900" w:h="16838" w:orient="portrait"/>
          <w:cols w:equalWidth="0" w:num="1">
            <w:col w:w="10888"/>
          </w:cols>
          <w:pgMar w:left="652" w:top="1440" w:right="359" w:bottom="1440" w:gutter="0" w:footer="0" w:header="0"/>
        </w:sectPr>
      </w:pPr>
    </w:p>
    <w:bookmarkStart w:id="66" w:name="page67"/>
    <w:bookmarkEnd w:id="66"/>
    <w:p>
      <w:pPr>
        <w:spacing w:after="0" w:line="42" w:lineRule="exact"/>
        <w:rPr>
          <w:sz w:val="20"/>
          <w:szCs w:val="20"/>
          <w:color w:val="auto"/>
        </w:rPr>
      </w:pPr>
    </w:p>
    <w:p>
      <w:pPr>
        <w:ind w:left="328"/>
        <w:spacing w:after="0" w:line="260" w:lineRule="auto"/>
        <w:rPr>
          <w:sz w:val="20"/>
          <w:szCs w:val="20"/>
          <w:color w:val="auto"/>
        </w:rPr>
      </w:pPr>
      <w:r>
        <w:rPr>
          <w:rFonts w:ascii="Arial" w:cs="Arial" w:eastAsia="Arial" w:hAnsi="Arial"/>
          <w:sz w:val="21"/>
          <w:szCs w:val="21"/>
          <w:color w:val="auto"/>
        </w:rPr>
        <w:t>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or as the Clawback Policy otherwise may be amended or adopted in good faith by the Board for the Company’s employees. In addition, in the event that Grantee breaches any provision of subparagraphs 7(a) and 7(b) of the Employment Agreement during the Non-Competition Period (as defined in the Employment Agreement) (the “</w:t>
      </w:r>
      <w:r>
        <w:rPr>
          <w:rFonts w:ascii="Arial" w:cs="Arial" w:eastAsia="Arial" w:hAnsi="Arial"/>
          <w:sz w:val="21"/>
          <w:szCs w:val="21"/>
          <w:u w:val="single" w:color="auto"/>
          <w:color w:val="auto"/>
        </w:rPr>
        <w:t>Employment Agreement Covenants</w:t>
      </w:r>
      <w:r>
        <w:rPr>
          <w:rFonts w:ascii="Arial" w:cs="Arial" w:eastAsia="Arial" w:hAnsi="Arial"/>
          <w:sz w:val="21"/>
          <w:szCs w:val="21"/>
          <w:color w:val="auto"/>
        </w:rPr>
        <w:t>”), Grantee shall forfeit any right to receive shares of Common Stock with respect to RSUs that have vested pursuant to Section 5(b) or 5(c)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19" w:lineRule="exact"/>
        <w:rPr>
          <w:sz w:val="20"/>
          <w:szCs w:val="20"/>
          <w:color w:val="auto"/>
        </w:rPr>
      </w:pPr>
    </w:p>
    <w:p>
      <w:pPr>
        <w:ind w:left="328" w:right="120" w:hanging="328"/>
        <w:spacing w:after="0" w:line="296" w:lineRule="auto"/>
        <w:tabs>
          <w:tab w:leader="none" w:pos="318"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Relation to Other Benefits</w:t>
      </w:r>
      <w:r>
        <w:rPr>
          <w:rFonts w:ascii="Arial" w:cs="Arial" w:eastAsia="Arial" w:hAnsi="Arial"/>
          <w:sz w:val="19"/>
          <w:szCs w:val="19"/>
          <w:color w:val="auto"/>
        </w:rPr>
        <w:t>. Any economic or other benefit to Grantee under this Agreement or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9"/>
          <w:szCs w:val="19"/>
          <w:color w:val="auto"/>
        </w:rPr>
      </w:pPr>
    </w:p>
    <w:p>
      <w:pPr>
        <w:ind w:left="328" w:right="100" w:hanging="328"/>
        <w:spacing w:after="0" w:line="291" w:lineRule="auto"/>
        <w:tabs>
          <w:tab w:leader="none" w:pos="318"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 ] of the Employment Agreement.</w:t>
      </w:r>
    </w:p>
    <w:p>
      <w:pPr>
        <w:spacing w:after="0" w:line="5" w:lineRule="exact"/>
        <w:rPr>
          <w:rFonts w:ascii="Arial" w:cs="Arial" w:eastAsia="Arial" w:hAnsi="Arial"/>
          <w:sz w:val="19"/>
          <w:szCs w:val="19"/>
          <w:color w:val="auto"/>
        </w:rPr>
      </w:pPr>
    </w:p>
    <w:p>
      <w:pPr>
        <w:jc w:val="both"/>
        <w:ind w:left="328" w:right="320" w:hanging="328"/>
        <w:spacing w:after="0" w:line="301" w:lineRule="auto"/>
        <w:tabs>
          <w:tab w:leader="none" w:pos="318"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In the event that one or more of the provisions of this Agreement shall be invalidated for any reason by a</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9"/>
          <w:szCs w:val="19"/>
          <w:color w:val="auto"/>
        </w:rPr>
      </w:pPr>
    </w:p>
    <w:p>
      <w:pPr>
        <w:ind w:left="328" w:right="160" w:hanging="328"/>
        <w:spacing w:after="0" w:line="269" w:lineRule="auto"/>
        <w:tabs>
          <w:tab w:leader="none" w:pos="318"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13" w:lineRule="exact"/>
        <w:rPr>
          <w:rFonts w:ascii="Arial" w:cs="Arial" w:eastAsia="Arial" w:hAnsi="Arial"/>
          <w:sz w:val="22"/>
          <w:szCs w:val="22"/>
          <w:color w:val="auto"/>
        </w:rPr>
      </w:pPr>
    </w:p>
    <w:p>
      <w:pPr>
        <w:jc w:val="both"/>
        <w:ind w:left="328" w:right="60" w:hanging="328"/>
        <w:spacing w:after="0" w:line="256" w:lineRule="auto"/>
        <w:tabs>
          <w:tab w:leader="none" w:pos="318"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Acknowledgement</w:t>
      </w:r>
      <w:r>
        <w:rPr>
          <w:rFonts w:ascii="Arial" w:cs="Arial" w:eastAsia="Arial" w:hAnsi="Arial"/>
          <w:sz w:val="22"/>
          <w:szCs w:val="22"/>
          <w:color w:val="auto"/>
        </w:rPr>
        <w:t>. Grantee acknowledges that Grantee (a) has received a copy of the Plan, (b) has had an opportunity to</w:t>
      </w:r>
      <w:r>
        <w:rPr>
          <w:rFonts w:ascii="Arial" w:cs="Arial" w:eastAsia="Arial" w:hAnsi="Arial"/>
          <w:sz w:val="22"/>
          <w:szCs w:val="22"/>
          <w:b w:val="1"/>
          <w:bCs w:val="1"/>
          <w:color w:val="auto"/>
        </w:rPr>
        <w:t xml:space="preserve"> </w:t>
      </w:r>
      <w:r>
        <w:rPr>
          <w:rFonts w:ascii="Arial" w:cs="Arial" w:eastAsia="Arial" w:hAnsi="Arial"/>
          <w:sz w:val="22"/>
          <w:szCs w:val="22"/>
          <w:color w:val="auto"/>
        </w:rPr>
        <w:t>review the terms of this Agreement and the Plan, (c) understands the terms and conditions of this Agreement and the Plan and (d) agrees to such terms and conditions.</w:t>
      </w:r>
    </w:p>
    <w:p>
      <w:pPr>
        <w:sectPr>
          <w:pgSz w:w="11900" w:h="16838" w:orient="portrait"/>
          <w:cols w:equalWidth="0" w:num="1">
            <w:col w:w="10908"/>
          </w:cols>
          <w:pgMar w:left="652" w:top="1440" w:right="339" w:bottom="1440" w:gutter="0" w:footer="0" w:header="0"/>
        </w:sectPr>
      </w:pPr>
    </w:p>
    <w:bookmarkStart w:id="67" w:name="page68"/>
    <w:bookmarkEnd w:id="67"/>
    <w:p>
      <w:pPr>
        <w:spacing w:after="0" w:line="36" w:lineRule="exact"/>
        <w:rPr>
          <w:sz w:val="20"/>
          <w:szCs w:val="20"/>
          <w:color w:val="auto"/>
        </w:rPr>
      </w:pPr>
    </w:p>
    <w:p>
      <w:pPr>
        <w:jc w:val="both"/>
        <w:ind w:left="328" w:hanging="328"/>
        <w:spacing w:after="0" w:line="256"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27" w:lineRule="exact"/>
        <w:rPr>
          <w:rFonts w:ascii="Arial" w:cs="Arial" w:eastAsia="Arial" w:hAnsi="Arial"/>
          <w:sz w:val="22"/>
          <w:szCs w:val="22"/>
          <w:color w:val="auto"/>
        </w:rPr>
      </w:pPr>
    </w:p>
    <w:p>
      <w:pPr>
        <w:ind w:left="328" w:right="100" w:hanging="328"/>
        <w:spacing w:after="0" w:line="256"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14" w:lineRule="exact"/>
        <w:rPr>
          <w:rFonts w:ascii="Arial" w:cs="Arial" w:eastAsia="Arial" w:hAnsi="Arial"/>
          <w:sz w:val="22"/>
          <w:szCs w:val="22"/>
          <w:color w:val="auto"/>
        </w:rPr>
      </w:pPr>
    </w:p>
    <w:p>
      <w:pPr>
        <w:ind w:left="328" w:right="100" w:hanging="328"/>
        <w:spacing w:after="0" w:line="292" w:lineRule="auto"/>
        <w:tabs>
          <w:tab w:leader="none" w:pos="318"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the Company provided for herein shall be in writing (including electronically)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rFonts w:ascii="Arial" w:cs="Arial" w:eastAsia="Arial" w:hAnsi="Arial"/>
          <w:sz w:val="19"/>
          <w:szCs w:val="19"/>
          <w:color w:val="auto"/>
        </w:rPr>
      </w:pPr>
    </w:p>
    <w:p>
      <w:pPr>
        <w:ind w:left="328" w:right="180" w:hanging="328"/>
        <w:spacing w:after="0" w:line="253"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RSUs and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 w:lineRule="exact"/>
        <w:rPr>
          <w:rFonts w:ascii="Arial" w:cs="Arial" w:eastAsia="Arial" w:hAnsi="Arial"/>
          <w:sz w:val="22"/>
          <w:szCs w:val="22"/>
          <w:color w:val="auto"/>
        </w:rPr>
      </w:pPr>
    </w:p>
    <w:p>
      <w:pPr>
        <w:ind w:left="328" w:right="20" w:hanging="328"/>
        <w:spacing w:after="0" w:line="290" w:lineRule="auto"/>
        <w:tabs>
          <w:tab w:leader="none" w:pos="318"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5" w:lineRule="exact"/>
        <w:rPr>
          <w:rFonts w:ascii="Arial" w:cs="Arial" w:eastAsia="Arial" w:hAnsi="Arial"/>
          <w:sz w:val="19"/>
          <w:szCs w:val="19"/>
          <w:color w:val="auto"/>
        </w:rPr>
      </w:pPr>
    </w:p>
    <w:p>
      <w:pPr>
        <w:ind w:left="328" w:right="20" w:hanging="328"/>
        <w:spacing w:after="0" w:line="262"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transmitted counterparts), each of which shall be deemed to be an original but all of which together will constitute one and the same agreement.</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0908"/>
          </w:cols>
          <w:pgMar w:left="652" w:top="1440" w:right="339" w:bottom="1440" w:gutter="0" w:footer="0" w:header="0"/>
        </w:sectPr>
      </w:pPr>
    </w:p>
    <w:bookmarkStart w:id="68" w:name="page69"/>
    <w:bookmarkEnd w:id="68"/>
    <w:p>
      <w:pPr>
        <w:spacing w:after="0" w:line="250"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 _________________</w:t>
      </w:r>
    </w:p>
    <w:p>
      <w:pPr>
        <w:sectPr>
          <w:pgSz w:w="11900" w:h="16838" w:orient="portrait"/>
          <w:cols w:equalWidth="0" w:num="1">
            <w:col w:w="10920"/>
          </w:cols>
          <w:pgMar w:left="320" w:top="1414" w:right="659" w:bottom="1440" w:gutter="0" w:footer="0" w:header="0"/>
        </w:sectPr>
      </w:pPr>
    </w:p>
    <w:bookmarkStart w:id="69" w:name="page70"/>
    <w:bookmarkEnd w:id="69"/>
    <w:p>
      <w:pPr>
        <w:jc w:val="center"/>
        <w:ind w:left="4200"/>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left="4200"/>
        <w:spacing w:after="0"/>
        <w:rPr>
          <w:sz w:val="20"/>
          <w:szCs w:val="20"/>
          <w:color w:val="auto"/>
        </w:rPr>
      </w:pPr>
      <w:r>
        <w:rPr>
          <w:rFonts w:ascii="Arial" w:cs="Arial" w:eastAsia="Arial" w:hAnsi="Arial"/>
          <w:sz w:val="19"/>
          <w:szCs w:val="19"/>
          <w:b w:val="1"/>
          <w:bCs w:val="1"/>
          <w:color w:val="auto"/>
        </w:rPr>
        <w:t>Performance Vesting Schedule</w:t>
      </w:r>
    </w:p>
    <w:p>
      <w:pPr>
        <w:spacing w:after="0" w:line="200" w:lineRule="exact"/>
        <w:rPr>
          <w:sz w:val="20"/>
          <w:szCs w:val="20"/>
          <w:color w:val="auto"/>
        </w:rPr>
      </w:pPr>
    </w:p>
    <w:p>
      <w:pPr>
        <w:spacing w:after="0" w:line="293"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 ]</w:t>
      </w:r>
    </w:p>
    <w:p>
      <w:pPr>
        <w:sectPr>
          <w:pgSz w:w="11900" w:h="16838" w:orient="portrait"/>
          <w:cols w:equalWidth="0" w:num="1">
            <w:col w:w="9019"/>
          </w:cols>
          <w:pgMar w:left="1440" w:top="1408" w:right="1440" w:bottom="1440" w:gutter="0" w:footer="0" w:header="0"/>
        </w:sectPr>
      </w:pPr>
    </w:p>
    <w:bookmarkStart w:id="70" w:name="page71"/>
    <w:bookmarkEnd w:id="70"/>
    <w:p>
      <w:pPr>
        <w:jc w:val="center"/>
        <w:ind w:right="-359"/>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8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Former American Capital, Ltd., employees will be credited with “Continuous Retirement Service” under this Agreement for their service with American Capital, Ltd. from and after the IPO, as follows: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62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Percentage of Job Duties Allocated to AGNC Investment</w:t>
            </w:r>
          </w:p>
        </w:tc>
        <w:tc>
          <w:tcPr>
            <w:tcW w:w="5600" w:type="dxa"/>
            <w:vAlign w:val="bottom"/>
            <w:tcBorders>
              <w:top w:val="single" w:sz="8" w:color="auto"/>
              <w:right w:val="single" w:sz="8" w:color="auto"/>
            </w:tcBorders>
            <w:shd w:val="clear" w:color="auto" w:fill="BFBFBF"/>
          </w:tcPr>
          <w:p>
            <w:pPr>
              <w:ind w:left="2120"/>
              <w:spacing w:after="0"/>
              <w:rPr>
                <w:sz w:val="20"/>
                <w:szCs w:val="20"/>
                <w:color w:val="auto"/>
              </w:rPr>
            </w:pPr>
            <w:r>
              <w:rPr>
                <w:rFonts w:ascii="Arial" w:cs="Arial" w:eastAsia="Arial" w:hAnsi="Arial"/>
                <w:sz w:val="22"/>
                <w:szCs w:val="22"/>
                <w:b w:val="1"/>
                <w:bCs w:val="1"/>
                <w:color w:val="auto"/>
              </w:rPr>
              <w:t>Service Credit</w:t>
            </w:r>
          </w:p>
        </w:tc>
      </w:tr>
      <w:tr>
        <w:trPr>
          <w:trHeight w:val="243"/>
        </w:trPr>
        <w:tc>
          <w:tcPr>
            <w:tcW w:w="5620" w:type="dxa"/>
            <w:vAlign w:val="bottom"/>
            <w:tcBorders>
              <w:left w:val="single" w:sz="8" w:color="auto"/>
              <w:right w:val="single" w:sz="8" w:color="auto"/>
            </w:tcBorders>
            <w:shd w:val="clear" w:color="auto" w:fill="BFBFBF"/>
          </w:tcPr>
          <w:p>
            <w:pPr>
              <w:jc w:val="center"/>
              <w:spacing w:after="0" w:line="243" w:lineRule="exact"/>
              <w:rPr>
                <w:sz w:val="20"/>
                <w:szCs w:val="20"/>
                <w:color w:val="auto"/>
              </w:rPr>
            </w:pPr>
            <w:r>
              <w:rPr>
                <w:rFonts w:ascii="Arial" w:cs="Arial" w:eastAsia="Arial" w:hAnsi="Arial"/>
                <w:sz w:val="22"/>
                <w:szCs w:val="22"/>
                <w:b w:val="1"/>
                <w:bCs w:val="1"/>
                <w:color w:val="auto"/>
                <w:w w:val="96"/>
              </w:rPr>
              <w:t>Corp., AMM, AGNC Management, LLC or MTGE</w:t>
            </w:r>
          </w:p>
        </w:tc>
        <w:tc>
          <w:tcPr>
            <w:tcW w:w="5600" w:type="dxa"/>
            <w:vAlign w:val="bottom"/>
            <w:tcBorders>
              <w:right w:val="single" w:sz="8" w:color="auto"/>
            </w:tcBorders>
            <w:shd w:val="clear" w:color="auto" w:fill="BFBFBF"/>
          </w:tcPr>
          <w:p>
            <w:pPr>
              <w:spacing w:after="0"/>
              <w:rPr>
                <w:sz w:val="21"/>
                <w:szCs w:val="21"/>
                <w:color w:val="auto"/>
              </w:rPr>
            </w:pPr>
          </w:p>
        </w:tc>
      </w:tr>
      <w:tr>
        <w:trPr>
          <w:trHeight w:val="291"/>
        </w:trPr>
        <w:tc>
          <w:tcPr>
            <w:tcW w:w="562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3"/>
              </w:rPr>
              <w:t>Management, LLC</w:t>
            </w:r>
          </w:p>
        </w:tc>
        <w:tc>
          <w:tcPr>
            <w:tcW w:w="560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91"/>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75% or greater</w:t>
            </w: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w:t>
            </w:r>
          </w:p>
        </w:tc>
      </w:tr>
      <w:tr>
        <w:trPr>
          <w:trHeight w:val="29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25% to 75%</w:t>
            </w: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50%</w:t>
            </w:r>
          </w:p>
        </w:tc>
      </w:tr>
      <w:tr>
        <w:trPr>
          <w:trHeight w:val="291"/>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&lt;25%</w:t>
            </w: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bl>
    <w:p>
      <w:pPr>
        <w:spacing w:after="0" w:line="30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Employees who were former American Capital employees will receive the benefit of this service credit even if their employment with the Company did not commence on or before July 1, 2016.</w:t>
      </w:r>
    </w:p>
    <w:p>
      <w:pPr>
        <w:sectPr>
          <w:pgSz w:w="11900" w:h="16838" w:orient="portrait"/>
          <w:cols w:equalWidth="0" w:num="1">
            <w:col w:w="11220"/>
          </w:cols>
          <w:pgMar w:left="320" w:top="1408"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51"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8, 2023</w:t>
      </w:r>
    </w:p>
    <w:p>
      <w:pPr>
        <w:spacing w:after="0" w:line="225"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23495</wp:posOffset>
            </wp:positionV>
            <wp:extent cx="23488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Peter J. Federico</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President and Chief Executive Officer (Principal</w:t>
      </w:r>
    </w:p>
    <w:p>
      <w:pPr>
        <w:ind w:left="62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78"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8, 2023</w:t>
      </w:r>
    </w:p>
    <w:p>
      <w:pPr>
        <w:spacing w:after="0" w:line="225"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23495</wp:posOffset>
            </wp:positionV>
            <wp:extent cx="234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Bernice E. Bell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Executive Vice President and Chief Financial</w:t>
      </w:r>
    </w:p>
    <w:p>
      <w:pPr>
        <w:ind w:left="6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240"/>
          </w:cols>
          <w:pgMar w:left="320" w:top="89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92" w:lineRule="exact"/>
        <w:rPr>
          <w:sz w:val="20"/>
          <w:szCs w:val="20"/>
          <w:color w:val="auto"/>
        </w:rPr>
      </w:pPr>
    </w:p>
    <w:p>
      <w:pPr>
        <w:ind w:left="660" w:right="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J. F</w:t>
            </w:r>
            <w:r>
              <w:rPr>
                <w:rFonts w:ascii="Arial" w:cs="Arial" w:eastAsia="Arial" w:hAnsi="Arial"/>
                <w:sz w:val="14"/>
                <w:szCs w:val="14"/>
                <w:color w:val="auto"/>
              </w:rPr>
              <w:t>EDERICO</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Peter J. Federico</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May 8, 2023</w:t>
            </w:r>
          </w:p>
        </w:tc>
      </w:tr>
      <w:tr>
        <w:trPr>
          <w:trHeight w:val="493"/>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Executive Vice 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May 8, 2023</w:t>
            </w: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3"/>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3"/>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Letter"/>
      <w:start w:val="3"/>
    </w:lvl>
  </w:abstractNum>
  <w:abstractNum w:abstractNumId="40">
    <w:nsid w:val="12E685FB"/>
    <w:multiLevelType w:val="hybridMultilevel"/>
    <w:lvl w:ilvl="0">
      <w:lvlJc w:val="left"/>
      <w:lvlText w:val="%1."/>
      <w:numFmt w:val="decimal"/>
      <w:start w:val="1"/>
    </w:lvl>
    <w:lvl w:ilvl="1">
      <w:lvlJc w:val="left"/>
      <w:lvlText w:val="%2."/>
      <w:numFmt w:val="lowerLetter"/>
      <w:start w:val="1"/>
    </w:lvl>
  </w:abstractNum>
  <w:abstractNum w:abstractNumId="41">
    <w:nsid w:val="70C6A529"/>
    <w:multiLevelType w:val="hybridMultilevel"/>
    <w:lvl w:ilvl="0">
      <w:lvlJc w:val="left"/>
      <w:lvlText w:val="%1."/>
      <w:numFmt w:val="lowerLetter"/>
      <w:start w:val="8"/>
    </w:lvl>
  </w:abstractNum>
  <w:abstractNum w:abstractNumId="42">
    <w:nsid w:val="520EEDD1"/>
    <w:multiLevelType w:val="hybridMultilevel"/>
    <w:lvl w:ilvl="0">
      <w:lvlJc w:val="left"/>
      <w:lvlText w:val="%1"/>
      <w:numFmt w:val="decimal"/>
      <w:start w:val="1"/>
    </w:lvl>
    <w:lvl w:ilvl="1">
      <w:lvlJc w:val="left"/>
      <w:lvlText w:val="%2."/>
      <w:numFmt w:val="lowerLetter"/>
      <w:start w:val="11"/>
    </w:lvl>
  </w:abstractNum>
  <w:abstractNum w:abstractNumId="43">
    <w:nsid w:val="374A3FE6"/>
    <w:multiLevelType w:val="hybridMultilevel"/>
    <w:lvl w:ilvl="0">
      <w:lvlJc w:val="left"/>
      <w:lvlText w:val="%1."/>
      <w:numFmt w:val="decimal"/>
      <w:start w:val="2"/>
    </w:lvl>
    <w:lvl w:ilvl="1">
      <w:lvlJc w:val="left"/>
      <w:lvlText w:val="%2."/>
      <w:numFmt w:val="lowerLetter"/>
      <w:start w:val="1"/>
    </w:lvl>
  </w:abstractNum>
  <w:abstractNum w:abstractNumId="44">
    <w:nsid w:val="4F4EF0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5">
    <w:nsid w:val="23F9C13C"/>
    <w:multiLevelType w:val="hybridMultilevel"/>
    <w:lvl w:ilvl="0">
      <w:lvlJc w:val="left"/>
      <w:lvlText w:val="%1."/>
      <w:numFmt w:val="lowerRoman"/>
      <w:start w:val="2"/>
    </w:lvl>
    <w:lvl w:ilvl="1">
      <w:lvlJc w:val="left"/>
      <w:lvlText w:val="%2."/>
      <w:numFmt w:val="upperLetter"/>
      <w:start w:val="1"/>
    </w:lvl>
  </w:abstractNum>
  <w:abstractNum w:abstractNumId="46">
    <w:nsid w:val="649BB77C"/>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47">
    <w:nsid w:val="275AC794"/>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48">
    <w:nsid w:val="39386575"/>
    <w:multiLevelType w:val="hybridMultilevel"/>
    <w:lvl w:ilvl="0">
      <w:lvlJc w:val="left"/>
      <w:lvlText w:val="%1."/>
      <w:numFmt w:val="decimal"/>
      <w:start w:val="12"/>
    </w:lvl>
  </w:abstractNum>
  <w:abstractNum w:abstractNumId="49">
    <w:nsid w:val="1CF10FD8"/>
    <w:multiLevelType w:val="hybridMultilevel"/>
    <w:lvl w:ilvl="0">
      <w:lvlJc w:val="left"/>
      <w:lvlText w:val="%1."/>
      <w:numFmt w:val="decimal"/>
      <w:start w:val="15"/>
    </w:lvl>
  </w:abstractNum>
  <w:abstractNum w:abstractNumId="50">
    <w:nsid w:val="180115BE"/>
    <w:multiLevelType w:val="hybridMultilevel"/>
    <w:lvl w:ilvl="0">
      <w:lvlJc w:val="left"/>
      <w:lvlText w:val="%1."/>
      <w:numFmt w:val="decimal"/>
      <w:start w:val="23"/>
    </w:lvl>
  </w:abstractNum>
  <w:abstractNum w:abstractNumId="51">
    <w:nsid w:val="235BA861"/>
    <w:multiLevelType w:val="hybridMultilevel"/>
    <w:lvl w:ilvl="0">
      <w:lvlJc w:val="left"/>
      <w:lvlText w:val="%1."/>
      <w:numFmt w:val="decimal"/>
      <w:start w:val="1"/>
    </w:lvl>
    <w:lvl w:ilvl="1">
      <w:lvlJc w:val="left"/>
      <w:lvlText w:val="%2."/>
      <w:numFmt w:val="lowerLetter"/>
      <w:start w:val="1"/>
    </w:lvl>
  </w:abstractNum>
  <w:abstractNum w:abstractNumId="52">
    <w:nsid w:val="47398C89"/>
    <w:multiLevelType w:val="hybridMultilevel"/>
    <w:lvl w:ilvl="0">
      <w:lvlJc w:val="left"/>
      <w:lvlText w:val="%1."/>
      <w:numFmt w:val="lowerLetter"/>
      <w:start w:val="9"/>
    </w:lvl>
  </w:abstractNum>
  <w:abstractNum w:abstractNumId="53">
    <w:nsid w:val="354FE9F9"/>
    <w:multiLevelType w:val="hybridMultilevel"/>
    <w:lvl w:ilvl="0">
      <w:lvlJc w:val="left"/>
      <w:lvlText w:val="%1"/>
      <w:numFmt w:val="decimal"/>
      <w:start w:val="1"/>
    </w:lvl>
    <w:lvl w:ilvl="1">
      <w:lvlJc w:val="left"/>
      <w:lvlText w:val="%2."/>
      <w:numFmt w:val="lowerLetter"/>
      <w:start w:val="12"/>
    </w:lvl>
  </w:abstractNum>
  <w:abstractNum w:abstractNumId="54">
    <w:nsid w:val="15B5AF5C"/>
    <w:multiLevelType w:val="hybridMultilevel"/>
    <w:lvl w:ilvl="0">
      <w:lvlJc w:val="left"/>
      <w:lvlText w:val="%1."/>
      <w:numFmt w:val="decimal"/>
      <w:start w:val="2"/>
    </w:lvl>
    <w:lvl w:ilvl="1">
      <w:lvlJc w:val="left"/>
      <w:lvlText w:val="%2."/>
      <w:numFmt w:val="lowerLetter"/>
      <w:start w:val="1"/>
    </w:lvl>
  </w:abstractNum>
  <w:abstractNum w:abstractNumId="55">
    <w:nsid w:val="741226BB"/>
    <w:multiLevelType w:val="hybridMultilevel"/>
    <w:lvl w:ilvl="0">
      <w:lvlJc w:val="left"/>
      <w:lvlText w:val="%1"/>
      <w:numFmt w:val="decimal"/>
      <w:start w:val="1"/>
    </w:lvl>
    <w:lvl w:ilvl="1">
      <w:lvlJc w:val="left"/>
      <w:lvlText w:val="%2."/>
      <w:numFmt w:val="lowerLetter"/>
      <w:start w:val="2"/>
    </w:lvl>
  </w:abstractNum>
  <w:abstractNum w:abstractNumId="56">
    <w:nsid w:val="D34B6A8"/>
    <w:multiLevelType w:val="hybridMultilevel"/>
    <w:lvl w:ilvl="0">
      <w:lvlJc w:val="left"/>
      <w:lvlText w:val="%1."/>
      <w:numFmt w:val="decimal"/>
      <w:start w:val="6"/>
    </w:lvl>
    <w:lvl w:ilvl="1">
      <w:lvlJc w:val="left"/>
      <w:lvlText w:val="%2"/>
      <w:numFmt w:val="lowerLetter"/>
      <w:start w:val="1"/>
    </w:lvl>
  </w:abstractNum>
  <w:abstractNum w:abstractNumId="57">
    <w:nsid w:val="10233C9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8">
    <w:nsid w:val="3F6AB60F"/>
    <w:multiLevelType w:val="hybridMultilevel"/>
    <w:lvl w:ilvl="0">
      <w:lvlJc w:val="left"/>
      <w:lvlText w:val="%1."/>
      <w:numFmt w:val="decimal"/>
      <w:start w:val="9"/>
    </w:lvl>
  </w:abstractNum>
  <w:abstractNum w:abstractNumId="59">
    <w:nsid w:val="61574095"/>
    <w:multiLevelType w:val="hybridMultilevel"/>
    <w:lvl w:ilvl="0">
      <w:lvlJc w:val="left"/>
      <w:lvlText w:val="%1."/>
      <w:numFmt w:val="decimal"/>
      <w:start w:val="14"/>
    </w:lvl>
  </w:abstractNum>
  <w:abstractNum w:abstractNumId="60">
    <w:nsid w:val="7E0C57B1"/>
    <w:multiLevelType w:val="hybridMultilevel"/>
    <w:lvl w:ilvl="0">
      <w:lvlJc w:val="left"/>
      <w:lvlText w:val="%1."/>
      <w:numFmt w:val="decimal"/>
      <w:start w:val="19"/>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0"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71" Type="http://schemas.openxmlformats.org/officeDocument/2006/relationships/hyperlink" Target="http://www.sec.gov/Archives/edgar/data/1423689/000142368922000014/agncexhibit3112312110-k.htm" TargetMode="External"/><Relationship Id="rId72" Type="http://schemas.openxmlformats.org/officeDocument/2006/relationships/hyperlink" Target="http://www.sec.gov/Archives/edgar/data/1423689/000142368921000017/arbylaws-march2021vrevised.htm" TargetMode="External"/><Relationship Id="rId73" Type="http://schemas.openxmlformats.org/officeDocument/2006/relationships/hyperlink" Target="http://www.sec.gov/Archives/edgar/data/1423689/000142368917000044/ex35certificateofdesignati.htm" TargetMode="External"/><Relationship Id="rId74" Type="http://schemas.openxmlformats.org/officeDocument/2006/relationships/hyperlink" Target="http://www.sec.gov/Archives/edgar/data/1423689/000142368917000065/certificateofelimination.htm" TargetMode="External"/><Relationship Id="rId75" Type="http://schemas.openxmlformats.org/officeDocument/2006/relationships/hyperlink" Target="http://www.sec.gov/Archives/edgar/data/1423689/000142368919000019/certificateofdesignations.htm" TargetMode="External"/><Relationship Id="rId76" Type="http://schemas.openxmlformats.org/officeDocument/2006/relationships/hyperlink" Target="http://www.sec.gov/Archives/edgar/data/1423689/000142368919000064/certofdesignations.htm" TargetMode="External"/><Relationship Id="rId77" Type="http://schemas.openxmlformats.org/officeDocument/2006/relationships/hyperlink" Target="http://www.sec.gov/Archives/edgar/data/1423689/000142368919000078/certificateofeliminati.htm" TargetMode="External"/><Relationship Id="rId78" Type="http://schemas.openxmlformats.org/officeDocument/2006/relationships/hyperlink" Target="http://www.sec.gov/Archives/edgar/data/1423689/000142368920000012/certificateofdesignations-.htm" TargetMode="External"/><Relationship Id="rId79" Type="http://schemas.openxmlformats.org/officeDocument/2006/relationships/hyperlink" Target="http://www.sec.gov/Archives/edgar/data/1423689/000142368922000061/seriesgcertificateofdesign.htm" TargetMode="External"/><Relationship Id="rId81" Type="http://schemas.openxmlformats.org/officeDocument/2006/relationships/hyperlink" Target="http://www.sec.gov/Archives/edgar/data/1423689/000142368922000076/exhibit43.htm" TargetMode="External"/><Relationship Id="rId82" Type="http://schemas.openxmlformats.org/officeDocument/2006/relationships/hyperlink" Target="http://www.sec.gov/Archives/edgar/data/1423689/000142368917000044/exhibit41.htm" TargetMode="External"/><Relationship Id="rId83" Type="http://schemas.openxmlformats.org/officeDocument/2006/relationships/hyperlink" Target="http://www.sec.gov/Archives/edgar/data/1423689/000142368919000019/stockcertificateb98.htm" TargetMode="External"/><Relationship Id="rId84" Type="http://schemas.openxmlformats.org/officeDocument/2006/relationships/hyperlink" Target="http://www.sec.gov/Archives/edgar/data/1423689/000142368919000064/stockcertificate.htm" TargetMode="External"/><Relationship Id="rId85" Type="http://schemas.openxmlformats.org/officeDocument/2006/relationships/hyperlink" Target="http://www.sec.gov/Archives/edgar/data/1423689/000142368920000012/stockcertificate.htm" TargetMode="External"/><Relationship Id="rId86" Type="http://schemas.openxmlformats.org/officeDocument/2006/relationships/hyperlink" Target="http://www.sec.gov/Archives/edgar/data/1423689/000142368922000061/stockcertificate1.htm" TargetMode="External"/><Relationship Id="rId87" Type="http://schemas.openxmlformats.org/officeDocument/2006/relationships/hyperlink" Target="http://www.sec.gov/Archives/edgar/data/1423689/000142368917000049/depositagreement.htm" TargetMode="External"/><Relationship Id="rId88" Type="http://schemas.openxmlformats.org/officeDocument/2006/relationships/hyperlink" Target="http://www.sec.gov/Archives/edgar/data/1423689/000142368919000021/prefddepositagmt.htm" TargetMode="External"/><Relationship Id="rId89" Type="http://schemas.openxmlformats.org/officeDocument/2006/relationships/hyperlink" Target="http://www.sec.gov/Archives/edgar/data/1423689/000142368919000068/depositagmt-prefe.htm" TargetMode="External"/><Relationship Id="rId90" Type="http://schemas.openxmlformats.org/officeDocument/2006/relationships/hyperlink" Target="http://www.sec.gov/Archives/edgar/data/1423689/000142368920000014/depositaryagmt-seriesf.htm" TargetMode="External"/><Relationship Id="rId91" Type="http://schemas.openxmlformats.org/officeDocument/2006/relationships/hyperlink" Target="http://www.sec.gov/Archives/edgar/data/1423689/000142368922000069/depositary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2023-05-08T15:16:51Z</dcterms:created>
  <dcterms:modified xsi:type="dcterms:W3CDTF">2023-05-08T15:16:51Z</dcterms:modified>
</cp:coreProperties>
</file>