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tbl>
      <w:tblPr>
        <w:tblW w:w="9057" w:type="dxa"/>
        <w:jc w:val="left"/>
        <w:tblInd w:w="0" w:type="dxa"/>
        <w:tblLayout w:type="fixed"/>
        <w:tblCellMar>
          <w:top w:w="28" w:type="dxa"/>
          <w:left w:w="28" w:type="dxa"/>
          <w:bottom w:w="28" w:type="dxa"/>
          <w:right w:w="28" w:type="dxa"/>
        </w:tblCellMar>
      </w:tblPr>
      <w:tblGrid>
        <w:gridCol w:w="124"/>
        <w:gridCol w:w="109"/>
        <w:gridCol w:w="109"/>
        <w:gridCol w:w="2547"/>
        <w:gridCol w:w="2547"/>
        <w:gridCol w:w="36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June 30, 2023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001-34057 </w:t>
      </w:r>
    </w:p>
    <w:p>
      <w:pPr>
        <w:pStyle w:val="TextBody"/>
        <w:bidi w:val="0"/>
        <w:spacing w:before="180" w:after="283"/>
        <w:ind w:left="0" w:right="0" w:firstLine="720"/>
        <w:jc w:val="center"/>
        <w:rPr/>
      </w:pPr>
      <w:r>
        <w:rPr/>
        <w:drawing>
          <wp:inline distT="0" distB="0" distL="0" distR="0">
            <wp:extent cx="21145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638175"/>
                    </a:xfrm>
                    <a:prstGeom prst="rect">
                      <a:avLst/>
                    </a:prstGeom>
                  </pic:spPr>
                </pic:pic>
              </a:graphicData>
            </a:graphic>
          </wp:inline>
        </w:drawing>
      </w:r>
    </w:p>
    <w:p>
      <w:pPr>
        <w:pStyle w:val="TextBody"/>
        <w:bidi w:val="0"/>
        <w:spacing w:lineRule="auto" w:line="288" w:before="0" w:after="0"/>
        <w:jc w:val="center"/>
        <w:rPr/>
      </w:pPr>
      <w:r>
        <w:rPr>
          <w:rFonts w:ascii="Times New Roman;sans-serif" w:hAnsi="Times New Roman;sans-serif"/>
          <w:b/>
          <w:color w:val="000000"/>
          <w:sz w:val="20"/>
        </w:rPr>
        <w:t>AGNC INVESTMENT CORP.</w:t>
      </w:r>
      <w:r>
        <w:rPr>
          <w:color w:val="000000"/>
        </w:rPr>
        <w:t xml:space="preserve">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_________________________________________________________</w:t>
      </w:r>
    </w:p>
    <w:tbl>
      <w:tblPr>
        <w:tblW w:w="4240" w:type="dxa"/>
        <w:jc w:val="left"/>
        <w:tblInd w:w="0" w:type="dxa"/>
        <w:tblLayout w:type="fixed"/>
        <w:tblCellMar>
          <w:top w:w="28" w:type="dxa"/>
          <w:left w:w="28" w:type="dxa"/>
          <w:bottom w:w="28" w:type="dxa"/>
          <w:right w:w="28" w:type="dxa"/>
        </w:tblCellMar>
      </w:tblPr>
      <w:tblGrid>
        <w:gridCol w:w="879"/>
        <w:gridCol w:w="771"/>
        <w:gridCol w:w="779"/>
        <w:gridCol w:w="109"/>
        <w:gridCol w:w="109"/>
        <w:gridCol w:w="109"/>
        <w:gridCol w:w="432"/>
        <w:gridCol w:w="432"/>
        <w:gridCol w:w="620"/>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26-1701984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7373 Wisconsin Avenue, 22nd Floor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Bethesda, Maryland 20814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(301) 968-9315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4"/>
        </w:rPr>
        <w:t>_________________________________________________________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205"/>
        <w:gridCol w:w="1764"/>
        <w:gridCol w:w="1775"/>
        <w:gridCol w:w="109"/>
        <w:gridCol w:w="109"/>
        <w:gridCol w:w="109"/>
        <w:gridCol w:w="426"/>
        <w:gridCol w:w="422"/>
        <w:gridCol w:w="424"/>
        <w:gridCol w:w="109"/>
        <w:gridCol w:w="109"/>
        <w:gridCol w:w="109"/>
        <w:gridCol w:w="740"/>
        <w:gridCol w:w="740"/>
        <w:gridCol w:w="1055"/>
      </w:tblGrid>
      <w:tr>
        <w:trPr/>
        <w:tc>
          <w:tcPr>
            <w:tcW w:w="220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Exchange on Which Registered</w:t>
            </w:r>
          </w:p>
        </w:tc>
      </w:tr>
      <w:tr>
        <w:trPr/>
        <w:tc>
          <w:tcPr>
            <w:tcW w:w="5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Depositary shares of 7.000% Series C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Depositary shares of 6.875% Series D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Depositary shares of 6.50% Series E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Depositary shares of 6.125% Series F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Depositary shares of 7.75% Series G Fixed-Rate Reset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AGNCL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bidi w:val="0"/>
        <w:spacing w:lineRule="auto" w:line="288" w:before="0" w:after="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 None</w:t>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p>
    <w:p>
      <w:pPr>
        <w:pStyle w:val="TextBody"/>
        <w:bidi w:val="0"/>
        <w:spacing w:lineRule="auto" w:line="288" w:before="0" w:after="0"/>
        <w:ind w:left="0" w:right="0" w:firstLine="36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152"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94"/>
        <w:gridCol w:w="694"/>
        <w:gridCol w:w="698"/>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6"/>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Indicate by check mark whether the registrant is a shell company (as defined in Rule 12b-2 of the Exchange Act).    Yes  ☐    No  </w:t>
      </w:r>
      <w:r>
        <w:rPr>
          <w:rFonts w:ascii="Wingdings;sans-serif" w:hAnsi="Wingdings;sans-serif"/>
          <w:b w:val="false"/>
          <w:color w:val="000000"/>
          <w:sz w:val="16"/>
        </w:rPr>
        <w:t>x</w:t>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issuer's common stock, $0.01 par value, outstanding as of July 31, 2023 was 606,077,370.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7690" w:type="dxa"/>
        <w:jc w:val="left"/>
        <w:tblInd w:w="0" w:type="dxa"/>
        <w:tblLayout w:type="fixed"/>
        <w:tblCellMar>
          <w:top w:w="28" w:type="dxa"/>
          <w:left w:w="28" w:type="dxa"/>
          <w:bottom w:w="28" w:type="dxa"/>
          <w:right w:w="28" w:type="dxa"/>
        </w:tblCellMar>
      </w:tblPr>
      <w:tblGrid>
        <w:gridCol w:w="309"/>
        <w:gridCol w:w="272"/>
        <w:gridCol w:w="273"/>
        <w:gridCol w:w="2153"/>
        <w:gridCol w:w="2153"/>
        <w:gridCol w:w="2158"/>
        <w:gridCol w:w="109"/>
        <w:gridCol w:w="109"/>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15">
              <w:r>
                <w:rPr>
                  <w:rStyle w:val="InternetLink"/>
                  <w:rFonts w:ascii="Times New Roman;sans-serif" w:hAnsi="Times New Roman;sans-serif"/>
                  <w:b/>
                  <w:color w:val="0000FF"/>
                  <w:sz w:val="18"/>
                  <w:u w:val="single"/>
                </w:rPr>
                <w:t>PART I.</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0">
              <w:r>
                <w:rPr>
                  <w:rStyle w:val="InternetLink"/>
                  <w:rFonts w:ascii="Times New Roman;sans-serif" w:hAnsi="Times New Roman;sans-serif"/>
                  <w:b/>
                  <w:color w:val="0000FF"/>
                  <w:sz w:val="18"/>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3">
              <w:r>
                <w:rPr>
                  <w:rStyle w:val="InternetLink"/>
                  <w:rFonts w:ascii="Times New Roman;sans-serif" w:hAnsi="Times New Roman;sans-serif"/>
                  <w:b w:val="false"/>
                  <w:color w:val="0000FF"/>
                  <w:sz w:val="18"/>
                  <w:u w:val="single"/>
                </w:rPr>
                <w:t>Item 1.</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3">
              <w:r>
                <w:rPr>
                  <w:rStyle w:val="InternetLink"/>
                  <w:rFonts w:ascii="Times New Roman;sans-serif" w:hAnsi="Times New Roman;sans-serif"/>
                  <w:b w:val="false"/>
                  <w:color w:val="0000FF"/>
                  <w:sz w:val="18"/>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13">
              <w:r>
                <w:rPr>
                  <w:rStyle w:val="InternetLink"/>
                  <w:rFonts w:ascii="Times New Roman;sans-serif" w:hAnsi="Times New Roman;sans-serif"/>
                  <w:b w:val="false"/>
                  <w:color w:val="0000FF"/>
                  <w:sz w:val="18"/>
                  <w:u w:val="single"/>
                </w:rPr>
                <w:t>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67">
              <w:r>
                <w:rPr>
                  <w:rStyle w:val="InternetLink"/>
                  <w:rFonts w:ascii="Times New Roman;sans-serif" w:hAnsi="Times New Roman;sans-serif"/>
                  <w:b w:val="false"/>
                  <w:color w:val="0000FF"/>
                  <w:sz w:val="18"/>
                  <w:u w:val="single"/>
                </w:rPr>
                <w:t>Item 2.</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67">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67">
              <w:r>
                <w:rPr>
                  <w:rStyle w:val="InternetLink"/>
                  <w:rFonts w:ascii="Times New Roman;sans-serif" w:hAnsi="Times New Roman;sans-serif"/>
                  <w:b w:val="false"/>
                  <w:color w:val="0000FF"/>
                  <w:sz w:val="18"/>
                  <w:u w:val="single"/>
                </w:rPr>
                <w:t>25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09">
              <w:r>
                <w:rPr>
                  <w:rStyle w:val="InternetLink"/>
                  <w:rFonts w:ascii="Times New Roman;sans-serif" w:hAnsi="Times New Roman;sans-serif"/>
                  <w:b w:val="false"/>
                  <w:color w:val="0000FF"/>
                  <w:sz w:val="18"/>
                  <w:u w:val="single"/>
                </w:rPr>
                <w:t>Item 3.</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09">
              <w:r>
                <w:rPr>
                  <w:rStyle w:val="InternetLink"/>
                  <w:rFonts w:ascii="Times New Roman;sans-serif" w:hAnsi="Times New Roman;sans-serif"/>
                  <w:b w:val="false"/>
                  <w:color w:val="0000FF"/>
                  <w:sz w:val="18"/>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109">
              <w:r>
                <w:rPr>
                  <w:rStyle w:val="InternetLink"/>
                  <w:rFonts w:ascii="Times New Roman;sans-serif" w:hAnsi="Times New Roman;sans-serif"/>
                  <w:b w:val="false"/>
                  <w:color w:val="0000FF"/>
                  <w:sz w:val="18"/>
                  <w:u w:val="single"/>
                </w:rPr>
                <w:t>42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12">
              <w:r>
                <w:rPr>
                  <w:rStyle w:val="InternetLink"/>
                  <w:rFonts w:ascii="Times New Roman;sans-serif" w:hAnsi="Times New Roman;sans-serif"/>
                  <w:b w:val="false"/>
                  <w:color w:val="0000FF"/>
                  <w:sz w:val="18"/>
                  <w:u w:val="single"/>
                </w:rPr>
                <w:t>Item 4.</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12">
              <w:r>
                <w:rPr>
                  <w:rStyle w:val="InternetLink"/>
                  <w:rFonts w:ascii="Times New Roman;sans-serif" w:hAnsi="Times New Roman;sans-serif"/>
                  <w:b w:val="false"/>
                  <w:color w:val="0000FF"/>
                  <w:sz w:val="18"/>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112">
              <w:r>
                <w:rPr>
                  <w:rStyle w:val="InternetLink"/>
                  <w:rFonts w:ascii="Times New Roman;sans-serif" w:hAnsi="Times New Roman;sans-serif"/>
                  <w:b w:val="false"/>
                  <w:color w:val="0000FF"/>
                  <w:sz w:val="18"/>
                  <w:u w:val="single"/>
                </w:rPr>
                <w:t>45</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15">
              <w:r>
                <w:rPr>
                  <w:rStyle w:val="InternetLink"/>
                  <w:rFonts w:ascii="Times New Roman;sans-serif" w:hAnsi="Times New Roman;sans-serif"/>
                  <w:b/>
                  <w:color w:val="0000FF"/>
                  <w:sz w:val="18"/>
                  <w:u w:val="single"/>
                </w:rPr>
                <w:t>PART II.</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15">
              <w:r>
                <w:rPr>
                  <w:rStyle w:val="InternetLink"/>
                  <w:rFonts w:ascii="Times New Roman;sans-serif" w:hAnsi="Times New Roman;sans-serif"/>
                  <w:b/>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18">
              <w:r>
                <w:rPr>
                  <w:rStyle w:val="InternetLink"/>
                  <w:rFonts w:ascii="Times New Roman;sans-serif" w:hAnsi="Times New Roman;sans-serif"/>
                  <w:b w:val="false"/>
                  <w:color w:val="0000FF"/>
                  <w:sz w:val="18"/>
                  <w:u w:val="single"/>
                </w:rPr>
                <w:t>Item 1.</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18">
              <w:r>
                <w:rPr>
                  <w:rStyle w:val="InternetLink"/>
                  <w:rFonts w:ascii="Times New Roman;sans-serif" w:hAnsi="Times New Roman;sans-serif"/>
                  <w:b w:val="false"/>
                  <w:color w:val="0000FF"/>
                  <w:sz w:val="18"/>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118">
              <w:r>
                <w:rPr>
                  <w:rStyle w:val="InternetLink"/>
                  <w:rFonts w:ascii="Times New Roman;sans-serif" w:hAnsi="Times New Roman;sans-serif"/>
                  <w:b w:val="false"/>
                  <w:color w:val="0000FF"/>
                  <w:sz w:val="20"/>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Item 1A.</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Risk Factors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121">
              <w:r>
                <w:rPr>
                  <w:rStyle w:val="InternetLink"/>
                  <w:rFonts w:ascii="Times New Roman;sans-serif" w:hAnsi="Times New Roman;sans-serif"/>
                  <w:b w:val="false"/>
                  <w:color w:val="0000FF"/>
                  <w:sz w:val="18"/>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24">
              <w:r>
                <w:rPr>
                  <w:rStyle w:val="InternetLink"/>
                  <w:rFonts w:ascii="Times New Roman;sans-serif" w:hAnsi="Times New Roman;sans-serif"/>
                  <w:b w:val="false"/>
                  <w:color w:val="0000FF"/>
                  <w:sz w:val="18"/>
                  <w:u w:val="single"/>
                </w:rPr>
                <w:t>Item 2.</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24">
              <w:r>
                <w:rPr>
                  <w:rStyle w:val="InternetLink"/>
                  <w:rFonts w:ascii="Times New Roman;sans-serif" w:hAnsi="Times New Roman;sans-serif"/>
                  <w:b w:val="false"/>
                  <w:color w:val="0000FF"/>
                  <w:sz w:val="18"/>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124">
              <w:r>
                <w:rPr>
                  <w:rStyle w:val="InternetLink"/>
                  <w:rFonts w:ascii="Times New Roman;sans-serif" w:hAnsi="Times New Roman;sans-serif"/>
                  <w:b w:val="false"/>
                  <w:color w:val="0000FF"/>
                  <w:sz w:val="18"/>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27">
              <w:r>
                <w:rPr>
                  <w:rStyle w:val="InternetLink"/>
                  <w:rFonts w:ascii="Times New Roman;sans-serif" w:hAnsi="Times New Roman;sans-serif"/>
                  <w:b w:val="false"/>
                  <w:color w:val="0000FF"/>
                  <w:sz w:val="18"/>
                  <w:u w:val="single"/>
                </w:rPr>
                <w:t>Item 3.</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27">
              <w:r>
                <w:rPr>
                  <w:rStyle w:val="InternetLink"/>
                  <w:rFonts w:ascii="Times New Roman;sans-serif" w:hAnsi="Times New Roman;sans-serif"/>
                  <w:b w:val="false"/>
                  <w:color w:val="0000FF"/>
                  <w:sz w:val="18"/>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127">
              <w:r>
                <w:rPr>
                  <w:rStyle w:val="InternetLink"/>
                  <w:rFonts w:ascii="Times New Roman;sans-serif" w:hAnsi="Times New Roman;sans-serif"/>
                  <w:b w:val="false"/>
                  <w:color w:val="0000FF"/>
                  <w:sz w:val="20"/>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Item 4.</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Mine Safety Disclosures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130">
              <w:r>
                <w:rPr>
                  <w:rStyle w:val="InternetLink"/>
                  <w:rFonts w:ascii="Times New Roman;sans-serif" w:hAnsi="Times New Roman;sans-serif"/>
                  <w:b w:val="false"/>
                  <w:color w:val="0000FF"/>
                  <w:sz w:val="18"/>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33">
              <w:r>
                <w:rPr>
                  <w:rStyle w:val="InternetLink"/>
                  <w:rFonts w:ascii="Times New Roman;sans-serif" w:hAnsi="Times New Roman;sans-serif"/>
                  <w:b w:val="false"/>
                  <w:color w:val="0000FF"/>
                  <w:sz w:val="18"/>
                  <w:u w:val="single"/>
                </w:rPr>
                <w:t>Item 5.</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33">
              <w:r>
                <w:rPr>
                  <w:rStyle w:val="InternetLink"/>
                  <w:rFonts w:ascii="Times New Roman;sans-serif" w:hAnsi="Times New Roman;sans-serif"/>
                  <w:b w:val="false"/>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133">
              <w:r>
                <w:rPr>
                  <w:rStyle w:val="InternetLink"/>
                  <w:rFonts w:ascii="Times New Roman;sans-serif" w:hAnsi="Times New Roman;sans-serif"/>
                  <w:b w:val="false"/>
                  <w:color w:val="0000FF"/>
                  <w:sz w:val="18"/>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36">
              <w:r>
                <w:rPr>
                  <w:rStyle w:val="InternetLink"/>
                  <w:rFonts w:ascii="Times New Roman;sans-serif" w:hAnsi="Times New Roman;sans-serif"/>
                  <w:b w:val="false"/>
                  <w:color w:val="0000FF"/>
                  <w:sz w:val="18"/>
                  <w:u w:val="single"/>
                </w:rPr>
                <w:t>Item 6.</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e12a1ca85d4fdcaf7799a35b2cbc32_136">
              <w:r>
                <w:rPr>
                  <w:rStyle w:val="InternetLink"/>
                  <w:rFonts w:ascii="Times New Roman;sans-serif" w:hAnsi="Times New Roman;sans-serif"/>
                  <w:b w:val="false"/>
                  <w:color w:val="0000FF"/>
                  <w:sz w:val="18"/>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136">
              <w:r>
                <w:rPr>
                  <w:rStyle w:val="InternetLink"/>
                  <w:rFonts w:ascii="Times New Roman;sans-serif" w:hAnsi="Times New Roman;sans-serif"/>
                  <w:b w:val="false"/>
                  <w:color w:val="0000FF"/>
                  <w:sz w:val="18"/>
                  <w:u w:val="single"/>
                </w:rPr>
                <w:t>46</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Signatures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e12a1ca85d4fdcaf7799a35b2cbc32_139">
              <w:r>
                <w:rPr>
                  <w:rStyle w:val="InternetLink"/>
                  <w:rFonts w:ascii="Times New Roman;sans-serif" w:hAnsi="Times New Roman;sans-serif"/>
                  <w:b w:val="false"/>
                  <w:color w:val="0000FF"/>
                  <w:sz w:val="18"/>
                  <w:u w:val="single"/>
                </w:rPr>
                <w:t>49</w:t>
              </w:r>
            </w:hyperlink>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740"/>
        <w:gridCol w:w="2321"/>
        <w:gridCol w:w="2347"/>
        <w:gridCol w:w="221"/>
        <w:gridCol w:w="731"/>
        <w:gridCol w:w="123"/>
        <w:gridCol w:w="109"/>
        <w:gridCol w:w="109"/>
        <w:gridCol w:w="109"/>
        <w:gridCol w:w="273"/>
        <w:gridCol w:w="902"/>
        <w:gridCol w:w="220"/>
      </w:tblGrid>
      <w:tr>
        <w:trPr/>
        <w:tc>
          <w:tcPr>
            <w:tcW w:w="2740"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22" w:type="dxa"/>
            <w:gridSpan w:val="6"/>
            <w:tcBorders/>
          </w:tcPr>
          <w:p>
            <w:pPr>
              <w:pStyle w:val="TableContents"/>
              <w:bidi w:val="0"/>
              <w:spacing w:before="0" w:after="283"/>
              <w:jc w:val="left"/>
              <w:rPr>
                <w:sz w:val="4"/>
                <w:szCs w:val="4"/>
              </w:rPr>
            </w:pPr>
            <w:r>
              <w:rPr>
                <w:sz w:val="4"/>
                <w:szCs w:val="4"/>
              </w:rPr>
            </w:r>
          </w:p>
        </w:tc>
      </w:tr>
      <w:tr>
        <w:trPr/>
        <w:tc>
          <w:tcPr>
            <w:tcW w:w="7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Agency securities, at fair value (including pledged securities of $41,185 and $35,800, respectively)</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39,346 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securities transferred to consolidated variable interest entities, at fair value (pledged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Credit risk transfer securities, at fair value (including pledged securities of $664 and $703, respectively)</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Non-Agency securities, at fair value, and other mortgage credit investments (including pledged securities of $283 and $605, respectively)</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at fair value (including pledged securities of $1,523 and $353, respectively)</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at fair value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 for investment securities sold (including pledged securities of $148 and $119, respectively)</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under reverse repurchase agreements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(including pledged securities of $298 and $0, respectively)</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60,518 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agreements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36,262 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of consolidated variable interest entities, at fair value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 for investment securities purchased</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at fair value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 to return securities borrowed under reverse repurchase agreements, at fair value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 aggregate liquidation preference of $1,688 and $1,688</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$0.01 par value; 1,500 shares authorized; 603.3 and 574.6 shares issued and outstanding, respectively</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deficit</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60,518 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124"/>
        <w:gridCol w:w="1554"/>
        <w:gridCol w:w="1560"/>
        <w:gridCol w:w="229"/>
        <w:gridCol w:w="554"/>
        <w:gridCol w:w="118"/>
        <w:gridCol w:w="118"/>
        <w:gridCol w:w="118"/>
        <w:gridCol w:w="118"/>
        <w:gridCol w:w="229"/>
        <w:gridCol w:w="604"/>
        <w:gridCol w:w="118"/>
        <w:gridCol w:w="109"/>
        <w:gridCol w:w="109"/>
        <w:gridCol w:w="109"/>
        <w:gridCol w:w="213"/>
        <w:gridCol w:w="517"/>
        <w:gridCol w:w="110"/>
        <w:gridCol w:w="110"/>
        <w:gridCol w:w="110"/>
        <w:gridCol w:w="110"/>
        <w:gridCol w:w="213"/>
        <w:gridCol w:w="668"/>
        <w:gridCol w:w="110"/>
        <w:gridCol w:w="109"/>
        <w:gridCol w:w="164"/>
      </w:tblGrid>
      <w:tr>
        <w:trPr/>
        <w:tc>
          <w:tcPr>
            <w:tcW w:w="212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73" w:type="dxa"/>
            <w:gridSpan w:val="2"/>
            <w:tcBorders/>
          </w:tcPr>
          <w:p>
            <w:pPr>
              <w:pStyle w:val="TableContents"/>
              <w:bidi w:val="0"/>
              <w:spacing w:before="0" w:after="283"/>
              <w:jc w:val="left"/>
              <w:rPr>
                <w:sz w:val="4"/>
                <w:szCs w:val="4"/>
              </w:rPr>
            </w:pPr>
            <w:r>
              <w:rPr>
                <w:sz w:val="4"/>
                <w:szCs w:val="4"/>
              </w:rPr>
            </w:r>
          </w:p>
        </w:tc>
      </w:tr>
      <w:tr>
        <w:trPr/>
        <w:tc>
          <w:tcPr>
            <w:tcW w:w="52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gain (loss), net:</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investment securities, net</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 securities measured at fair value through net income, net</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derivative instruments and other investments, net</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gain (loss), net:</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stock</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available (attributable) to common stockholders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 securities measured at fair value through other comprehensive income (loss), net</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stock</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available (attributable) to common stockholders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 - basic</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 - diluted</w:t>
            </w:r>
          </w:p>
        </w:tc>
        <w:tc>
          <w:tcPr>
            <w:tcW w:w="7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590.1 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common share - basic</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common share - diluted</w:t>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declared per common share</w:t>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834"/>
        <w:gridCol w:w="542"/>
        <w:gridCol w:w="429"/>
        <w:gridCol w:w="214"/>
        <w:gridCol w:w="608"/>
        <w:gridCol w:w="119"/>
        <w:gridCol w:w="109"/>
        <w:gridCol w:w="109"/>
        <w:gridCol w:w="109"/>
        <w:gridCol w:w="278"/>
        <w:gridCol w:w="278"/>
        <w:gridCol w:w="196"/>
        <w:gridCol w:w="109"/>
        <w:gridCol w:w="109"/>
        <w:gridCol w:w="109"/>
        <w:gridCol w:w="248"/>
        <w:gridCol w:w="305"/>
        <w:gridCol w:w="138"/>
        <w:gridCol w:w="109"/>
        <w:gridCol w:w="109"/>
        <w:gridCol w:w="109"/>
        <w:gridCol w:w="196"/>
        <w:gridCol w:w="646"/>
        <w:gridCol w:w="109"/>
        <w:gridCol w:w="109"/>
        <w:gridCol w:w="109"/>
        <w:gridCol w:w="109"/>
        <w:gridCol w:w="196"/>
        <w:gridCol w:w="583"/>
        <w:gridCol w:w="109"/>
        <w:gridCol w:w="109"/>
        <w:gridCol w:w="109"/>
        <w:gridCol w:w="109"/>
        <w:gridCol w:w="321"/>
        <w:gridCol w:w="715"/>
        <w:gridCol w:w="180"/>
        <w:gridCol w:w="109"/>
        <w:gridCol w:w="109"/>
        <w:gridCol w:w="109"/>
        <w:gridCol w:w="196"/>
        <w:gridCol w:w="646"/>
        <w:gridCol w:w="157"/>
      </w:tblGrid>
      <w:tr>
        <w:trPr/>
        <w:tc>
          <w:tcPr>
            <w:tcW w:w="83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available-for-sale securities, net</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net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dividends declared</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dividends declared</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available-for-sale securities, net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net</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dividends declared</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dividends declared</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Unrealized loss on available-for-sale securities, net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net</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dividends declared</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dividends declared</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Unrealized gain on available-for-sale securities, net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net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dividends declared</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dividends declared</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pPr>
      <w:r>
        <w:rPr>
          <w:rFonts w:ascii="Times New Roman;sans-serif" w:hAnsi="Times New Roman;sans-serif"/>
          <w:b/>
          <w:color w:val="000000"/>
          <w:sz w:val="20"/>
        </w:rPr>
        <w:t>(in millions)</w:t>
      </w:r>
      <w:r>
        <w:rPr>
          <w:color w:val="000000"/>
        </w:rPr>
        <w:t> </w:t>
      </w:r>
    </w:p>
    <w:tbl>
      <w:tblPr>
        <w:tblW w:w="9418" w:type="dxa"/>
        <w:jc w:val="center"/>
        <w:tblInd w:w="0" w:type="dxa"/>
        <w:tblLayout w:type="fixed"/>
        <w:tblCellMar>
          <w:top w:w="28" w:type="dxa"/>
          <w:left w:w="28" w:type="dxa"/>
          <w:bottom w:w="28" w:type="dxa"/>
          <w:right w:w="28" w:type="dxa"/>
        </w:tblCellMar>
      </w:tblPr>
      <w:tblGrid>
        <w:gridCol w:w="2431"/>
        <w:gridCol w:w="2140"/>
        <w:gridCol w:w="2149"/>
        <w:gridCol w:w="245"/>
        <w:gridCol w:w="700"/>
        <w:gridCol w:w="109"/>
        <w:gridCol w:w="109"/>
        <w:gridCol w:w="109"/>
        <w:gridCol w:w="109"/>
        <w:gridCol w:w="240"/>
        <w:gridCol w:w="705"/>
        <w:gridCol w:w="109"/>
        <w:gridCol w:w="109"/>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premiums and discounts on mortgage-backed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investment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investment securities measured at fair value through net income,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derivative instruments and other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other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other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credit risk transfer and non-Agency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credit risk transfer and non-Agency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collections on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collections on credit risk transfer and non-Agency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U.S. Treasury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U.S. Treasury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(payments on) reverse repurchase agreements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derivative instruments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repurchase arrangements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repurchase agreements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debt of consolidated variable interest entities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common stock issuances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100" w:after="12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0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Organization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r>
        <w:rPr>
          <w:color w:val="000000"/>
        </w:rPr>
        <w:t xml:space="preserv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2022.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All of our securities are reported at fair value on our consolidated balance sheet. Accounting Standards Codification ("ASC") Topic 320, </w:t>
      </w:r>
      <w:r>
        <w:rPr>
          <w:rFonts w:ascii="Times New Roman;sans-serif" w:hAnsi="Times New Roman;sans-serif"/>
          <w:b w:val="false"/>
          <w:i/>
          <w:color w:val="000000"/>
          <w:sz w:val="20"/>
        </w:rPr>
        <w:t>Investments—Debt and Equity Securities</w:t>
      </w:r>
      <w:r>
        <w:rPr>
          <w:rFonts w:ascii="Times New Roman;sans-serif" w:hAnsi="Times New Roman;sans-serif"/>
          <w:b w:val="false"/>
          <w:color w:val="000000"/>
          <w:sz w:val="20"/>
        </w:rPr>
        <w:t xml:space="preserve">, requires that at the time of purchase, we designate a security as held-to-maturity, available-for-sale or trading, depending on our ability and intent to hold such security to maturity. Alternatively, we may elect the fair value option of accounting for securities pursuant to ASC Topic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sans-serif" w:hAnsi="Times New Roman;sans-serif"/>
          <w:b w:val="false"/>
          <w:i/>
          <w:color w:val="000000"/>
          <w:sz w:val="20"/>
        </w:rPr>
        <w:t>Receivables—Nonrefundable Fees and Other Costs</w:t>
      </w:r>
      <w:r>
        <w:rPr>
          <w:rFonts w:ascii="Times New Roman;sans-serif" w:hAnsi="Times New Roman;sans-serif"/>
          <w:b w:val="false"/>
          <w:color w:val="000000"/>
          <w:sz w:val="20"/>
        </w:rPr>
        <w: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pStyle w:val="TextBody"/>
        <w:bidi w:val="0"/>
        <w:spacing w:lineRule="auto" w:line="288" w:before="180" w:after="283"/>
        <w:jc w:val="both"/>
        <w:rPr/>
      </w:pPr>
      <w:r>
        <w:rPr>
          <w:rFonts w:ascii="Times New Roman;sans-serif" w:hAnsi="Times New Roman;sans-serif"/>
          <w:b/>
          <w:i/>
          <w:color w:val="000000"/>
          <w:sz w:val="20"/>
        </w:rPr>
        <w:t>Repurchase Agreements</w:t>
      </w:r>
      <w:r>
        <w:rPr>
          <w:color w:val="000000"/>
        </w:rPr>
        <w: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finance the acquisition of securities for our investment portfolio primarily through repurchase agreements with our lending counterparties. Repurchase arrangements involve the sale and a simultaneous agreement to repurchase the securities 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ans-serif" w:hAnsi="Times New Roman;sans-serif"/>
          <w:b w:val="false"/>
          <w:color w:val="000000"/>
          <w:sz w:val="20"/>
        </w:rPr>
        <w:t xml:space="preserve">future date. We maintain a beneficial interest in the specific securities pledged during the term of each repurchase arrangement and we receive the related principal and interest payments. Pursuant to ASC Topic 860, </w:t>
      </w:r>
      <w:r>
        <w:rPr>
          <w:rFonts w:ascii="Times New Roman;sans-serif" w:hAnsi="Times New Roman;sans-serif"/>
          <w:b w:val="false"/>
          <w:i/>
          <w:color w:val="000000"/>
          <w:sz w:val="20"/>
        </w:rPr>
        <w:t>Transfers and Servicing</w:t>
      </w:r>
      <w:r>
        <w:rPr>
          <w:rFonts w:ascii="Times New Roman;sans-serif" w:hAnsi="Times New Roman;sans-serif"/>
          <w:b w:val="false"/>
          <w:color w:val="000000"/>
          <w:sz w:val="20"/>
        </w:rPr>
        <w:t>, we account for repurchase agreements as collateralized financing transactions, which are carried at their contractual amounts (cost), plus accrued interest. Our repurchase agreements typically have maturities of less than one year.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Reverse Repurchase Agreements and Obligation to Return Securities Borrowed under Reverse Repurchase Agreements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We borrow securities to cover short sales of U.S. Treasury securities through reverse repurchase transactions under our master repurchase agreements (see </w:t>
      </w:r>
      <w:r>
        <w:rPr>
          <w:rFonts w:ascii="Times New Roman;sans-serif" w:hAnsi="Times New Roman;sans-serif"/>
          <w:b w:val="false"/>
          <w:i/>
          <w:color w:val="000000"/>
          <w:sz w:val="20"/>
        </w:rPr>
        <w:t>Derivative Instruments</w:t>
      </w:r>
      <w:r>
        <w:rPr>
          <w:color w:val="000000"/>
        </w:rPr>
        <w:t xml:space="preserve"> </w:t>
      </w:r>
      <w:r>
        <w:rPr>
          <w:rFonts w:ascii="Times New Roman;sans-serif" w:hAnsi="Times New Roman;sans-serif"/>
          <w:b w:val="false"/>
          <w:color w:val="000000"/>
          <w:sz w:val="20"/>
        </w:rPr>
        <w:t>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We account for derivative instruments in accordance with ASC Topic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 </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swap agreements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 </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swaptions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paid. If we sell or exercise a swaption, the realized gain or loss on the swaption would be equal to the difference between the cash or the fair value of the underlying interest rate swap and the premium paid.</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TBA securities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U.S. Treasury securities and US Treasury futures contracts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pStyle w:val="TextBody"/>
        <w:bidi w:val="0"/>
        <w:spacing w:lineRule="auto" w:line="288" w:before="180" w:after="283"/>
        <w:jc w:val="both"/>
        <w:rPr/>
      </w:pPr>
      <w:r>
        <w:rPr>
          <w:rFonts w:ascii="Times New Roman;sans-serif" w:hAnsi="Times New Roman;sans-serif"/>
          <w:b/>
          <w:i/>
          <w:color w:val="000000"/>
          <w:sz w:val="20"/>
        </w:rPr>
        <w:t>Fair Value Measurements</w:t>
      </w:r>
      <w:r>
        <w:rPr>
          <w:color w:val="000000"/>
        </w:rPr>
        <w:t xml:space="preserv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three levels of valuation hierarchy are defined as follows: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Inputs —Quoted prices (unadjusted) for identical unrestricted assets and liabilities in active markets that are accessible at the measurement date.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3 Inputs —Instruments with primarily unobservable market data that cannot be corroborated.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would indicate and we cannot obtain an understanding from the third-party source as to the significant inputs used to determine the price.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 </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Investment securities</w:t>
      </w:r>
      <w:r>
        <w:rPr>
          <w:color w:val="000000"/>
        </w:rPr>
        <w:t xml:space="preserve"> </w:t>
      </w:r>
      <w:r>
        <w:rPr>
          <w:rFonts w:ascii="Times New Roman;sans-serif" w:hAnsi="Times New Roman;sans-serif"/>
          <w:b w:val="false"/>
          <w:color w:val="000000"/>
          <w:sz w:val="20"/>
        </w:rPr>
        <w:t xml:space="preserve">- are valued based on prices obtained from multiple third-party pricing sources. The pricing sources utilize various valuation approaches, 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 </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TBA securities</w:t>
      </w:r>
      <w:r>
        <w:rPr>
          <w:color w:val="000000"/>
        </w:rPr>
        <w:t xml:space="preserve"> </w:t>
      </w:r>
      <w:r>
        <w:rPr>
          <w:rFonts w:ascii="Times New Roman;sans-serif" w:hAnsi="Times New Roman;sans-serif"/>
          <w:b w:val="false"/>
          <w:color w:val="000000"/>
          <w:sz w:val="20"/>
        </w:rPr>
        <w:t>- are valued using prices obtained from third-party pricing sources based on pricing models that reference recent trading activity.</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Interest rate swaps</w:t>
      </w:r>
      <w:r>
        <w:rPr>
          <w:color w:val="000000"/>
        </w:rPr>
        <w:t xml:space="preserve"> </w:t>
      </w:r>
      <w:r>
        <w:rPr>
          <w:rFonts w:ascii="Times New Roman;sans-serif" w:hAnsi="Times New Roman;sans-serif"/>
          <w:b w:val="false"/>
          <w:color w:val="000000"/>
          <w:sz w:val="20"/>
        </w:rPr>
        <w:t xml:space="preserve">- are valued using the daily settlement price, or fair value, determined by the clearing exchange based on a pricing model that references observable market inputs, including current benchmark rates and the forward yield curve. </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Interest rate swaptions</w:t>
      </w:r>
      <w:r>
        <w:rPr>
          <w:color w:val="000000"/>
        </w:rPr>
        <w:t xml:space="preserve"> </w:t>
      </w:r>
      <w:r>
        <w:rPr>
          <w:rFonts w:ascii="Times New Roman;sans-serif" w:hAnsi="Times New Roman;sans-serif"/>
          <w:b w:val="false"/>
          <w:color w:val="000000"/>
          <w:sz w:val="20"/>
        </w:rPr>
        <w:t xml:space="preserve">- are valued using prices obtained from the counterparty and other third-party pricing models. The pricing models are based on the value of the future interest rate swap that we have the option to enter into as well as the remaining length of time that we have to exercise the option based on observable market inputs, adjusted for non-performance risk, if any.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Treasury securities and futures are valued based on quoted prices for identical instruments in active markets and are classified as Level 1 assets. None of our financial instruments are classified as Level 3 inputs.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Investment Securities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our investment portfolio consisted of $47.8 billion and $40.9 billion investment securities, at fair value, respectively, and $10.2 billion and $18.6 billion net TBA securities, at fair value, respectively. Our TBA position is reported at its net carrying value totaling $(92) million and $167 million as of June 30, 2023 and December 31, 2022,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our investment securities had a net unamortized premium balance of $1.4 billion and $1.5 billion,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investment securities as of June 30, 2023 and December 31, 2022, excluding TBA securities and other mortgage credit investments (dollars in millions). Details of our TBA securities are included in Note 5. As of June 30, 2023 and December 31, 2022, we had other mortgage credit investments of $28 million and $25 million, respectively, which we account for under the equity method of accounting.</w:t>
      </w:r>
    </w:p>
    <w:tbl>
      <w:tblPr>
        <w:tblW w:w="7902" w:type="dxa"/>
        <w:jc w:val="center"/>
        <w:tblInd w:w="0" w:type="dxa"/>
        <w:tblLayout w:type="fixed"/>
        <w:tblCellMar>
          <w:top w:w="28" w:type="dxa"/>
          <w:left w:w="28" w:type="dxa"/>
          <w:bottom w:w="28" w:type="dxa"/>
          <w:right w:w="28" w:type="dxa"/>
        </w:tblCellMar>
      </w:tblPr>
      <w:tblGrid>
        <w:gridCol w:w="995"/>
        <w:gridCol w:w="872"/>
        <w:gridCol w:w="878"/>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Interest-only and principal-only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Non-Agency RMBS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8"/>
        <w:gridCol w:w="573"/>
        <w:gridCol w:w="577"/>
        <w:gridCol w:w="109"/>
        <w:gridCol w:w="109"/>
        <w:gridCol w:w="109"/>
        <w:gridCol w:w="182"/>
        <w:gridCol w:w="546"/>
        <w:gridCol w:w="213"/>
        <w:gridCol w:w="109"/>
        <w:gridCol w:w="109"/>
        <w:gridCol w:w="109"/>
        <w:gridCol w:w="187"/>
        <w:gridCol w:w="559"/>
        <w:gridCol w:w="217"/>
        <w:gridCol w:w="109"/>
        <w:gridCol w:w="109"/>
        <w:gridCol w:w="109"/>
        <w:gridCol w:w="181"/>
        <w:gridCol w:w="286"/>
        <w:gridCol w:w="211"/>
        <w:gridCol w:w="109"/>
        <w:gridCol w:w="109"/>
        <w:gridCol w:w="109"/>
        <w:gridCol w:w="181"/>
        <w:gridCol w:w="406"/>
        <w:gridCol w:w="211"/>
        <w:gridCol w:w="109"/>
        <w:gridCol w:w="109"/>
        <w:gridCol w:w="109"/>
        <w:gridCol w:w="181"/>
        <w:gridCol w:w="406"/>
        <w:gridCol w:w="211"/>
        <w:gridCol w:w="109"/>
        <w:gridCol w:w="109"/>
        <w:gridCol w:w="109"/>
        <w:gridCol w:w="181"/>
        <w:gridCol w:w="406"/>
        <w:gridCol w:w="211"/>
        <w:gridCol w:w="109"/>
        <w:gridCol w:w="109"/>
        <w:gridCol w:w="109"/>
        <w:gridCol w:w="181"/>
        <w:gridCol w:w="541"/>
        <w:gridCol w:w="260"/>
      </w:tblGrid>
      <w:tr>
        <w:trPr/>
        <w:tc>
          <w:tcPr>
            <w:tcW w:w="80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Agency 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Non-Agency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Fannie Mae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Freddie Mac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Ginnie</w:t>
              <w:br/>
              <w:t>Mae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5,767 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available-for-sale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1,198 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Securities remeasured at fair value through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4"/>
              </w:rPr>
            </w:pPr>
            <w:r>
              <w:rPr>
                <w:rFonts w:ascii="Times New Roman;sans-serif" w:hAnsi="Times New Roman;sans-serif"/>
                <w:b w:val="false"/>
                <w:color w:val="000000"/>
                <w:sz w:val="14"/>
              </w:rPr>
              <w:t>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15,152 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44,563 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4"/>
              </w:rPr>
            </w:pPr>
            <w:r>
              <w:rPr>
                <w:rFonts w:ascii="Times New Roman;sans-serif" w:hAnsi="Times New Roman;sans-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29,063 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15,485 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45,639 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securities remeasured at fair value through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26,953 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14,546 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42,567 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30,926 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15,744 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47,739 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Weighted average coupon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4.17 </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4.36 </w:t>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4.51 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4.90 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6.90 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9.83 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4.33 </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Weighted average yield as of June 30, 2023 </w:t>
            </w:r>
            <w:r>
              <w:rPr>
                <w:rFonts w:ascii="Times New Roman;sans-serif" w:hAnsi="Times New Roman;sans-serif"/>
                <w:b w:val="false"/>
                <w:color w:val="000000"/>
                <w:sz w:val="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4.65 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6.48 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8.76 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24"/>
        <w:gridCol w:w="592"/>
        <w:gridCol w:w="596"/>
        <w:gridCol w:w="109"/>
        <w:gridCol w:w="109"/>
        <w:gridCol w:w="109"/>
        <w:gridCol w:w="181"/>
        <w:gridCol w:w="541"/>
        <w:gridCol w:w="211"/>
        <w:gridCol w:w="109"/>
        <w:gridCol w:w="109"/>
        <w:gridCol w:w="109"/>
        <w:gridCol w:w="187"/>
        <w:gridCol w:w="560"/>
        <w:gridCol w:w="218"/>
        <w:gridCol w:w="109"/>
        <w:gridCol w:w="109"/>
        <w:gridCol w:w="109"/>
        <w:gridCol w:w="189"/>
        <w:gridCol w:w="220"/>
        <w:gridCol w:w="222"/>
        <w:gridCol w:w="109"/>
        <w:gridCol w:w="109"/>
        <w:gridCol w:w="109"/>
        <w:gridCol w:w="181"/>
        <w:gridCol w:w="406"/>
        <w:gridCol w:w="211"/>
        <w:gridCol w:w="109"/>
        <w:gridCol w:w="109"/>
        <w:gridCol w:w="109"/>
        <w:gridCol w:w="181"/>
        <w:gridCol w:w="406"/>
        <w:gridCol w:w="211"/>
        <w:gridCol w:w="109"/>
        <w:gridCol w:w="109"/>
        <w:gridCol w:w="109"/>
        <w:gridCol w:w="181"/>
        <w:gridCol w:w="406"/>
        <w:gridCol w:w="211"/>
        <w:gridCol w:w="109"/>
        <w:gridCol w:w="109"/>
        <w:gridCol w:w="109"/>
        <w:gridCol w:w="181"/>
        <w:gridCol w:w="541"/>
        <w:gridCol w:w="259"/>
      </w:tblGrid>
      <w:tr>
        <w:trPr/>
        <w:tc>
          <w:tcPr>
            <w:tcW w:w="82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Agency 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Non-Agency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Fannie </w:t>
              <w:br/>
              <w:t>Mae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Freddie Mac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Ginnie </w:t>
              <w:br/>
              <w:t>Mae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6,232 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1,628 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6,599 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available-for-sale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Securities remeasured at fair value through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11,444 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37,171 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25,025 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11,759 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38,281 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securities remeasured at fair value through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10,830 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34,977 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27,201 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12,286 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40,904 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Weighted average coupon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3.79 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3.92 </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4.66 </w:t>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8.48 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 xml:space="preserve">Weighted average yield as of December 31, 2022 </w:t>
            </w:r>
            <w:r>
              <w:rPr>
                <w:rFonts w:ascii="Times New Roman;sans-serif" w:hAnsi="Times New Roman;sans-serif"/>
                <w:b w:val="false"/>
                <w:color w:val="000000"/>
                <w:sz w:val="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3.41 </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2.58 </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4.34 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6.02 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7.93 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bl>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1.Non-Agency amounts exclude other mortgage credit investments of $28 million and $25 million as of June 30, 2023 and December 31, 2022,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2.Incorporates a weighted average future constant prepayment rate assumption of 9.8% and 7.4% based on forward rates as of June 30, 2023 and December 31, 2022, respectively.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our investments in CRT and non-Agency securities had the following credit ratings (in millions):</w:t>
      </w:r>
    </w:p>
    <w:tbl>
      <w:tblPr>
        <w:tblW w:w="9880" w:type="dxa"/>
        <w:jc w:val="center"/>
        <w:tblInd w:w="0" w:type="dxa"/>
        <w:tblLayout w:type="fixed"/>
        <w:tblCellMar>
          <w:top w:w="28" w:type="dxa"/>
          <w:left w:w="28" w:type="dxa"/>
          <w:bottom w:w="28" w:type="dxa"/>
          <w:right w:w="28" w:type="dxa"/>
        </w:tblCellMar>
      </w:tblPr>
      <w:tblGrid>
        <w:gridCol w:w="1299"/>
        <w:gridCol w:w="1141"/>
        <w:gridCol w:w="1144"/>
        <w:gridCol w:w="109"/>
        <w:gridCol w:w="109"/>
        <w:gridCol w:w="109"/>
        <w:gridCol w:w="196"/>
        <w:gridCol w:w="421"/>
        <w:gridCol w:w="109"/>
        <w:gridCol w:w="109"/>
        <w:gridCol w:w="109"/>
        <w:gridCol w:w="109"/>
        <w:gridCol w:w="196"/>
        <w:gridCol w:w="406"/>
        <w:gridCol w:w="109"/>
        <w:gridCol w:w="109"/>
        <w:gridCol w:w="109"/>
        <w:gridCol w:w="109"/>
        <w:gridCol w:w="196"/>
        <w:gridCol w:w="421"/>
        <w:gridCol w:w="109"/>
        <w:gridCol w:w="109"/>
        <w:gridCol w:w="109"/>
        <w:gridCol w:w="109"/>
        <w:gridCol w:w="196"/>
        <w:gridCol w:w="421"/>
        <w:gridCol w:w="109"/>
        <w:gridCol w:w="109"/>
        <w:gridCol w:w="109"/>
        <w:gridCol w:w="109"/>
        <w:gridCol w:w="208"/>
        <w:gridCol w:w="351"/>
        <w:gridCol w:w="115"/>
        <w:gridCol w:w="109"/>
        <w:gridCol w:w="109"/>
        <w:gridCol w:w="109"/>
        <w:gridCol w:w="196"/>
        <w:gridCol w:w="421"/>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CRT and Non-Agency Security Credit Ratings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RMBS </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RMBS </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CMBS</w:t>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 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1.Represents the lowest of Standard and Poor's ("S&amp;P"), Moody's, Fitch, DBRS, Kroll Bond Rating Agency ("KBRA") and Morningstar credit ratings, stated in terms of the S&amp;P equivalent rating as of each date.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2.RMBS excludes other mortgage credit investments of $28 million and $25 million as of June 30, 2023 and December 31, 2022, respectively.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CRT securities reference the performance of loans underlying Agency RMBS issued by Fannie Mae or Freddie Mac, which were subject to their underwriting standards.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June 30, 2023 and December 31, 2022, the weighted average expected constant prepayment rate ("CPR") over the remaining life of our Agency and high credit quality non-Agency RMBS investment portfolio was 9.8% and 7.4%, respectively. Our estimates can differ materially for different securities and thus our individual holdings have a wide range of projected CPRs. The following table summarizes our investments as of June 30, 2023 and December 31, 2022 according to their estimated weighted average life classification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tbl>
      <w:tblPr>
        <w:tblW w:w="10565"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65"/>
        <w:gridCol w:w="265"/>
        <w:gridCol w:w="266"/>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46"/>
        <w:gridCol w:w="246"/>
        <w:gridCol w:w="34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Estimated Weighted Average Life of Investment Securities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Yield</w:t>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4.66%</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3 years and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3.79%</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5 years and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3.30%</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3.37%</w:t>
            </w:r>
          </w:p>
        </w:tc>
      </w:tr>
    </w:tbl>
    <w:p>
      <w:pPr>
        <w:pStyle w:val="TextBody"/>
        <w:bidi w:val="0"/>
        <w:spacing w:lineRule="auto" w:line="288" w:before="0" w:after="60"/>
        <w:jc w:val="both"/>
        <w:rPr>
          <w:color w:val="000000"/>
        </w:rPr>
      </w:pPr>
      <w:r>
        <w:rPr>
          <w:color w:val="000000"/>
        </w:rPr>
        <w:t> </w:t>
      </w: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1.Table excludes other mortgage credit investments of $28 million and $25 million as of June 30, 2023 and December 31, 2022, respectively.</w:t>
      </w:r>
    </w:p>
    <w:p>
      <w:pPr>
        <w:pStyle w:val="TextBody"/>
        <w:bidi w:val="0"/>
        <w:spacing w:lineRule="auto" w:line="288" w:before="18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gross unrealized loss and fair values of securities classified as available-for-sale by length of time that such securities have been in a continuous unrealized loss position as of June 30, 2023 and December 31, 2022 (in millions): </w:t>
      </w:r>
    </w:p>
    <w:tbl>
      <w:tblPr>
        <w:tblW w:w="10205" w:type="dxa"/>
        <w:jc w:val="left"/>
        <w:tblInd w:w="0" w:type="dxa"/>
        <w:tblLayout w:type="fixed"/>
        <w:tblCellMar>
          <w:top w:w="28" w:type="dxa"/>
          <w:left w:w="28" w:type="dxa"/>
          <w:bottom w:w="28" w:type="dxa"/>
          <w:right w:w="28" w:type="dxa"/>
        </w:tblCellMar>
      </w:tblPr>
      <w:tblGrid>
        <w:gridCol w:w="1061"/>
        <w:gridCol w:w="934"/>
        <w:gridCol w:w="936"/>
        <w:gridCol w:w="109"/>
        <w:gridCol w:w="109"/>
        <w:gridCol w:w="109"/>
        <w:gridCol w:w="196"/>
        <w:gridCol w:w="556"/>
        <w:gridCol w:w="109"/>
        <w:gridCol w:w="109"/>
        <w:gridCol w:w="109"/>
        <w:gridCol w:w="109"/>
        <w:gridCol w:w="234"/>
        <w:gridCol w:w="521"/>
        <w:gridCol w:w="131"/>
        <w:gridCol w:w="109"/>
        <w:gridCol w:w="109"/>
        <w:gridCol w:w="109"/>
        <w:gridCol w:w="201"/>
        <w:gridCol w:w="572"/>
        <w:gridCol w:w="113"/>
        <w:gridCol w:w="109"/>
        <w:gridCol w:w="109"/>
        <w:gridCol w:w="109"/>
        <w:gridCol w:w="234"/>
        <w:gridCol w:w="521"/>
        <w:gridCol w:w="131"/>
        <w:gridCol w:w="109"/>
        <w:gridCol w:w="109"/>
        <w:gridCol w:w="109"/>
        <w:gridCol w:w="196"/>
        <w:gridCol w:w="556"/>
        <w:gridCol w:w="109"/>
        <w:gridCol w:w="109"/>
        <w:gridCol w:w="109"/>
        <w:gridCol w:w="109"/>
        <w:gridCol w:w="232"/>
        <w:gridCol w:w="516"/>
        <w:gridCol w:w="184"/>
      </w:tblGrid>
      <w:tr>
        <w:trPr/>
        <w:tc>
          <w:tcPr>
            <w:tcW w:w="106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 Position For</w:t>
            </w:r>
          </w:p>
        </w:tc>
      </w:tr>
      <w:tr>
        <w:trPr/>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Securities Classified as 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2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Gains and Losses on Sale of Investment Securities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net gain (loss) from the sale of investment securities for the three and six months ended June 30, 2023 and 2022 by investment classification of accounting (in millions):</w:t>
      </w:r>
    </w:p>
    <w:p>
      <w:pPr>
        <w:pStyle w:val="TextBody"/>
        <w:bidi w:val="0"/>
        <w:spacing w:before="0" w:after="60"/>
        <w:jc w:val="both"/>
        <w:rPr/>
      </w:pPr>
      <w:r>
        <w:rPr/>
      </w:r>
    </w:p>
    <w:tbl>
      <w:tblPr>
        <w:tblW w:w="10205" w:type="dxa"/>
        <w:jc w:val="center"/>
        <w:tblInd w:w="0" w:type="dxa"/>
        <w:tblLayout w:type="fixed"/>
        <w:tblCellMar>
          <w:top w:w="28" w:type="dxa"/>
          <w:left w:w="28" w:type="dxa"/>
          <w:bottom w:w="28" w:type="dxa"/>
          <w:right w:w="28" w:type="dxa"/>
        </w:tblCellMar>
      </w:tblPr>
      <w:tblGrid>
        <w:gridCol w:w="489"/>
        <w:gridCol w:w="348"/>
        <w:gridCol w:w="351"/>
        <w:gridCol w:w="109"/>
        <w:gridCol w:w="109"/>
        <w:gridCol w:w="109"/>
        <w:gridCol w:w="321"/>
        <w:gridCol w:w="717"/>
        <w:gridCol w:w="180"/>
        <w:gridCol w:w="109"/>
        <w:gridCol w:w="109"/>
        <w:gridCol w:w="109"/>
        <w:gridCol w:w="218"/>
        <w:gridCol w:w="651"/>
        <w:gridCol w:w="121"/>
        <w:gridCol w:w="109"/>
        <w:gridCol w:w="109"/>
        <w:gridCol w:w="109"/>
        <w:gridCol w:w="196"/>
        <w:gridCol w:w="578"/>
        <w:gridCol w:w="109"/>
        <w:gridCol w:w="109"/>
        <w:gridCol w:w="109"/>
        <w:gridCol w:w="109"/>
        <w:gridCol w:w="321"/>
        <w:gridCol w:w="715"/>
        <w:gridCol w:w="180"/>
        <w:gridCol w:w="109"/>
        <w:gridCol w:w="109"/>
        <w:gridCol w:w="109"/>
        <w:gridCol w:w="214"/>
        <w:gridCol w:w="736"/>
        <w:gridCol w:w="119"/>
        <w:gridCol w:w="109"/>
        <w:gridCol w:w="109"/>
        <w:gridCol w:w="109"/>
        <w:gridCol w:w="196"/>
        <w:gridCol w:w="668"/>
        <w:gridCol w:w="109"/>
        <w:gridCol w:w="109"/>
        <w:gridCol w:w="109"/>
        <w:gridCol w:w="109"/>
        <w:gridCol w:w="109"/>
        <w:gridCol w:w="109"/>
        <w:gridCol w:w="161"/>
      </w:tblGrid>
      <w:tr>
        <w:trPr/>
        <w:tc>
          <w:tcPr>
            <w:tcW w:w="48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706" w:type="dxa"/>
            <w:gridSpan w:val="6"/>
            <w:tcBorders/>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Available-for-Sale </w:t>
            </w:r>
          </w:p>
          <w:p>
            <w:pPr>
              <w:pStyle w:val="TableContents"/>
              <w:bidi w:val="0"/>
              <w:spacing w:lineRule="auto" w:line="240" w:before="0" w:after="0"/>
              <w:jc w:val="center"/>
              <w:rPr/>
            </w:pPr>
            <w:r>
              <w:rPr>
                <w:rFonts w:ascii="Times New Roman;sans-serif" w:hAnsi="Times New Roman;sans-serif"/>
                <w:b/>
                <w:color w:val="000000"/>
                <w:sz w:val="14"/>
              </w:rPr>
              <w:t xml:space="preserve">Securities </w:t>
            </w:r>
            <w:r>
              <w:rPr>
                <w:rFonts w:ascii="Times New Roman;sans-serif" w:hAnsi="Times New Roman;sans-serif"/>
                <w:b/>
                <w:color w:val="000000"/>
                <w:sz w:val="9"/>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Available-for-Sale</w:t>
            </w:r>
          </w:p>
          <w:p>
            <w:pPr>
              <w:pStyle w:val="TableContents"/>
              <w:bidi w:val="0"/>
              <w:spacing w:lineRule="auto" w:line="240" w:before="0" w:after="0"/>
              <w:jc w:val="center"/>
              <w:rPr/>
            </w:pPr>
            <w:r>
              <w:rPr>
                <w:rFonts w:ascii="Times New Roman;sans-serif" w:hAnsi="Times New Roman;sans-serif"/>
                <w:b/>
                <w:color w:val="000000"/>
                <w:sz w:val="14"/>
              </w:rPr>
              <w:t xml:space="preserve">Securities </w:t>
            </w:r>
            <w:r>
              <w:rPr>
                <w:rFonts w:ascii="Times New Roman;sans-serif" w:hAnsi="Times New Roman;sans-serif"/>
                <w:b/>
                <w:color w:val="000000"/>
                <w:sz w:val="9"/>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sold,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(2,121)</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(8,145)</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Proceeds from investment securities sold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gain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loss on sale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706" w:type="dxa"/>
            <w:gridSpan w:val="6"/>
            <w:tcBorders/>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Available-for-Sale </w:t>
            </w:r>
          </w:p>
          <w:p>
            <w:pPr>
              <w:pStyle w:val="TableContents"/>
              <w:bidi w:val="0"/>
              <w:spacing w:lineRule="auto" w:line="240" w:before="0" w:after="0"/>
              <w:jc w:val="center"/>
              <w:rPr/>
            </w:pPr>
            <w:r>
              <w:rPr>
                <w:rFonts w:ascii="Times New Roman;sans-serif" w:hAnsi="Times New Roman;sans-serif"/>
                <w:b/>
                <w:color w:val="000000"/>
                <w:sz w:val="14"/>
              </w:rPr>
              <w:t xml:space="preserve">Securities </w:t>
            </w:r>
            <w:r>
              <w:rPr>
                <w:rFonts w:ascii="Times New Roman;sans-serif" w:hAnsi="Times New Roman;sans-serif"/>
                <w:b/>
                <w:color w:val="000000"/>
                <w:sz w:val="9"/>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Available-for-Sale</w:t>
            </w:r>
          </w:p>
          <w:p>
            <w:pPr>
              <w:pStyle w:val="TableContents"/>
              <w:bidi w:val="0"/>
              <w:spacing w:lineRule="auto" w:line="240" w:before="0" w:after="0"/>
              <w:jc w:val="center"/>
              <w:rPr/>
            </w:pPr>
            <w:r>
              <w:rPr>
                <w:rFonts w:ascii="Times New Roman;sans-serif" w:hAnsi="Times New Roman;sans-serif"/>
                <w:b/>
                <w:color w:val="000000"/>
                <w:sz w:val="14"/>
              </w:rPr>
              <w:t xml:space="preserve">Securities </w:t>
            </w:r>
            <w:r>
              <w:rPr>
                <w:rFonts w:ascii="Times New Roman;sans-serif" w:hAnsi="Times New Roman;sans-serif"/>
                <w:b/>
                <w:color w:val="000000"/>
                <w:sz w:val="9"/>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sold,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Proceeds from investment securities sold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gain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loss on sale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color w:val="000000"/>
        </w:rPr>
      </w:pPr>
      <w:r>
        <w:rPr>
          <w:color w:val="000000"/>
        </w:rPr>
        <w:t> </w:t>
      </w:r>
      <w:r>
        <w:rPr>
          <w:rFonts w:ascii="Times New Roman;sans-serif" w:hAnsi="Times New Roman;sans-serif"/>
          <w:b w:val="false"/>
          <w:color w:val="000000"/>
          <w:sz w:val="12"/>
        </w:rPr>
        <w:t>________________________________</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1.Proceeds include cash received during the period, plus receivable for investment securities sold during the period as of period end.</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2.See Note 9 for a summary of changes in accumulated OCI. </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Repurchase Agreements and Reverse Repurchase Agreements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Repurchase Agreements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2023, we had met all margin call requirements. For additional information regarding our pledged assets, please refer to Note 6.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we had $42.0 billion and $36.3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June 30, 2023 and December 31, 2022 (dollars in millions):</w:t>
      </w:r>
    </w:p>
    <w:tbl>
      <w:tblPr>
        <w:tblW w:w="10205" w:type="dxa"/>
        <w:jc w:val="center"/>
        <w:tblInd w:w="0" w:type="dxa"/>
        <w:tblLayout w:type="fixed"/>
        <w:tblCellMar>
          <w:top w:w="28" w:type="dxa"/>
          <w:left w:w="28" w:type="dxa"/>
          <w:bottom w:w="28" w:type="dxa"/>
          <w:right w:w="28" w:type="dxa"/>
        </w:tblCellMar>
      </w:tblPr>
      <w:tblGrid>
        <w:gridCol w:w="463"/>
        <w:gridCol w:w="407"/>
        <w:gridCol w:w="409"/>
        <w:gridCol w:w="109"/>
        <w:gridCol w:w="109"/>
        <w:gridCol w:w="109"/>
        <w:gridCol w:w="295"/>
        <w:gridCol w:w="975"/>
        <w:gridCol w:w="165"/>
        <w:gridCol w:w="109"/>
        <w:gridCol w:w="109"/>
        <w:gridCol w:w="109"/>
        <w:gridCol w:w="233"/>
        <w:gridCol w:w="233"/>
        <w:gridCol w:w="430"/>
        <w:gridCol w:w="109"/>
        <w:gridCol w:w="109"/>
        <w:gridCol w:w="109"/>
        <w:gridCol w:w="375"/>
        <w:gridCol w:w="375"/>
        <w:gridCol w:w="376"/>
        <w:gridCol w:w="109"/>
        <w:gridCol w:w="109"/>
        <w:gridCol w:w="109"/>
        <w:gridCol w:w="295"/>
        <w:gridCol w:w="975"/>
        <w:gridCol w:w="165"/>
        <w:gridCol w:w="109"/>
        <w:gridCol w:w="109"/>
        <w:gridCol w:w="109"/>
        <w:gridCol w:w="233"/>
        <w:gridCol w:w="233"/>
        <w:gridCol w:w="430"/>
        <w:gridCol w:w="109"/>
        <w:gridCol w:w="109"/>
        <w:gridCol w:w="109"/>
        <w:gridCol w:w="343"/>
        <w:gridCol w:w="343"/>
        <w:gridCol w:w="490"/>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Remaining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Days</w:t>
              <w:br/>
              <w:t>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Days</w:t>
              <w:br/>
              <w:t>to Maturity</w:t>
            </w:r>
          </w:p>
        </w:tc>
      </w:tr>
      <w:tr>
        <w:trPr/>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1 to ≤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3 to ≤ 6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6 to ≤ 9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Agency repo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40,875 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42,029 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36,262 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$12.6 billion and $9.6 billion, respectively, of our Agency repurchase agreements and all of our U.S. Treasury repurchase agreements had an overnight maturity of one business day and none of our repurchase agreements were due on demand. As of June 30, 2023, we had $11.7 billion of forward commitments to enter into repurchase agreements with a weighted average forward start date of 3 days and a weighted average interest rate of 5.19%. As of December 31, 2022, we had $6.4 billion of forward commitments to enter into repurchase agreements, with a weighted average forward start date of 4 days and a weighted average interest rate of 4.38%. As of June 30, 2023 and December 31, 2022, 47% and 49%,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43% and 48% of our repurchase agreement funding outstanding as of June 30, 2023 and December 31, 2022, respectively.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Reverse Repurchase Agreements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we had $8.0 billion and $6.6 billion, respectively, of reverse repurchase agreements outstanding used primarily to borrow securities to cover short sales of U.S. Treasury securities, for which we had associated obligations to return borrowed securities at fair value of $8.0 billion and $6.5 billion, respectively. As of June 30, 2023 and December 31, 2022, $2.7 billion and $1.5 billion, respectively, of our reverse repurchase agreements were with the FICC sourced through BES.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Derivative and Other Hedging Instruments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 and Other Hedging Instrument Assets (Liabilities), at Fair Value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fair value information about our derivative and other hedging instrument assets/(liabilities) as of June 30, 2023 and December 31, 2022 (in millions):</w:t>
      </w:r>
    </w:p>
    <w:tbl>
      <w:tblPr>
        <w:tblW w:w="10205" w:type="dxa"/>
        <w:jc w:val="left"/>
        <w:tblInd w:w="0" w:type="dxa"/>
        <w:tblLayout w:type="fixed"/>
        <w:tblCellMar>
          <w:top w:w="28" w:type="dxa"/>
          <w:left w:w="28" w:type="dxa"/>
          <w:bottom w:w="28" w:type="dxa"/>
          <w:right w:w="28" w:type="dxa"/>
        </w:tblCellMar>
      </w:tblPr>
      <w:tblGrid>
        <w:gridCol w:w="977"/>
        <w:gridCol w:w="851"/>
        <w:gridCol w:w="854"/>
        <w:gridCol w:w="109"/>
        <w:gridCol w:w="109"/>
        <w:gridCol w:w="109"/>
        <w:gridCol w:w="1565"/>
        <w:gridCol w:w="1497"/>
        <w:gridCol w:w="1500"/>
        <w:gridCol w:w="109"/>
        <w:gridCol w:w="109"/>
        <w:gridCol w:w="109"/>
        <w:gridCol w:w="196"/>
        <w:gridCol w:w="610"/>
        <w:gridCol w:w="109"/>
        <w:gridCol w:w="109"/>
        <w:gridCol w:w="109"/>
        <w:gridCol w:w="109"/>
        <w:gridCol w:w="216"/>
        <w:gridCol w:w="676"/>
        <w:gridCol w:w="173"/>
      </w:tblGrid>
      <w:tr>
        <w:trPr/>
        <w:tc>
          <w:tcPr>
            <w:tcW w:w="9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392" w:type="dxa"/>
            <w:gridSpan w:val="6"/>
            <w:tcBorders/>
          </w:tcPr>
          <w:p>
            <w:pPr>
              <w:pStyle w:val="TableContents"/>
              <w:bidi w:val="0"/>
              <w:spacing w:before="0" w:after="283"/>
              <w:jc w:val="left"/>
              <w:rPr>
                <w:sz w:val="4"/>
                <w:szCs w:val="4"/>
              </w:rPr>
            </w:pPr>
            <w:r>
              <w:rPr>
                <w:sz w:val="4"/>
                <w:szCs w:val="4"/>
              </w:rPr>
            </w:r>
          </w:p>
        </w:tc>
      </w:tr>
      <w:tr>
        <w:trPr/>
        <w:tc>
          <w:tcPr>
            <w:tcW w:w="2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Interest rate swaps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 and forward settling 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futures -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Interest rate swaps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 and forward settling non-Agency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futures - 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 futures contracts - 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Credit default swaps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 to return securities borrowed under reverse repurchase agreements,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U.S. Treasury securities, net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(6,181)</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1.As of June 30, 2023 and December 31, 2022, the net fair value of our interest rate swaps excluding the recognition of variation margin settlements as a direct reduction of carrying value (see Note 2) was a net asset (liability) of $5.1 billion and $4.5 billion, respectively. As of June 30, 2023 and December 31, 2022, the net fair value of our credit default swaps excluding the recognition of variation margin settlements was $(11) million and $(2) million, respectively.</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certain characteristics of our derivative and other hedging instruments outstanding as of June 30, 2023 and December 31, 2022 (dollars in millions):</w:t>
      </w:r>
    </w:p>
    <w:tbl>
      <w:tblPr>
        <w:tblW w:w="10205" w:type="dxa"/>
        <w:jc w:val="center"/>
        <w:tblInd w:w="0" w:type="dxa"/>
        <w:tblLayout w:type="fixed"/>
        <w:tblCellMar>
          <w:top w:w="28" w:type="dxa"/>
          <w:left w:w="28" w:type="dxa"/>
          <w:bottom w:w="28" w:type="dxa"/>
          <w:right w:w="28" w:type="dxa"/>
        </w:tblCellMar>
      </w:tblPr>
      <w:tblGrid>
        <w:gridCol w:w="435"/>
        <w:gridCol w:w="372"/>
        <w:gridCol w:w="373"/>
        <w:gridCol w:w="109"/>
        <w:gridCol w:w="109"/>
        <w:gridCol w:w="109"/>
        <w:gridCol w:w="196"/>
        <w:gridCol w:w="646"/>
        <w:gridCol w:w="109"/>
        <w:gridCol w:w="109"/>
        <w:gridCol w:w="109"/>
        <w:gridCol w:w="109"/>
        <w:gridCol w:w="247"/>
        <w:gridCol w:w="247"/>
        <w:gridCol w:w="248"/>
        <w:gridCol w:w="109"/>
        <w:gridCol w:w="109"/>
        <w:gridCol w:w="109"/>
        <w:gridCol w:w="240"/>
        <w:gridCol w:w="240"/>
        <w:gridCol w:w="241"/>
        <w:gridCol w:w="109"/>
        <w:gridCol w:w="109"/>
        <w:gridCol w:w="109"/>
        <w:gridCol w:w="255"/>
        <w:gridCol w:w="255"/>
        <w:gridCol w:w="256"/>
        <w:gridCol w:w="109"/>
        <w:gridCol w:w="109"/>
        <w:gridCol w:w="109"/>
        <w:gridCol w:w="196"/>
        <w:gridCol w:w="646"/>
        <w:gridCol w:w="109"/>
        <w:gridCol w:w="109"/>
        <w:gridCol w:w="109"/>
        <w:gridCol w:w="109"/>
        <w:gridCol w:w="247"/>
        <w:gridCol w:w="247"/>
        <w:gridCol w:w="248"/>
        <w:gridCol w:w="109"/>
        <w:gridCol w:w="109"/>
        <w:gridCol w:w="109"/>
        <w:gridCol w:w="240"/>
        <w:gridCol w:w="240"/>
        <w:gridCol w:w="241"/>
        <w:gridCol w:w="109"/>
        <w:gridCol w:w="109"/>
        <w:gridCol w:w="109"/>
        <w:gridCol w:w="237"/>
        <w:gridCol w:w="237"/>
        <w:gridCol w:w="341"/>
      </w:tblGrid>
      <w:tr>
        <w:trPr/>
        <w:tc>
          <w:tcPr>
            <w:tcW w:w="43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Pay Fixed / Receive Variable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June 30, 2023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Yeats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Receive</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Maturity</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Receive</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Maturity</w:t>
              <w:br/>
              <w:t>(Years)</w:t>
            </w:r>
          </w:p>
        </w:tc>
      </w:tr>
      <w:tr>
        <w:trPr/>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1 to ≤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3 to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5 to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7 to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8.4</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1.June 30, 2023 amounts are net of $1 billion receive fixed interest rate swaps.</w:t>
      </w:r>
    </w:p>
    <w:p>
      <w:pPr>
        <w:pStyle w:val="TextBody"/>
        <w:bidi w:val="0"/>
        <w:spacing w:before="0" w:after="0"/>
        <w:jc w:val="both"/>
        <w:rPr/>
      </w:pPr>
      <w:r>
        <w:rPr/>
      </w:r>
    </w:p>
    <w:tbl>
      <w:tblPr>
        <w:tblW w:w="9413" w:type="dxa"/>
        <w:jc w:val="center"/>
        <w:tblInd w:w="0" w:type="dxa"/>
        <w:tblLayout w:type="fixed"/>
        <w:tblCellMar>
          <w:top w:w="28" w:type="dxa"/>
          <w:left w:w="28" w:type="dxa"/>
          <w:bottom w:w="28" w:type="dxa"/>
          <w:right w:w="28" w:type="dxa"/>
        </w:tblCellMar>
      </w:tblPr>
      <w:tblGrid>
        <w:gridCol w:w="2462"/>
        <w:gridCol w:w="2169"/>
        <w:gridCol w:w="2178"/>
        <w:gridCol w:w="109"/>
        <w:gridCol w:w="109"/>
        <w:gridCol w:w="109"/>
        <w:gridCol w:w="209"/>
        <w:gridCol w:w="212"/>
        <w:gridCol w:w="389"/>
        <w:gridCol w:w="109"/>
        <w:gridCol w:w="109"/>
        <w:gridCol w:w="109"/>
        <w:gridCol w:w="238"/>
        <w:gridCol w:w="238"/>
        <w:gridCol w:w="664"/>
      </w:tblGrid>
      <w:tr>
        <w:trPr/>
        <w:tc>
          <w:tcPr>
            <w:tcW w:w="246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Pay Fixed / Receive Variable Interest Rate Swaps by Receive Index (% of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36"/>
        <w:gridCol w:w="634"/>
        <w:gridCol w:w="639"/>
        <w:gridCol w:w="109"/>
        <w:gridCol w:w="109"/>
        <w:gridCol w:w="109"/>
        <w:gridCol w:w="240"/>
        <w:gridCol w:w="405"/>
        <w:gridCol w:w="133"/>
        <w:gridCol w:w="109"/>
        <w:gridCol w:w="109"/>
        <w:gridCol w:w="109"/>
        <w:gridCol w:w="226"/>
        <w:gridCol w:w="485"/>
        <w:gridCol w:w="125"/>
        <w:gridCol w:w="109"/>
        <w:gridCol w:w="109"/>
        <w:gridCol w:w="109"/>
        <w:gridCol w:w="562"/>
        <w:gridCol w:w="562"/>
        <w:gridCol w:w="563"/>
        <w:gridCol w:w="109"/>
        <w:gridCol w:w="109"/>
        <w:gridCol w:w="109"/>
        <w:gridCol w:w="196"/>
        <w:gridCol w:w="556"/>
        <w:gridCol w:w="109"/>
        <w:gridCol w:w="109"/>
        <w:gridCol w:w="109"/>
        <w:gridCol w:w="109"/>
        <w:gridCol w:w="433"/>
        <w:gridCol w:w="433"/>
        <w:gridCol w:w="434"/>
        <w:gridCol w:w="109"/>
        <w:gridCol w:w="109"/>
        <w:gridCol w:w="109"/>
        <w:gridCol w:w="224"/>
        <w:gridCol w:w="224"/>
        <w:gridCol w:w="324"/>
      </w:tblGrid>
      <w:tr>
        <w:trPr/>
        <w:tc>
          <w:tcPr>
            <w:tcW w:w="73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Payer Swaptions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Underlying Payer Swap</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Months to Current Option</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Average Fixed Pay </w:t>
            </w:r>
          </w:p>
          <w:p>
            <w:pPr>
              <w:pStyle w:val="TableContents"/>
              <w:bidi w:val="0"/>
              <w:spacing w:lineRule="auto" w:line="240" w:before="0" w:after="0"/>
              <w:jc w:val="center"/>
              <w:rPr/>
            </w:pPr>
            <w:r>
              <w:rPr>
                <w:rFonts w:ascii="Times New Roman;sans-serif" w:hAnsi="Times New Roman;sans-serif"/>
                <w:b/>
                <w:color w:val="000000"/>
                <w:sz w:val="16"/>
              </w:rPr>
              <w:t xml:space="preserve">Rate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Term</w:t>
              <w:br/>
              <w:t>(Years)</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1 year ≤ 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9.4</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1 year ≤ 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9.8</w:t>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1.Receive index references SOFR.</w:t>
      </w:r>
    </w:p>
    <w:tbl>
      <w:tblPr>
        <w:tblW w:w="10205" w:type="dxa"/>
        <w:jc w:val="left"/>
        <w:tblInd w:w="0" w:type="dxa"/>
        <w:tblLayout w:type="fixed"/>
        <w:tblCellMar>
          <w:top w:w="28" w:type="dxa"/>
          <w:left w:w="28" w:type="dxa"/>
          <w:bottom w:w="28" w:type="dxa"/>
          <w:right w:w="28" w:type="dxa"/>
        </w:tblCellMar>
      </w:tblPr>
      <w:tblGrid>
        <w:gridCol w:w="565"/>
        <w:gridCol w:w="496"/>
        <w:gridCol w:w="497"/>
        <w:gridCol w:w="109"/>
        <w:gridCol w:w="109"/>
        <w:gridCol w:w="109"/>
        <w:gridCol w:w="320"/>
        <w:gridCol w:w="1004"/>
        <w:gridCol w:w="178"/>
        <w:gridCol w:w="109"/>
        <w:gridCol w:w="109"/>
        <w:gridCol w:w="109"/>
        <w:gridCol w:w="196"/>
        <w:gridCol w:w="602"/>
        <w:gridCol w:w="109"/>
        <w:gridCol w:w="109"/>
        <w:gridCol w:w="109"/>
        <w:gridCol w:w="109"/>
        <w:gridCol w:w="196"/>
        <w:gridCol w:w="602"/>
        <w:gridCol w:w="109"/>
        <w:gridCol w:w="109"/>
        <w:gridCol w:w="109"/>
        <w:gridCol w:w="109"/>
        <w:gridCol w:w="320"/>
        <w:gridCol w:w="1004"/>
        <w:gridCol w:w="178"/>
        <w:gridCol w:w="109"/>
        <w:gridCol w:w="109"/>
        <w:gridCol w:w="109"/>
        <w:gridCol w:w="196"/>
        <w:gridCol w:w="602"/>
        <w:gridCol w:w="109"/>
        <w:gridCol w:w="109"/>
        <w:gridCol w:w="109"/>
        <w:gridCol w:w="109"/>
        <w:gridCol w:w="196"/>
        <w:gridCol w:w="602"/>
        <w:gridCol w:w="162"/>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U.S. Treasury Securities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5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5 year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7 year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(7,084)</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(7,016)</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(6,181)</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1.As of June 30, 2023 and December 31, 2022, short U.S. Treasury securities totaling $(8.0) billion and $(6.5) billion, at fair value, respectively, had a weighted average yield of 3.17% and 2.80%, respectively. As of June 30, 2023 and December 31, 2022, long U.S. Treasury securities totaling $1.5 billion and $0.4 billion, at fair value, respectively, had a weighted average yield of 3.72% and 3.86%, respectively.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203"/>
        <w:gridCol w:w="344"/>
        <w:gridCol w:w="114"/>
        <w:gridCol w:w="109"/>
        <w:gridCol w:w="109"/>
        <w:gridCol w:w="109"/>
        <w:gridCol w:w="196"/>
        <w:gridCol w:w="571"/>
        <w:gridCol w:w="109"/>
        <w:gridCol w:w="109"/>
        <w:gridCol w:w="109"/>
        <w:gridCol w:w="109"/>
        <w:gridCol w:w="196"/>
        <w:gridCol w:w="661"/>
        <w:gridCol w:w="109"/>
        <w:gridCol w:w="109"/>
        <w:gridCol w:w="109"/>
        <w:gridCol w:w="109"/>
        <w:gridCol w:w="196"/>
        <w:gridCol w:w="661"/>
        <w:gridCol w:w="109"/>
        <w:gridCol w:w="109"/>
        <w:gridCol w:w="109"/>
        <w:gridCol w:w="109"/>
        <w:gridCol w:w="203"/>
        <w:gridCol w:w="343"/>
        <w:gridCol w:w="165"/>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U.S. Treasury Futures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Net Carrying Value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Net Carrying Value </w:t>
            </w:r>
            <w:r>
              <w:rPr>
                <w:rFonts w:ascii="Times New Roman;sans-serif" w:hAnsi="Times New Roman;sans-serif"/>
                <w:b/>
                <w:color w:val="000000"/>
                <w:sz w:val="9"/>
              </w:rPr>
              <w:t>1</w:t>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5 year ≤ 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7 year ≤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&gt;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U.S. Treasury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10707" w:type="dxa"/>
        <w:jc w:val="left"/>
        <w:tblInd w:w="0" w:type="dxa"/>
        <w:tblLayout w:type="fixed"/>
        <w:tblCellMar>
          <w:top w:w="28" w:type="dxa"/>
          <w:left w:w="28" w:type="dxa"/>
          <w:bottom w:w="28" w:type="dxa"/>
          <w:right w:w="28" w:type="dxa"/>
        </w:tblCellMar>
      </w:tblPr>
      <w:tblGrid>
        <w:gridCol w:w="345"/>
        <w:gridCol w:w="225"/>
        <w:gridCol w:w="22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3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21"/>
        <w:gridCol w:w="311"/>
      </w:tblGrid>
      <w:tr>
        <w:trPr/>
        <w:tc>
          <w:tcPr>
            <w:tcW w:w="3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TBA Securities by 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Net Carrying Value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Net Carrying Value </w:t>
            </w:r>
            <w:r>
              <w:rPr>
                <w:rFonts w:ascii="Times New Roman;sans-serif" w:hAnsi="Times New Roman;sans-serif"/>
                <w:b/>
                <w:color w:val="000000"/>
                <w:sz w:val="9"/>
              </w:rPr>
              <w:t>1</w:t>
            </w:r>
          </w:p>
        </w:tc>
      </w:tr>
      <w:tr>
        <w:trPr/>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15-Year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color w:val="000000"/>
              </w:rPr>
            </w:pPr>
            <w:r>
              <w:rPr>
                <w:color w:val="000000"/>
              </w:rPr>
              <w:t xml:space="preserve">≥ </w:t>
            </w:r>
            <w:r>
              <w:rPr>
                <w:rFonts w:ascii="Times New Roman;sans-serif" w:hAnsi="Times New Roman;sans-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15-Year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color w:val="000000"/>
              </w:rPr>
            </w:pPr>
            <w:r>
              <w:rPr>
                <w:color w:val="000000"/>
              </w:rPr>
              <w:t xml:space="preserve">≥ </w:t>
            </w:r>
            <w:r>
              <w:rPr>
                <w:rFonts w:ascii="Times New Roman;sans-serif" w:hAnsi="Times New Roman;sans-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30-Year 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 </w:t>
      </w:r>
    </w:p>
    <w:p>
      <w:pPr>
        <w:pStyle w:val="TextBody"/>
        <w:bidi w:val="0"/>
        <w:spacing w:lineRule="auto" w:line="26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a two-year swap equivalent SOFR futures contract long notional position of $1,334 million, with a net carrying value of $(19) million.</w:t>
      </w:r>
    </w:p>
    <w:p>
      <w:pPr>
        <w:pStyle w:val="TextBody"/>
        <w:bidi w:val="0"/>
        <w:spacing w:lineRule="auto" w:line="26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we had $710 million and $215 million, respectively, notional value of centrally cleared credit default swaps ("CDS") outstanding that reference the Markit CDX Investment Grade or High Yield Grade Index, maturing in June 2028 and June 2027, respectively. Under the terms of our CDS, we pay fixed periodic payments equal to 1% per annum of the notional value and we are entitled to receive payments for qualified credit events. As of June 30, 2023 and December 31, 2022, the CDS had a market value of $(11) million and $(2) million, respectively, and a net carrying value of zero dollars, net of variation margin settlements. Pursuant to rules governing central clearing activities, we recognize variation margin settlements as a direct reduction of the carrying value of the CDS asset or liability.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Gain (Loss) From Derivative Instruments and Other Securities, Net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our derivative and other hedge portfolio and their effect on our consolidated statements of comprehensive income for the three and six months ended June 30, 2023 and 2022 (in millions):</w:t>
      </w:r>
    </w:p>
    <w:tbl>
      <w:tblPr>
        <w:tblW w:w="10205" w:type="dxa"/>
        <w:jc w:val="left"/>
        <w:tblInd w:w="0" w:type="dxa"/>
        <w:tblLayout w:type="fixed"/>
        <w:tblCellMar>
          <w:top w:w="28" w:type="dxa"/>
          <w:left w:w="28" w:type="dxa"/>
          <w:bottom w:w="28" w:type="dxa"/>
          <w:right w:w="28" w:type="dxa"/>
        </w:tblCellMar>
      </w:tblPr>
      <w:tblGrid>
        <w:gridCol w:w="749"/>
        <w:gridCol w:w="660"/>
        <w:gridCol w:w="662"/>
        <w:gridCol w:w="109"/>
        <w:gridCol w:w="109"/>
        <w:gridCol w:w="109"/>
        <w:gridCol w:w="222"/>
        <w:gridCol w:w="735"/>
        <w:gridCol w:w="123"/>
        <w:gridCol w:w="109"/>
        <w:gridCol w:w="109"/>
        <w:gridCol w:w="109"/>
        <w:gridCol w:w="323"/>
        <w:gridCol w:w="323"/>
        <w:gridCol w:w="266"/>
        <w:gridCol w:w="109"/>
        <w:gridCol w:w="109"/>
        <w:gridCol w:w="109"/>
        <w:gridCol w:w="435"/>
        <w:gridCol w:w="399"/>
        <w:gridCol w:w="400"/>
        <w:gridCol w:w="109"/>
        <w:gridCol w:w="109"/>
        <w:gridCol w:w="109"/>
        <w:gridCol w:w="220"/>
        <w:gridCol w:w="726"/>
        <w:gridCol w:w="122"/>
        <w:gridCol w:w="109"/>
        <w:gridCol w:w="109"/>
        <w:gridCol w:w="109"/>
        <w:gridCol w:w="109"/>
        <w:gridCol w:w="109"/>
        <w:gridCol w:w="109"/>
        <w:gridCol w:w="403"/>
        <w:gridCol w:w="1147"/>
        <w:gridCol w:w="328"/>
      </w:tblGrid>
      <w:tr>
        <w:trPr/>
        <w:tc>
          <w:tcPr>
            <w:tcW w:w="74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w:t>
              <w:br/>
              <w:t xml:space="preserve">Notional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 Termination,</w:t>
              <w:br/>
              <w:t>Expiration or</w:t>
              <w:br/>
              <w:t>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Ending</w:t>
              <w:b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Gain/(Loss)</w:t>
            </w:r>
          </w:p>
          <w:p>
            <w:pPr>
              <w:pStyle w:val="TableContents"/>
              <w:bidi w:val="0"/>
              <w:spacing w:lineRule="auto" w:line="240" w:before="0" w:after="0"/>
              <w:jc w:val="center"/>
              <w:rPr/>
            </w:pPr>
            <w:r>
              <w:rPr>
                <w:rFonts w:ascii="Times New Roman;sans-serif" w:hAnsi="Times New Roman;sans-serif"/>
                <w:b/>
                <w:color w:val="000000"/>
                <w:sz w:val="16"/>
              </w:rPr>
              <w:t xml:space="preserve">on Derivative Instruments and Other Securities, Net </w:t>
            </w:r>
            <w:r>
              <w:rPr>
                <w:rFonts w:ascii="Times New Roman;sans-serif" w:hAnsi="Times New Roman;sans-serif"/>
                <w:b/>
                <w:color w:val="000000"/>
                <w:sz w:val="10"/>
              </w:rPr>
              <w:t>1</w:t>
            </w:r>
          </w:p>
        </w:tc>
      </w:tr>
      <w:tr>
        <w:trPr/>
        <w:tc>
          <w:tcPr>
            <w:tcW w:w="2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42,853 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(42,960)</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receiver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default swaps - buy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(7,858)</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futures contracts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Two-year swap equivalent SOFR futures contracts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53"/>
        <w:gridCol w:w="1109"/>
        <w:gridCol w:w="1114"/>
        <w:gridCol w:w="109"/>
        <w:gridCol w:w="109"/>
        <w:gridCol w:w="109"/>
        <w:gridCol w:w="196"/>
        <w:gridCol w:w="701"/>
        <w:gridCol w:w="109"/>
        <w:gridCol w:w="109"/>
        <w:gridCol w:w="109"/>
        <w:gridCol w:w="109"/>
        <w:gridCol w:w="368"/>
        <w:gridCol w:w="368"/>
        <w:gridCol w:w="109"/>
        <w:gridCol w:w="109"/>
        <w:gridCol w:w="109"/>
        <w:gridCol w:w="109"/>
        <w:gridCol w:w="393"/>
        <w:gridCol w:w="397"/>
        <w:gridCol w:w="109"/>
        <w:gridCol w:w="109"/>
        <w:gridCol w:w="109"/>
        <w:gridCol w:w="109"/>
        <w:gridCol w:w="196"/>
        <w:gridCol w:w="646"/>
        <w:gridCol w:w="109"/>
        <w:gridCol w:w="109"/>
        <w:gridCol w:w="109"/>
        <w:gridCol w:w="109"/>
        <w:gridCol w:w="109"/>
        <w:gridCol w:w="109"/>
        <w:gridCol w:w="109"/>
        <w:gridCol w:w="196"/>
        <w:gridCol w:w="611"/>
        <w:gridCol w:w="159"/>
      </w:tblGrid>
      <w:tr>
        <w:trPr/>
        <w:tc>
          <w:tcPr>
            <w:tcW w:w="135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default swaps - buy protection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Receiver Swpations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futures contracts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payer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receiver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default swaps - buy protection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Two-year swap equivalent SOFR futures contracts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settling non-Agency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default swaps - buy protection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futures contracts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1.Amounts exclude other miscellaneous gains and losses and other interest income (expense) recognized in gain (loss) on derivative instruments and other securities, net in our consolidated statements of comprehensive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6. Pledged Assets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our maximum amount at risk with any counterparty related to our repurchase agreements, excluding the Fixed Income Clearing Corporation, was less than 4% of our tangible stockholders' equity (or the excess/shortfall of the value of collateral pledged/received over our repurchase agreement liabilities/reverse repurchase agreement receivables). As of June 30, 2023, less than 8% of our tangible stockholder's equity was at risk with the Fixed Income Clearing Corporation.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Assets Pledged to Counterparties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assets pledged as collateral under our funding, derivative and brokerage and clearing agreements by type, including securities pledged related to securities sold but not yet settled, as of June 30, 2023 and December 31, 2022 (in millions):</w:t>
      </w:r>
    </w:p>
    <w:tbl>
      <w:tblPr>
        <w:tblW w:w="10205" w:type="dxa"/>
        <w:jc w:val="center"/>
        <w:tblInd w:w="0" w:type="dxa"/>
        <w:tblLayout w:type="fixed"/>
        <w:tblCellMar>
          <w:top w:w="28" w:type="dxa"/>
          <w:left w:w="28" w:type="dxa"/>
          <w:bottom w:w="28" w:type="dxa"/>
          <w:right w:w="28" w:type="dxa"/>
        </w:tblCellMar>
      </w:tblPr>
      <w:tblGrid>
        <w:gridCol w:w="920"/>
        <w:gridCol w:w="809"/>
        <w:gridCol w:w="814"/>
        <w:gridCol w:w="109"/>
        <w:gridCol w:w="109"/>
        <w:gridCol w:w="109"/>
        <w:gridCol w:w="374"/>
        <w:gridCol w:w="1235"/>
        <w:gridCol w:w="210"/>
        <w:gridCol w:w="109"/>
        <w:gridCol w:w="109"/>
        <w:gridCol w:w="109"/>
        <w:gridCol w:w="293"/>
        <w:gridCol w:w="631"/>
        <w:gridCol w:w="164"/>
        <w:gridCol w:w="109"/>
        <w:gridCol w:w="109"/>
        <w:gridCol w:w="109"/>
        <w:gridCol w:w="554"/>
        <w:gridCol w:w="1579"/>
        <w:gridCol w:w="312"/>
        <w:gridCol w:w="109"/>
        <w:gridCol w:w="109"/>
        <w:gridCol w:w="109"/>
        <w:gridCol w:w="196"/>
        <w:gridCol w:w="646"/>
        <w:gridCol w:w="160"/>
      </w:tblGrid>
      <w:tr>
        <w:trPr/>
        <w:tc>
          <w:tcPr>
            <w:tcW w:w="92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Assets Pledged to Counterparties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Repurchase Agreements </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Derivative Agreements and Other </w:t>
            </w:r>
            <w:r>
              <w:rPr>
                <w:rFonts w:ascii="Times New Roman;sans-serif" w:hAnsi="Times New Roman;sans-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41,286 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43,800 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45,363 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0"/>
        <w:gridCol w:w="809"/>
        <w:gridCol w:w="814"/>
        <w:gridCol w:w="109"/>
        <w:gridCol w:w="109"/>
        <w:gridCol w:w="109"/>
        <w:gridCol w:w="374"/>
        <w:gridCol w:w="1235"/>
        <w:gridCol w:w="210"/>
        <w:gridCol w:w="109"/>
        <w:gridCol w:w="109"/>
        <w:gridCol w:w="109"/>
        <w:gridCol w:w="293"/>
        <w:gridCol w:w="631"/>
        <w:gridCol w:w="164"/>
        <w:gridCol w:w="109"/>
        <w:gridCol w:w="109"/>
        <w:gridCol w:w="109"/>
        <w:gridCol w:w="554"/>
        <w:gridCol w:w="1579"/>
        <w:gridCol w:w="312"/>
        <w:gridCol w:w="109"/>
        <w:gridCol w:w="109"/>
        <w:gridCol w:w="109"/>
        <w:gridCol w:w="196"/>
        <w:gridCol w:w="646"/>
        <w:gridCol w:w="160"/>
      </w:tblGrid>
      <w:tr>
        <w:trPr/>
        <w:tc>
          <w:tcPr>
            <w:tcW w:w="92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Assets Pledged to Counterparties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Repurchase Agreements </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Derivative Agreements and Other </w:t>
            </w:r>
            <w:r>
              <w:rPr>
                <w:rFonts w:ascii="Times New Roman;sans-serif" w:hAnsi="Times New Roman;sans-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35,765 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37,764 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1,308 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39,217 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repledged assets received as collateral from counterparties and securities sold but not yet settled.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2.Includes $45 million and $49 million of retained interests in our consolidated VIEs pledged as collateral under repurchase agreements as of June 30, 2023 and December 31, 2022, respectively.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3.Includes deposits under brokerage and clearing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The following table summarizes our securities pledged as collateral under our repurchase agreements by the remaining maturity of our borrowings, including securities pledged related to sold but not yet settled securities, as of June 30, 2023 and December 31, 2022 (in millions). For the corresponding borrowings associated with the following amounts and the interest rates thereon, refer to Note 4</w:t>
      </w:r>
      <w:r>
        <w:rPr>
          <w:rFonts w:ascii="Times New Roman;sans-serif" w:hAnsi="Times New Roman;sans-serif"/>
          <w:b w:val="false"/>
          <w:i/>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6"/>
        <w:gridCol w:w="613"/>
        <w:gridCol w:w="615"/>
        <w:gridCol w:w="109"/>
        <w:gridCol w:w="109"/>
        <w:gridCol w:w="109"/>
        <w:gridCol w:w="262"/>
        <w:gridCol w:w="863"/>
        <w:gridCol w:w="145"/>
        <w:gridCol w:w="109"/>
        <w:gridCol w:w="109"/>
        <w:gridCol w:w="109"/>
        <w:gridCol w:w="216"/>
        <w:gridCol w:w="713"/>
        <w:gridCol w:w="120"/>
        <w:gridCol w:w="109"/>
        <w:gridCol w:w="109"/>
        <w:gridCol w:w="109"/>
        <w:gridCol w:w="219"/>
        <w:gridCol w:w="472"/>
        <w:gridCol w:w="123"/>
        <w:gridCol w:w="109"/>
        <w:gridCol w:w="109"/>
        <w:gridCol w:w="109"/>
        <w:gridCol w:w="262"/>
        <w:gridCol w:w="863"/>
        <w:gridCol w:w="145"/>
        <w:gridCol w:w="109"/>
        <w:gridCol w:w="109"/>
        <w:gridCol w:w="109"/>
        <w:gridCol w:w="216"/>
        <w:gridCol w:w="713"/>
        <w:gridCol w:w="120"/>
        <w:gridCol w:w="109"/>
        <w:gridCol w:w="109"/>
        <w:gridCol w:w="109"/>
        <w:gridCol w:w="217"/>
        <w:gridCol w:w="469"/>
        <w:gridCol w:w="181"/>
      </w:tblGrid>
      <w:tr>
        <w:trPr/>
        <w:tc>
          <w:tcPr>
            <w:tcW w:w="6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Securities Pledged by Remaining Maturity of Repurchase Agreements </w:t>
            </w:r>
            <w:r>
              <w:rPr>
                <w:rFonts w:ascii="Times New Roman;sans-serif" w:hAnsi="Times New Roman;sans-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w:t>
              <w:br/>
              <w:t>Interest on</w:t>
              <w:br/>
              <w:t>Pledged</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w:t>
              <w:br/>
              <w:t>Interest on</w:t>
              <w:br/>
              <w:t>Pledged</w:t>
              <w:br/>
              <w:t>Securities</w:t>
            </w:r>
          </w:p>
        </w:tc>
      </w:tr>
      <w:tr>
        <w:trPr/>
        <w:tc>
          <w:tcPr>
            <w:tcW w:w="1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ans-serif" w:hAnsi="Times New Roman;sans-serif"/>
                <w:b w:val="false"/>
                <w:color w:val="000000"/>
                <w:sz w:val="16"/>
              </w:rPr>
              <w:t>30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41,383 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27,525 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30,168 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&gt; 30 and ≤ 60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&gt; 60 and ≤ 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&gt; 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43,359 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46,732 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37,426 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40,970 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$45 million and $49 million of retained interests in our consolidated VIEs pledged as collateral under repurchase agreements as of June 30, 2023 and December 31, 2022, respectively.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2.Excludes $2 million of repledged mortgage-backed securities received as collateral from counterparties as of June 30,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Assets Pledged from Counterparties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we had assets pledged to us from counterparties as collateral under our reverse repurchase and derivative agreements summarized in the tables below (in millions). </w:t>
      </w:r>
    </w:p>
    <w:tbl>
      <w:tblPr>
        <w:tblW w:w="10840"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18"/>
        <w:gridCol w:w="620"/>
        <w:gridCol w:w="123"/>
        <w:gridCol w:w="109"/>
        <w:gridCol w:w="109"/>
        <w:gridCol w:w="109"/>
        <w:gridCol w:w="259"/>
        <w:gridCol w:w="557"/>
        <w:gridCol w:w="145"/>
        <w:gridCol w:w="109"/>
        <w:gridCol w:w="109"/>
        <w:gridCol w:w="109"/>
        <w:gridCol w:w="296"/>
        <w:gridCol w:w="500"/>
        <w:gridCol w:w="165"/>
        <w:gridCol w:w="109"/>
        <w:gridCol w:w="109"/>
        <w:gridCol w:w="109"/>
        <w:gridCol w:w="196"/>
        <w:gridCol w:w="556"/>
        <w:gridCol w:w="109"/>
        <w:gridCol w:w="109"/>
        <w:gridCol w:w="109"/>
        <w:gridCol w:w="109"/>
        <w:gridCol w:w="218"/>
        <w:gridCol w:w="620"/>
        <w:gridCol w:w="123"/>
        <w:gridCol w:w="109"/>
        <w:gridCol w:w="109"/>
        <w:gridCol w:w="109"/>
        <w:gridCol w:w="259"/>
        <w:gridCol w:w="557"/>
        <w:gridCol w:w="145"/>
        <w:gridCol w:w="109"/>
        <w:gridCol w:w="109"/>
        <w:gridCol w:w="109"/>
        <w:gridCol w:w="296"/>
        <w:gridCol w:w="500"/>
        <w:gridCol w:w="165"/>
        <w:gridCol w:w="109"/>
        <w:gridCol w:w="109"/>
        <w:gridCol w:w="109"/>
        <w:gridCol w:w="196"/>
        <w:gridCol w:w="556"/>
        <w:gridCol w:w="15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 Pledged to 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6"/>
              </w:rPr>
              <w:t xml:space="preserve">U.S. Treasury securities - fair value </w:t>
            </w:r>
            <w:r>
              <w:rPr>
                <w:rFonts w:ascii="Times New Roman;sans-serif" w:hAnsi="Times New Roman;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1.As of June 30, 2023 and December 31, 2022, amounts include $8.0 billion and $6.5 billion, respectively, of U.S. Treasury securities received from counterparties that were used to cover short sales of U.S. Treasury securities.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Offsetting Assets and Liabilities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June 30, 2023 and December 31, 2022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1"/>
        <w:gridCol w:w="477"/>
        <w:gridCol w:w="313"/>
        <w:gridCol w:w="109"/>
        <w:gridCol w:w="109"/>
        <w:gridCol w:w="109"/>
        <w:gridCol w:w="261"/>
        <w:gridCol w:w="743"/>
        <w:gridCol w:w="147"/>
        <w:gridCol w:w="109"/>
        <w:gridCol w:w="109"/>
        <w:gridCol w:w="109"/>
        <w:gridCol w:w="395"/>
        <w:gridCol w:w="821"/>
        <w:gridCol w:w="221"/>
        <w:gridCol w:w="109"/>
        <w:gridCol w:w="109"/>
        <w:gridCol w:w="109"/>
        <w:gridCol w:w="348"/>
        <w:gridCol w:w="988"/>
        <w:gridCol w:w="195"/>
        <w:gridCol w:w="109"/>
        <w:gridCol w:w="109"/>
        <w:gridCol w:w="109"/>
        <w:gridCol w:w="234"/>
        <w:gridCol w:w="683"/>
        <w:gridCol w:w="130"/>
        <w:gridCol w:w="109"/>
        <w:gridCol w:w="109"/>
        <w:gridCol w:w="109"/>
        <w:gridCol w:w="213"/>
        <w:gridCol w:w="635"/>
        <w:gridCol w:w="118"/>
        <w:gridCol w:w="109"/>
        <w:gridCol w:w="109"/>
        <w:gridCol w:w="109"/>
        <w:gridCol w:w="255"/>
        <w:gridCol w:w="314"/>
        <w:gridCol w:w="211"/>
      </w:tblGrid>
      <w:tr>
        <w:trPr/>
        <w:tc>
          <w:tcPr>
            <w:tcW w:w="5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Offsetting of Financial and Derivative Assets</w:t>
            </w:r>
          </w:p>
        </w:tc>
      </w:tr>
      <w:tr>
        <w:trPr/>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Assets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Collateral Received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Interest rate swap and swaption agreements, at fair value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TBA securities, at fair value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Interest rate swap and swaption agreements, at fair value</w:t>
            </w:r>
            <w:r>
              <w:rPr>
                <w:color w:val="000000"/>
              </w:rPr>
              <w:t xml:space="preserve">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TBA securities, at fair value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7,183 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62"/>
        <w:gridCol w:w="292"/>
        <w:gridCol w:w="219"/>
        <w:gridCol w:w="109"/>
        <w:gridCol w:w="109"/>
        <w:gridCol w:w="109"/>
        <w:gridCol w:w="251"/>
        <w:gridCol w:w="827"/>
        <w:gridCol w:w="139"/>
        <w:gridCol w:w="109"/>
        <w:gridCol w:w="109"/>
        <w:gridCol w:w="109"/>
        <w:gridCol w:w="402"/>
        <w:gridCol w:w="836"/>
        <w:gridCol w:w="225"/>
        <w:gridCol w:w="109"/>
        <w:gridCol w:w="109"/>
        <w:gridCol w:w="109"/>
        <w:gridCol w:w="328"/>
        <w:gridCol w:w="1083"/>
        <w:gridCol w:w="185"/>
        <w:gridCol w:w="109"/>
        <w:gridCol w:w="109"/>
        <w:gridCol w:w="109"/>
        <w:gridCol w:w="235"/>
        <w:gridCol w:w="686"/>
        <w:gridCol w:w="131"/>
        <w:gridCol w:w="109"/>
        <w:gridCol w:w="109"/>
        <w:gridCol w:w="109"/>
        <w:gridCol w:w="209"/>
        <w:gridCol w:w="717"/>
        <w:gridCol w:w="116"/>
        <w:gridCol w:w="109"/>
        <w:gridCol w:w="109"/>
        <w:gridCol w:w="109"/>
        <w:gridCol w:w="205"/>
        <w:gridCol w:w="425"/>
        <w:gridCol w:w="170"/>
      </w:tblGrid>
      <w:tr>
        <w:trPr/>
        <w:tc>
          <w:tcPr>
            <w:tcW w:w="5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Offsetting of Financial and Derivative Liabilities</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Liabilities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Collateral Pledged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TBA securities, at fair value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42,029 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42,029 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(36,066)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42,126 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42,126 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(36,158)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TBA securities, at fair value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(32,255)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36,361 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36,361 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(32,255)</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1.Reported under derivative assets / liabilities, at fair value in the accompanying consolidated balance sheets. Refer to Note 5 for a reconciliation of derivative assets / liabilities, at fair value to their sub-components.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2.Includes cash and securities pledged / received as collateral, at fair value. Amounts include repledged collateral. Amounts presented are limited to collateral pledged sufficient to reduce the net amount to zero for individual counterparties, as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7. Fair Value Measurements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our assets and liabilities that are measured at fair value on a recurring basis, as of June 30, 2023 and December 31, 2022, based on their categorization within the valuation hierarchy (in millions). There were no transfers between valuation hierarchy levels during the periods presented in our accompanying consolidated statements of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78"/>
        <w:gridCol w:w="911"/>
        <w:gridCol w:w="904"/>
        <w:gridCol w:w="109"/>
        <w:gridCol w:w="109"/>
        <w:gridCol w:w="109"/>
        <w:gridCol w:w="196"/>
        <w:gridCol w:w="556"/>
        <w:gridCol w:w="109"/>
        <w:gridCol w:w="109"/>
        <w:gridCol w:w="109"/>
        <w:gridCol w:w="109"/>
        <w:gridCol w:w="196"/>
        <w:gridCol w:w="646"/>
        <w:gridCol w:w="10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196"/>
        <w:gridCol w:w="406"/>
        <w:gridCol w:w="313"/>
      </w:tblGrid>
      <w:tr>
        <w:trPr/>
        <w:tc>
          <w:tcPr>
            <w:tcW w:w="117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Agency securities transferred to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Credit risk transfer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16"/>
              </w:rPr>
              <w:t xml:space="preserve">Interest rate swaps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of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Obligation to return U.S. Treasury securities borrowed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16"/>
              </w:rPr>
              <w:t xml:space="preserve">Credit default swaps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SOFR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1.As of June 30, 2023 and December 31, 2022, the net fair value of our interest rate swaps excluding the recognition of variation margin settlements as a direct reduction of carrying value was a net asset (liability) of $5.1 billion and $4.5 billion, respectively, based on "Level 2" inputs. As of June 30, 2023 and December 31, 2022, the net fair value of our credit default swaps excluding the recognition of variation margin settlements was $(11) million and $(2) million, respectively, based on "Level 2" inputs. See Notes 2 and 5 for additional details.</w:t>
      </w:r>
    </w:p>
    <w:p>
      <w:pPr>
        <w:pStyle w:val="TextBody"/>
        <w:bidi w:val="0"/>
        <w:spacing w:before="0" w:after="0"/>
        <w:jc w:val="both"/>
        <w:rPr/>
      </w:pPr>
      <w:r>
        <w:rPr/>
      </w:r>
    </w:p>
    <w:p>
      <w:pPr>
        <w:pStyle w:val="TextBody"/>
        <w:bidi w:val="0"/>
        <w:spacing w:lineRule="auto" w:line="288" w:before="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Excluded from the table above are financial instruments reported at cost and other mortgage credit investments reported under the equity method of accounting in our consolidated financial statements. As of June 30, 2023 and December 31, 2022, the fair value of our repurchase agreements approximated cost,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June 30, 2023 and December 31, 2022, the carrying value of other mortgage credit investments reported under the equity method of accounting was $28 million and $25 million,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8. Net Income (Loss) Per Common Share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27"/>
        <w:gridCol w:w="1593"/>
        <w:gridCol w:w="1604"/>
        <w:gridCol w:w="109"/>
        <w:gridCol w:w="109"/>
        <w:gridCol w:w="109"/>
        <w:gridCol w:w="223"/>
        <w:gridCol w:w="532"/>
        <w:gridCol w:w="124"/>
        <w:gridCol w:w="124"/>
        <w:gridCol w:w="124"/>
        <w:gridCol w:w="124"/>
        <w:gridCol w:w="223"/>
        <w:gridCol w:w="608"/>
        <w:gridCol w:w="124"/>
        <w:gridCol w:w="109"/>
        <w:gridCol w:w="109"/>
        <w:gridCol w:w="109"/>
        <w:gridCol w:w="198"/>
        <w:gridCol w:w="472"/>
        <w:gridCol w:w="109"/>
        <w:gridCol w:w="109"/>
        <w:gridCol w:w="109"/>
        <w:gridCol w:w="109"/>
        <w:gridCol w:w="198"/>
        <w:gridCol w:w="631"/>
        <w:gridCol w:w="109"/>
        <w:gridCol w:w="109"/>
        <w:gridCol w:w="168"/>
      </w:tblGrid>
      <w:tr>
        <w:trPr/>
        <w:tc>
          <w:tcPr>
            <w:tcW w:w="182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77" w:type="dxa"/>
            <w:gridSpan w:val="2"/>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fully vested 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dilutive unvested 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525.3</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available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0.43 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(0.87)</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0.43 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(0.87)</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2022, 0.9 million and 1.1 million, respectively, of potentially dilutive unvested time and performance based RSUs outstanding were excluded from the computation of diluted net income (loss) per common share because to do so would have been anti-dilutive for the period.</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Stockholders' Equity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authorized to designate and issue up to 10.0 million shares of preferred stock in one or more classes or series. As of June 30, 2023 and December 31, 2022,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June 30, 2023 and December 31, 2022,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a summary of preferred stock depositary shares issued and outstanding as of June 30, 2023 (dollars and shares in millions):</w:t>
      </w:r>
    </w:p>
    <w:tbl>
      <w:tblPr>
        <w:tblW w:w="10205" w:type="dxa"/>
        <w:jc w:val="center"/>
        <w:tblInd w:w="0" w:type="dxa"/>
        <w:tblLayout w:type="fixed"/>
        <w:tblCellMar>
          <w:top w:w="28" w:type="dxa"/>
          <w:left w:w="28" w:type="dxa"/>
          <w:bottom w:w="28" w:type="dxa"/>
          <w:right w:w="28" w:type="dxa"/>
        </w:tblCellMar>
      </w:tblPr>
      <w:tblGrid>
        <w:gridCol w:w="755"/>
        <w:gridCol w:w="488"/>
        <w:gridCol w:w="490"/>
        <w:gridCol w:w="109"/>
        <w:gridCol w:w="109"/>
        <w:gridCol w:w="109"/>
        <w:gridCol w:w="415"/>
        <w:gridCol w:w="270"/>
        <w:gridCol w:w="245"/>
        <w:gridCol w:w="109"/>
        <w:gridCol w:w="109"/>
        <w:gridCol w:w="109"/>
        <w:gridCol w:w="310"/>
        <w:gridCol w:w="310"/>
        <w:gridCol w:w="311"/>
        <w:gridCol w:w="109"/>
        <w:gridCol w:w="109"/>
        <w:gridCol w:w="109"/>
        <w:gridCol w:w="181"/>
        <w:gridCol w:w="496"/>
        <w:gridCol w:w="109"/>
        <w:gridCol w:w="109"/>
        <w:gridCol w:w="109"/>
        <w:gridCol w:w="109"/>
        <w:gridCol w:w="259"/>
        <w:gridCol w:w="713"/>
        <w:gridCol w:w="158"/>
        <w:gridCol w:w="109"/>
        <w:gridCol w:w="109"/>
        <w:gridCol w:w="109"/>
        <w:gridCol w:w="323"/>
        <w:gridCol w:w="323"/>
        <w:gridCol w:w="324"/>
        <w:gridCol w:w="109"/>
        <w:gridCol w:w="109"/>
        <w:gridCol w:w="109"/>
        <w:gridCol w:w="497"/>
        <w:gridCol w:w="497"/>
        <w:gridCol w:w="499"/>
        <w:gridCol w:w="109"/>
        <w:gridCol w:w="161"/>
      </w:tblGrid>
      <w:tr>
        <w:trPr/>
        <w:tc>
          <w:tcPr>
            <w:tcW w:w="7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Cumulative Redeemable Preferred Stock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Depositary</w:t>
              <w:br/>
              <w:t>Shares</w:t>
              <w:br/>
              <w:t>Issued</w:t>
              <w:br/>
              <w:t>and</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Aggregate</w:t>
              <w:br/>
              <w:t>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 Annum Dividend</w:t>
            </w:r>
          </w:p>
          <w:p>
            <w:pPr>
              <w:pStyle w:val="TableContents"/>
              <w:bidi w:val="0"/>
              <w:spacing w:lineRule="auto" w:line="240" w:before="0" w:after="0"/>
              <w:jc w:val="center"/>
              <w:rPr/>
            </w:pPr>
            <w:r>
              <w:rPr>
                <w:rFonts w:ascii="Times New Roman;sans-serif" w:hAnsi="Times New Roman;sans-serif"/>
                <w:b/>
                <w:color w:val="000000"/>
                <w:sz w:val="16"/>
              </w:rPr>
              <w:t xml:space="preserve">Rate </w:t>
            </w:r>
            <w:r>
              <w:rPr>
                <w:rFonts w:ascii="Times New Roman;sans-serif" w:hAnsi="Times New Roman;sans-serif"/>
                <w:b/>
                <w:color w:val="000000"/>
                <w:sz w:val="1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First Optional</w:t>
            </w:r>
          </w:p>
          <w:p>
            <w:pPr>
              <w:pStyle w:val="TableContents"/>
              <w:bidi w:val="0"/>
              <w:spacing w:lineRule="auto" w:line="240" w:before="0" w:after="0"/>
              <w:jc w:val="center"/>
              <w:rPr/>
            </w:pPr>
            <w:r>
              <w:rPr>
                <w:rFonts w:ascii="Times New Roman;sans-serif" w:hAnsi="Times New Roman;sans-serif"/>
                <w:b/>
                <w:color w:val="000000"/>
                <w:sz w:val="16"/>
              </w:rPr>
              <w:t xml:space="preserve">Redemption Date / Conversion Date </w:t>
            </w:r>
            <w:r>
              <w:rPr>
                <w:rFonts w:ascii="Times New Roman;sans-serif" w:hAnsi="Times New Roman;sans-serif"/>
                <w:b/>
                <w:color w:val="000000"/>
                <w:sz w:val="10"/>
              </w:rPr>
              <w:t>3,4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Fixed-to-Floating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22,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15, 2022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6,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April 15,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3,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15,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11,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April 15,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Fixed-Rate Reset: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14,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15, 2027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depositary shares underlying our 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Series C per annum dividend rate represents the dividend rate in effect as of June 30, 2023.</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3.The Series C dividend accrues at a rate equal to the 3-Month CME Term SOFR plus 0.26161%, plus a spread of 5.111%, per annum, resetting quarterly in accordance with the certificate of designations for such series and the Adjustable Interest Rate (LIBOR) Act of 2021 (the “LIBOR Act”). At the conclusion of the fixed rate period (the conversion date) for each of the Series D, E, and F Preferred Stock, the dividend for such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will accrue at a rate equal to the 3-Month CME Term SOFR plus 0.26161%, plus a spread of 4.332%, 4.993% and 4.697%, respectively, per annum, resetting quarterly in accordance with the certificate of designations for such series and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4.Shares may be redeemed prior to our optional redemption date under certain circumstances intended to preserve our qualification as a REIT for U.S federal income tax purposes.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Program</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During the three and six months ended June 30, 2023, we sold 10.7 million and 27.8 million shares, respectively, of our common stock under the sales agreements for proceeds of $106 million and $277 million, respectively, or $9.86 and $9.92 per common share, respectively, net of offering costs. As of June 30, 2023, shares of our common stock with an aggregate offering price of $0.4 billion remained authorized for issuance under this program through June 11,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Repurchase Program</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As of June 30, 2023, shares of our common stock with an aggregate repurchase price of $1 billion remained authorized for repurchase through December 31,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to accumulated OCI for the three and six months ended June 30, 2023 and 2022 (in millions):</w:t>
      </w:r>
    </w:p>
    <w:tbl>
      <w:tblPr>
        <w:tblW w:w="10205" w:type="dxa"/>
        <w:jc w:val="center"/>
        <w:tblInd w:w="0" w:type="dxa"/>
        <w:tblLayout w:type="fixed"/>
        <w:tblCellMar>
          <w:top w:w="28" w:type="dxa"/>
          <w:left w:w="28" w:type="dxa"/>
          <w:bottom w:w="28" w:type="dxa"/>
          <w:right w:w="28" w:type="dxa"/>
        </w:tblCellMar>
      </w:tblPr>
      <w:tblGrid>
        <w:gridCol w:w="2061"/>
        <w:gridCol w:w="1743"/>
        <w:gridCol w:w="1747"/>
        <w:gridCol w:w="109"/>
        <w:gridCol w:w="109"/>
        <w:gridCol w:w="109"/>
        <w:gridCol w:w="196"/>
        <w:gridCol w:w="465"/>
        <w:gridCol w:w="109"/>
        <w:gridCol w:w="109"/>
        <w:gridCol w:w="109"/>
        <w:gridCol w:w="109"/>
        <w:gridCol w:w="196"/>
        <w:gridCol w:w="465"/>
        <w:gridCol w:w="109"/>
        <w:gridCol w:w="109"/>
        <w:gridCol w:w="109"/>
        <w:gridCol w:w="109"/>
        <w:gridCol w:w="196"/>
        <w:gridCol w:w="465"/>
        <w:gridCol w:w="109"/>
        <w:gridCol w:w="109"/>
        <w:gridCol w:w="109"/>
        <w:gridCol w:w="109"/>
        <w:gridCol w:w="196"/>
        <w:gridCol w:w="465"/>
        <w:gridCol w:w="109"/>
        <w:gridCol w:w="109"/>
        <w:gridCol w:w="157"/>
      </w:tblGrid>
      <w:tr>
        <w:trPr/>
        <w:tc>
          <w:tcPr>
            <w:tcW w:w="206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Beginning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amounts for available-for-sale securities reclassified from accumulated OCI to realized gain (loss) on sale of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June 30, 2023. Our MD&amp;A is presented in the following sections: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Executive Overview</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Financial Condition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Results of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Liquidity and Capital Resources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Off-Balance Sheet Arrangements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internally managed with the principal objective of providing our stockholders with favorable long-term returns on a risk-adjusted basis through attractive monthly dividends.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 </w:t>
      </w:r>
    </w:p>
    <w:p>
      <w:pPr>
        <w:pStyle w:val="TextBody"/>
        <w:bidi w:val="0"/>
        <w:spacing w:before="0" w:after="0"/>
        <w:ind w:left="0" w:right="0" w:firstLine="495"/>
        <w:jc w:val="both"/>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Trends and Recent Market Impacts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Macroeconomic factors continued to have a significant impact on Agency RMBS performance during the second quarter of 2023. First, following the Federal Deposit Insurance Corporation’s seizure of the assets of Silicon Valley Bank and Signature Bank late in the first quarter, fears of contagion throughout the regional banking sector and potential liquidations of bank portfolios created significant pressure on Agency RMBS prices as a result of the uncertain supply dynamic. Second, the U.S. debt ceiling standoff caused rampant speculation about the possibility of a government default and potential impacts on financial markets, especially fixed income markets. Third and finally, the Federal Reserve, reacting to persistently high inflation metrics, maintained a hawkish public stance and publicly expressed its intent to continue on a tightening cycle that the market had previously expected to conclude earlier in 2023 (and potentially reverse late in the year). Collectively, these factors caused mortgage spreads to benchmark rates to increase by late May 2023 to levels not seen since the Great Financial Crisis. Subsequent events – the debt ceiling resolution, the return of stability to the banking sector, and the FDIC’s successful liquidation of assets from seized bank portfolios – ultimately reduced a significant amount of the volatility and uncertainty from the fixed income and Agency RMBS markets, improving valuations modestly by the end of the quarter from late May 2023 lows. Despite the challenging macroeconomic backdrop, AGNC generated an economic return of 3.6% for the quarter, comprised of $0.36 of dividends declared per common share and a slight decline in tangible net book value of $0.02 per common share, ending the quarter with a tangible net book value per common share of $9.39.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performance of Agency RMBS varied considerably across the coupon stack during the second quarter, with lower coupon RMBS significantly outperforming higher coupons due to strong money manager demand stemming from bond fund inflows. From a total return perspective, however, the performance differences across the coupon stack were much more muted given the significantly higher yield associated with higher coupon RMBS. As a result, we continued to shift our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higher in coupon during the quarter. The weighted average coupon on our fixed rate Agency RMBS and TBA securities increased 18 basis points to 4.42% as of the end of the quarter, compared to 4.24% as of March 31, 2023. The average projected life CPR on our portfolio was largely unchanged at 9.8% as of June 30, 2023, compared to 10.0% for the first quarter. Actual CPRs increased modestly for the quarter due primarily to seasonal factors, averaging 6.6% for the second quarter compared to 5.2% for the first quarter.</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short-term funding markets for Agency RMBS and U.S. Treasuries remained strong in the second quarter despite the debt ceiling concerns and significant U.S. Treasury issuance following the debt ceiling resolution. The Fed’s firmly established reverse repo and standing repo facilities together set clear upper and lower bounds for short term repo rates and provide significant liquidity and stability to the U.S. Government security funding markets. The significant Treasury issuance following the debt ceiling resolution was readily absorbed and largely offset by a decline in the Fed’s reverse repo facility balance, leaving the funding market for Agency MBS largely unaffected.</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light of continued elevated interest rate volatility, we maintained our disciplined risk management strategy throughout the second quarter. Our “at risk” leverage ratio remained at the lower end of our longer-term historical average and was unchanged at 7.2x tangible stockholders’ equity as of June 30, 2023, compared to March 31, 2023, while our average leverage decreased from 7.7x for the first quarter to 7.2x for the second quarter. In addition, our interest rate hedge position remained in excess of our Agency RMBS funding liabilities and increased slightly to 119% as of June 30, 2023, from 114% as of March 31, 2023.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continued to maintain significant liquidity throughout the second quarter. As of June 30, 2023, our unencumbered assets totaled $4.3 billion, or 59% of our tangible stockholders' equity, which consisted of $4.3 billion of cash and unencumbered Agency RMBS and $81 million of unencumbered CRT and non-Agency securities.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spread and dollar roll income, excluding “catch-up” premium amortization, (a non-GAAP measure) declined $0.03 per common share to $0.67 per common share for the second quarter due to a modestly smaller average portfolio size during the quarter. Our net interest spread increased to 3.26% for the second quarter, compared to 2.88% for the prior quarter. The increase was largely due to a higher ratio of legacy, low fixed pay rate interest rate swap hedges to our funding liabilities for the quarter.</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Looking ahead, we believe that one of the most favorable Agency RMBS investment environments in our fifteen-year history is now emerging. The dramatic repricing of the Agency RMBS and U.S. Treasury markets as the Fed transitioned from an ultra-accommodative monetary policy stance to its current restrictive stance appears largely complete. In addition, the interest rate environment has correspondingly begun to show signs of improvement with interest rate volatility declining from the highs of last year as the Fed approaches its terminal rate level. Declining interest rate volatility is beneficial to Agency RMBS valuations and, over time, lowers the cost of interest rate related rebalancing. Furthermore, mortgage spreads to benchmark rates appear poised to remain well above their historical average as the Fed reduces its balance sheet holdings of Agency MBS and net supply of Agency RMBS is expected to remain consistent for the foreseeable future. At current spread levels, we believe our portfolio is positioned to generate attractive returns, either through strong earnings if mortgage spreads remain at these elevated levels or a combination of favorable earnings and net book value appreciation if mortgage spreads tighten over time. With the macroeconomic and interest rate environment still unsettled, short term deviations from this promising path are possible, but we believe that AGNC is well-positioned for this favorable investment environment.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 this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60"/>
        <w:jc w:val="both"/>
        <w:rPr>
          <w:rFonts w:ascii="Times New Roman;sans-serif" w:hAnsi="Times New Roman;sans-serif"/>
          <w:b/>
          <w:i/>
          <w:color w:val="000000"/>
          <w:sz w:val="20"/>
        </w:rPr>
      </w:pPr>
      <w:r>
        <w:rPr>
          <w:rFonts w:ascii="Times New Roman;sans-serif" w:hAnsi="Times New Roman;sans-serif"/>
          <w:b/>
          <w:i/>
          <w:color w:val="000000"/>
          <w:sz w:val="20"/>
        </w:rPr>
        <w:t>Market Information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benchmark interest rates and prices of generic fixed rate Agency RMBS as of each date presented below: </w:t>
      </w:r>
    </w:p>
    <w:tbl>
      <w:tblPr>
        <w:tblW w:w="10205" w:type="dxa"/>
        <w:jc w:val="left"/>
        <w:tblInd w:w="0" w:type="dxa"/>
        <w:tblLayout w:type="fixed"/>
        <w:tblCellMar>
          <w:top w:w="28" w:type="dxa"/>
          <w:left w:w="28" w:type="dxa"/>
          <w:bottom w:w="28" w:type="dxa"/>
          <w:right w:w="28" w:type="dxa"/>
        </w:tblCellMar>
      </w:tblPr>
      <w:tblGrid>
        <w:gridCol w:w="691"/>
        <w:gridCol w:w="495"/>
        <w:gridCol w:w="500"/>
        <w:gridCol w:w="109"/>
        <w:gridCol w:w="109"/>
        <w:gridCol w:w="109"/>
        <w:gridCol w:w="374"/>
        <w:gridCol w:w="239"/>
        <w:gridCol w:w="230"/>
        <w:gridCol w:w="109"/>
        <w:gridCol w:w="109"/>
        <w:gridCol w:w="109"/>
        <w:gridCol w:w="379"/>
        <w:gridCol w:w="234"/>
        <w:gridCol w:w="235"/>
        <w:gridCol w:w="109"/>
        <w:gridCol w:w="109"/>
        <w:gridCol w:w="109"/>
        <w:gridCol w:w="364"/>
        <w:gridCol w:w="248"/>
        <w:gridCol w:w="220"/>
        <w:gridCol w:w="109"/>
        <w:gridCol w:w="109"/>
        <w:gridCol w:w="109"/>
        <w:gridCol w:w="379"/>
        <w:gridCol w:w="234"/>
        <w:gridCol w:w="235"/>
        <w:gridCol w:w="109"/>
        <w:gridCol w:w="109"/>
        <w:gridCol w:w="109"/>
        <w:gridCol w:w="374"/>
        <w:gridCol w:w="239"/>
        <w:gridCol w:w="230"/>
        <w:gridCol w:w="109"/>
        <w:gridCol w:w="109"/>
        <w:gridCol w:w="109"/>
        <w:gridCol w:w="210"/>
        <w:gridCol w:w="211"/>
        <w:gridCol w:w="137"/>
        <w:gridCol w:w="149"/>
        <w:gridCol w:w="137"/>
        <w:gridCol w:w="137"/>
        <w:gridCol w:w="109"/>
        <w:gridCol w:w="109"/>
        <w:gridCol w:w="109"/>
        <w:gridCol w:w="210"/>
        <w:gridCol w:w="211"/>
        <w:gridCol w:w="134"/>
        <w:gridCol w:w="147"/>
        <w:gridCol w:w="134"/>
        <w:gridCol w:w="199"/>
      </w:tblGrid>
      <w:tr>
        <w:trPr/>
        <w:tc>
          <w:tcPr>
            <w:tcW w:w="6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Interest Rate/Security Price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 31, 2022</w:t>
            </w:r>
          </w:p>
        </w:tc>
      </w:tr>
      <w:tr>
        <w:trPr/>
        <w:tc>
          <w:tcPr>
            <w:tcW w:w="16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Target Federal Funds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Target Federal Funds Rate - Upper Band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SOFR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SOFR Interest Rate Swap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2-Year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5-Year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10-Year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30-Year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U.S. Treasury Security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2-Year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5-Year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10-Year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30-Year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30-Year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-$0.18</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-$0.19</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-$0.19</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-$0.45</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-$0.80</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-$0.92</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-$0.81</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15-Year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-$0.54</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-$0.67</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-$0.82</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-$0.53</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-$0.79</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-$1.16</w:t>
            </w:r>
          </w:p>
        </w:tc>
      </w:tr>
    </w:tbl>
    <w:p>
      <w:pPr>
        <w:pStyle w:val="TextBody"/>
        <w:bidi w:val="0"/>
        <w:spacing w:lineRule="auto" w:line="288" w:before="180" w:after="2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mortgage and credit spreads as of each date presented below: </w:t>
      </w:r>
    </w:p>
    <w:tbl>
      <w:tblPr>
        <w:tblW w:w="10205" w:type="dxa"/>
        <w:jc w:val="left"/>
        <w:tblInd w:w="0" w:type="dxa"/>
        <w:tblLayout w:type="fixed"/>
        <w:tblCellMar>
          <w:top w:w="28" w:type="dxa"/>
          <w:left w:w="28" w:type="dxa"/>
          <w:bottom w:w="28" w:type="dxa"/>
          <w:right w:w="28" w:type="dxa"/>
        </w:tblCellMar>
      </w:tblPr>
      <w:tblGrid>
        <w:gridCol w:w="860"/>
        <w:gridCol w:w="758"/>
        <w:gridCol w:w="761"/>
        <w:gridCol w:w="109"/>
        <w:gridCol w:w="109"/>
        <w:gridCol w:w="109"/>
        <w:gridCol w:w="226"/>
        <w:gridCol w:w="226"/>
        <w:gridCol w:w="228"/>
        <w:gridCol w:w="109"/>
        <w:gridCol w:w="109"/>
        <w:gridCol w:w="109"/>
        <w:gridCol w:w="231"/>
        <w:gridCol w:w="231"/>
        <w:gridCol w:w="233"/>
        <w:gridCol w:w="109"/>
        <w:gridCol w:w="109"/>
        <w:gridCol w:w="109"/>
        <w:gridCol w:w="216"/>
        <w:gridCol w:w="216"/>
        <w:gridCol w:w="218"/>
        <w:gridCol w:w="109"/>
        <w:gridCol w:w="109"/>
        <w:gridCol w:w="109"/>
        <w:gridCol w:w="231"/>
        <w:gridCol w:w="231"/>
        <w:gridCol w:w="233"/>
        <w:gridCol w:w="109"/>
        <w:gridCol w:w="109"/>
        <w:gridCol w:w="109"/>
        <w:gridCol w:w="226"/>
        <w:gridCol w:w="226"/>
        <w:gridCol w:w="228"/>
        <w:gridCol w:w="109"/>
        <w:gridCol w:w="109"/>
        <w:gridCol w:w="109"/>
        <w:gridCol w:w="210"/>
        <w:gridCol w:w="211"/>
        <w:gridCol w:w="136"/>
        <w:gridCol w:w="149"/>
        <w:gridCol w:w="136"/>
        <w:gridCol w:w="136"/>
        <w:gridCol w:w="109"/>
        <w:gridCol w:w="109"/>
        <w:gridCol w:w="109"/>
        <w:gridCol w:w="210"/>
        <w:gridCol w:w="211"/>
        <w:gridCol w:w="134"/>
        <w:gridCol w:w="182"/>
        <w:gridCol w:w="182"/>
        <w:gridCol w:w="240"/>
      </w:tblGrid>
      <w:tr>
        <w:trPr/>
        <w:tc>
          <w:tcPr>
            <w:tcW w:w="86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Mortgage Rate/Credit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 31, 2022</w:t>
            </w:r>
          </w:p>
        </w:tc>
      </w:tr>
      <w:tr>
        <w:trPr/>
        <w:tc>
          <w:tcPr>
            <w:tcW w:w="2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Mortgage Rate: </w:t>
            </w:r>
            <w:r>
              <w:rPr>
                <w:rFonts w:ascii="Times New Roman;sans-serif" w:hAnsi="Times New Roman;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Agency Current Coupon Yield to 5-Year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Agency Current Coupon Yield to 10-Year U.S. Treasury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Agency Current Coupon Yield to 5/10-Year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Agency Current Coupon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Mortgage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bps</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Credit Spread (in bps): </w:t>
            </w:r>
            <w:r>
              <w:rPr>
                <w:rFonts w:ascii="Times New Roman;sans-serif" w:hAnsi="Times New Roman;sans-serif"/>
                <w:b/>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CRT M2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-154</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 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CDX IG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r>
    </w:tbl>
    <w:p>
      <w:pPr>
        <w:pStyle w:val="TextBody"/>
        <w:bidi w:val="0"/>
        <w:spacing w:lineRule="auto" w:line="288" w:before="18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8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1.30-Year Current Coupon Yield represents yield on new production Agency RMBS. 30-Year Current Coupon Yields are sourced from Bloomberg and 30-Year Mortgage Rates are sourced from Clear Blue.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2.CRT and CDX spreads sourced from JP Morgan. CMBS spreads are the average of spreads sourced from JP Morgan and Wells Fargo.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our investment portfolio totaled $58.0 billion and $59.5 billion, respectively, consisting of: $47.8 billion and $40.9 billion investment securities, at fair value, respectively; $10.2 billion and $18.6 billion net TBA securities, at fair value, respectively. The following table is a summary of our investment securities as of June 30, 2023 and December 31, 2022 (dollars in millions): </w:t>
      </w:r>
    </w:p>
    <w:tbl>
      <w:tblPr>
        <w:tblW w:w="10590" w:type="dxa"/>
        <w:jc w:val="center"/>
        <w:tblInd w:w="0" w:type="dxa"/>
        <w:tblLayout w:type="fixed"/>
        <w:tblCellMar>
          <w:top w:w="28" w:type="dxa"/>
          <w:left w:w="28" w:type="dxa"/>
          <w:bottom w:w="28" w:type="dxa"/>
          <w:right w:w="28" w:type="dxa"/>
        </w:tblCellMar>
      </w:tblPr>
      <w:tblGrid>
        <w:gridCol w:w="527"/>
        <w:gridCol w:w="291"/>
        <w:gridCol w:w="293"/>
        <w:gridCol w:w="109"/>
        <w:gridCol w:w="109"/>
        <w:gridCol w:w="109"/>
        <w:gridCol w:w="196"/>
        <w:gridCol w:w="646"/>
        <w:gridCol w:w="109"/>
        <w:gridCol w:w="109"/>
        <w:gridCol w:w="109"/>
        <w:gridCol w:w="109"/>
        <w:gridCol w:w="196"/>
        <w:gridCol w:w="646"/>
        <w:gridCol w:w="109"/>
        <w:gridCol w:w="109"/>
        <w:gridCol w:w="109"/>
        <w:gridCol w:w="109"/>
        <w:gridCol w:w="295"/>
        <w:gridCol w:w="171"/>
        <w:gridCol w:w="379"/>
        <w:gridCol w:w="109"/>
        <w:gridCol w:w="109"/>
        <w:gridCol w:w="109"/>
        <w:gridCol w:w="208"/>
        <w:gridCol w:w="213"/>
        <w:gridCol w:w="241"/>
        <w:gridCol w:w="109"/>
        <w:gridCol w:w="109"/>
        <w:gridCol w:w="109"/>
        <w:gridCol w:w="196"/>
        <w:gridCol w:w="646"/>
        <w:gridCol w:w="109"/>
        <w:gridCol w:w="109"/>
        <w:gridCol w:w="109"/>
        <w:gridCol w:w="109"/>
        <w:gridCol w:w="196"/>
        <w:gridCol w:w="646"/>
        <w:gridCol w:w="109"/>
        <w:gridCol w:w="109"/>
        <w:gridCol w:w="109"/>
        <w:gridCol w:w="109"/>
        <w:gridCol w:w="295"/>
        <w:gridCol w:w="171"/>
        <w:gridCol w:w="379"/>
        <w:gridCol w:w="109"/>
        <w:gridCol w:w="109"/>
        <w:gridCol w:w="109"/>
        <w:gridCol w:w="209"/>
        <w:gridCol w:w="212"/>
        <w:gridCol w:w="286"/>
      </w:tblGrid>
      <w:tr>
        <w:trPr/>
        <w:tc>
          <w:tcPr>
            <w:tcW w:w="5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Investment Securities (Includes TBAs)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xml:space="preserve"> ≤ </w:t>
            </w:r>
            <w:r>
              <w:rPr>
                <w:rFonts w:ascii="Times New Roman;sans-serif" w:hAnsi="Times New Roman;sans-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ans-serif" w:hAnsi="Times New Roman;sans-serif"/>
                <w:b w:val="false"/>
                <w:color w:val="000000"/>
                <w:sz w:val="16"/>
              </w:rPr>
              <w:t>15-year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15-year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20-year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30-year TBA securities, net </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Adjustable rate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CMO 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Principal-only strips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CMO 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Agency RMBS and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Non-Agency RMBS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4.18 </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1.Table excludes other mortgage credit investments of $28 million and $25 million as of June 30, 2023 and December 31, 2022, respectively, accounted for under the equity method of accounting.</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2.TBA securities are presented net of long and short positions. For further details of our TBA securities refer to Note 5 of our Consolidated Financial Statements in this Form 10-Q</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TBA securities are recorded as derivative instruments in our accompanying consolidated financial statements, and our TBA dollar roll transactions represent a form of off-balance sheet financing. As of June 30, 2023 and December 31, 2022, our TBA securities had a net carrying value of $(92) million and $167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weighted average yield on our investment securities (excluding TBA and forward settling securities) was 3.78% and 3.37%,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certain characteristics of our fixed rate Agency RMBS portfolio, inclusive of TBA securities, as of June 30, 2023 and December 31, 2022 (dollars in millions): </w:t>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Specified Pool % </w:t>
            </w:r>
            <w:r>
              <w:rPr>
                <w:rFonts w:ascii="Times New Roman;sans-serif" w:hAnsi="Times New Roman;sans-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Projected </w:t>
            </w:r>
          </w:p>
          <w:p>
            <w:pPr>
              <w:pStyle w:val="TableContents"/>
              <w:bidi w:val="0"/>
              <w:spacing w:lineRule="auto" w:line="240" w:before="0" w:after="0"/>
              <w:jc w:val="center"/>
              <w:rPr/>
            </w:pPr>
            <w:r>
              <w:rPr>
                <w:rFonts w:ascii="Times New Roman;sans-serif" w:hAnsi="Times New Roman;sans-serif"/>
                <w:b/>
                <w:color w:val="000000"/>
                <w:sz w:val="16"/>
              </w:rPr>
              <w:t xml:space="preserve">CPR </w:t>
            </w:r>
            <w:r>
              <w:rPr>
                <w:rFonts w:ascii="Times New Roman;sans-serif" w:hAnsi="Times New Roman;sans-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Yield </w:t>
            </w:r>
            <w:r>
              <w:rPr>
                <w:rFonts w:ascii="Times New Roman;sans-serif" w:hAnsi="Times New Roman;sans-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ans-serif" w:hAnsi="Times New Roman;sans-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 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 - 4.0%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3.18%</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20-year: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June 30, 2023, lower balance specified pools had a weighted average original loan balance of $123,000 and $146,000 for 15-year and 30-year securities, respectively, and HARP pools had a weighted average original LTV of 128% and 138% for 15-year and 30-year securities, respectively.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2.Portfolio yield incorporates a projected life CPR based on forward rate assumptions as of June 30, 2023. </w:t>
      </w:r>
    </w:p>
    <w:p>
      <w:pPr>
        <w:pStyle w:val="TextBody"/>
        <w:bidi w:val="0"/>
        <w:spacing w:before="0" w:after="0"/>
        <w:jc w:val="both"/>
        <w:rPr/>
      </w:pPr>
      <w:r>
        <w:rPr/>
      </w:r>
    </w:p>
    <w:p>
      <w:pPr>
        <w:pStyle w:val="TextBody"/>
        <w:bidi w:val="0"/>
        <w:spacing w:before="0" w:after="0"/>
        <w:jc w:val="both"/>
        <w:rPr/>
      </w:pPr>
      <w:r>
        <w:rPr/>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Specified Pool % </w:t>
            </w:r>
            <w:r>
              <w:rPr>
                <w:rFonts w:ascii="Times New Roman;sans-serif" w:hAnsi="Times New Roman;sans-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Projected </w:t>
            </w:r>
          </w:p>
          <w:p>
            <w:pPr>
              <w:pStyle w:val="TableContents"/>
              <w:bidi w:val="0"/>
              <w:spacing w:lineRule="auto" w:line="240" w:before="0" w:after="0"/>
              <w:jc w:val="center"/>
              <w:rPr/>
            </w:pPr>
            <w:r>
              <w:rPr>
                <w:rFonts w:ascii="Times New Roman;sans-serif" w:hAnsi="Times New Roman;sans-serif"/>
                <w:b/>
                <w:color w:val="000000"/>
                <w:sz w:val="16"/>
              </w:rPr>
              <w:t xml:space="preserve">CPR </w:t>
            </w:r>
            <w:r>
              <w:rPr>
                <w:rFonts w:ascii="Times New Roman;sans-serif" w:hAnsi="Times New Roman;sans-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Yield </w:t>
            </w:r>
            <w:r>
              <w:rPr>
                <w:rFonts w:ascii="Times New Roman;sans-serif" w:hAnsi="Times New Roman;sans-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 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2.47%</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 - 4.0%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3.18%</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20-year: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ans-serif" w:hAnsi="Times New Roman;sans-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1.See Note 1 of preceding table for specified pool composition. As of December 31, 2022, lower balance specified pools had a weighted average original loan balance of $123,000 and $140,000 for 15-year and 30-year securities, respectively, and HARP pools had a weighted average original LTV of 128% and 138% for 15-year and 30-year securities,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2.Portfolio yield incorporates a projected life CPR based on forward rate assumptions as of December 31, 2022.</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details regarding our CRT and non-Agency securities, including credit ratings, as of June 30, 2023 and December 31, 2022, please refer to Note 3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results presented in accordance with GAAP, our results of operations discussed below include certain non-GAAP financial information, including "economic interest income," "economic interest expense," "net spread and dollar roll income" and "net spread and dollar roll income, excluding 'catch-up' premium amortization, available to common stockholders," and the related per common share measures and certain financial metrics derived from such non-GAAP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and (ii) include interest rate swap periodic income/cost, TBA dollar roll income and other miscellaneous interest income/expense. As defined "Net spread and dollar roll income, excluding 'catch-up' premium amortization, available to common stockholders" includes (i) the components of "economic interest income" and "economic interest expense", plus (ii) other interest income/expense, and less (iii) total operating expenses and dividends on preferred stock (GAAP measures).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in the case "net spread and dollar roll income, excluding 'catch-up' premium amortization,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Selected Financial Data</w:t>
      </w:r>
    </w:p>
    <w:p>
      <w:pPr>
        <w:pStyle w:val="TextBody"/>
        <w:bidi w:val="0"/>
        <w:spacing w:before="0" w:after="0"/>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selected financial data is derived from our interim consolidated financial statements and the notes thereto. The tables below present our condensed consolidated balance sheets as of June 30, 2023 and December 31, 2022 and condensed consolidated statements of comprehensive income and key statistics for the three and six months ended June 30, 2023 and 2022 (in millions, except per share amounts):</w:t>
      </w:r>
    </w:p>
    <w:tbl>
      <w:tblPr>
        <w:tblW w:w="10205" w:type="dxa"/>
        <w:jc w:val="center"/>
        <w:tblInd w:w="0" w:type="dxa"/>
        <w:tblLayout w:type="fixed"/>
        <w:tblCellMar>
          <w:top w:w="28" w:type="dxa"/>
          <w:left w:w="28" w:type="dxa"/>
          <w:bottom w:w="28" w:type="dxa"/>
          <w:right w:w="28" w:type="dxa"/>
        </w:tblCellMar>
      </w:tblPr>
      <w:tblGrid>
        <w:gridCol w:w="2648"/>
        <w:gridCol w:w="2300"/>
        <w:gridCol w:w="2309"/>
        <w:gridCol w:w="109"/>
        <w:gridCol w:w="109"/>
        <w:gridCol w:w="109"/>
        <w:gridCol w:w="196"/>
        <w:gridCol w:w="646"/>
        <w:gridCol w:w="109"/>
        <w:gridCol w:w="109"/>
        <w:gridCol w:w="109"/>
        <w:gridCol w:w="109"/>
        <w:gridCol w:w="221"/>
        <w:gridCol w:w="733"/>
        <w:gridCol w:w="123"/>
        <w:gridCol w:w="109"/>
        <w:gridCol w:w="157"/>
      </w:tblGrid>
      <w:tr>
        <w:trPr/>
        <w:tc>
          <w:tcPr>
            <w:tcW w:w="2648"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670" w:type="dxa"/>
            <w:gridSpan w:val="8"/>
            <w:tcBorders/>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 at fair value of $47,739 and $40,904, respectively, and other mortgage credit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40,929 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agreements and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book value per common share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Tangible net book value per common share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26"/>
        <w:gridCol w:w="1693"/>
        <w:gridCol w:w="1696"/>
        <w:gridCol w:w="109"/>
        <w:gridCol w:w="109"/>
        <w:gridCol w:w="109"/>
        <w:gridCol w:w="196"/>
        <w:gridCol w:w="466"/>
        <w:gridCol w:w="109"/>
        <w:gridCol w:w="109"/>
        <w:gridCol w:w="109"/>
        <w:gridCol w:w="109"/>
        <w:gridCol w:w="196"/>
        <w:gridCol w:w="537"/>
        <w:gridCol w:w="109"/>
        <w:gridCol w:w="109"/>
        <w:gridCol w:w="109"/>
        <w:gridCol w:w="109"/>
        <w:gridCol w:w="196"/>
        <w:gridCol w:w="466"/>
        <w:gridCol w:w="109"/>
        <w:gridCol w:w="109"/>
        <w:gridCol w:w="109"/>
        <w:gridCol w:w="109"/>
        <w:gridCol w:w="196"/>
        <w:gridCol w:w="627"/>
        <w:gridCol w:w="109"/>
        <w:gridCol w:w="109"/>
        <w:gridCol w:w="157"/>
      </w:tblGrid>
      <w:tr>
        <w:trPr/>
        <w:tc>
          <w:tcPr>
            <w:tcW w:w="192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5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Statement of Comprehensive Income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available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 available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80"/>
        <w:gridCol w:w="1325"/>
        <w:gridCol w:w="133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55"/>
      </w:tblGrid>
      <w:tr>
        <w:trPr/>
        <w:tc>
          <w:tcPr>
            <w:tcW w:w="158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Data (Unaudited)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investment securities - at 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investment securities -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net TBA dollar roll position -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total assets -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Average repurchase agreements and other debt outstanding </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Average stockholders' equity </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Average tangible net book value "at risk" leverage </w:t>
            </w: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Tangible net book value "at risk" leverage </w:t>
            </w:r>
            <w:r>
              <w:rPr>
                <w:rFonts w:ascii="Times New Roman;sans-serif" w:hAnsi="Times New Roman;sans-serif"/>
                <w:b w:val="false"/>
                <w:i/>
                <w:color w:val="000000"/>
                <w:sz w:val="16"/>
              </w:rPr>
              <w:t>(as of period end)</w:t>
            </w:r>
            <w:r>
              <w:rPr>
                <w:color w:val="000000"/>
              </w:rPr>
              <w:t xml:space="preserve"> </w:t>
            </w:r>
            <w:r>
              <w:rPr>
                <w:rFonts w:ascii="Times New Roman;sans-serif" w:hAnsi="Times New Roman;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Economic return on tangible common equity - unannualized </w:t>
            </w: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Expenses % of average total assets - annualized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Expenses % of average assets, including average net TBA position - annualized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Expenses % of average stockholders' equity - annualized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 Except as noted below, average numbers for each period are weighted based on days on our books and records.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1.Net book value per common share is calculated as total stockholders' equity, less preferred stock liquidation preference, divided by number of common shares outstanding as of period end.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2.Tangible net book value per common share excludes goodwill.</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3.Amount excludes U.S. Treasury repurchase agreements and TBA contracts. Other debt includes debt of consolidated VIEs.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4.Average stockholders' equity calculated as average month-ended stockholders' equity during the period.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7.Economic return on tangible common equity represents the sum of the change in tangible net book value per common share and dividends declared per share of common stock during the period over beginning tangible net book value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Economic Interest Income and Asset Yields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economic interest income (a non-GAAP measure) for the three and six months ended June 30, 2023 and 2022,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 </w:t>
      </w:r>
    </w:p>
    <w:tbl>
      <w:tblPr>
        <w:tblW w:w="10658" w:type="dxa"/>
        <w:jc w:val="center"/>
        <w:tblInd w:w="0" w:type="dxa"/>
        <w:tblLayout w:type="fixed"/>
        <w:tblCellMar>
          <w:top w:w="28" w:type="dxa"/>
          <w:left w:w="28" w:type="dxa"/>
          <w:bottom w:w="28" w:type="dxa"/>
          <w:right w:w="28" w:type="dxa"/>
        </w:tblCellMar>
      </w:tblPr>
      <w:tblGrid>
        <w:gridCol w:w="588"/>
        <w:gridCol w:w="201"/>
        <w:gridCol w:w="202"/>
        <w:gridCol w:w="109"/>
        <w:gridCol w:w="109"/>
        <w:gridCol w:w="109"/>
        <w:gridCol w:w="196"/>
        <w:gridCol w:w="421"/>
        <w:gridCol w:w="241"/>
        <w:gridCol w:w="109"/>
        <w:gridCol w:w="109"/>
        <w:gridCol w:w="109"/>
        <w:gridCol w:w="240"/>
        <w:gridCol w:w="241"/>
        <w:gridCol w:w="253"/>
        <w:gridCol w:w="109"/>
        <w:gridCol w:w="109"/>
        <w:gridCol w:w="109"/>
        <w:gridCol w:w="196"/>
        <w:gridCol w:w="421"/>
        <w:gridCol w:w="241"/>
        <w:gridCol w:w="109"/>
        <w:gridCol w:w="109"/>
        <w:gridCol w:w="109"/>
        <w:gridCol w:w="240"/>
        <w:gridCol w:w="241"/>
        <w:gridCol w:w="253"/>
        <w:gridCol w:w="109"/>
        <w:gridCol w:w="109"/>
        <w:gridCol w:w="109"/>
        <w:gridCol w:w="196"/>
        <w:gridCol w:w="556"/>
        <w:gridCol w:w="241"/>
        <w:gridCol w:w="109"/>
        <w:gridCol w:w="109"/>
        <w:gridCol w:w="109"/>
        <w:gridCol w:w="240"/>
        <w:gridCol w:w="241"/>
        <w:gridCol w:w="253"/>
        <w:gridCol w:w="109"/>
        <w:gridCol w:w="109"/>
        <w:gridCol w:w="109"/>
        <w:gridCol w:w="196"/>
        <w:gridCol w:w="421"/>
        <w:gridCol w:w="241"/>
        <w:gridCol w:w="109"/>
        <w:gridCol w:w="109"/>
        <w:gridCol w:w="109"/>
        <w:gridCol w:w="240"/>
        <w:gridCol w:w="241"/>
        <w:gridCol w:w="253"/>
        <w:gridCol w:w="109"/>
        <w:gridCol w:w="109"/>
        <w:gridCol w:w="109"/>
        <w:gridCol w:w="221"/>
      </w:tblGrid>
      <w:tr>
        <w:trPr/>
        <w:tc>
          <w:tcPr>
            <w:tcW w:w="5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548" w:type="dxa"/>
            <w:gridSpan w:val="4"/>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2"/>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Cash/coupon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premium amortization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Estimated "catch-up" premium amortization cost (benefit) due to change in CPR forecast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(0.86)</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excluding "catch-up" premium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ans-serif" w:hAnsi="Times New Roman;sans-serif"/>
                <w:b w:val="false"/>
                <w:color w:val="000000"/>
                <w:sz w:val="16"/>
              </w:rPr>
              <w:t xml:space="preserve">TBA dollar roll income - implied interest income </w:t>
            </w:r>
            <w:r>
              <w:rPr>
                <w:rFonts w:ascii="Times New Roman;sans-serif" w:hAnsi="Times New Roman;sans-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Economic interest income, excluding "catch-up" amortization (non-GAAP measure) </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actual portfolio CPR for investment securities held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projected CPR for the remaining life of investment securities held as of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30-year fixed rate mortgage rate as of period end </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10-year U.S. Treasury rate as of period end </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1.Reported in gain (loss) on derivatives instruments and other securities, net in the accompanying consolidated statements of operations.</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 xml:space="preserve">2.Implied interest income from TBA dollar roll transactions is computed as the sum of (i) TBA dollar roll income and (ii) estimated TBA implied funding cost (see </w:t>
      </w:r>
      <w:r>
        <w:rPr>
          <w:rFonts w:ascii="Times New Roman;sans-serif" w:hAnsi="Times New Roman;sans-serif"/>
          <w:b w:val="false"/>
          <w:i/>
          <w:color w:val="000000"/>
          <w:sz w:val="16"/>
        </w:rPr>
        <w:t>Economic Interest Expense and Aggregate Cost of Funds</w:t>
      </w:r>
      <w:r>
        <w:rPr>
          <w:color w:val="000000"/>
        </w:rPr>
        <w:t xml:space="preserve"> </w:t>
      </w:r>
      <w:r>
        <w:rPr>
          <w:rFonts w:ascii="Times New Roman;sans-serif" w:hAnsi="Times New Roman;sans-serif"/>
          <w:b w:val="false"/>
          <w:color w:val="000000"/>
          <w:sz w:val="16"/>
        </w:rPr>
        <w:t>below). TBA dollar roll income represents the price differential, or "price drop," between the TBA price for current month settlement versus the 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combined asset yield is calculated on a weighted average basis based on our average investment and TBA balances outstanding during the period and their respective yields.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4.30-year fixed rate mortgage rates are sourced from Clear Blue. 10-year U.S. Treasury rates are sourced from Bloomberg.</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the three and six months ended June 30, 2023 compared to the prior year period (in millions):</w:t>
      </w:r>
    </w:p>
    <w:tbl>
      <w:tblPr>
        <w:tblW w:w="10205" w:type="dxa"/>
        <w:jc w:val="left"/>
        <w:tblInd w:w="0" w:type="dxa"/>
        <w:tblLayout w:type="fixed"/>
        <w:tblCellMar>
          <w:top w:w="28" w:type="dxa"/>
          <w:left w:w="28" w:type="dxa"/>
          <w:bottom w:w="28" w:type="dxa"/>
          <w:right w:w="28" w:type="dxa"/>
        </w:tblCellMar>
      </w:tblPr>
      <w:tblGrid>
        <w:gridCol w:w="1877"/>
        <w:gridCol w:w="1593"/>
        <w:gridCol w:w="1609"/>
        <w:gridCol w:w="169"/>
        <w:gridCol w:w="169"/>
        <w:gridCol w:w="169"/>
        <w:gridCol w:w="323"/>
        <w:gridCol w:w="663"/>
        <w:gridCol w:w="170"/>
        <w:gridCol w:w="169"/>
        <w:gridCol w:w="169"/>
        <w:gridCol w:w="169"/>
        <w:gridCol w:w="309"/>
        <w:gridCol w:w="763"/>
        <w:gridCol w:w="169"/>
        <w:gridCol w:w="169"/>
        <w:gridCol w:w="169"/>
        <w:gridCol w:w="169"/>
        <w:gridCol w:w="305"/>
        <w:gridCol w:w="656"/>
        <w:gridCol w:w="247"/>
      </w:tblGrid>
      <w:tr>
        <w:trPr/>
        <w:tc>
          <w:tcPr>
            <w:tcW w:w="18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Changes in the Principal Elements Impacting Economic Interest Income</w:t>
            </w:r>
          </w:p>
        </w:tc>
      </w:tr>
      <w:tr>
        <w:trPr/>
        <w:tc>
          <w:tcPr>
            <w:tcW w:w="1020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Periods ended June 30, 2023 vs. June 30, 2022</w:t>
            </w:r>
          </w:p>
        </w:tc>
      </w:tr>
      <w:tr>
        <w:trPr/>
        <w:tc>
          <w:tcPr>
            <w:tcW w:w="5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to Change in Average</w:t>
            </w:r>
          </w:p>
        </w:tc>
      </w:tr>
      <w:tr>
        <w:trPr/>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Increase /</w:t>
              <w:br/>
              <w:t>(Decrease)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Portfolio</w:t>
              <w:br/>
              <w:t>Size</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w:t>
              <w:br/>
              <w:t>Yield</w:t>
            </w:r>
          </w:p>
        </w:tc>
      </w:tr>
      <w:tr>
        <w:trPr/>
        <w:tc>
          <w:tcPr>
            <w:tcW w:w="5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(GAAP measure)</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"catch-up" premium amortization due to change in CPR forecast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excluding "catch-up" premium amortization</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dollar roll income - implied interest income</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interest income, excluding "catch-up" amortization (non-GAAP measure)</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to Change in Average</w:t>
            </w:r>
          </w:p>
        </w:tc>
      </w:tr>
      <w:tr>
        <w:trPr/>
        <w:tc>
          <w:tcPr>
            <w:tcW w:w="5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Increase /</w:t>
              <w:br/>
              <w:t>(Decrease)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Portfolio</w:t>
              <w:br/>
              <w:t>Size</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w:t>
              <w:br/>
              <w:t>Yield</w:t>
            </w:r>
          </w:p>
        </w:tc>
      </w:tr>
      <w:tr>
        <w:trPr/>
        <w:tc>
          <w:tcPr>
            <w:tcW w:w="5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(GAAP measure)</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Estimated "catch-up" premium amortization due to change in CPR forecast </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excluding "catch-up" premium amortization</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dollar roll income - implied interest income</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interest income, excluding "catch-up" amortization (non-GAAP measure)</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average investment portfolio, inclusive of TBAs (at cost), decreased 16% for the three and six months ended June 30, 2023 compared to the respective prior year periods primarily due to a decline in stockholders' equity. The average yield on our investment portfolio, including TBA implied asset yields and excluding "catch-up" premium amortization, increased 101 and 133 basis points for the three and six months ended June 30, 2023, respectively, mostly due to changes in our asset composition as we shifted the portfolio higher in coupon.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Leverage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sans-serif" w:hAnsi="Times New Roman;sans-serif"/>
          <w:b w:val="false"/>
          <w:i/>
          <w:color w:val="000000"/>
          <w:sz w:val="20"/>
        </w:rPr>
        <w:t xml:space="preserve">Liquidity and Capital Resources </w:t>
      </w:r>
      <w:r>
        <w:rPr>
          <w:rFonts w:ascii="Times New Roman;sans-serif" w:hAnsi="Times New Roman;sans-serif"/>
          <w:b w:val="false"/>
          <w:color w:val="000000"/>
          <w:sz w:val="20"/>
        </w:rPr>
        <w:t xml:space="preserve">for further discussion of TBA securities and dollar roll transactions). Repurchase agreements used to fund short-term investments in U.S. Treasury securities ("U.S. Treasury repo") are excluded from our measure of leverage due to the temporary and highly liquid nature of these investments. The following table presents a summary of our leverage ratios for the periods listed (dollars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89"/>
        <w:gridCol w:w="252"/>
        <w:gridCol w:w="255"/>
        <w:gridCol w:w="109"/>
        <w:gridCol w:w="109"/>
        <w:gridCol w:w="109"/>
        <w:gridCol w:w="196"/>
        <w:gridCol w:w="647"/>
        <w:gridCol w:w="109"/>
        <w:gridCol w:w="109"/>
        <w:gridCol w:w="109"/>
        <w:gridCol w:w="109"/>
        <w:gridCol w:w="196"/>
        <w:gridCol w:w="646"/>
        <w:gridCol w:w="109"/>
        <w:gridCol w:w="109"/>
        <w:gridCol w:w="109"/>
        <w:gridCol w:w="109"/>
        <w:gridCol w:w="196"/>
        <w:gridCol w:w="646"/>
        <w:gridCol w:w="109"/>
        <w:gridCol w:w="109"/>
        <w:gridCol w:w="109"/>
        <w:gridCol w:w="109"/>
        <w:gridCol w:w="196"/>
        <w:gridCol w:w="647"/>
        <w:gridCol w:w="109"/>
        <w:gridCol w:w="109"/>
        <w:gridCol w:w="109"/>
        <w:gridCol w:w="109"/>
        <w:gridCol w:w="196"/>
        <w:gridCol w:w="646"/>
        <w:gridCol w:w="109"/>
        <w:gridCol w:w="109"/>
        <w:gridCol w:w="109"/>
        <w:gridCol w:w="109"/>
        <w:gridCol w:w="338"/>
        <w:gridCol w:w="338"/>
        <w:gridCol w:w="340"/>
        <w:gridCol w:w="109"/>
        <w:gridCol w:w="109"/>
        <w:gridCol w:w="109"/>
        <w:gridCol w:w="333"/>
        <w:gridCol w:w="333"/>
        <w:gridCol w:w="481"/>
      </w:tblGrid>
      <w:tr>
        <w:trPr/>
        <w:tc>
          <w:tcPr>
            <w:tcW w:w="4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Repurchase Agreements</w:t>
            </w:r>
          </w:p>
          <w:p>
            <w:pPr>
              <w:pStyle w:val="TableContents"/>
              <w:bidi w:val="0"/>
              <w:spacing w:lineRule="auto" w:line="240" w:before="0" w:after="0"/>
              <w:jc w:val="center"/>
              <w:rPr/>
            </w:pPr>
            <w:r>
              <w:rPr>
                <w:rFonts w:ascii="Times New Roman;sans-serif" w:hAnsi="Times New Roman;sans-serif"/>
                <w:b/>
                <w:color w:val="000000"/>
                <w:sz w:val="14"/>
              </w:rPr>
              <w:t xml:space="preserve">and Other Debt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Net TBA Position</w:t>
              <w:br/>
              <w:t xml:space="preserve">Long/(Short) </w:t>
            </w:r>
            <w:r>
              <w:rPr>
                <w:rFonts w:ascii="Times New Roman;sans-serif" w:hAnsi="Times New Roman;sans-serif"/>
                <w:b/>
                <w:color w:val="000000"/>
                <w:sz w:val="9"/>
              </w:rPr>
              <w:t>2</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Average Tangible Net Book Value </w:t>
            </w:r>
          </w:p>
          <w:p>
            <w:pPr>
              <w:pStyle w:val="TableContents"/>
              <w:bidi w:val="0"/>
              <w:spacing w:lineRule="auto" w:line="240" w:before="0" w:after="0"/>
              <w:jc w:val="center"/>
              <w:rPr/>
            </w:pPr>
            <w:r>
              <w:rPr>
                <w:rFonts w:ascii="Times New Roman;sans-serif" w:hAnsi="Times New Roman;sans-serif"/>
                <w:b/>
                <w:color w:val="000000"/>
                <w:sz w:val="14"/>
              </w:rPr>
              <w:t xml:space="preserve">"At Risk" Leverage during the Period </w:t>
            </w:r>
            <w:r>
              <w:rPr>
                <w:rFonts w:ascii="Times New Roman;sans-serif" w:hAnsi="Times New Roman;sans-serif"/>
                <w:b/>
                <w:color w:val="000000"/>
                <w:sz w:val="9"/>
              </w:rPr>
              <w:t>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Tangible Net Book Value "At Risk" Leverage</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as of</w:t>
            </w:r>
          </w:p>
          <w:p>
            <w:pPr>
              <w:pStyle w:val="TableContents"/>
              <w:bidi w:val="0"/>
              <w:spacing w:lineRule="auto" w:line="240" w:before="0" w:after="0"/>
              <w:jc w:val="center"/>
              <w:rPr/>
            </w:pPr>
            <w:r>
              <w:rPr>
                <w:rFonts w:ascii="Times New Roman;sans-serif" w:hAnsi="Times New Roman;sans-serif"/>
                <w:b/>
                <w:color w:val="000000"/>
                <w:sz w:val="14"/>
              </w:rPr>
              <w:t xml:space="preserve">Period End </w:t>
            </w:r>
            <w:r>
              <w:rPr>
                <w:rFonts w:ascii="Times New Roman;sans-serif" w:hAnsi="Times New Roman;sans-serif"/>
                <w:b/>
                <w:color w:val="000000"/>
                <w:sz w:val="9"/>
              </w:rPr>
              <w:t>4</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Average Daily</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Maximum</w:t>
              <w:br/>
              <w:t>Daily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Average Daily</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7.4:1</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8.7:1</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7.4:1</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7.5:1</w:t>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1.Other debt includes debt of consolidated VIEs. Amounts exclude U.S. Treasury repo agreements.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2.Daily average and ending net TBA position outstanding measured at cost. Includes forward settling non-Agency securities.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ans-serif" w:hAnsi="Times New Roman;sans-serif"/>
          <w:b/>
          <w:i/>
          <w:color w:val="000000"/>
          <w:sz w:val="20"/>
        </w:rPr>
        <w:t>Economic Interest Expense and Aggregate Cost of Funds</w:t>
      </w:r>
      <w:r>
        <w:rPr>
          <w:color w:val="000000"/>
        </w:rPr>
        <w:t>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economic interest expense and aggregate cost of funds (non-GAAP measures) for the three and six months ended June 30, 2023 and 2022 (dollars in millions), which includes the combination of interest expense on Agency repurchase agreements and other debt (GAAP measure), implied financing cost (benefit) of our TBA securities and interest rate swap periodic cost (benefit): </w:t>
      </w:r>
    </w:p>
    <w:tbl>
      <w:tblPr>
        <w:tblW w:w="10205" w:type="dxa"/>
        <w:jc w:val="center"/>
        <w:tblInd w:w="0" w:type="dxa"/>
        <w:tblLayout w:type="fixed"/>
        <w:tblCellMar>
          <w:top w:w="28" w:type="dxa"/>
          <w:left w:w="28" w:type="dxa"/>
          <w:bottom w:w="28" w:type="dxa"/>
          <w:right w:w="28" w:type="dxa"/>
        </w:tblCellMar>
      </w:tblPr>
      <w:tblGrid>
        <w:gridCol w:w="454"/>
        <w:gridCol w:w="335"/>
        <w:gridCol w:w="336"/>
        <w:gridCol w:w="109"/>
        <w:gridCol w:w="109"/>
        <w:gridCol w:w="109"/>
        <w:gridCol w:w="196"/>
        <w:gridCol w:w="421"/>
        <w:gridCol w:w="109"/>
        <w:gridCol w:w="109"/>
        <w:gridCol w:w="109"/>
        <w:gridCol w:w="109"/>
        <w:gridCol w:w="262"/>
        <w:gridCol w:w="220"/>
        <w:gridCol w:w="295"/>
        <w:gridCol w:w="109"/>
        <w:gridCol w:w="109"/>
        <w:gridCol w:w="109"/>
        <w:gridCol w:w="212"/>
        <w:gridCol w:w="359"/>
        <w:gridCol w:w="120"/>
        <w:gridCol w:w="109"/>
        <w:gridCol w:w="109"/>
        <w:gridCol w:w="109"/>
        <w:gridCol w:w="262"/>
        <w:gridCol w:w="220"/>
        <w:gridCol w:w="295"/>
        <w:gridCol w:w="109"/>
        <w:gridCol w:w="109"/>
        <w:gridCol w:w="109"/>
        <w:gridCol w:w="196"/>
        <w:gridCol w:w="421"/>
        <w:gridCol w:w="109"/>
        <w:gridCol w:w="109"/>
        <w:gridCol w:w="109"/>
        <w:gridCol w:w="109"/>
        <w:gridCol w:w="262"/>
        <w:gridCol w:w="220"/>
        <w:gridCol w:w="295"/>
        <w:gridCol w:w="109"/>
        <w:gridCol w:w="109"/>
        <w:gridCol w:w="109"/>
        <w:gridCol w:w="196"/>
        <w:gridCol w:w="421"/>
        <w:gridCol w:w="109"/>
        <w:gridCol w:w="109"/>
        <w:gridCol w:w="109"/>
        <w:gridCol w:w="109"/>
        <w:gridCol w:w="262"/>
        <w:gridCol w:w="220"/>
        <w:gridCol w:w="295"/>
        <w:gridCol w:w="109"/>
        <w:gridCol w:w="109"/>
        <w:gridCol w:w="109"/>
        <w:gridCol w:w="160"/>
      </w:tblGrid>
      <w:tr>
        <w:trPr/>
        <w:tc>
          <w:tcPr>
            <w:tcW w:w="4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487" w:type="dxa"/>
            <w:gridSpan w:val="4"/>
            <w:tcBorders/>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Economic Interest Expense and Aggregate Cost of Funds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agreement and other debt - interest expense (GAAP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0.48 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6"/>
              </w:rPr>
              <w:t xml:space="preserve">TBA dollar roll income - implied interest expense (benefit) </w:t>
            </w:r>
            <w:r>
              <w:rPr>
                <w:rFonts w:ascii="Times New Roman;sans-serif" w:hAnsi="Times New Roman;sans-serif"/>
                <w:b w:val="false"/>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(0.29)</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Economic interest expense - before interest rate swap periodic cost (income), net </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0.49 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Interest rate swap periodic cost (benefit), net </w:t>
            </w:r>
            <w:r>
              <w:rPr>
                <w:rFonts w:ascii="Times New Roman;sans-serif" w:hAnsi="Times New Roman;sans-serif"/>
                <w:b w:val="false"/>
                <w:color w:val="000000"/>
                <w:sz w:val="10"/>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economic interest expense (non-GAAP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0.63 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0.14 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0.84 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1.Amounts exclude interest rate swap termination fees and variation margin settlements paid or received, forward starting swaps and the impact of other supplemental hedges, such as swaptions and U.S. Treasury positions.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2.Reported in gain (loss) on derivative instruments and other securities, net in our consolidated statements of comprehensive income.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4.The combined cost of funds for total mortgage borrowings outstanding, before interest rate swap costs, is calculated on a weighted average basis based on average repo, other debt and TBA balances outstanding during the period and their respective cost of funds.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5.Interest rate swap periodic cost (benefit) is measured as a percent of average mortgage borrowings outstanding for the period.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6.In 2023, we began reporting price alignment interest income (expense) ("PAI") on interest swap margin deposits posted by or (to) us in other interest income (expense), net. PAI was previously reported in interest rate swap periodic cost (benefit). Both current and former categorizations are components of net spread and dollar roll income. Prior year amounts have been reclassified and our economic interest expense and cost of funds have been restated to conform to the current period's presentation. </w:t>
      </w:r>
    </w:p>
    <w:p>
      <w:pPr>
        <w:pStyle w:val="TextBody"/>
        <w:bidi w:val="0"/>
        <w:spacing w:before="0" w:after="0"/>
        <w:ind w:left="0" w:right="0" w:firstLine="495"/>
        <w:jc w:val="both"/>
        <w:rPr/>
      </w:pPr>
      <w:r>
        <w:rPr/>
      </w:r>
    </w:p>
    <w:p>
      <w:pPr>
        <w:pStyle w:val="TextBody"/>
        <w:bidi w:val="0"/>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and six months ended June 30, 2023 compared to the prior year period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86"/>
        <w:gridCol w:w="1080"/>
        <w:gridCol w:w="1090"/>
        <w:gridCol w:w="158"/>
        <w:gridCol w:w="158"/>
        <w:gridCol w:w="158"/>
        <w:gridCol w:w="503"/>
        <w:gridCol w:w="1045"/>
        <w:gridCol w:w="267"/>
        <w:gridCol w:w="158"/>
        <w:gridCol w:w="158"/>
        <w:gridCol w:w="158"/>
        <w:gridCol w:w="508"/>
        <w:gridCol w:w="1021"/>
        <w:gridCol w:w="270"/>
        <w:gridCol w:w="158"/>
        <w:gridCol w:w="158"/>
        <w:gridCol w:w="158"/>
        <w:gridCol w:w="446"/>
        <w:gridCol w:w="922"/>
        <w:gridCol w:w="345"/>
      </w:tblGrid>
      <w:tr>
        <w:trPr/>
        <w:tc>
          <w:tcPr>
            <w:tcW w:w="128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Changes in the Principal Elements of Economic Interest Expense</w:t>
            </w:r>
          </w:p>
        </w:tc>
      </w:tr>
      <w:tr>
        <w:trPr/>
        <w:tc>
          <w:tcPr>
            <w:tcW w:w="1020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Periods ended June 30, 2023 vs. June 30, 2022</w:t>
            </w:r>
          </w:p>
        </w:tc>
      </w:tr>
      <w:tr>
        <w:trPr/>
        <w:tc>
          <w:tcPr>
            <w:tcW w:w="3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to Change in Average</w:t>
            </w:r>
          </w:p>
        </w:tc>
      </w:tr>
      <w:tr>
        <w:trPr/>
        <w:tc>
          <w:tcPr>
            <w:tcW w:w="34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Increase / (Decrease)</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 Swap Balance</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Borrowing / Swap Rate </w:t>
            </w:r>
          </w:p>
        </w:tc>
      </w:tr>
      <w:tr>
        <w:trPr/>
        <w:tc>
          <w:tcPr>
            <w:tcW w:w="3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agreements and other debt interest expense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dollar roll income - implied interest benefit/expense</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 periodic income/cost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change in economic interest benefit/expense</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to Change in Average</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Increase / (Decrease)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 Swap Balance</w:t>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Borrowing / Swap Rate </w:t>
            </w:r>
          </w:p>
        </w:tc>
      </w:tr>
      <w:tr>
        <w:trPr/>
        <w:tc>
          <w:tcPr>
            <w:tcW w:w="3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agreements and other debt interest expense</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dollar roll income - implied interest benefit/expense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 periodic income/cost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change in economic interest benefit/expense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average mortgage borrowings, inclusive of TBAs, decreased 18% for the three and six months ended June 30, 2023 due to a decline in our asset base. The average interest rate on our mortgage borrowings, excluding the impact interest rate swap period income/cost, increased 449 and 451 basis points for the three and six months ended June 30, 2023, respectively, due to higher short-term interest rates.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swap periodic income increased for the three and six months ended June 30, 2023 primarily due to higher receive rates on our pay-fixed swaps. The following is a summary of our average interest rate swaps outstanding and the related average swap pay and receive rates for the three and six months ended June 30, 2023 (dollars in millions). Amounts exclude forward starting swaps not yet in effect.</w:t>
      </w:r>
    </w:p>
    <w:tbl>
      <w:tblPr>
        <w:tblW w:w="10205" w:type="dxa"/>
        <w:jc w:val="left"/>
        <w:tblInd w:w="0" w:type="dxa"/>
        <w:tblLayout w:type="fixed"/>
        <w:tblCellMar>
          <w:top w:w="28" w:type="dxa"/>
          <w:left w:w="28" w:type="dxa"/>
          <w:bottom w:w="28" w:type="dxa"/>
          <w:right w:w="28" w:type="dxa"/>
        </w:tblCellMar>
      </w:tblPr>
      <w:tblGrid>
        <w:gridCol w:w="1564"/>
        <w:gridCol w:w="1366"/>
        <w:gridCol w:w="137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55"/>
      </w:tblGrid>
      <w:tr>
        <w:trPr/>
        <w:tc>
          <w:tcPr>
            <w:tcW w:w="156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Average Ratio of Interest Rate Swaps (Excluding Forward Starting Swaps) to Mortgage Borrowings 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Average Agency repo and other debt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40,690 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net TBA dollar roll position outstanding -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Average mortgage borrowings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51,531 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notional amount of interest rate swaps outstanding (excluding forward starting swaps),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Ratio of average interest rate swaps to mortgage borrowings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 swap pay-fixed rate (excluding forward starting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 swap receive-floating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 swap net pay/(receive)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(0.44)</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we had an average forward starting net pay and (receive) fixed rate swap balance of $(12) million and $45 million, respectively, and for the three and six months ended June 30, 2022 of $34 million and $46 million, respectively. Forward starting interest rate swaps do not impact our economic interest expense and aggregate cost of funds until they commence accruing net interest settlements on their forward start 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Interest Spread</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net interest spread (including the impact of TBA dollar roll income, interest rate swaps and excluding "catch-up" premium amortization)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749"/>
        <w:gridCol w:w="1529"/>
        <w:gridCol w:w="1539"/>
        <w:gridCol w:w="109"/>
        <w:gridCol w:w="109"/>
        <w:gridCol w:w="109"/>
        <w:gridCol w:w="274"/>
        <w:gridCol w:w="260"/>
        <w:gridCol w:w="423"/>
        <w:gridCol w:w="191"/>
        <w:gridCol w:w="191"/>
        <w:gridCol w:w="191"/>
        <w:gridCol w:w="274"/>
        <w:gridCol w:w="260"/>
        <w:gridCol w:w="423"/>
        <w:gridCol w:w="109"/>
        <w:gridCol w:w="109"/>
        <w:gridCol w:w="109"/>
        <w:gridCol w:w="274"/>
        <w:gridCol w:w="260"/>
        <w:gridCol w:w="270"/>
        <w:gridCol w:w="121"/>
        <w:gridCol w:w="121"/>
        <w:gridCol w:w="121"/>
        <w:gridCol w:w="274"/>
        <w:gridCol w:w="260"/>
        <w:gridCol w:w="270"/>
        <w:gridCol w:w="109"/>
        <w:gridCol w:w="167"/>
      </w:tblGrid>
      <w:tr>
        <w:trPr/>
        <w:tc>
          <w:tcPr>
            <w:tcW w:w="174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276" w:type="dxa"/>
            <w:gridSpan w:val="2"/>
            <w:tcBorders/>
          </w:tcPr>
          <w:p>
            <w:pPr>
              <w:pStyle w:val="TableContents"/>
              <w:bidi w:val="0"/>
              <w:spacing w:before="0" w:after="283"/>
              <w:jc w:val="left"/>
              <w:rPr>
                <w:sz w:val="4"/>
                <w:szCs w:val="4"/>
              </w:rPr>
            </w:pPr>
            <w:r>
              <w:rPr>
                <w:sz w:val="4"/>
                <w:szCs w:val="4"/>
              </w:rPr>
            </w:r>
          </w:p>
        </w:tc>
      </w:tr>
      <w:tr>
        <w:trPr/>
        <w:tc>
          <w:tcPr>
            <w:tcW w:w="4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 and TBA Securities - Net Interest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asset yield, excluding "catch-up" premium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aggregate cost of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(0.63)</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(0.14)</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(0.84)</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net interest spread, excluding "catch-up" premium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Spread and Dollar Roll Income</w:t>
      </w:r>
    </w:p>
    <w:p>
      <w:pPr>
        <w:pStyle w:val="TextBody"/>
        <w:bidi w:val="0"/>
        <w:spacing w:lineRule="auto" w:line="288" w:before="180" w:after="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spread and dollar roll income, excluding "catch-up" premium amortization, available to common stockholders (non-GAAP measure) from comprehensive income (loss) available (attributable) to common stockholders (the most comparable GAAP financial measure) for the three and six months ended June 30, 2023 and 2022 (dollars in millions):</w:t>
      </w:r>
    </w:p>
    <w:tbl>
      <w:tblPr>
        <w:tblW w:w="10205" w:type="dxa"/>
        <w:jc w:val="center"/>
        <w:tblInd w:w="0" w:type="dxa"/>
        <w:tblLayout w:type="fixed"/>
        <w:tblCellMar>
          <w:top w:w="28" w:type="dxa"/>
          <w:left w:w="28" w:type="dxa"/>
          <w:bottom w:w="28" w:type="dxa"/>
          <w:right w:w="28" w:type="dxa"/>
        </w:tblCellMar>
      </w:tblPr>
      <w:tblGrid>
        <w:gridCol w:w="1930"/>
        <w:gridCol w:w="1652"/>
        <w:gridCol w:w="1657"/>
        <w:gridCol w:w="109"/>
        <w:gridCol w:w="109"/>
        <w:gridCol w:w="109"/>
        <w:gridCol w:w="212"/>
        <w:gridCol w:w="506"/>
        <w:gridCol w:w="118"/>
        <w:gridCol w:w="118"/>
        <w:gridCol w:w="118"/>
        <w:gridCol w:w="118"/>
        <w:gridCol w:w="212"/>
        <w:gridCol w:w="522"/>
        <w:gridCol w:w="118"/>
        <w:gridCol w:w="109"/>
        <w:gridCol w:w="109"/>
        <w:gridCol w:w="109"/>
        <w:gridCol w:w="196"/>
        <w:gridCol w:w="466"/>
        <w:gridCol w:w="109"/>
        <w:gridCol w:w="109"/>
        <w:gridCol w:w="109"/>
        <w:gridCol w:w="109"/>
        <w:gridCol w:w="196"/>
        <w:gridCol w:w="597"/>
        <w:gridCol w:w="109"/>
        <w:gridCol w:w="109"/>
        <w:gridCol w:w="161"/>
      </w:tblGrid>
      <w:tr>
        <w:trPr/>
        <w:tc>
          <w:tcPr>
            <w:tcW w:w="193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Comprehensive income (loss) available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Adjustments to exclude realized and unrealized (gains) losses reported through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Realized loss on sale of investment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investment securities measured at fair value through net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on derivative instruments and other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Adjustment to exclude unrealized (gain) loss reported through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measure at fair value through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TBA dollar roll income, net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Interest rate swap periodic income (cost), net </w:t>
            </w:r>
            <w:r>
              <w:rPr>
                <w:rFonts w:ascii="Times New Roman;sans-serif" w:hAnsi="Times New Roman;sans-serif"/>
                <w:b w:val="false"/>
                <w:color w:val="000000"/>
                <w:sz w:val="1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Other interest income (expense), net </w:t>
            </w:r>
            <w:r>
              <w:rPr>
                <w:rFonts w:ascii="Times New Roman;sans-serif" w:hAnsi="Times New Roman;sans-serif"/>
                <w:b w:val="false"/>
                <w:color w:val="000000"/>
                <w:sz w:val="1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spread and dollar roll income available to common stockholders (non-GAAP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Estimated "catch-up" premium amortization cost (benefit) due to change in CPR forecast </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spread and dollar roll income, excluding "catch-up" premium amortization, available to common stockholders (non-GAAP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599.7 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527.1 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spread and dollar roll income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0.69 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0.95 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spread and dollar roll income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0.69 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0.95 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spread and dollar roll income, excluding "catch-up" premium amortization,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0.67 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0.83 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spread and dollar roll income, excluding "catch-up" premium amortization,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0.67 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0.83 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1.Reported in gain (loss) on derivative instruments and other securities, net in our consolidated statements of comprehensive income.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2.Reported in interest income in our consolidated statements of comprehensive income.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3.Other interest income (expense), net includes interest income on cash and cash equivalents; price alignment interest income (expense) ("PAI") on interest rate swap margin deposits posted by or (to) the Company; and other miscellaneous interest income (expense).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4.In 2023, we began reporting PAI in other interest income (expense), net. PAI was previously reported in interest rate swap periodic income (cost). Prior year amounts have been reclassified to conform to the current period's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Gain (Loss) on Investment Securities, Net </w:t>
      </w:r>
    </w:p>
    <w:p>
      <w:pPr>
        <w:pStyle w:val="TextBody"/>
        <w:bidi w:val="0"/>
        <w:spacing w:lineRule="auto" w:line="288" w:before="180" w:after="60"/>
        <w:ind w:left="0" w:right="0" w:firstLine="540"/>
        <w:jc w:val="both"/>
        <w:rPr/>
      </w:pPr>
      <w:r>
        <w:rPr>
          <w:rFonts w:ascii="Times New Roman;sans-serif" w:hAnsi="Times New Roman;sans-serif"/>
          <w:b w:val="false"/>
          <w:color w:val="000000"/>
          <w:sz w:val="20"/>
        </w:rPr>
        <w:t>The following table is a summary of our net gain (loss) on investment securities for the three and six months ended June 30, 2023 and 2022 (in millions):</w:t>
      </w:r>
      <w:r>
        <w:rPr>
          <w:color w:val="000000"/>
        </w:rPr>
        <w:t> </w:t>
      </w:r>
    </w:p>
    <w:tbl>
      <w:tblPr>
        <w:tblW w:w="10205" w:type="dxa"/>
        <w:jc w:val="center"/>
        <w:tblInd w:w="0" w:type="dxa"/>
        <w:tblLayout w:type="fixed"/>
        <w:tblCellMar>
          <w:top w:w="28" w:type="dxa"/>
          <w:left w:w="28" w:type="dxa"/>
          <w:bottom w:w="28" w:type="dxa"/>
          <w:right w:w="28" w:type="dxa"/>
        </w:tblCellMar>
      </w:tblPr>
      <w:tblGrid>
        <w:gridCol w:w="1928"/>
        <w:gridCol w:w="1600"/>
        <w:gridCol w:w="1611"/>
        <w:gridCol w:w="109"/>
        <w:gridCol w:w="109"/>
        <w:gridCol w:w="109"/>
        <w:gridCol w:w="207"/>
        <w:gridCol w:w="500"/>
        <w:gridCol w:w="114"/>
        <w:gridCol w:w="114"/>
        <w:gridCol w:w="114"/>
        <w:gridCol w:w="114"/>
        <w:gridCol w:w="207"/>
        <w:gridCol w:w="642"/>
        <w:gridCol w:w="114"/>
        <w:gridCol w:w="109"/>
        <w:gridCol w:w="109"/>
        <w:gridCol w:w="109"/>
        <w:gridCol w:w="196"/>
        <w:gridCol w:w="471"/>
        <w:gridCol w:w="109"/>
        <w:gridCol w:w="109"/>
        <w:gridCol w:w="109"/>
        <w:gridCol w:w="109"/>
        <w:gridCol w:w="196"/>
        <w:gridCol w:w="606"/>
        <w:gridCol w:w="109"/>
        <w:gridCol w:w="109"/>
        <w:gridCol w:w="163"/>
      </w:tblGrid>
      <w:tr>
        <w:trPr/>
        <w:tc>
          <w:tcPr>
            <w:tcW w:w="192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272" w:type="dxa"/>
            <w:gridSpan w:val="2"/>
            <w:tcBorders/>
          </w:tcPr>
          <w:p>
            <w:pPr>
              <w:pStyle w:val="TableContents"/>
              <w:bidi w:val="0"/>
              <w:spacing w:before="0" w:after="283"/>
              <w:jc w:val="left"/>
              <w:rPr>
                <w:sz w:val="4"/>
                <w:szCs w:val="4"/>
              </w:rPr>
            </w:pPr>
            <w:r>
              <w:rPr>
                <w:sz w:val="4"/>
                <w:szCs w:val="4"/>
              </w:rPr>
            </w:r>
          </w:p>
        </w:tc>
      </w:tr>
      <w:tr>
        <w:trPr/>
        <w:tc>
          <w:tcPr>
            <w:tcW w:w="51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Gain (Loss) on Investment Securities, Net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sale of investment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Unrealized (loss) gain on investment securities measured at fair value through net income, net </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gain on investment securities measured at fair value through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loss on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1.Amounts exclude gain (loss) on TBA securities, which are reported in gain (loss) on derivative instruments and other securities, net in our Consolidated Statements of Comprehensive Income.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2.Investment securities acquired after fiscal year 2016 are measured at fair value through net income (see Note 2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Gain (Loss) on Derivative Instruments and Other Securities, Net</w:t>
      </w:r>
    </w:p>
    <w:p>
      <w:pPr>
        <w:pStyle w:val="TextBody"/>
        <w:bidi w:val="0"/>
        <w:spacing w:lineRule="auto" w:line="288" w:before="18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our gain (loss) on derivative instruments and other securities, net for the three and six months ended June 30, 2023 and 2022 (in millions):</w:t>
      </w:r>
    </w:p>
    <w:tbl>
      <w:tblPr>
        <w:tblW w:w="9820" w:type="dxa"/>
        <w:jc w:val="center"/>
        <w:tblInd w:w="0" w:type="dxa"/>
        <w:tblLayout w:type="fixed"/>
        <w:tblCellMar>
          <w:top w:w="28" w:type="dxa"/>
          <w:left w:w="28" w:type="dxa"/>
          <w:bottom w:w="28" w:type="dxa"/>
          <w:right w:w="28" w:type="dxa"/>
        </w:tblCellMar>
      </w:tblPr>
      <w:tblGrid>
        <w:gridCol w:w="1709"/>
        <w:gridCol w:w="1502"/>
        <w:gridCol w:w="1513"/>
        <w:gridCol w:w="109"/>
        <w:gridCol w:w="109"/>
        <w:gridCol w:w="109"/>
        <w:gridCol w:w="232"/>
        <w:gridCol w:w="498"/>
        <w:gridCol w:w="129"/>
        <w:gridCol w:w="129"/>
        <w:gridCol w:w="129"/>
        <w:gridCol w:w="129"/>
        <w:gridCol w:w="232"/>
        <w:gridCol w:w="658"/>
        <w:gridCol w:w="129"/>
        <w:gridCol w:w="109"/>
        <w:gridCol w:w="109"/>
        <w:gridCol w:w="109"/>
        <w:gridCol w:w="196"/>
        <w:gridCol w:w="421"/>
        <w:gridCol w:w="109"/>
        <w:gridCol w:w="109"/>
        <w:gridCol w:w="109"/>
        <w:gridCol w:w="109"/>
        <w:gridCol w:w="196"/>
        <w:gridCol w:w="556"/>
        <w:gridCol w:w="109"/>
        <w:gridCol w:w="109"/>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securities, dollar roll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securities, mark-to-market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Interest rate swaps, periodic cost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 mark-to-market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 default swaps - buy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futures contracts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SOFR futures contracts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Other interest income (expense), net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gain (loss) on derivative instruments and other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8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1.In 2023, we began reporting PAI in other interest income (expense), net. PAI was previously reported in interest rate swap periodic income (cost). Prior year amounts have been reclassified to conform to the current period's presentation. </w:t>
      </w:r>
    </w:p>
    <w:p>
      <w:pPr>
        <w:pStyle w:val="TextBody"/>
        <w:bidi w:val="0"/>
        <w:spacing w:lineRule="auto" w:line="288" w:before="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details regarding our use of derivative instruments and related activity refer to Notes 2 and 5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of our most recent Annual Report on Form 10-K and Item 3. </w:t>
      </w:r>
      <w:r>
        <w:rPr>
          <w:rFonts w:ascii="Times New Roman;sans-serif" w:hAnsi="Times New Roman;sans-serif"/>
          <w:b w:val="false"/>
          <w:i/>
          <w:color w:val="000000"/>
          <w:sz w:val="20"/>
        </w:rPr>
        <w:t>Quantitative and Qualitative Disclosures of Market Risks</w:t>
      </w:r>
      <w:r>
        <w:rPr>
          <w:color w:val="000000"/>
        </w:rPr>
        <w:t xml:space="preserve"> </w:t>
      </w:r>
      <w:r>
        <w:rPr>
          <w:rFonts w:ascii="Times New Roman;sans-serif" w:hAnsi="Times New Roman;sans-serif"/>
          <w:b w:val="false"/>
          <w:color w:val="000000"/>
          <w:sz w:val="20"/>
        </w:rPr>
        <w:t>in this Form 10-Q. In assessing our liquidity, we consider a number of factors, 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Leverage and Financing Sources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7.2x and 7.4x as of June 30, 2023 and December 31, 2022, respectively. The following table includes a summary of our mortgage borrowings outstanding as of June 30, 2023 and December 31, 2022 (dollars in millions). For additional details of our mortgage borrowings refer to Notes 2, 4 and 5 to our Consolidated Financial Statements in this Form 10-Q.</w:t>
      </w:r>
    </w:p>
    <w:tbl>
      <w:tblPr>
        <w:tblW w:w="8718" w:type="dxa"/>
        <w:jc w:val="center"/>
        <w:tblInd w:w="0" w:type="dxa"/>
        <w:tblLayout w:type="fixed"/>
        <w:tblCellMar>
          <w:top w:w="28" w:type="dxa"/>
          <w:left w:w="28" w:type="dxa"/>
          <w:bottom w:w="28" w:type="dxa"/>
          <w:right w:w="28" w:type="dxa"/>
        </w:tblCellMar>
      </w:tblPr>
      <w:tblGrid>
        <w:gridCol w:w="1500"/>
        <w:gridCol w:w="1318"/>
        <w:gridCol w:w="1321"/>
        <w:gridCol w:w="109"/>
        <w:gridCol w:w="109"/>
        <w:gridCol w:w="109"/>
        <w:gridCol w:w="196"/>
        <w:gridCol w:w="646"/>
        <w:gridCol w:w="109"/>
        <w:gridCol w:w="109"/>
        <w:gridCol w:w="109"/>
        <w:gridCol w:w="109"/>
        <w:gridCol w:w="209"/>
        <w:gridCol w:w="212"/>
        <w:gridCol w:w="241"/>
        <w:gridCol w:w="109"/>
        <w:gridCol w:w="109"/>
        <w:gridCol w:w="109"/>
        <w:gridCol w:w="196"/>
        <w:gridCol w:w="646"/>
        <w:gridCol w:w="109"/>
        <w:gridCol w:w="109"/>
        <w:gridCol w:w="109"/>
        <w:gridCol w:w="109"/>
        <w:gridCol w:w="209"/>
        <w:gridCol w:w="212"/>
        <w:gridCol w:w="286"/>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Mortgage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Agency repurchase agreements </w:t>
            </w:r>
            <w:r>
              <w:rPr>
                <w:rFonts w:ascii="Times New Roman;sans-serif" w:hAnsi="Times New Roman;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of consolidated variable interest entities,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and forward settling non-Agency securities,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mortgage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pPr>
      <w:r>
        <w:rPr>
          <w:rFonts w:ascii="Malgun Gothic;sans-serif" w:hAnsi="Malgun Gothic;sans-serif"/>
          <w:b w:val="false"/>
          <w:color w:val="000000"/>
          <w:sz w:val="16"/>
        </w:rPr>
        <w:t>1.</w:t>
      </w:r>
      <w:r>
        <w:rPr>
          <w:rFonts w:ascii="Times New Roman;sans-serif" w:hAnsi="Times New Roman;sans-serif"/>
          <w:b w:val="false"/>
          <w:color w:val="000000"/>
          <w:sz w:val="16"/>
        </w:rPr>
        <w:t>Includes Agency RMBS, CRT and non-Agency MBS repurchase agreements.</w:t>
      </w:r>
      <w:r>
        <w:rPr>
          <w:color w:val="000000"/>
        </w:rPr>
        <w:t xml:space="preserve"> </w:t>
      </w:r>
      <w:r>
        <w:rPr>
          <w:rFonts w:ascii="Malgun Gothic;sans-serif" w:hAnsi="Malgun Gothic;sans-serif"/>
          <w:b w:val="false"/>
          <w:color w:val="000000"/>
          <w:sz w:val="16"/>
        </w:rPr>
        <w:t>E</w:t>
      </w:r>
      <w:r>
        <w:rPr>
          <w:rFonts w:ascii="Times New Roman;sans-serif" w:hAnsi="Times New Roman;sans-serif"/>
          <w:b w:val="false"/>
          <w:color w:val="000000"/>
          <w:sz w:val="16"/>
        </w:rPr>
        <w:t xml:space="preserve">xcludes U.S. Treasury repurchase agreements totaling $1,154 million and $355 million as of June 30, 2023 and December 31, 2022, respectively.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2.As of June 30, 2023 and December 31, 2022, 43% and 48%, respectively, of our repurchase agreements, including 44% and 48% or our Agency repurchase agreements, respectively, were funded through the Fixed Income Clearing Corporation's GCF Repo service.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suitable maturity profile and utilization of interest rate hedging strategies. We also use TBA dollar roll transactions as a means of synthetically financing Agency RMBS.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terms and conditions of our repurchase agreements are determined on a transaction-by-transaction basis when each such borrowing is initiated or renewed and, in the case of GCF Repo, by the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Collateral Requirements and Unencumbered Assets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June 30, 2023, we had met all our margin requirements.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June 30, 2023, approximately 18% our investment portfolio consisted of TBA securities, which are not subject to monthly principal pay-downs. The remainder of our portfolio, primarily consisted of Agency RMBS, which had an average one-year CPR forecast of 6%.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Haircut levels and minimum margin requirements imposed by our counterparties reduce the amount of our unencumbered assets and limit the amount we can borrow against our investment securities. During the six months ended June 30, 2023, haircuts on our repo funding arrangements remained stable. As of June 30, 2023, the weighted average haircut on our repurchase agreements was approximately 3.6% of the value of our collateral, compared to 3.7% as of December 31, 2022.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mitigate the risk of margins calls, we seek to maintain excess liquidity by holding unencumbered liquid assets that can be used to satisfy collateral requirements, collateralize additional borrowings or sold for cash. As of June 30, 2023, our unencumbered assets totaled approximately $4.3 billion, or 59% of tangible equity, consisting of $4.3 billion of unencumbered cash and Agency RMBS and $0.1 billion of unencumbered credit assets. This compares to $4.4 billion of unencumbered assets, or 60% of tangible equity, as of December 31, 2022, consisting of $4.3 billion of unencumbered cash and Agency RMBS and $0.1 billion of unencumbered credit assets.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Counterparty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our maximum amount at risk (or the excess/shortfall of the value of collateral pledged/received over our repurchase agreement liabilities/reverse repurchase agreement receivables) with any of our repurchase agreement counterparties, excluding the FICC, was less than 4% of our tangible stockholders' equity, with our top five repo counterparties, excluding the FICC, representing approximately 8% of our tangible stockholders' equity. As of June 30, 2023, less than 8% of our tangible stockholder's equity was at risk with the FICC. Excluding central clearing exchanges, as of June 30, 2023, our amount at risk with any counterparty to our derivative agreements was less than 1% of our stockholders' equity.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Asset Sales</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sans-serif" w:hAnsi="Times New Roman;sans-serif"/>
          <w:b w:val="false"/>
          <w:i/>
          <w:color w:val="000000"/>
          <w:sz w:val="20"/>
        </w:rPr>
        <w:t>Trends and Recent Market Impacts</w:t>
      </w:r>
      <w:r>
        <w:rPr>
          <w:color w:val="000000"/>
        </w:rPr>
        <w:t xml:space="preserve"> </w:t>
      </w:r>
      <w:r>
        <w:rPr>
          <w:rFonts w:ascii="Times New Roman;sans-serif" w:hAnsi="Times New Roman;sans-serif"/>
          <w:b w:val="false"/>
          <w:color w:val="000000"/>
          <w:sz w:val="20"/>
        </w:rPr>
        <w:t>of this Management Discussion and Analysis for further information regarding Agency RMBS and TBA market conditions.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 Markets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10-Q for further details regarding our recent equity capital transactions, if any.</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June 30, 2023, we had not guaranteed obligations of unconsolidated entities or entered into a commitment or intent to provide funding to such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 </w:t>
      </w:r>
    </w:p>
    <w:p>
      <w:pPr>
        <w:pStyle w:val="TextBody"/>
        <w:bidi w:val="0"/>
        <w:spacing w:lineRule="auto" w:line="288"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 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changes in U.S. monetary policy or interest rates, including actions taken by the Federal Reserve to normalize monetary policy and to reduce the size of its U.S. Treasury and Agency RMBS bond portfolio;</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fluctuations in the yield curve;</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fluctuations in mortgage prepayment rates on the loans underlying our Agency RMBS; </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the availability and terms of financing and our hedge positions; </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changes in the market value of our assets, including from changes in net interest spreads, market liquidity or depth, and changes in our "at risk" leverage or hedge positions; </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 xml:space="preserve">the effectiveness of our risk mitigation strategies; </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 xml:space="preserve">conditions in the market for Agency RMBS and other mortgage securities, including changes in the available supply of such securities or investor appetite therefor;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actions by the federal, state, or local governments that affect the economy, the housing sector or financial markets;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the ongoing availability of personnel and systems to conduct our operations;</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changes to laws, regulations, rules or policies that affect U.S. housing finance activity, the GSE's or the markets for Agency RMBS; and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legislative or regulatory changes that affect our status as a REIT, our exemption from the Investment Company Act of 1940 or the mortgage markets in which we participate.</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xml:space="preserve">. We caution readers not to place undue reliance on our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0.4 years as of June 30, 2023, compared to 0.4 years as of December 31, 2022.</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quantifies the estimated changes in the fair value of our investment portfolio (including derivatives and other securities used for hedging purposes) and in our tangible net book value per common share as of June 30, 2023 and December 31, 2022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June 30, 2023 and December 31, 2022.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these estimates or other assumptions do not hold true, which may be more likely during periods of elevated market volatility, actual results could differ materially from our projections. Moreover, if different models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ans-serif" w:hAnsi="Times New Roman;sans-serif"/>
          <w:b w:val="false"/>
          <w:color w:val="000000"/>
          <w:sz w:val="20"/>
        </w:rPr>
        <w:t>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r>
        <w:rPr>
          <w:color w:val="000000"/>
        </w:rPr>
        <w:t> </w:t>
      </w:r>
    </w:p>
    <w:tbl>
      <w:tblPr>
        <w:tblW w:w="10205" w:type="dxa"/>
        <w:jc w:val="center"/>
        <w:tblInd w:w="0" w:type="dxa"/>
        <w:tblLayout w:type="fixed"/>
        <w:tblCellMar>
          <w:top w:w="28" w:type="dxa"/>
          <w:left w:w="28" w:type="dxa"/>
          <w:bottom w:w="28" w:type="dxa"/>
          <w:right w:w="28" w:type="dxa"/>
        </w:tblCellMar>
      </w:tblPr>
      <w:tblGrid>
        <w:gridCol w:w="385"/>
        <w:gridCol w:w="338"/>
        <w:gridCol w:w="339"/>
        <w:gridCol w:w="109"/>
        <w:gridCol w:w="109"/>
        <w:gridCol w:w="109"/>
        <w:gridCol w:w="555"/>
        <w:gridCol w:w="555"/>
        <w:gridCol w:w="557"/>
        <w:gridCol w:w="114"/>
        <w:gridCol w:w="114"/>
        <w:gridCol w:w="114"/>
        <w:gridCol w:w="729"/>
        <w:gridCol w:w="729"/>
        <w:gridCol w:w="732"/>
        <w:gridCol w:w="109"/>
        <w:gridCol w:w="109"/>
        <w:gridCol w:w="109"/>
        <w:gridCol w:w="555"/>
        <w:gridCol w:w="555"/>
        <w:gridCol w:w="557"/>
        <w:gridCol w:w="127"/>
        <w:gridCol w:w="127"/>
        <w:gridCol w:w="127"/>
        <w:gridCol w:w="654"/>
        <w:gridCol w:w="654"/>
        <w:gridCol w:w="9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Interest Rate Sensitivity </w:t>
            </w:r>
            <w:r>
              <w:rPr>
                <w:rFonts w:ascii="Times New Roman;sans-serif" w:hAnsi="Times New Roman;sans-serif"/>
                <w:b/>
                <w:color w:val="000000"/>
                <w:sz w:val="10"/>
              </w:rPr>
              <w:t>1,2</w:t>
            </w:r>
          </w:p>
        </w:tc>
      </w:tr>
      <w:tr>
        <w:trPr/>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Portfolio Market Value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Tangible Net Book Value Per Common Share</w:t>
            </w:r>
          </w:p>
        </w:tc>
      </w:tr>
      <w:tr>
        <w:trPr/>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r>
      <w:tr>
        <w:trPr/>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c>
      </w:tr>
      <w:tr>
        <w:trPr/>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1.Derived from models that are dependent on inputs and assumptions, assumes there are no changes in mortgage spreads and assumes a static portfolio. Actual results could differ materially from these estimates.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2.Includes the effect of derivatives and other securities used for hedging purposes. Interest rates are assumed to be floored at 0% in down rate scenarios.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Prepayment Risk and Extension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pStyle w:val="TextBody"/>
        <w:bidi w:val="0"/>
        <w:spacing w:lineRule="auto" w:line="288" w:before="18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our investment securities (excluding TBAs) had a weighted average projected CPR of 9.8% and 7.4%, respectively, and a weighted average yield of 3.78% and 3.37%,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16"/>
        <w:gridCol w:w="448"/>
        <w:gridCol w:w="449"/>
        <w:gridCol w:w="109"/>
        <w:gridCol w:w="109"/>
        <w:gridCol w:w="109"/>
        <w:gridCol w:w="628"/>
        <w:gridCol w:w="628"/>
        <w:gridCol w:w="631"/>
        <w:gridCol w:w="118"/>
        <w:gridCol w:w="118"/>
        <w:gridCol w:w="118"/>
        <w:gridCol w:w="587"/>
        <w:gridCol w:w="587"/>
        <w:gridCol w:w="589"/>
        <w:gridCol w:w="109"/>
        <w:gridCol w:w="109"/>
        <w:gridCol w:w="109"/>
        <w:gridCol w:w="628"/>
        <w:gridCol w:w="628"/>
        <w:gridCol w:w="631"/>
        <w:gridCol w:w="142"/>
        <w:gridCol w:w="142"/>
        <w:gridCol w:w="142"/>
        <w:gridCol w:w="529"/>
        <w:gridCol w:w="529"/>
        <w:gridCol w:w="763"/>
      </w:tblGrid>
      <w:tr>
        <w:trPr/>
        <w:tc>
          <w:tcPr>
            <w:tcW w:w="5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Interest Rate Sensitivity </w:t>
            </w:r>
            <w:r>
              <w:rPr>
                <w:rFonts w:ascii="Times New Roman;sans-serif" w:hAnsi="Times New Roman;sans-serif"/>
                <w:b/>
                <w:color w:val="000000"/>
                <w:sz w:val="10"/>
              </w:rPr>
              <w:t>1</w:t>
            </w:r>
          </w:p>
        </w:tc>
      </w:tr>
      <w:tr>
        <w:trPr/>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Projected CPR</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Weighted Average Asset Yield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Projected CPR</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Weighted Average Asset Yield </w:t>
            </w:r>
            <w:r>
              <w:rPr>
                <w:rFonts w:ascii="Times New Roman;sans-serif" w:hAnsi="Times New Roman;sans-serif"/>
                <w:b/>
                <w:color w:val="000000"/>
                <w:sz w:val="10"/>
              </w:rPr>
              <w:t>2</w:t>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3.34%</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3.36%</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Actual as of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3.37%</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3.38%</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3.39%</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3.40%</w:t>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1.Derived from models that are dependent on inputs and assumptions and assumes a static portfolio. Actual results could differ materially from these estimates. Table excludes TBA securities.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2.Asset yield based on historical cost basis and does not include the impact of retroactive "catch-up" premium amortization adjustments due to changes in projected CPR.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Spread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June 30, 2023 and December 31, 2022 should spreads widen or tighten by 10, 25 and 50 basis points. The estimated impact of changes in spreads is in addition to our interest rate shock sensitivity included in the interest rate shock table above. The table below assumes a spread duration of 5.0 and 5.8 years as of June 30, 2023 and December 31, 2022,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tbl>
      <w:tblPr>
        <w:tblW w:w="10205" w:type="dxa"/>
        <w:jc w:val="center"/>
        <w:tblInd w:w="0" w:type="dxa"/>
        <w:tblLayout w:type="fixed"/>
        <w:tblCellMar>
          <w:top w:w="28" w:type="dxa"/>
          <w:left w:w="28" w:type="dxa"/>
          <w:bottom w:w="28" w:type="dxa"/>
          <w:right w:w="28" w:type="dxa"/>
        </w:tblCellMar>
      </w:tblPr>
      <w:tblGrid>
        <w:gridCol w:w="380"/>
        <w:gridCol w:w="333"/>
        <w:gridCol w:w="335"/>
        <w:gridCol w:w="109"/>
        <w:gridCol w:w="109"/>
        <w:gridCol w:w="109"/>
        <w:gridCol w:w="555"/>
        <w:gridCol w:w="555"/>
        <w:gridCol w:w="558"/>
        <w:gridCol w:w="114"/>
        <w:gridCol w:w="114"/>
        <w:gridCol w:w="114"/>
        <w:gridCol w:w="730"/>
        <w:gridCol w:w="730"/>
        <w:gridCol w:w="733"/>
        <w:gridCol w:w="109"/>
        <w:gridCol w:w="109"/>
        <w:gridCol w:w="109"/>
        <w:gridCol w:w="555"/>
        <w:gridCol w:w="555"/>
        <w:gridCol w:w="558"/>
        <w:gridCol w:w="127"/>
        <w:gridCol w:w="127"/>
        <w:gridCol w:w="127"/>
        <w:gridCol w:w="655"/>
        <w:gridCol w:w="655"/>
        <w:gridCol w:w="941"/>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Spread Sensitivity </w:t>
            </w:r>
            <w:r>
              <w:rPr>
                <w:rFonts w:ascii="Times New Roman;sans-serif" w:hAnsi="Times New Roman;sans-serif"/>
                <w:b/>
                <w:color w:val="000000"/>
                <w:sz w:val="10"/>
              </w:rPr>
              <w:t>1,2</w:t>
            </w:r>
          </w:p>
        </w:tc>
      </w:tr>
      <w:tr>
        <w:trPr/>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Change in MBS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Portfolio Market Value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Change in Tangible Net Book Value Per Common Share</w:t>
            </w:r>
          </w:p>
        </w:tc>
      </w:tr>
      <w:tr>
        <w:trPr/>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+30.6%</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+15.3%</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-15.3%</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-30.6%</w:t>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1.Spread sensitivity is derived from models that are dependent on inputs and assumptions, assumes there are no changes in interest rates and assumes a static portfolio. Actual results could differ materially from these estimates.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2.Includes the effect of derivatives and other securities used for hedging purposes.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Liquidity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risk principally arises from financing long-term fixed rate assets with shorter-term variable rate borrowings. Future borrowings are dependent upon the willingness of lenders to finance our investments, lender collateral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requirements and the lenders’ determination of the fair value of the securities pledged as collateral, which fluctuates with changes in interest rates and liquidity conditions within the commercial banking and mortgage finance industries.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As of June 30, 2023, we believe that we have sufficient liquidity and capital resources available to execute our business strategy (see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 xml:space="preserve">in this Form 10-Q for additional details). However, should the value of our collateral or the value of our derivative instruments suddenly 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June 30, 2023, our maximum amount at risk with any counterparty related to our repurchase agreements and derivative agreements was less than 4% and 1%, respectively, of tangible stockholders' equity.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including our Chief Executive Officer and Chief Financial Officer, evaluated the effectiveness of the design and operation of our disclosure controls and procedures as of June 30, 2023. Based on the foregoing, our Chief Executive Officer and Chief Financial Officer concluded that our disclosure controls and procedures were effective.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r>
        <w:rPr>
          <w:color w:val="000000"/>
        </w:rPr>
        <w:t xml:space="preserve">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Defaults upon Senior Securities</w:t>
      </w:r>
      <w:r>
        <w:rPr>
          <w:color w:val="000000"/>
        </w:rPr>
        <w:t xml:space="preserve">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none of our directors or officers (as defined in Rule 16a-1(f) of the Exchange Act) informed us of the adoption or termination of a "Rule 10b5-1 trading arrangement" or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 and Financial Statement Schedules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Exhibit Index</w:t>
      </w:r>
    </w:p>
    <w:p>
      <w:pPr>
        <w:pStyle w:val="TextBody"/>
        <w:bidi w:val="0"/>
        <w:spacing w:lineRule="auto" w:line="288" w:before="180" w:after="283"/>
        <w:jc w:val="both"/>
        <w:rPr/>
      </w:pPr>
      <w:r>
        <w:rPr>
          <w:rFonts w:ascii="Times New Roman;sans-serif" w:hAnsi="Times New Roman;sans-serif"/>
          <w:b/>
          <w:color w:val="000000"/>
          <w:sz w:val="16"/>
          <w:u w:val="single"/>
        </w:rPr>
        <w:t>Exhibit No.</w:t>
      </w:r>
      <w:r>
        <w:rPr>
          <w:color w:val="000000"/>
        </w:rPr>
        <w:t>    </w:t>
      </w:r>
      <w:r>
        <w:rPr>
          <w:rFonts w:ascii="Times New Roman;sans-serif" w:hAnsi="Times New Roman;sans-serif"/>
          <w:b/>
          <w:color w:val="000000"/>
          <w:sz w:val="16"/>
          <w:u w:val="single"/>
        </w:rPr>
        <w:t>Description</w:t>
      </w:r>
    </w:p>
    <w:p>
      <w:pPr>
        <w:pStyle w:val="TextBody"/>
        <w:bidi w:val="0"/>
        <w:spacing w:lineRule="auto" w:line="288" w:before="180" w:after="283"/>
        <w:ind w:left="0" w:right="0" w:hanging="1440"/>
        <w:jc w:val="both"/>
        <w:rPr/>
      </w:pPr>
      <w:hyperlink r:id="rId3">
        <w:r>
          <w:rPr>
            <w:rStyle w:val="InternetLink"/>
          </w:rPr>
          <w:t>*3.1</w:t>
        </w:r>
      </w:hyperlink>
      <w:r>
        <w:rPr>
          <w:rFonts w:ascii="Times New Roman;sans-serif" w:hAnsi="Times New Roman;sans-serif"/>
          <w:b w:val="false"/>
          <w:color w:val="000000"/>
          <w:sz w:val="20"/>
        </w:rPr>
        <w:t>    </w:t>
      </w:r>
      <w:hyperlink r:id="rId4">
        <w:r>
          <w:rPr>
            <w:rStyle w:val="InternetLink"/>
          </w:rPr>
          <w:t>AGNC Investment Corp. Amended and Restated Certificate of Incorporation, as amended, incorporated by reference from Exhibit 3.1 of Form 10-K for the year ended December 31, 2021 (File No. 001-34057), filed February 23, 2022.</w:t>
        </w:r>
      </w:hyperlink>
    </w:p>
    <w:p>
      <w:pPr>
        <w:pStyle w:val="TextBody"/>
        <w:bidi w:val="0"/>
        <w:spacing w:lineRule="auto" w:line="288" w:before="180" w:after="283"/>
        <w:ind w:left="0" w:right="0" w:hanging="1440"/>
        <w:jc w:val="both"/>
        <w:rPr/>
      </w:pPr>
      <w:hyperlink r:id="rId5">
        <w:r>
          <w:rPr>
            <w:rStyle w:val="InternetLink"/>
          </w:rPr>
          <w:t>*3.2</w:t>
        </w:r>
      </w:hyperlink>
      <w:r>
        <w:rPr>
          <w:rFonts w:ascii="Times New Roman;sans-serif" w:hAnsi="Times New Roman;sans-serif"/>
          <w:b w:val="false"/>
          <w:color w:val="000000"/>
          <w:sz w:val="20"/>
        </w:rPr>
        <w:t>    </w:t>
      </w:r>
      <w:hyperlink r:id="rId6">
        <w:r>
          <w:rPr>
            <w:rStyle w:val="InternetLink"/>
          </w:rPr>
          <w:t>AGNC Investment Corp. Amended and Restated Bylaws, as amended, incorporated herein by reference to Exhibit 3.1 of Form 8-K (File No. 001-34057), filed July 21, 2023.</w:t>
        </w:r>
      </w:hyperlink>
    </w:p>
    <w:p>
      <w:pPr>
        <w:pStyle w:val="TextBody"/>
        <w:bidi w:val="0"/>
        <w:spacing w:lineRule="auto" w:line="288" w:before="180" w:after="283"/>
        <w:ind w:left="0" w:right="0" w:hanging="1440"/>
        <w:jc w:val="both"/>
        <w:rPr/>
      </w:pPr>
      <w:hyperlink r:id="rId7">
        <w:r>
          <w:rPr>
            <w:rStyle w:val="InternetLink"/>
          </w:rPr>
          <w:t>*3.3</w:t>
        </w:r>
      </w:hyperlink>
      <w:r>
        <w:rPr>
          <w:rFonts w:ascii="Times New Roman;sans-serif" w:hAnsi="Times New Roman;sans-serif"/>
          <w:b w:val="false"/>
          <w:color w:val="000000"/>
          <w:sz w:val="20"/>
        </w:rPr>
        <w:t>    </w:t>
      </w:r>
      <w:hyperlink r:id="rId8">
        <w:r>
          <w:rPr>
            <w:rStyle w:val="InternetLink"/>
          </w:rPr>
          <w:t>Certificate of Designations of 7.00% Series C Fixed-to-Floating Rate Cumulative Redeemable Preferred Stock, incorporated herein by reference to Exhibit 3.5 of Form 8-A (File No. 001-34057), filed August 18, 2017.</w:t>
        </w:r>
      </w:hyperlink>
    </w:p>
    <w:p>
      <w:pPr>
        <w:pStyle w:val="TextBody"/>
        <w:bidi w:val="0"/>
        <w:spacing w:lineRule="auto" w:line="288" w:before="180" w:after="283"/>
        <w:ind w:left="0" w:right="0" w:hanging="1440"/>
        <w:jc w:val="both"/>
        <w:rPr/>
      </w:pPr>
      <w:hyperlink r:id="rId9">
        <w:r>
          <w:rPr>
            <w:rStyle w:val="InternetLink"/>
          </w:rPr>
          <w:t>*3.4</w:t>
        </w:r>
      </w:hyperlink>
      <w:r>
        <w:rPr>
          <w:rFonts w:ascii="Times New Roman;sans-serif" w:hAnsi="Times New Roman;sans-serif"/>
          <w:b w:val="false"/>
          <w:color w:val="000000"/>
          <w:sz w:val="20"/>
        </w:rPr>
        <w:t>    </w:t>
      </w:r>
      <w:hyperlink r:id="rId10">
        <w:r>
          <w:rPr>
            <w:rStyle w:val="InternetLink"/>
          </w:rPr>
          <w:t>Certificate of Elimination of 8.000% Series A Cumulative Redeemable Preferred Stock, incorporated herein by reference to Exhibit 3.1 of Form 8-K (File No 001-34057), filed October 26, 2017.</w:t>
        </w:r>
      </w:hyperlink>
    </w:p>
    <w:p>
      <w:pPr>
        <w:pStyle w:val="TextBody"/>
        <w:bidi w:val="0"/>
        <w:spacing w:lineRule="auto" w:line="288" w:before="180" w:after="283"/>
        <w:ind w:left="0" w:right="0" w:hanging="1440"/>
        <w:jc w:val="both"/>
        <w:rPr/>
      </w:pPr>
      <w:hyperlink r:id="rId11">
        <w:r>
          <w:rPr>
            <w:rStyle w:val="InternetLink"/>
          </w:rPr>
          <w:t>*3.5</w:t>
        </w:r>
      </w:hyperlink>
      <w:r>
        <w:rPr>
          <w:rFonts w:ascii="Times New Roman;sans-serif" w:hAnsi="Times New Roman;sans-serif"/>
          <w:b w:val="false"/>
          <w:color w:val="000000"/>
          <w:sz w:val="20"/>
        </w:rPr>
        <w:t>    </w:t>
      </w:r>
      <w:hyperlink r:id="rId12">
        <w:r>
          <w:rPr>
            <w:rStyle w:val="InternetLink"/>
          </w:rPr>
          <w:t>Certificate of Designations of 6.875% Series D Fixed-to-Floating Rate Cumulative Redeemable Preferred Stock, incorporated herein by reference to Exhibit 3.5 of Form 8-A (File No 001-34057), filed March 6, 2019.</w:t>
        </w:r>
      </w:hyperlink>
    </w:p>
    <w:p>
      <w:pPr>
        <w:pStyle w:val="TextBody"/>
        <w:bidi w:val="0"/>
        <w:spacing w:lineRule="auto" w:line="288" w:before="180" w:after="283"/>
        <w:ind w:left="0" w:right="0" w:hanging="1440"/>
        <w:jc w:val="both"/>
        <w:rPr/>
      </w:pPr>
      <w:hyperlink r:id="rId13">
        <w:r>
          <w:rPr>
            <w:rStyle w:val="InternetLink"/>
          </w:rPr>
          <w:t>*3.6</w:t>
        </w:r>
      </w:hyperlink>
      <w:r>
        <w:rPr>
          <w:rFonts w:ascii="Times New Roman;sans-serif" w:hAnsi="Times New Roman;sans-serif"/>
          <w:b w:val="false"/>
          <w:color w:val="000000"/>
          <w:sz w:val="20"/>
        </w:rPr>
        <w:t>    </w:t>
      </w:r>
      <w:hyperlink r:id="rId14">
        <w:r>
          <w:rPr>
            <w:rStyle w:val="InternetLink"/>
          </w:rPr>
          <w:t>Certificate of Designations of 6.50% Series E Fixed-to-Floating Rate Cumulative Redeemable Preferred Stock, incorporated herein by reference to Exhibit 3.6 of Form 8-A (File No 001-34057), filed October 3, 2019.</w:t>
        </w:r>
      </w:hyperlink>
    </w:p>
    <w:p>
      <w:pPr>
        <w:pStyle w:val="TextBody"/>
        <w:bidi w:val="0"/>
        <w:spacing w:lineRule="auto" w:line="288" w:before="180" w:after="283"/>
        <w:ind w:left="0" w:right="0" w:hanging="1440"/>
        <w:jc w:val="both"/>
        <w:rPr/>
      </w:pPr>
      <w:hyperlink r:id="rId15">
        <w:r>
          <w:rPr>
            <w:rStyle w:val="InternetLink"/>
          </w:rPr>
          <w:t>*3.7</w:t>
        </w:r>
      </w:hyperlink>
      <w:r>
        <w:rPr>
          <w:rFonts w:ascii="Times New Roman;sans-serif" w:hAnsi="Times New Roman;sans-serif"/>
          <w:b w:val="false"/>
          <w:color w:val="000000"/>
          <w:sz w:val="20"/>
        </w:rPr>
        <w:t>    </w:t>
      </w:r>
      <w:hyperlink r:id="rId16">
        <w:r>
          <w:rPr>
            <w:rStyle w:val="InternetLink"/>
          </w:rPr>
          <w:t>Certificate of Elimination of 7.750% Series B Cumulative Redeemable Preferred Stock, incorporated herein by reference to Exhibit 3.1 of Form 8-K (File No 001-34057), filed December 13, 2019.</w:t>
        </w:r>
      </w:hyperlink>
    </w:p>
    <w:p>
      <w:pPr>
        <w:pStyle w:val="TextBody"/>
        <w:bidi w:val="0"/>
        <w:spacing w:lineRule="auto" w:line="288" w:before="180" w:after="283"/>
        <w:ind w:left="0" w:right="0" w:hanging="1440"/>
        <w:jc w:val="both"/>
        <w:rPr/>
      </w:pPr>
      <w:hyperlink r:id="rId17">
        <w:r>
          <w:rPr>
            <w:rStyle w:val="InternetLink"/>
          </w:rPr>
          <w:t>*3.8</w:t>
        </w:r>
      </w:hyperlink>
      <w:r>
        <w:rPr>
          <w:rFonts w:ascii="Times New Roman;sans-serif" w:hAnsi="Times New Roman;sans-serif"/>
          <w:b w:val="false"/>
          <w:color w:val="000000"/>
          <w:sz w:val="20"/>
        </w:rPr>
        <w:t>    </w:t>
      </w:r>
      <w:hyperlink r:id="rId18">
        <w:r>
          <w:rPr>
            <w:rStyle w:val="InternetLink"/>
          </w:rPr>
          <w:t>Certificate of Designations of 6.125% Series F Fixed-to-Floating Rate Cumulative Redeemable Preferred Stock, incorporated herein by reference to Exhibit 3.6 of Form 8-A (File No 001-34057), filed February 11, 2020.</w:t>
        </w:r>
      </w:hyperlink>
    </w:p>
    <w:p>
      <w:pPr>
        <w:pStyle w:val="TextBody"/>
        <w:bidi w:val="0"/>
        <w:spacing w:lineRule="auto" w:line="288" w:before="180" w:after="283"/>
        <w:ind w:left="0" w:right="0" w:hanging="1440"/>
        <w:jc w:val="both"/>
        <w:rPr/>
      </w:pPr>
      <w:hyperlink r:id="rId19">
        <w:r>
          <w:rPr>
            <w:rStyle w:val="InternetLink"/>
          </w:rPr>
          <w:t>*3.9</w:t>
        </w:r>
      </w:hyperlink>
      <w:r>
        <w:rPr>
          <w:rFonts w:ascii="Times New Roman;sans-serif" w:hAnsi="Times New Roman;sans-serif"/>
          <w:b w:val="false"/>
          <w:color w:val="000000"/>
          <w:sz w:val="20"/>
        </w:rPr>
        <w:t>    </w:t>
      </w:r>
      <w:hyperlink r:id="rId20">
        <w:r>
          <w:rPr>
            <w:rStyle w:val="InternetLink"/>
          </w:rPr>
          <w:t>Certificate of Designations of 7.75% Series G Fixed-Rate Reset Cumulative Redeemable Preferred Stock, incorporated herein by reference to Exhibit 3.7 of Form 8-A (File No 001-34057), filed September 14, 2022.</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pPr>
      <w:hyperlink r:id="rId21">
        <w:r>
          <w:rPr>
            <w:rStyle w:val="InternetLink"/>
          </w:rPr>
          <w:t>*4.1</w:t>
        </w:r>
      </w:hyperlink>
      <w:r>
        <w:rPr>
          <w:rFonts w:ascii="Times New Roman;sans-serif" w:hAnsi="Times New Roman;sans-serif"/>
          <w:b w:val="false"/>
          <w:color w:val="000000"/>
          <w:sz w:val="20"/>
        </w:rPr>
        <w:t>    </w:t>
      </w:r>
      <w:hyperlink r:id="rId22">
        <w:r>
          <w:rPr>
            <w:rStyle w:val="InternetLink"/>
          </w:rPr>
          <w:t>Instruments defining the rights of holders of securities: See Article IV of our Amended and Restated Certificate of Incorporation, as amended, incorporated herein by reference to Exhibit 3.1 of Form 10-K for the year ended December 31, 2021 (File No. 001-34057), filed February 23, 2022.</w:t>
        </w:r>
      </w:hyperlink>
    </w:p>
    <w:p>
      <w:pPr>
        <w:pStyle w:val="TextBody"/>
        <w:bidi w:val="0"/>
        <w:spacing w:lineRule="auto" w:line="288" w:before="180" w:after="283"/>
        <w:ind w:left="0" w:right="0" w:hanging="1440"/>
        <w:jc w:val="both"/>
        <w:rPr/>
      </w:pPr>
      <w:hyperlink r:id="rId23">
        <w:r>
          <w:rPr>
            <w:rStyle w:val="InternetLink"/>
          </w:rPr>
          <w:t>*4.2</w:t>
        </w:r>
      </w:hyperlink>
      <w:r>
        <w:rPr>
          <w:rFonts w:ascii="Times New Roman;sans-serif" w:hAnsi="Times New Roman;sans-serif"/>
          <w:b w:val="false"/>
          <w:color w:val="000000"/>
          <w:sz w:val="20"/>
        </w:rPr>
        <w:t>    </w:t>
      </w:r>
      <w:hyperlink r:id="rId24">
        <w:r>
          <w:rPr>
            <w:rStyle w:val="InternetLink"/>
          </w:rPr>
          <w:t>Instruments defining the rights of holders of securities: See Article VI of our Amended and Restated Bylaws, as amended, incorporated herein by reference to Exhibit 3.1 of Form 8-K, filed July 21, 2023.</w:t>
        </w:r>
      </w:hyperlink>
    </w:p>
    <w:p>
      <w:pPr>
        <w:pStyle w:val="TextBody"/>
        <w:bidi w:val="0"/>
        <w:spacing w:lineRule="auto" w:line="288" w:before="180" w:after="283"/>
        <w:ind w:left="0" w:right="0" w:hanging="1440"/>
        <w:jc w:val="both"/>
        <w:rPr/>
      </w:pPr>
      <w:hyperlink r:id="rId25">
        <w:r>
          <w:rPr>
            <w:rStyle w:val="InternetLink"/>
          </w:rPr>
          <w:t>*4.3</w:t>
        </w:r>
      </w:hyperlink>
      <w:r>
        <w:rPr>
          <w:rFonts w:ascii="Times New Roman;sans-serif" w:hAnsi="Times New Roman;sans-serif"/>
          <w:b w:val="false"/>
          <w:color w:val="000000"/>
          <w:sz w:val="20"/>
        </w:rPr>
        <w:t>    </w:t>
      </w:r>
      <w:hyperlink r:id="rId26">
        <w:r>
          <w:rPr>
            <w:rStyle w:val="InternetLink"/>
          </w:rPr>
          <w:t>Form of Certificate for Common Stock, incorporated herein by reference to Exhibit 4.3 of Form 10-Q for the quarter ended September 30, 2022 (File No. 001-34057), filed November 7, 2022.</w:t>
        </w:r>
      </w:hyperlink>
    </w:p>
    <w:p>
      <w:pPr>
        <w:pStyle w:val="TextBody"/>
        <w:bidi w:val="0"/>
        <w:spacing w:lineRule="auto" w:line="288" w:before="180" w:after="283"/>
        <w:ind w:left="0" w:right="0" w:hanging="1440"/>
        <w:jc w:val="both"/>
        <w:rPr/>
      </w:pPr>
      <w:hyperlink r:id="rId27">
        <w:r>
          <w:rPr>
            <w:rStyle w:val="InternetLink"/>
          </w:rPr>
          <w:t>*4.4</w:t>
        </w:r>
      </w:hyperlink>
      <w:r>
        <w:rPr>
          <w:rFonts w:ascii="Times New Roman;sans-serif" w:hAnsi="Times New Roman;sans-serif"/>
          <w:b w:val="false"/>
          <w:color w:val="000000"/>
          <w:sz w:val="20"/>
        </w:rPr>
        <w:t>    </w:t>
      </w:r>
      <w:hyperlink r:id="rId28">
        <w:r>
          <w:rPr>
            <w:rStyle w:val="InternetLink"/>
          </w:rPr>
          <w:t>Specimen 7.00% Series C Fixed-to-Floating Rate Cumulative Redeemable Preferred Stock Certificate, incorporated herein by reference to Exhibit 4.1 of Form 8-A (File No. 001-34057), filed August 18, 2017.</w:t>
        </w:r>
      </w:hyperlink>
    </w:p>
    <w:p>
      <w:pPr>
        <w:pStyle w:val="TextBody"/>
        <w:bidi w:val="0"/>
        <w:spacing w:lineRule="auto" w:line="288" w:before="180" w:after="283"/>
        <w:ind w:left="0" w:right="0" w:hanging="1440"/>
        <w:jc w:val="both"/>
        <w:rPr/>
      </w:pPr>
      <w:hyperlink r:id="rId29">
        <w:r>
          <w:rPr>
            <w:rStyle w:val="InternetLink"/>
          </w:rPr>
          <w:t>*4.5</w:t>
        </w:r>
      </w:hyperlink>
      <w:r>
        <w:rPr>
          <w:rFonts w:ascii="Times New Roman;sans-serif" w:hAnsi="Times New Roman;sans-serif"/>
          <w:b w:val="false"/>
          <w:color w:val="000000"/>
          <w:sz w:val="20"/>
        </w:rPr>
        <w:t>    </w:t>
      </w:r>
      <w:hyperlink r:id="rId30">
        <w:r>
          <w:rPr>
            <w:rStyle w:val="InternetLink"/>
          </w:rPr>
          <w:t>Specimen 6.875% Series D Fixed-to-Floating Rate Cumulative Redeemable Preferred Stock Certificate, incorporated herein by reference to Exhibit 4.1 of Form 8-A (File No. 001-34057), filed March 6, 2019.</w:t>
        </w:r>
      </w:hyperlink>
    </w:p>
    <w:p>
      <w:pPr>
        <w:pStyle w:val="TextBody"/>
        <w:bidi w:val="0"/>
        <w:spacing w:lineRule="auto" w:line="288" w:before="180" w:after="283"/>
        <w:ind w:left="0" w:right="0" w:hanging="1440"/>
        <w:jc w:val="both"/>
        <w:rPr/>
      </w:pPr>
      <w:hyperlink r:id="rId31">
        <w:r>
          <w:rPr>
            <w:rStyle w:val="InternetLink"/>
          </w:rPr>
          <w:t>*4.6</w:t>
        </w:r>
      </w:hyperlink>
      <w:r>
        <w:rPr>
          <w:rFonts w:ascii="Times New Roman;sans-serif" w:hAnsi="Times New Roman;sans-serif"/>
          <w:b w:val="false"/>
          <w:color w:val="000000"/>
          <w:sz w:val="20"/>
        </w:rPr>
        <w:t>    </w:t>
      </w:r>
      <w:hyperlink r:id="rId32">
        <w:r>
          <w:rPr>
            <w:rStyle w:val="InternetLink"/>
          </w:rPr>
          <w:t>Specimen 6.50% Series E Fixed-to-Floating Rate Cumulative Redeemable Preferred Stock Certificate, incorporated herein by reference to Exhibit 4.1 of Form 8-A (File No. 001-34057), filed October 3, 2019.</w:t>
        </w:r>
      </w:hyperlink>
    </w:p>
    <w:p>
      <w:pPr>
        <w:pStyle w:val="TextBody"/>
        <w:bidi w:val="0"/>
        <w:spacing w:lineRule="auto" w:line="288" w:before="180" w:after="283"/>
        <w:ind w:left="0" w:right="0" w:hanging="1440"/>
        <w:jc w:val="both"/>
        <w:rPr/>
      </w:pPr>
      <w:hyperlink r:id="rId33">
        <w:r>
          <w:rPr>
            <w:rStyle w:val="InternetLink"/>
          </w:rPr>
          <w:t>*4.7</w:t>
        </w:r>
      </w:hyperlink>
      <w:r>
        <w:rPr>
          <w:rFonts w:ascii="Times New Roman;sans-serif" w:hAnsi="Times New Roman;sans-serif"/>
          <w:b w:val="false"/>
          <w:color w:val="000000"/>
          <w:sz w:val="20"/>
        </w:rPr>
        <w:t>    </w:t>
      </w:r>
      <w:hyperlink r:id="rId34">
        <w:r>
          <w:rPr>
            <w:rStyle w:val="InternetLink"/>
          </w:rPr>
          <w:t>Specimen 6.125% Series F Fixed-to-Floating Rate Cumulative Redeemable Preferred Stock Certificate, incorporated herein by reference to Exhibit 4.1 of Form 8-A (File No 001-34057), filed February 11, 2020.</w:t>
        </w:r>
      </w:hyperlink>
    </w:p>
    <w:p>
      <w:pPr>
        <w:pStyle w:val="TextBody"/>
        <w:bidi w:val="0"/>
        <w:spacing w:lineRule="auto" w:line="288" w:before="180" w:after="283"/>
        <w:ind w:left="0" w:right="0" w:hanging="1440"/>
        <w:jc w:val="both"/>
        <w:rPr/>
      </w:pPr>
      <w:hyperlink r:id="rId35">
        <w:r>
          <w:rPr>
            <w:rStyle w:val="InternetLink"/>
          </w:rPr>
          <w:t>*4.8</w:t>
        </w:r>
      </w:hyperlink>
      <w:r>
        <w:rPr>
          <w:rFonts w:ascii="Times New Roman;sans-serif" w:hAnsi="Times New Roman;sans-serif"/>
          <w:b w:val="false"/>
          <w:color w:val="000000"/>
          <w:sz w:val="20"/>
        </w:rPr>
        <w:t>    </w:t>
      </w:r>
      <w:hyperlink r:id="rId36">
        <w:r>
          <w:rPr>
            <w:rStyle w:val="InternetLink"/>
          </w:rPr>
          <w:t>Specimen 7.75% Series G Fixed-Rate Reset Cumulative Redeemable Preferred Stock Certificate, incorporated herein by reference to Exhibit 4.1 of Form 8-A (File No 001-34057), filed September 14, 2022.</w:t>
        </w:r>
      </w:hyperlink>
    </w:p>
    <w:p>
      <w:pPr>
        <w:pStyle w:val="TextBody"/>
        <w:bidi w:val="0"/>
        <w:spacing w:lineRule="auto" w:line="288" w:before="180" w:after="283"/>
        <w:ind w:left="0" w:right="0" w:hanging="1440"/>
        <w:jc w:val="both"/>
        <w:rPr/>
      </w:pPr>
      <w:hyperlink r:id="rId37">
        <w:r>
          <w:rPr>
            <w:rStyle w:val="InternetLink"/>
          </w:rPr>
          <w:t>*4.9</w:t>
        </w:r>
      </w:hyperlink>
      <w:r>
        <w:rPr>
          <w:rFonts w:ascii="Times New Roman;sans-serif" w:hAnsi="Times New Roman;sans-serif"/>
          <w:b w:val="false"/>
          <w:color w:val="000000"/>
          <w:sz w:val="20"/>
        </w:rPr>
        <w:t>    </w:t>
      </w:r>
      <w:hyperlink r:id="rId38">
        <w:r>
          <w:rPr>
            <w:rStyle w:val="InternetLink"/>
          </w:rPr>
          <w:t>Deposit Agreement relating to 7.00% Series C Fixed-to-Floating Rate Cumulative Redeemable Preferred Stock, dated August 22, 2017, among AGNC Investment Corp., Computershare Inc. and Computershare Trust Company, N.A., jointly as depositary, incorporated herein by reference to Exhibit 4.2 of Form 8-K (File No. 001-34057) filed August 22, 2017.</w:t>
        </w:r>
      </w:hyperlink>
      <w:r>
        <w:rPr>
          <w:rFonts w:ascii="Times New Roman;sans-serif" w:hAnsi="Times New Roman;sans-serif"/>
          <w:b w:val="false"/>
          <w:color w:val="000000"/>
          <w:sz w:val="20"/>
        </w:rPr>
        <w:t xml:space="preserve"> </w:t>
      </w:r>
    </w:p>
    <w:p>
      <w:pPr>
        <w:pStyle w:val="TextBody"/>
        <w:bidi w:val="0"/>
        <w:spacing w:lineRule="auto" w:line="288" w:before="180" w:after="283"/>
        <w:ind w:left="0" w:right="0" w:hanging="1440"/>
        <w:jc w:val="both"/>
        <w:rPr/>
      </w:pPr>
      <w:hyperlink r:id="rId39">
        <w:r>
          <w:rPr>
            <w:rStyle w:val="InternetLink"/>
          </w:rPr>
          <w:t>*4.10</w:t>
        </w:r>
      </w:hyperlink>
      <w:r>
        <w:rPr>
          <w:rFonts w:ascii="Times New Roman;sans-serif" w:hAnsi="Times New Roman;sans-serif"/>
          <w:b w:val="false"/>
          <w:color w:val="000000"/>
          <w:sz w:val="20"/>
        </w:rPr>
        <w:t>    </w:t>
      </w:r>
      <w:hyperlink r:id="rId40">
        <w:r>
          <w:rPr>
            <w:rStyle w:val="InternetLink"/>
          </w:rPr>
          <w:t>Form of Depositary Receipt representing 1/1,000th of a share of 7.00% Series C Fixed-to-Floating Rate Cumulative Redeemable Preferred Stock (included as part of Exhibit 4.9), incorporated herein by reference to Exhibit A of Exhibit 4.2 of Form 8-K (File No. 001-34057) filed August 22, 2017.</w:t>
        </w:r>
      </w:hyperlink>
    </w:p>
    <w:p>
      <w:pPr>
        <w:pStyle w:val="TextBody"/>
        <w:bidi w:val="0"/>
        <w:spacing w:lineRule="auto" w:line="288" w:before="180" w:after="283"/>
        <w:ind w:left="0" w:right="0" w:hanging="1440"/>
        <w:jc w:val="both"/>
        <w:rPr/>
      </w:pPr>
      <w:hyperlink r:id="rId41">
        <w:r>
          <w:rPr>
            <w:rStyle w:val="InternetLink"/>
          </w:rPr>
          <w:t>*4.11</w:t>
        </w:r>
      </w:hyperlink>
      <w:r>
        <w:rPr>
          <w:rFonts w:ascii="Times New Roman;sans-serif" w:hAnsi="Times New Roman;sans-serif"/>
          <w:b w:val="false"/>
          <w:color w:val="000000"/>
          <w:sz w:val="20"/>
        </w:rPr>
        <w:t>    </w:t>
      </w:r>
      <w:hyperlink r:id="rId42">
        <w:r>
          <w:rPr>
            <w:rStyle w:val="InternetLink"/>
          </w:rPr>
          <w:t xml:space="preserve">Deposit Agreement relating to 6.875% Series D Fixed-to-Floating Rate Cumulative Redeemable Preferred Stock, dated March 6, 2019, among AGNC Investment Corp., Computershare Inc. and Computershare Trust Company, N.A., jointly as depositary, incorporated herein by reference to Exhibit 4.2 of Form 8-K (File No. 001-34057) filed March 6, 2019. </w:t>
        </w:r>
      </w:hyperlink>
    </w:p>
    <w:p>
      <w:pPr>
        <w:pStyle w:val="TextBody"/>
        <w:bidi w:val="0"/>
        <w:spacing w:lineRule="auto" w:line="288" w:before="180" w:after="283"/>
        <w:ind w:left="0" w:right="0" w:hanging="1440"/>
        <w:jc w:val="both"/>
        <w:rPr/>
      </w:pPr>
      <w:hyperlink r:id="rId43">
        <w:r>
          <w:rPr>
            <w:rStyle w:val="InternetLink"/>
          </w:rPr>
          <w:t>*4.12</w:t>
        </w:r>
      </w:hyperlink>
      <w:r>
        <w:rPr>
          <w:rFonts w:ascii="Times New Roman;sans-serif" w:hAnsi="Times New Roman;sans-serif"/>
          <w:b w:val="false"/>
          <w:color w:val="000000"/>
          <w:sz w:val="20"/>
        </w:rPr>
        <w:t>    </w:t>
      </w:r>
      <w:hyperlink r:id="rId44">
        <w:r>
          <w:rPr>
            <w:rStyle w:val="InternetLink"/>
          </w:rPr>
          <w:t>Form of Depositary Receipt representing 1/1,000th of a share of 6.875% Series D Fixed-to-Floating Rate Cumulative Redeemable Preferred Stock (included as part of Exhibit 4.11), incorporated herein by reference to Exhibit A of Exhibit 4.2 of Form 8-K (File No. 001-34057) filed March 6, 2019</w:t>
        </w:r>
      </w:hyperlink>
      <w:r>
        <w:rPr>
          <w:rFonts w:ascii="Times New Roman;sans-serif" w:hAnsi="Times New Roman;sans-serif"/>
          <w:b w:val="false"/>
          <w:color w:val="000000"/>
          <w:sz w:val="20"/>
        </w:rPr>
        <w:t>.</w:t>
      </w:r>
    </w:p>
    <w:p>
      <w:pPr>
        <w:pStyle w:val="TextBody"/>
        <w:bidi w:val="0"/>
        <w:spacing w:lineRule="auto" w:line="288" w:before="180" w:after="283"/>
        <w:ind w:left="0" w:right="0" w:hanging="1440"/>
        <w:jc w:val="left"/>
        <w:rPr/>
      </w:pPr>
      <w:hyperlink r:id="rId45">
        <w:r>
          <w:rPr>
            <w:rStyle w:val="InternetLink"/>
          </w:rPr>
          <w:t>*4.13</w:t>
        </w:r>
      </w:hyperlink>
      <w:r>
        <w:rPr>
          <w:rFonts w:ascii="Times New Roman;sans-serif" w:hAnsi="Times New Roman;sans-serif"/>
          <w:b w:val="false"/>
          <w:color w:val="000000"/>
          <w:sz w:val="20"/>
        </w:rPr>
        <w:t>    </w:t>
      </w:r>
      <w:hyperlink r:id="rId46">
        <w:r>
          <w:rPr>
            <w:rStyle w:val="InternetLink"/>
          </w:rPr>
          <w:t>Deposit Agreement relating to 6.50% Series E Fixed-to-Floating Rate Cumulative Redeemable Preferred Stock, dated October 3, 2019, among AGNC Investment Corp., Computershare Inc. and Computershare Trust Company, N.A., jointly as depositary, incorporated herein by reference to Exhibit 4.2 of Form 8-K (File No. 001-34057) filed October 3, 2019.</w:t>
        </w:r>
      </w:hyperlink>
    </w:p>
    <w:p>
      <w:pPr>
        <w:pStyle w:val="TextBody"/>
        <w:bidi w:val="0"/>
        <w:spacing w:lineRule="auto" w:line="288" w:before="180" w:after="283"/>
        <w:ind w:left="0" w:right="0" w:hanging="1440"/>
        <w:jc w:val="left"/>
        <w:rPr/>
      </w:pPr>
      <w:hyperlink r:id="rId47">
        <w:r>
          <w:rPr>
            <w:rStyle w:val="InternetLink"/>
          </w:rPr>
          <w:t>*4.14</w:t>
        </w:r>
      </w:hyperlink>
      <w:r>
        <w:rPr>
          <w:rFonts w:ascii="Times New Roman;sans-serif" w:hAnsi="Times New Roman;sans-serif"/>
          <w:b w:val="false"/>
          <w:color w:val="000000"/>
          <w:sz w:val="20"/>
        </w:rPr>
        <w:t>    </w:t>
      </w:r>
      <w:hyperlink r:id="rId48">
        <w:r>
          <w:rPr>
            <w:rStyle w:val="InternetLink"/>
          </w:rPr>
          <w:t>Form of Depositary Receipt representing 1/1,000th of a share of 6.50% Series E Fixed-to-Floating Rate Cumulative Redeemable Preferred Stock (included as part of Exhibit 4.13), incorporated herein by reference to Exhibit A of Exhibit 4.2 of Form 8-K (File No. 001-34057) filed October 3, 2019</w:t>
        </w:r>
      </w:hyperlink>
      <w:r>
        <w:rPr>
          <w:rFonts w:ascii="Times New Roman;sans-serif" w:hAnsi="Times New Roman;sans-serif"/>
          <w:b w:val="false"/>
          <w:color w:val="000000"/>
          <w:sz w:val="20"/>
        </w:rPr>
        <w:t>.</w:t>
      </w:r>
    </w:p>
    <w:p>
      <w:pPr>
        <w:pStyle w:val="TextBody"/>
        <w:bidi w:val="0"/>
        <w:spacing w:lineRule="auto" w:line="288" w:before="180" w:after="283"/>
        <w:ind w:left="0" w:right="0" w:hanging="1440"/>
        <w:jc w:val="left"/>
        <w:rPr/>
      </w:pPr>
      <w:hyperlink r:id="rId49">
        <w:r>
          <w:rPr>
            <w:rStyle w:val="InternetLink"/>
          </w:rPr>
          <w:t>*4.15</w:t>
        </w:r>
      </w:hyperlink>
      <w:r>
        <w:rPr>
          <w:rFonts w:ascii="Times New Roman;sans-serif" w:hAnsi="Times New Roman;sans-serif"/>
          <w:b w:val="false"/>
          <w:color w:val="000000"/>
          <w:sz w:val="20"/>
        </w:rPr>
        <w:t>    </w:t>
      </w:r>
      <w:hyperlink r:id="rId50">
        <w:r>
          <w:rPr>
            <w:rStyle w:val="InternetLink"/>
          </w:rPr>
          <w:t>Deposit Agreement relating to 6.125% Series F Fixed-to-Floating Rate Cumulative Redeemable Preferred Stock, dated February 11, 2020, among AGNC Investment Corp., Computershare Inc. and Computershare Trust Company, N.A., jointly as depositary, incorporated herein by reference to Exhibit 4.1 of Form 8-K (File No. 001-34057) filed February 11, 2020.</w:t>
        </w:r>
      </w:hyperlink>
    </w:p>
    <w:p>
      <w:pPr>
        <w:pStyle w:val="TextBody"/>
        <w:bidi w:val="0"/>
        <w:spacing w:lineRule="auto" w:line="288" w:before="180" w:after="283"/>
        <w:ind w:left="0" w:right="0" w:hanging="1440"/>
        <w:jc w:val="left"/>
        <w:rPr/>
      </w:pPr>
      <w:hyperlink r:id="rId51">
        <w:r>
          <w:rPr>
            <w:rStyle w:val="InternetLink"/>
          </w:rPr>
          <w:t>*4.16</w:t>
        </w:r>
      </w:hyperlink>
      <w:r>
        <w:rPr>
          <w:rFonts w:ascii="Times New Roman;sans-serif" w:hAnsi="Times New Roman;sans-serif"/>
          <w:b w:val="false"/>
          <w:color w:val="000000"/>
          <w:sz w:val="20"/>
        </w:rPr>
        <w:t>    </w:t>
      </w:r>
      <w:hyperlink r:id="rId52">
        <w:r>
          <w:rPr>
            <w:rStyle w:val="InternetLink"/>
          </w:rPr>
          <w:t>Form of Depositary Receipt representing 1/1,000th of a share of 6.125% Series F Fixed-to-Floating Rate Cumulative Redeemable Preferred Stock (included as part of Exhibit 4.15), incorporated herein by reference to Exhibit A of Exhibit 4.1 of Form 8-K (File No. 001-34057) filed February 11, 2020.</w:t>
        </w:r>
      </w:hyperlink>
    </w:p>
    <w:p>
      <w:pPr>
        <w:pStyle w:val="TextBody"/>
        <w:bidi w:val="0"/>
        <w:spacing w:lineRule="auto" w:line="288" w:before="180" w:after="283"/>
        <w:ind w:left="0" w:right="0" w:hanging="1440"/>
        <w:jc w:val="left"/>
        <w:rPr/>
      </w:pPr>
      <w:hyperlink r:id="rId53">
        <w:r>
          <w:rPr>
            <w:rStyle w:val="InternetLink"/>
          </w:rPr>
          <w:t>*4.17</w:t>
        </w:r>
      </w:hyperlink>
      <w:r>
        <w:rPr>
          <w:rFonts w:ascii="Times New Roman;sans-serif" w:hAnsi="Times New Roman;sans-serif"/>
          <w:b w:val="false"/>
          <w:color w:val="000000"/>
          <w:sz w:val="20"/>
        </w:rPr>
        <w:t>    </w:t>
      </w:r>
      <w:hyperlink r:id="rId54">
        <w:r>
          <w:rPr>
            <w:rStyle w:val="InternetLink"/>
          </w:rPr>
          <w:t xml:space="preserve">Deposit Agreement relating to 7.75% Series G Fixed-Rate Reset Cumulative Redeemable Preferred Stock, dated September 14, 2022, among AGNC Investment Corp., Computershare Inc. and Computershare Trust </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hyperlink r:id="rId55">
        <w:r>
          <w:rPr>
            <w:rStyle w:val="InternetLink"/>
            <w:rFonts w:ascii="Times New Roman;sans-serif" w:hAnsi="Times New Roman;sans-serif"/>
            <w:b w:val="false"/>
            <w:color w:val="000000"/>
            <w:sz w:val="20"/>
          </w:rPr>
          <w:t>Company, N.A., jointly as depositary, incorporated herein by reference to Exhibit 4.2 of Form 8-K (File No. 001-34057) filed September 14, 2022.</w:t>
        </w:r>
      </w:hyperlink>
    </w:p>
    <w:p>
      <w:pPr>
        <w:pStyle w:val="TextBody"/>
        <w:bidi w:val="0"/>
        <w:spacing w:lineRule="auto" w:line="288" w:before="180" w:after="283"/>
        <w:ind w:left="0" w:right="0" w:hanging="1440"/>
        <w:jc w:val="left"/>
        <w:rPr/>
      </w:pPr>
      <w:hyperlink r:id="rId56">
        <w:r>
          <w:rPr>
            <w:rStyle w:val="InternetLink"/>
          </w:rPr>
          <w:t>*4.18</w:t>
        </w:r>
      </w:hyperlink>
      <w:r>
        <w:rPr>
          <w:rFonts w:ascii="Times New Roman;sans-serif" w:hAnsi="Times New Roman;sans-serif"/>
          <w:b w:val="false"/>
          <w:color w:val="000000"/>
          <w:sz w:val="20"/>
        </w:rPr>
        <w:t>    </w:t>
      </w:r>
      <w:hyperlink r:id="rId57">
        <w:r>
          <w:rPr>
            <w:rStyle w:val="InternetLink"/>
          </w:rPr>
          <w:t>Form of Depositary Receipt representing 1/1,000th of a share of 7.75% Series G Fixed-Rate Reset Cumulative Redeemable Preferred Stock (included as part of Exhibit 4.17), incorporated herein by reference to Exhibit A of Exhibit 4.2 of Form 8-K (File No. 001-34057) filed September 14, 2022.</w:t>
        </w:r>
      </w:hyperlink>
    </w:p>
    <w:p>
      <w:pPr>
        <w:pStyle w:val="TextBody"/>
        <w:bidi w:val="0"/>
        <w:spacing w:lineRule="auto" w:line="288" w:before="180" w:after="283"/>
        <w:ind w:left="0" w:right="0" w:hanging="1440"/>
        <w:jc w:val="left"/>
        <w:rPr/>
      </w:pPr>
      <w:hyperlink w:anchor="agncexhibit146302310-q.htm">
        <w:r>
          <w:rPr>
            <w:rStyle w:val="InternetLink"/>
          </w:rPr>
          <w:t>14</w:t>
        </w:r>
      </w:hyperlink>
      <w:r>
        <w:rPr>
          <w:rFonts w:ascii="Times New Roman;sans-serif" w:hAnsi="Times New Roman;sans-serif"/>
          <w:b w:val="false"/>
          <w:color w:val="000000"/>
          <w:sz w:val="20"/>
        </w:rPr>
        <w:t>    </w:t>
      </w:r>
      <w:hyperlink w:anchor="agncexhibit146302310-q.htm">
        <w:r>
          <w:rPr>
            <w:rStyle w:val="InternetLink"/>
          </w:rPr>
          <w:t>AGNC Investment Corp. Code of Ethics and Conduct, adopted July 20, 2023, filed herewith.</w:t>
        </w:r>
      </w:hyperlink>
    </w:p>
    <w:p>
      <w:pPr>
        <w:pStyle w:val="TextBody"/>
        <w:bidi w:val="0"/>
        <w:spacing w:lineRule="auto" w:line="288" w:before="180" w:after="283"/>
        <w:ind w:left="0" w:right="0" w:hanging="1440"/>
        <w:jc w:val="both"/>
        <w:rPr/>
      </w:pPr>
      <w:hyperlink w:anchor="agncexhibit3116302310-q.htm">
        <w:r>
          <w:rPr>
            <w:rStyle w:val="InternetLink"/>
          </w:rPr>
          <w:t>31.1</w:t>
        </w:r>
      </w:hyperlink>
      <w:r>
        <w:rPr>
          <w:rFonts w:ascii="Times New Roman;sans-serif" w:hAnsi="Times New Roman;sans-serif"/>
          <w:b w:val="false"/>
          <w:color w:val="000000"/>
          <w:sz w:val="20"/>
        </w:rPr>
        <w:t>    </w:t>
      </w:r>
      <w:hyperlink w:anchor="agncexhibit3116302310-q.htm">
        <w:r>
          <w:rPr>
            <w:rStyle w:val="InternetLink"/>
          </w:rPr>
          <w:t>Certification of CEO Pursuant to Section 302(a) of the Sarbanes-Oxley Act of 2002.</w:t>
        </w:r>
      </w:hyperlink>
    </w:p>
    <w:p>
      <w:pPr>
        <w:pStyle w:val="TextBody"/>
        <w:bidi w:val="0"/>
        <w:spacing w:lineRule="auto" w:line="288" w:before="180" w:after="283"/>
        <w:ind w:left="0" w:right="0" w:hanging="1440"/>
        <w:jc w:val="both"/>
        <w:rPr/>
      </w:pPr>
      <w:hyperlink w:anchor="agncexhibit3126302310-q.htm">
        <w:r>
          <w:rPr>
            <w:rStyle w:val="InternetLink"/>
          </w:rPr>
          <w:t>31.2</w:t>
        </w:r>
      </w:hyperlink>
      <w:r>
        <w:rPr>
          <w:rFonts w:ascii="Times New Roman;sans-serif" w:hAnsi="Times New Roman;sans-serif"/>
          <w:b w:val="false"/>
          <w:color w:val="000000"/>
          <w:sz w:val="20"/>
        </w:rPr>
        <w:t>    </w:t>
      </w:r>
      <w:hyperlink w:anchor="agncexhibit3126302310-q.htm">
        <w:r>
          <w:rPr>
            <w:rStyle w:val="InternetLink"/>
          </w:rPr>
          <w:t>Certification of CFO Pursuant to Section 302(a) of the Sarbanes-Oxley Act of 2002.</w:t>
        </w:r>
      </w:hyperlink>
    </w:p>
    <w:p>
      <w:pPr>
        <w:pStyle w:val="TextBody"/>
        <w:bidi w:val="0"/>
        <w:spacing w:lineRule="auto" w:line="288" w:before="180" w:after="283"/>
        <w:ind w:left="0" w:right="0" w:hanging="1440"/>
        <w:jc w:val="both"/>
        <w:rPr/>
      </w:pPr>
      <w:hyperlink w:anchor="agncexhibit326302310-q.htm">
        <w:r>
          <w:rPr>
            <w:rStyle w:val="InternetLink"/>
          </w:rPr>
          <w:t>32</w:t>
        </w:r>
      </w:hyperlink>
      <w:r>
        <w:rPr>
          <w:rFonts w:ascii="Times New Roman;sans-serif" w:hAnsi="Times New Roman;sans-serif"/>
          <w:b w:val="false"/>
          <w:color w:val="000000"/>
          <w:sz w:val="20"/>
        </w:rPr>
        <w:t>    </w:t>
      </w:r>
      <w:hyperlink w:anchor="agncexhibit326302310-q.htm">
        <w:r>
          <w:rPr>
            <w:rStyle w:val="InternetLink"/>
          </w:rPr>
          <w:t>Certification of CEO and CFO Pursuant to Section 906 of the Sarbanes-Oxley Act of 2002.</w:t>
        </w:r>
      </w:hyperlink>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101.INS**    The instance document does not appear in the interactive data file because its XBRL tags are embedded within the inline XBRL document</w:t>
      </w:r>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101.SCH**    XBRL Taxonomy Extension Schema Document</w:t>
      </w:r>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101.CAL**    XBRL Taxonomy Extension Calculation Linkbase Document</w:t>
      </w:r>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101.LAB**    XBRL Taxonomy Extension Labels Linkbase Document</w:t>
      </w:r>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101.PRE**    XBRL Taxonomy Extension Presentation Linkbase Document</w:t>
      </w:r>
    </w:p>
    <w:p>
      <w:pPr>
        <w:pStyle w:val="TextBody"/>
        <w:bidi w:val="0"/>
        <w:spacing w:lineRule="auto" w:line="288" w:before="18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101.DEF**    XBRL Taxonomy Extension Definition Linkbase Document</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Previously filed</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This exhibit is being furnished rather than filed, and shall not be deemed incorporated by reference into any filing, in accordance with Item 601 of Regulation S-K</w:t>
      </w:r>
    </w:p>
    <w:p>
      <w:pPr>
        <w:pStyle w:val="TextBody"/>
        <w:bidi w:val="0"/>
        <w:spacing w:before="0" w:after="0"/>
        <w:ind w:left="0" w:right="0" w:hanging="720"/>
        <w:jc w:val="left"/>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Exhibits </w:t>
      </w:r>
    </w:p>
    <w:p>
      <w:pPr>
        <w:pStyle w:val="TextBody"/>
        <w:bidi w:val="0"/>
        <w:spacing w:lineRule="auto" w:line="288" w:before="0" w:after="0"/>
        <w:ind w:left="0" w:right="0" w:hanging="450"/>
        <w:jc w:val="both"/>
        <w:rPr>
          <w:color w:val="000000"/>
        </w:rPr>
      </w:pPr>
      <w:r>
        <w:rPr>
          <w:color w:val="000000"/>
        </w:rPr>
        <w:t>        </w:t>
      </w:r>
      <w:r>
        <w:rPr>
          <w:rFonts w:ascii="Times New Roman;sans-serif" w:hAnsi="Times New Roman;sans-serif"/>
          <w:b w:val="false"/>
          <w:color w:val="000000"/>
          <w:sz w:val="20"/>
        </w:rPr>
        <w:t xml:space="preserve">See the exhibits filed herewith. </w:t>
      </w:r>
    </w:p>
    <w:p>
      <w:pPr>
        <w:pStyle w:val="TextBody"/>
        <w:bidi w:val="0"/>
        <w:spacing w:lineRule="auto" w:line="288" w:before="0" w:after="0"/>
        <w:ind w:left="0" w:right="0" w:hanging="45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Additional financial statement schedules </w:t>
      </w:r>
    </w:p>
    <w:p>
      <w:pPr>
        <w:pStyle w:val="TextBody"/>
        <w:bidi w:val="0"/>
        <w:spacing w:lineRule="auto" w:line="288" w:before="0" w:after="0"/>
        <w:ind w:left="0" w:right="0" w:hanging="450"/>
        <w:jc w:val="both"/>
        <w:rPr>
          <w:color w:val="000000"/>
        </w:rPr>
      </w:pPr>
      <w:r>
        <w:rPr>
          <w:color w:val="000000"/>
        </w:rPr>
        <w:t>     </w:t>
      </w: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Company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736"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367"/>
        <w:gridCol w:w="367"/>
        <w:gridCol w:w="367"/>
        <w:gridCol w:w="1858"/>
        <w:gridCol w:w="1858"/>
        <w:gridCol w:w="268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AGNC I</w:t>
            </w:r>
            <w:r>
              <w:rPr>
                <w:rFonts w:ascii="Times New Roman;sans-serif" w:hAnsi="Times New Roman;sans-serif"/>
                <w:b w:val="false"/>
                <w:color w:val="000000"/>
                <w:sz w:val="16"/>
              </w:rPr>
              <w:t>NVESTMENT</w:t>
            </w:r>
            <w:r>
              <w:rPr>
                <w:color w:val="000000"/>
              </w:rPr>
              <w:t xml:space="preserve"> </w:t>
            </w:r>
            <w:r>
              <w:rPr>
                <w:rFonts w:ascii="Times New Roman;sans-serif" w:hAnsi="Times New Roman;sans-serif"/>
                <w:b w:val="false"/>
                <w:color w:val="000000"/>
                <w:sz w:val="20"/>
              </w:rPr>
              <w:t>C</w:t>
            </w:r>
            <w:r>
              <w:rPr>
                <w:rFonts w:ascii="Times New Roman;sans-serif" w:hAnsi="Times New Roman;sans-serif"/>
                <w:b w:val="false"/>
                <w:color w:val="000000"/>
                <w:sz w:val="16"/>
              </w:rPr>
              <w:t>ORP</w:t>
            </w:r>
            <w:r>
              <w:rPr>
                <w:rFonts w:ascii="Times New Roman;sans-serif" w:hAnsi="Times New Roman;sans-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P</w:t>
            </w:r>
            <w:r>
              <w:rPr>
                <w:rFonts w:ascii="Times New Roman;sans-serif" w:hAnsi="Times New Roman;sans-serif"/>
                <w:b w:val="false"/>
                <w:color w:val="000000"/>
                <w:sz w:val="16"/>
              </w:rPr>
              <w:t>ETER</w:t>
            </w:r>
            <w:r>
              <w:rPr>
                <w:color w:val="000000"/>
              </w:rPr>
              <w:t xml:space="preserve"> </w:t>
            </w:r>
            <w:r>
              <w:rPr>
                <w:rFonts w:ascii="Times New Roman;sans-serif" w:hAnsi="Times New Roman;sans-serif"/>
                <w:b w:val="false"/>
                <w:color w:val="000000"/>
                <w:sz w:val="20"/>
              </w:rPr>
              <w:t>J. F</w:t>
            </w:r>
            <w:r>
              <w:rPr>
                <w:rFonts w:ascii="Times New Roman;sans-serif" w:hAnsi="Times New Roman;sans-serif"/>
                <w:b w:val="false"/>
                <w:color w:val="000000"/>
                <w:sz w:val="16"/>
              </w:rPr>
              <w:t>EDERICO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Peter J. Federico</w:t>
              <w:br/>
              <w:t>President and</w:t>
              <w:br/>
              <w:t>Chief Executive Officer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B</w:t>
            </w:r>
            <w:r>
              <w:rPr>
                <w:rFonts w:ascii="Times New Roman;sans-serif" w:hAnsi="Times New Roman;sans-serif"/>
                <w:b w:val="false"/>
                <w:color w:val="000000"/>
                <w:sz w:val="16"/>
              </w:rPr>
              <w:t>ERNICE</w:t>
            </w:r>
            <w:r>
              <w:rPr>
                <w:color w:val="000000"/>
              </w:rPr>
              <w:t xml:space="preserve"> </w:t>
            </w:r>
            <w:r>
              <w:rPr>
                <w:rFonts w:ascii="Times New Roman;sans-serif" w:hAnsi="Times New Roman;sans-serif"/>
                <w:b w:val="false"/>
                <w:color w:val="000000"/>
                <w:sz w:val="20"/>
              </w:rPr>
              <w:t>E. B</w:t>
            </w:r>
            <w:r>
              <w:rPr>
                <w:rFonts w:ascii="Times New Roman;sans-serif" w:hAnsi="Times New Roman;sans-serif"/>
                <w:b w:val="false"/>
                <w:color w:val="000000"/>
                <w:sz w:val="16"/>
              </w:rPr>
              <w:t>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Bernice E. Bell</w:t>
              <w:br/>
              <w:t xml:space="preserve">Executive Vice President and </w:t>
              <w:br/>
              <w:t>Chief Financial Officer (Principal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14</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9.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AGNC INVESTMENT CORP. CODE OF ETHICS AND CONDUCT</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Adopted: July 20, 2023</w:t>
      </w:r>
    </w:p>
    <w:p>
      <w:pPr>
        <w:pStyle w:val="TextBody"/>
        <w:bidi w:val="0"/>
        <w:spacing w:lineRule="auto" w:line="288" w:before="180" w:after="283"/>
        <w:jc w:val="left"/>
        <w:rPr/>
      </w:pPr>
      <w:r>
        <w:rPr>
          <w:rFonts w:ascii="Times New Roman;sans-serif" w:hAnsi="Times New Roman;sans-serif"/>
          <w:b/>
          <w:color w:val="000000"/>
          <w:sz w:val="24"/>
        </w:rPr>
        <w:t>A.</w:t>
      </w:r>
      <w:r>
        <w:rPr>
          <w:rFonts w:ascii="Times New Roman;sans-serif" w:hAnsi="Times New Roman;sans-serif"/>
          <w:b/>
          <w:color w:val="000000"/>
          <w:sz w:val="24"/>
        </w:rPr>
        <w:t>INTRODUCTION</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AGNC Investment Corp. (“AGNC”) has adopted this Code of Ethics and Conduct to communicate to all AGNC people the ethical and legal standards that we expect you to observe when dealing with AGNC, your AGNC colleagues, and others with whom we do business.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Throughout this Code, we use the terms “AGNC people,” “you” and “your” to refer to all of AGNC’s and its subsidiaries’ directors, executive officers, employees and independent contractors, and the terms “AGNC,” the “company,” “we” and “our” to refer to AGNC and its subsidiaries. We use the term “Code” to refer to this document, as it may be amended from time to time.</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expect all AGNC people to act ethically and obey the law. When you encounter ethical or legal issues where you are not certain about the correct course of action, you should use principles described in this Code as guideposts in deciding how to proceed. We have adopted this Code to give you guidance for resolving these ethical and legal issues. In particular, this Code addresses the following general topics:</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Observing all laws and regulations</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Avoiding conflicts of interest</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Maintaining accurate and complete company records</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Protecting confidential information</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Because rapid changes in our industry and in the law constantly present new issues, we cannot create guidelines that address all circumstances or constitute the definitive answer on any question. When you are in doubt about the correct or best course of action, or have questions about the Code, you should always consider consulting your supervisor, the Chief Compliance Officer of the company (the “Chief Compliance Officer”) or the Legal team for guidance. </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firmly believe that a strong commitment to ethical and legal conduct is essential for us successfully to achieve our purpose and vision. We therefore require all AGNC people to comply with this Code. To help ensure this compliance, we have established a procedure for reporting suspected violations of this Code. Any violations of this Code may result in disciplinary action, including termination of employment or contract, as applicable. These matters are described in more detail at the end of this Code.</w:t>
      </w:r>
    </w:p>
    <w:p>
      <w:pPr>
        <w:pStyle w:val="TextBody"/>
        <w:bidi w:val="0"/>
        <w:spacing w:lineRule="auto" w:line="288" w:before="18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B.OBSERVING ALL LAWS, RULES AND REGULATIONS</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1.GENERALLY</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expect you to comply with all applicable local, state and federal laws, rules and regulations, both domestic and international, and refrain from illegal, dishonest or unethical conduct. Although laws, rules and regulations may sometimes be ambiguous and difficult to interpret, we expect you to make a good-faith effort to follow both the letter and the spirit of the law.</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we expect you to comply with all AGNC policies and procedures that apply to you. These include, but are not limited to, our policies on securities trading, political contributions, equal opportunity, harassment, drug-free workplace, computer usage and information technology, data protection and expense reimbursement and travel, as well as our internal financial controls and procedures. We may modify or update these policies and procedures in the future and adopt new company policies and procedures from time to time. You are also expected to observe the terms of any confidentiality agreement, employment agreement, consulting agreement or other similar agreement that applies to you. If you previously signed one of these agreements with AGNC, it remains in full force and effect.</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2.BRIBES AND KICKBACKS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Bribery is illegal and subject to criminal penalties in the United States and many other countries. Bribery is forbidden under the U.S. Foreign Corrupt Practices Act (the “FCPA”), which is described in more detail in Section B.3 of this Code, and other laws, rules and regulations. You may not give any bribes, kickbacks or other similar considerations to any person or organization to attract business. All decisions regarding the investing of our assets or the purchasing of goods and services must be made on the basis of applicable investment or acquisition criteria, and in a way that preserves AGNC’s integrity.</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Fees, commissions or other amounts paid to outside consultants, agents or other third parties must be fully disclosed in our investment process or otherwise to our Chief Compliance Officer and must be legal, proper and reasonable in relation to customary commercial practice. Payments to these persons should never be used to accomplish indirectly what AGNC could not properly or legally do directly.</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should also be familiar with, and observe, the provisions of Section C.3 of this Code relating to Gifts, Gratuities and Entertainment, because the giving or receiving of such items could constitute an illegal bribe or kickback under certain circumstances.</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3.POLITICAL ACTIVITY</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do not make contributions or payments that could be considered a contribution to political parties or candidates or to intermediary organizations such as political action committees. However, you are free to exercise your right to make personal political contributions within legal limits, except to the extent these contributions are otherwise prohibited or restricted by other AGNC policies.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should not make these contributions in a way that might appear to be an endorsement or contribution by AGNC. You should be certain that you understand, and are complying with, all such laws, rules and regulations before making any political contributions. We will not reimburse you for political contributions in any way. </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4.ANTITRUST</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Antitrust laws generally prohibit agreements or actions that restrain trade or reduce competition. The free enterprise system rests on the notion that free and open competition is the best way to ensure an adequate supply of products and services at reasonable prices. We expect you to adhere to both the spirit and the letter of the antitrust laws of the United States and with all applicable antitrust laws governing competition in any country in which AGNC does business. Violation of antitrust laws can result in severe civil and criminal penalties, including imprisonment for individuals, and AGNC can be subjected to substantial fines and damage awards.</w:t>
      </w:r>
    </w:p>
    <w:p>
      <w:pPr>
        <w:pStyle w:val="TextBody"/>
        <w:bidi w:val="0"/>
        <w:spacing w:lineRule="auto" w:line="288" w:before="180" w:after="283"/>
        <w:ind w:left="0" w:right="0" w:hanging="360"/>
        <w:jc w:val="left"/>
        <w:rPr/>
      </w:pPr>
      <w:r>
        <w:rPr>
          <w:rFonts w:ascii="Times New Roman;sans-serif" w:hAnsi="Times New Roman;sans-serif"/>
          <w:b/>
          <w:color w:val="000000"/>
          <w:sz w:val="20"/>
        </w:rPr>
        <w:t>a.</w:t>
      </w:r>
      <w:r>
        <w:rPr>
          <w:rFonts w:ascii="Times New Roman;sans-serif" w:hAnsi="Times New Roman;sans-serif"/>
          <w:b/>
          <w:color w:val="000000"/>
          <w:sz w:val="24"/>
        </w:rPr>
        <w:t>Agreements with Competitors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agreements, arrangements or understandings between AGNC and its competitors (whether oral or in writing) should be avoided:</w:t>
      </w:r>
    </w:p>
    <w:p>
      <w:pPr>
        <w:pStyle w:val="TextBody"/>
        <w:bidi w:val="0"/>
        <w:spacing w:lineRule="auto" w:line="288" w:before="180" w:after="283"/>
        <w:ind w:left="0" w:right="0" w:hanging="270"/>
        <w:jc w:val="left"/>
        <w:rPr/>
      </w:pPr>
      <w:r>
        <w:rPr>
          <w:color w:val="000000"/>
        </w:rPr>
        <w:t>•</w:t>
      </w:r>
      <w:r>
        <w:rPr>
          <w:rFonts w:ascii="Times New Roman;sans-serif" w:hAnsi="Times New Roman;sans-serif"/>
          <w:b w:val="false"/>
          <w:color w:val="000000"/>
          <w:sz w:val="24"/>
        </w:rPr>
        <w:t>Agreements that affect the price or other terms or conditions of sale of products or the terms on which we invest;</w:t>
      </w:r>
    </w:p>
    <w:p>
      <w:pPr>
        <w:pStyle w:val="TextBody"/>
        <w:bidi w:val="0"/>
        <w:spacing w:lineRule="auto" w:line="288" w:before="180" w:after="283"/>
        <w:ind w:left="0" w:right="0" w:hanging="270"/>
        <w:jc w:val="left"/>
        <w:rPr/>
      </w:pPr>
      <w:r>
        <w:rPr>
          <w:color w:val="000000"/>
        </w:rPr>
        <w:t>•</w:t>
      </w:r>
      <w:r>
        <w:rPr>
          <w:rFonts w:ascii="Times New Roman;sans-serif" w:hAnsi="Times New Roman;sans-serif"/>
          <w:b w:val="false"/>
          <w:color w:val="000000"/>
          <w:sz w:val="24"/>
        </w:rPr>
        <w:t>Agreements regarding the companies in which AGNC or its managed companies will, or will not, invest or sell or provide services;</w:t>
      </w:r>
    </w:p>
    <w:p>
      <w:pPr>
        <w:pStyle w:val="TextBody"/>
        <w:bidi w:val="0"/>
        <w:spacing w:lineRule="auto" w:line="288" w:before="180" w:after="283"/>
        <w:ind w:left="0" w:right="0" w:hanging="270"/>
        <w:jc w:val="left"/>
        <w:rPr/>
      </w:pPr>
      <w:r>
        <w:rPr>
          <w:color w:val="000000"/>
        </w:rPr>
        <w:t>•</w:t>
      </w:r>
      <w:r>
        <w:rPr>
          <w:rFonts w:ascii="Times New Roman;sans-serif" w:hAnsi="Times New Roman;sans-serif"/>
          <w:b w:val="false"/>
          <w:color w:val="000000"/>
          <w:sz w:val="24"/>
        </w:rPr>
        <w:t>Agreements to refuse to invest in or sell to particular businesses or to refuse to buy from particular businesses; and</w:t>
      </w:r>
    </w:p>
    <w:p>
      <w:pPr>
        <w:pStyle w:val="TextBody"/>
        <w:bidi w:val="0"/>
        <w:spacing w:lineRule="auto" w:line="288" w:before="180" w:after="283"/>
        <w:ind w:left="0" w:right="0" w:hanging="270"/>
        <w:jc w:val="left"/>
        <w:rPr/>
      </w:pPr>
      <w:r>
        <w:rPr>
          <w:color w:val="000000"/>
        </w:rPr>
        <w:t>•</w:t>
      </w:r>
      <w:r>
        <w:rPr>
          <w:rFonts w:ascii="Times New Roman;sans-serif" w:hAnsi="Times New Roman;sans-serif"/>
          <w:b w:val="false"/>
          <w:color w:val="000000"/>
          <w:sz w:val="24"/>
        </w:rPr>
        <w:t>Agreements that limit the types of investments that AGNC will make.</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Contacts with our competitors are sensitive and risky, because courts can infer an agreement or collusion from these contacts when they are followed by common action or behavior. We recognize that we may need to work with our competitors in the regular course of our business. In all contacts with our competitors, you are expected to avoid discussing prices, costs, competition, division of markets, marketing plans or studies, or any other proprietary or confidential information.</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any competitor initiates a discussion with you involving the subjects above, you should immediately excuse yourself from the conversation and report the matter to the Chief Compliance Officer or a member of the Legal team.</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5.SECURITIES LAWS AND INSIDER TRADING</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U.S. federal securities laws are built on the premise that a purchaser and a seller of securities should have equal access to important information regarding the company whose securities they are trading. Consequently, federal securities laws forbid an investor from purchasing or selling securities based upon inside information not available to the other party.</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consequences of insider trading violations can be severe. AGNC people who trade on inside information, or who communicate (or tip) this information to others so that they may trade, may face a civil penalty of up to three times the profit gained (or loss avoided), a substantial criminal fine and a jail term of up to ten years. Additionally, if we or our senior officers do not take appropriate steps to prevent AGNC people from insider trading, we may also face severe legal consequences, including, among other things, substantial criminal penalties.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Accordingly, if you have material, nonpublic (i.e., inside) information about AGNC or another company, you should not buy or sell securities of AGNC or the other company (including derivative securities such as put and call options) until a reasonable time after the inside information has been publicly disclosed. You also should not disclose inside information to others outside AGNC until a reasonable time after the information has been publicly disclosed. In addition, it is never appropriate for you to advise others to buy or sell AGNC securities. </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AGNC has implemented the AGNC Investment Corp. Policy on Insider Trading to promote compliance with insider trading laws, rules and regulations and establish standards on trading of AGNC securities and the securities of other public companies as to which an AGNC Person may obtain material nonpublic information in the course of his or her services to AGNC. The Policy on Insider Trading is administered by the Chief Compliance Officer. AGNC people with questions regarding insider trading or the policy should contact the Legal Department.</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6.HARASSMENT AND DISCRIMINATION</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 are committed to providing a supportive work environment that is free from harassment and discrimination of any kind. To this end, AGNC has adopted an Anti-Harassment Policy and an Equal Employment Opportunity policy, copies of which are included in the Policy Booklet distributed to all AGNC employees. AGNC will not tolerate discrimination or harassment of employees or non-employees with whom we have a business, service or professional relationship. AGNC people are encouraged to report any acts of harassment or discrimination to the Chief Compliance Officer, the Chair of the Compensation and Corporate Governance Committee of the Board of Directors or to the hotline.</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7.HEALTH AND SAFETY</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We strive to provide AGNC people with a safe and healthy work environment. You have a responsibility for maintaining a safe and healthy workplace for all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other AGNC people by following safety and health rules and practices and reporting accidents, injuries and unsafe equipment, practices and conditions. </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Violence and threatening behavior are not permitted and will not be tolerated. If any AGNC person knows of actual or potential workplace violence or threatening behavior, he/she should immediately report such concerns to his or her manager, a member of the Human Resources or Legal Departments, the Chief Compliance Officer or the hotline. </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 AGNC people are expected to conduct AGNC business free from the influence of any substance that could impair job performance. This includes alcohol, illegal drugs, controlled substances and, in certain instances, prescription medication. The use, sale and/or distribution of illegal drugs in the workplace will not be tolerated at any time.</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8.INTERNATIONAL ISSUES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are expected to comply with the legal requirements and ethical standards of each country in which you conduct AGNC business, as well as with all U.S. laws applicable in other countries.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FCPA applies to business transactions both inside the United States and in other countries. Its requirements relate to accurate and complete financial books and records, transactions with foreign government officials and restrictions on the use of funds for unlawful or improper purposes. Because violation of the FCPA can bring severe penalties, including criminal fines for the company and individuals and jail terms, it is essential that you become familiar with the FCPA’s requirements if you are involved in investment transactions or other business in a foreign country. Other legal requirements may affect our international business or transactions. These include, but are not limited to, laws, rules and regulations prohibiting money laundering and transactions with specifically designated nationals subject to government sanctions, which are covered by our Anti-Money Laundering Policy. If you have any questions regarding legal requirements applicable to international business or transactions, please contact a member of our Legal team.</w:t>
      </w:r>
    </w:p>
    <w:p>
      <w:pPr>
        <w:pStyle w:val="TextBody"/>
        <w:bidi w:val="0"/>
        <w:spacing w:lineRule="auto" w:line="288" w:before="180" w:after="283"/>
        <w:jc w:val="left"/>
        <w:rPr/>
      </w:pPr>
      <w:r>
        <w:rPr>
          <w:rFonts w:ascii="Times New Roman;sans-serif" w:hAnsi="Times New Roman;sans-serif"/>
          <w:b/>
          <w:color w:val="000000"/>
          <w:sz w:val="24"/>
        </w:rPr>
        <w:t>C.</w:t>
      </w:r>
      <w:r>
        <w:rPr>
          <w:rFonts w:ascii="Times New Roman;sans-serif" w:hAnsi="Times New Roman;sans-serif"/>
          <w:b/>
          <w:color w:val="000000"/>
          <w:sz w:val="24"/>
        </w:rPr>
        <w:t>AVOIDING CONFLICTS OF INTEREST</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1.GENERALLY</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All AGNC people have a duty of loyalty to act in the best interests of the company. We expect you to avoid situations and relationships that involve actual or potential conflicts of interest. Generally, a conflict of interest arises whenever your personal interests diverge from your responsibilities to AGNC or from AGNC’s best interests. Put another way, a conflict of interest is created whenever an activity, association or relationship of yours might impair your independent exercise of judgment in AGNC’s best interest.</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Examples of situations that could be perceived as conflicts of interest and should be avoided include:</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Conducting AGNC’s business with a company owned, partially owned or controlled by you or a member of your family;</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Ownership of more than one percent of the stock of a company that competes or does business with AGNC (other than indirect ownership as a result of owning a widely-held mutual fund);</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Working as an employee or a consultant for a competitor, regulatory government entity, investment company or supplier of AGNC (other than as part of your AGNC employment);</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Doing any work for a third party that may adversely affect your performance or judgment on the job or diminish your ability to devote the necessary time and attention to your duties; and</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Appropriating or diverting to yourself or others any business opportunity or idea in which AGNC might have an interest.</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These situations (and others like them), where your loyalties to AGNC could be compromised, must be avoided. If you believe that you are involved in a potential conflict of interest, we expect you to discuss it with your supervisor or the Chief Compliance Officer. If a conflict is determined to exist, you must disengage from the conflict situation or terminate your employment.</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2.USE OF OUR ASSETS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are responsible for the proper use of AGNC’s physical resources and property, as well as its proprietary information.</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Our offices, equipment, supplies and other resources may not be used for activities that are not related to your employment with AGNC, except for any activities that have been approved in writing in advance by us, or for personal usage that is minor in amount and reasonable. If you are found to be engaging in, or attempting, theft of any AGNC property, including documents, equipment, intellectual property, personal property of other employees, cash or any other items of value, you may be subject to immediate termination of your employment or contract and possible criminal proceedings. We expect you to report any theft or attempted theft to your supervisor or the Chief Compliance Officer.</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Proprietary words, slogans, symbols, logos or other devices used to identify AGNC and its proprietary methods and services are important business tools and valuable assets, which require care in their use and treatment. You may not negotiate or enter into any agreement respecting AGNC’s trademarks, service marks or logos without first consulting a member of our Legal team. We also respect the intellectual property rights of others. Thus, using the trademark or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service mark of, or referencing for marketing purposes, another company (even one with whom AGNC has a business relationship), requires clearance or approval by our Legal team, to determine whether the use of that other company’s mark is proper. You should avoid the unauthorized use of copyrighted or patented materials of others and should ask a member of the Legal team if you have any questions regarding the permissibility of photocopying, excerpting, electronically copying or otherwise using copyrighted or patented materials. In addition, simply because material is available for copying (such as content or images downloaded from the internet) does not mean that it is automatically legal or permissible to copy or distribute.</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3.GIFTS, GRATUITIES AND ENTERTAINMENT</w:t>
      </w:r>
    </w:p>
    <w:p>
      <w:pPr>
        <w:pStyle w:val="TextBody"/>
        <w:bidi w:val="0"/>
        <w:spacing w:lineRule="auto" w:line="288" w:before="180" w:after="283"/>
        <w:jc w:val="left"/>
        <w:rPr/>
      </w:pPr>
      <w:r>
        <w:rPr>
          <w:rFonts w:ascii="Times New Roman;sans-serif" w:hAnsi="Times New Roman;sans-serif"/>
          <w:b/>
          <w:color w:val="000000"/>
          <w:sz w:val="20"/>
        </w:rPr>
        <w:t>a.</w:t>
      </w:r>
      <w:r>
        <w:rPr>
          <w:rFonts w:ascii="Times New Roman;sans-serif" w:hAnsi="Times New Roman;sans-serif"/>
          <w:b/>
          <w:color w:val="000000"/>
          <w:sz w:val="24"/>
        </w:rPr>
        <w:t>Giving</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may not offer money, gifts or other items or services of value to anyone with whom we do business or potentially would do business for the purpose of securing an investment opportunity or contract or obtaining favorable treatment. Business-connected favors or gifts may not be extended unless they:</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Are consistent with customary business practices;</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Do not have substantial monetary value and would not be viewed as improper by others; and</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Do not violate applicable laws, rules or regulations.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Business entertainment in the form of meals and beverages may be offered only if these activities and related expenses are modest and infrequent. Other forms of entertainment (such as tickets to sporting, civic or cultural events) are allowed only if reasonable, customary and not excessive.</w:t>
      </w:r>
    </w:p>
    <w:p>
      <w:pPr>
        <w:pStyle w:val="TextBody"/>
        <w:bidi w:val="0"/>
        <w:spacing w:lineRule="auto" w:line="288" w:before="180" w:after="283"/>
        <w:jc w:val="left"/>
        <w:rPr/>
      </w:pPr>
      <w:r>
        <w:rPr>
          <w:rFonts w:ascii="Times New Roman;sans-serif" w:hAnsi="Times New Roman;sans-serif"/>
          <w:b/>
          <w:color w:val="000000"/>
          <w:sz w:val="20"/>
        </w:rPr>
        <w:t>b.</w:t>
      </w:r>
      <w:r>
        <w:rPr>
          <w:rFonts w:ascii="Times New Roman;sans-serif" w:hAnsi="Times New Roman;sans-serif"/>
          <w:b/>
          <w:color w:val="000000"/>
          <w:sz w:val="24"/>
        </w:rPr>
        <w:t>Receiving</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avoid even the implication of impropriety, you should decline any gift, favor, entertainment or anything else of value from current or prospective intermediaries, clients, suppliers or contractors or their representatives except for:</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Gifts that do not have substantial monetary value given at holidays or other special occasions;</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Reasonable entertainment at lunch, dinner or business meetings where the return of the expenditure on a reciprocal basis is likely to occur and would be properly chargeable as a business expense; or</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Other routine entertainment that is business-related such as sports outings or cultural events, but only if such is otherwise acceptable under this Code and is reasonable, customary and not excessive.</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you receive any gift or entertainment with a fair market value in excess of $200, you must promptly report it to your supervisor and/or such other person as may be designated by the Chief Compliance Officer. Executive officers must report such gifts or entertainment in writing, on a periodic basis, to the Audit Committee of the Board of Directors (the “Audit Committee”).</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Ultimately, you must exercise good business judgment in deciding which situations are unacceptable. If there is ever any doubt as to the acceptability of any entertainment activity, consult with your supervisor or our Chief Compliance Officer.</w:t>
      </w:r>
    </w:p>
    <w:p>
      <w:pPr>
        <w:pStyle w:val="TextBody"/>
        <w:bidi w:val="0"/>
        <w:spacing w:lineRule="auto" w:line="288" w:before="180" w:after="283"/>
        <w:jc w:val="left"/>
        <w:rPr/>
      </w:pPr>
      <w:r>
        <w:rPr>
          <w:rFonts w:ascii="Times New Roman;sans-serif" w:hAnsi="Times New Roman;sans-serif"/>
          <w:b/>
          <w:color w:val="000000"/>
          <w:sz w:val="24"/>
        </w:rPr>
        <w:t>D.</w:t>
      </w:r>
      <w:r>
        <w:rPr>
          <w:rFonts w:ascii="Times New Roman;sans-serif" w:hAnsi="Times New Roman;sans-serif"/>
          <w:b/>
          <w:color w:val="000000"/>
          <w:sz w:val="24"/>
        </w:rPr>
        <w:t>MAINTAINING ACCURATE AND COMPLETE COMPANY RECORDS</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1.ACCOUNTING AND FINANCIAL RECORDS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are required under U.S. federal securities laws and generally accepted accounting principles to keep books, records and accounts that accurately reflect all transactions and to provide an adequate system of internal accounting and controls. We expect you to ensure that those portions of our books, records and accounts for which you have responsibility are valid, complete, accurate and supported by appropriate documentation in verifiable form.</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should not:</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Improperly accelerate or defer expenses or revenues to achieve financial results or goals;</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Deviate from any accounting standards applicable to AGNC or otherwise;</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Participate in the valuation of any of our assets at a value other than that required by law;</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Maintain any undisclosed or unrecorded funds or off the book assets;</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Establish or maintain improper, misleading, incomplete or fraudulent accounting documentation or financial reporting;</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Make any payment for purposes other than those described in the documents supporting the payment;</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Submit or approve any expense report where you know or suspect that any portion of the underlying expenses were not incurred or are not accurate; or</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Sign any documents believed to be inaccurate or untruthful.</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AGNC people who exercise supervisory duties over our assets or records are expected to establish and implement appropriate internal controls over all areas of their responsibility. This will help ensure the safeguarding of AGNC’s assets and the accuracy of our financial records and reports. We have adopted and will continue to adopt various types of internal controls and procedures as required to meet internal needs and applicable laws and regulations. We expect you to follow these controls and procedures to the extent they apply to you, to assure the complete and accurate recording of all transactions.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accounting entries or adjustments that materially depart from generally accepted accounting principles must be approved by our Audit Committee and reported to our independent auditors. You must not interfere with or seek to influence improperly (directly or indirectly) the review or auditing of our financial records by our Audit Committee or independent auditors.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you become aware of any questionable transaction or accounting practice concerning AGNC, our investments or our other assets, we expect you to report the matter immediately to our Chief Compliance Officer or to a member of our Audit Committee. In addition, we expect you to report all material off-balance-sheet transactions, arrangements and obligations, contingent or otherwise, and other AGNC relationships outside the ordinary course of business with unconsolidated entities or other persons that may have material current or future effects on our financial condition or results of operations to our Chief Compliance Officer or to a member of our Audit Committee.</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Section F.2 of this Code describes the procedure for making these reports. You may also make an anonymous report under Section F.2 if you are not comfortable revealing your identity when making a report.</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2.DISCLOSURES TO INVESTORS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are required under U.S. federal securities laws to provide the public with periodic disclosure regarding our business and financial condition (such as quarterly and annual reports and materials for our annual stockholders’ meeting). We provide additional disclosures to the public through our quarterly earnings calls and press releases and provide disclosures to our lenders and other credit providers through various means. All AGNC people who participate in the preparation or dissemination of these disclosures, or who provide information that they know may be used in the preparation of these disclosures, have a legal and ethical duty to ensure that the content of the disclosures is accurate, complete and timely.</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have created and will continue to create disclosure controls and procedures that are designed to ensure that all such disclosures are accurate, complete and timely. If you become aware that our disclosures are not accurate, complete and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timely, or become aware of a transaction or development you believe may require disclosure, you should report the matter immediately to our Chief Compliance Officer or a member of the Audit Committee.</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3.RETENTION OF DOCUMENTS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Certain types of documents and records (including, for example, e-mails) must be retained for specific periods of time, because of legal and regulatory requirements, or contractual obligations to our providers of capital or others. These periods of time, and the types of documents and records covered, may vary from time to time and will be announced as appropriate. We expect you to comply with the document retention requirements that apply to you. If you are working with these types of documents and records, or are uncertain whether the documents or records you are working with are subject to these retention requirements, please consult with your supervisor, a member of our Legal team or our Chief Compliance Officer.</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Whenever you become aware that documents or records of any type may be required in connection with a lawsuit or government investigation, you must preserve all possibly relevant documents. This means that you must immediately stop disposing of or altering those documents pertaining to the subjects of the litigation or investigation, even if that activity is ordinary or routine. If you are uncertain whether documents or records under your control should be preserved because they might relate to a lawsuit or investigation, you should contact a member of our Legal team or our Chief Compliance Officer.</w:t>
      </w:r>
    </w:p>
    <w:p>
      <w:pPr>
        <w:pStyle w:val="TextBody"/>
        <w:bidi w:val="0"/>
        <w:spacing w:lineRule="auto" w:line="288" w:before="180" w:after="283"/>
        <w:jc w:val="left"/>
        <w:rPr/>
      </w:pPr>
      <w:r>
        <w:rPr>
          <w:rFonts w:ascii="Times New Roman;sans-serif" w:hAnsi="Times New Roman;sans-serif"/>
          <w:b/>
          <w:color w:val="000000"/>
          <w:sz w:val="24"/>
        </w:rPr>
        <w:t>E.</w:t>
      </w:r>
      <w:r>
        <w:rPr>
          <w:rFonts w:ascii="Times New Roman;sans-serif" w:hAnsi="Times New Roman;sans-serif"/>
          <w:b/>
          <w:color w:val="000000"/>
          <w:sz w:val="24"/>
        </w:rPr>
        <w:t>PROTECTING CONFIDENTIAL INFORMATION</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1.AGNC CONFIDENTIAL INFORMATION</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will often have access to information that is private to AGNC, has not been made public and constitutes trade secrets or proprietary information. Protection of this information is critical to our ability to grow and compete.</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Under the laws of most jurisdictions where we do business, trade secrets are legally protected property as long as they remain secret (meaning not generally or publicly known).</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Your obligations with respect to our confidential trade secrets and proprietary information are:</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Not to disclose the information outside of AGNC;</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Not to use the information for any purpose except to benefit AGNC’s business; and</w:t>
      </w:r>
    </w:p>
    <w:p>
      <w:pPr>
        <w:pStyle w:val="TextBody"/>
        <w:bidi w:val="0"/>
        <w:spacing w:lineRule="auto" w:line="288" w:before="180" w:after="283"/>
        <w:ind w:left="0" w:right="0" w:hanging="180"/>
        <w:jc w:val="left"/>
        <w:rPr/>
      </w:pPr>
      <w:r>
        <w:rPr>
          <w:color w:val="000000"/>
        </w:rPr>
        <w:t>•</w:t>
      </w:r>
      <w:r>
        <w:rPr>
          <w:rFonts w:ascii="Times New Roman;sans-serif" w:hAnsi="Times New Roman;sans-serif"/>
          <w:b w:val="false"/>
          <w:color w:val="000000"/>
          <w:sz w:val="24"/>
        </w:rPr>
        <w:t>Not to disclose the information within AGNC, except to other AGNC people who need to know, or use, the information and are aware that it constitutes a trade secret or proprietary information.</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These obligations continue even after you leave AGNC, until the information becomes publicly available or until we no longer consider it a trade secret or proprietary information. Any documents, papers or records that contain trade secrets or proprietary information are our property and must remain at the company. In certain cases, AGNC people have executed nondisclosure agreements, employment agreements or other similar agreements that govern their obligations with respect to our information. </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Our confidential trade secrets and proprietary information may include, among other things, information regarding our operations, business plans, investments, customers, strategies, trade secrets, records, finances, assets, data or other information that reveals the processes, methodologies or know how by which our existing or future investments, services or methods of operation are developed, conducted or operated.</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2.CONFIDENTIAL INFORMATION OF OTHERS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the normal course of business, you will acquire information about many other organizations, including clients, suppliers and competitors. This is a normal business activity and is not unethical in itself. We properly gather this kind of information for such purposes as evaluating investments. We also collect information on competitors from a variety of legitimate sources to evaluate the relative merits of our own investments and other business practices.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There are, however, limits to the ways that this information should be acquired and used. When working with sensitive information about our customers or suppliers, you should use that information only for the purposes for which it was disclosed to you and make it available only to other AGNC people with a legitimate need to know.</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should not use illegitimate means to acquire a competitor’s trade secrets or other confidential information. Illegal practices such as trespassing, burglary, wiretapping, bribery and stealing are obviously wrong. We will not tolerate any form of questionable intelligence-gathering. In addition, we strive to protect the privacy of personal information of others. We will only collect, use, process, and disclose an individual’s personal information in accordance with applicable law and our internal policies.</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3.INADVERTENT DISCLOSURE</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should be careful to avoid the inadvertent disclosure of proprietary information. To avoid inadvertent disclosure, you should never discuss with any unauthorized person proprietary information that AGNC considers confidential or that we have not made public. You also should not discuss this information even with authorized AGNC people if you are in locations where unauthorized people may overhear you, such as airplanes or elevators, or when using non-secure electronic bulletin boards or databases. You should also not discuss this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with family members or with friends, because they may innocently or unintentionally pass the information on to someone else.</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4.CONTACTS WITH REPORTERS, ANALYSTS AND OTHER MEDIA</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Because of the importance of the legal requirements regarding disclosure of certain information to our investors, we must make certain that any information regarding our business, financial condition or operating results that is released to the public is accurate and consistent. As a result, you should not discuss internal AGNC matters with anyone outside of AGNC, except as clearly required in the performance of your job duties. This prohibition applies particularly to inquiries about AGNC made by the news media, securities analysts or investors. All responses to these inquiries must be made only by our executive officers (and individuals specifically designated by them, including members of our Investor Relations and Corporate Communications staffs), who are authorized to discuss information about AGNC with the news media, securities analysts and investors. If you receive inquiries from these sources, you should immediately refer them to one of these authorized spokespersons.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It should also be noted that the foregoing restrictions also apply with regard to the disclosure of information through other media, including but not limited to bulletin boards, internet chat rooms and social media.</w:t>
      </w:r>
    </w:p>
    <w:p>
      <w:pPr>
        <w:pStyle w:val="TextBody"/>
        <w:bidi w:val="0"/>
        <w:spacing w:lineRule="auto" w:line="288" w:before="180" w:after="283"/>
        <w:jc w:val="left"/>
        <w:rPr/>
      </w:pPr>
      <w:r>
        <w:rPr>
          <w:rFonts w:ascii="Times New Roman;sans-serif" w:hAnsi="Times New Roman;sans-serif"/>
          <w:b/>
          <w:color w:val="000000"/>
          <w:sz w:val="24"/>
        </w:rPr>
        <w:t>F.</w:t>
      </w:r>
      <w:r>
        <w:rPr>
          <w:rFonts w:ascii="Times New Roman;sans-serif" w:hAnsi="Times New Roman;sans-serif"/>
          <w:b/>
          <w:color w:val="000000"/>
          <w:sz w:val="24"/>
        </w:rPr>
        <w:t>ADMINISTRATION OF THIS CODE</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1.ONGOING REVIEW OF COMPLIANCE</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require all AGNC people to comply with this Code. Upon your receipt of this Code, and also from time to time as we deem to be necessary, we may require you to sign an acknowledgement confirming that you have read and understood this Code and agree to comply with its provisions. We reserve the right to monitor your continuing compliance with the provisions of this Code and to investigate any suspected violations. If substantiated, these violations could result in disciplinary action, as described more fully in the following sections.</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2.REPORTING OF SUSPECTED VIOLATIONS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expect you to bring to the attention of the Chief Compliance Officer (or any people that the Chief Compliance Officer designates) information about suspected violations of this Code by any other AGNC person as promptly as practicable. Additionally, we may designate a third-party hotline provider to which information about suspected violations of the Code may be reported. If you have information about suspected improper accounting or auditing matters, you should bring such information to the attention of our Chief Compliance Officer or a member of our Audit Committee directly. To contact our Audit Committee or to submit a report to them, please contact them at the contact information that we will distribute periodically.</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you are not comfortable revealing your identity when making a report, you can also make an anonymous report with our Chief Compliance Officer, the hotline or our Audit Committee.</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should feel safe in reporting this information, without regard to the identity or position of the suspected offender. We will treat the information in a confidential manner (consistent with appropriate evaluation and investigation) and will not take any acts of retribution or retaliation against you for making a report.</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Because failure to report criminal activity can itself be understood to condone the crime, we emphasize the importance of prompt reporting. For both criminal activity and other violations of this Code, failure to report knowledge of wrongdoing may result in disciplinary action against those who fail to report.</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3.NON-RETALIATION</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Nothing in this Code shall prohibit you from reporting any possible violation of federal law or regulation to any governmental agency. Further, nothing shall restrict you from communicating with such agency in the course of its investigation or from making disclosures that are protected pursuant to the whistleblower provisions of federal law and regulation. </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Retaliation in any form against an AGNC person who reports a violation of this Code (even if the report is mistaken but was submitted in the good faith belief it was correct) or who assists in the investigation of a reported violation is itself a serious violation of this Code. Acts of retaliation should be reported immediately and may result in severe disciplinary action.</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4.INVESTIGATION OF SUSPECTED VIOLATIONS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Suspected violations will be investigated under the supervision of our Chief Compliance Officer or the Audit Committee, in such manner as the Chief Compliance Officer or the Audit Committee, as applicable, deems appropriate. You are expected to cooperate in the investigation of reported violations. When practical and appropriate under the circumstances, and in order to protect the privacy of the persons involved, those people investigating the suspected violation will attempt to keep confidential the identity of someone who reports a suspected violation or who participates in the investigation. There may be situations, however, when this information must be disclosed as part of our investigation.</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Chief Compliance Officer may call upon members of our Legal team to participate in any investigations. You should be aware that our Chief Compliance Officer and the members of our Legal team are legally obligated to act in the best interests of AGNC as a company. They do not act as lawyers or personal representatives for any individual AGNC person, including our executive officers. Our Board of Directors (the “Board”) has ultimate responsibility for final interpretation of this Code and for determining whether any violations of this Code have occurred.</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5.DISCIPLINARY ACTION</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our Chief Compliance Officer or our Board (or those acting under their supervision) determine, in their good faith discretion, that you have violated any provision of this Code, you may be subject to disciplinary action, up to and including termination of your employment or contract without prior warning and referral for criminal prosecution and fines.</w:t>
      </w:r>
    </w:p>
    <w:p>
      <w:pPr>
        <w:pStyle w:val="TextBody"/>
        <w:bidi w:val="0"/>
        <w:spacing w:lineRule="auto" w:line="288" w:before="180" w:after="283"/>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6.SPECIAL PROVISIONS APPLICABLE TO CERTAIN FINANCIAL EXECUTIVES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Given the important position of trust and authority that they occupy, our Chief Executive Officer, President, Chief Operating Officer, Chief Investment Officer, Chief Financial Officer, Chief Accounting Officer, Controller, directors and certain other persons who may be designated by the Board or the Audit Committee (collectively, the “Financial Executives”) should act extremely cautiously in interpreting and applying this Code. Financial Executives should consult with our Chief Compliance Officer with respect to any proposed actions or arrangements that are not clearly consistent with the Code. In the event that a Financial Executive wishes to engage in a proposed action or arrangement that is not consistent with the Code, the Financial Executive must obtain a waiver of the relevant Code provisions in advance from the Board.</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Sarbanes-Oxley Act of 2002 imposes certain reporting requirements on AGNC with respect to our Financial Executives’ compliance with the Code. In accordance with these requirements, we will publicly report on a Current Report on Form 8-K any waivers of any provision of the Code granted by our Board to any Financial Executive. Violations of the Code by our Financial Executives may also be immediately reported on Form 8-K.</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7.REVISIONS AND UPDATES TO THIS CODE</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Code may be revised, changed or amended at any time by our Board. Following any material revisions or updates, an updated version of this Code will be distributed to you, and will supersede the prior version of this Code effective upon distribution. We may ask you to sign an acknowledgement confirming that you have read and understood the revised version of the Code, and that you agree to comply with its provisions.</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8.IMPORTANT DISCLAIMERS</w:t>
      </w:r>
    </w:p>
    <w:p>
      <w:pPr>
        <w:pStyle w:val="TextBody"/>
        <w:bidi w:val="0"/>
        <w:spacing w:lineRule="auto" w:line="288" w:before="1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Code reflects general principles to guide you in making ethical decisions and cannot, and is not intended to, address every specific situation in which we may find it appropriate to take disciplinary action. This Code is not intended to create any contract (express or implied) with you, including without limitation any employment contract, or to constitute any promise with regard to the length and terms of your employment.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ind w:left="0" w:right="0" w:hanging="2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Peter J. Federico,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AGNC Investment Corp.;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tbl>
      <w:tblPr>
        <w:tblW w:w="6461" w:type="dxa"/>
        <w:jc w:val="left"/>
        <w:tblInd w:w="0" w:type="dxa"/>
        <w:tblLayout w:type="fixed"/>
        <w:tblCellMar>
          <w:top w:w="28" w:type="dxa"/>
          <w:left w:w="28" w:type="dxa"/>
          <w:bottom w:w="28" w:type="dxa"/>
          <w:right w:w="28" w:type="dxa"/>
        </w:tblCellMar>
      </w:tblPr>
      <w:tblGrid>
        <w:gridCol w:w="200"/>
        <w:gridCol w:w="177"/>
        <w:gridCol w:w="178"/>
        <w:gridCol w:w="1842"/>
        <w:gridCol w:w="1842"/>
        <w:gridCol w:w="1850"/>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P</w:t>
            </w:r>
            <w:r>
              <w:rPr>
                <w:rFonts w:ascii="Times New Roman;sans-serif" w:hAnsi="Times New Roman;sans-serif"/>
                <w:b w:val="false"/>
                <w:color w:val="000000"/>
                <w:sz w:val="16"/>
              </w:rPr>
              <w:t>ETER</w:t>
            </w:r>
            <w:r>
              <w:rPr>
                <w:color w:val="000000"/>
              </w:rPr>
              <w:t xml:space="preserve"> </w:t>
            </w:r>
            <w:r>
              <w:rPr>
                <w:rFonts w:ascii="Times New Roman;sans-serif" w:hAnsi="Times New Roman;sans-serif"/>
                <w:b w:val="false"/>
                <w:color w:val="000000"/>
                <w:sz w:val="20"/>
              </w:rPr>
              <w:t>J. F</w:t>
            </w:r>
            <w:r>
              <w:rPr>
                <w:rFonts w:ascii="Times New Roman;sans-serif" w:hAnsi="Times New Roman;sans-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ind w:left="0" w:right="0" w:hanging="225"/>
        <w:jc w:val="both"/>
        <w:rPr/>
      </w:pPr>
      <w:r>
        <w:rPr/>
      </w:r>
    </w:p>
    <w:p>
      <w:pPr>
        <w:pStyle w:val="TextBody"/>
        <w:bidi w:val="0"/>
        <w:spacing w:before="0" w:after="0"/>
        <w:ind w:left="0" w:right="0" w:hanging="225"/>
        <w:jc w:val="both"/>
        <w:rPr/>
      </w:pPr>
      <w:r>
        <w:rPr/>
      </w:r>
    </w:p>
    <w:p>
      <w:pPr>
        <w:pStyle w:val="TextBody"/>
        <w:bidi w:val="0"/>
        <w:spacing w:lineRule="auto" w:line="288" w:before="0" w:after="0"/>
        <w:ind w:left="0" w:right="0" w:hanging="22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Bernice E. Bell,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AGNC Investment Corp;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ind w:left="0" w:right="0" w:hanging="450"/>
        <w:jc w:val="both"/>
        <w:rPr/>
      </w:pPr>
      <w:r>
        <w:rPr/>
      </w:r>
    </w:p>
    <w:tbl>
      <w:tblPr>
        <w:tblW w:w="7631" w:type="dxa"/>
        <w:jc w:val="left"/>
        <w:tblInd w:w="0" w:type="dxa"/>
        <w:tblLayout w:type="fixed"/>
        <w:tblCellMar>
          <w:top w:w="28" w:type="dxa"/>
          <w:left w:w="28" w:type="dxa"/>
          <w:bottom w:w="28" w:type="dxa"/>
          <w:right w:w="28" w:type="dxa"/>
        </w:tblCellMar>
      </w:tblPr>
      <w:tblGrid>
        <w:gridCol w:w="200"/>
        <w:gridCol w:w="177"/>
        <w:gridCol w:w="178"/>
        <w:gridCol w:w="2231"/>
        <w:gridCol w:w="2231"/>
        <w:gridCol w:w="224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B</w:t>
            </w:r>
            <w:r>
              <w:rPr>
                <w:rFonts w:ascii="Times New Roman;sans-serif" w:hAnsi="Times New Roman;sans-serif"/>
                <w:b w:val="false"/>
                <w:color w:val="000000"/>
                <w:sz w:val="16"/>
              </w:rPr>
              <w:t>ERNICE</w:t>
            </w:r>
            <w:r>
              <w:rPr>
                <w:color w:val="000000"/>
              </w:rPr>
              <w:t xml:space="preserve"> </w:t>
            </w:r>
            <w:r>
              <w:rPr>
                <w:rFonts w:ascii="Times New Roman;sans-serif" w:hAnsi="Times New Roman;sans-serif"/>
                <w:b w:val="false"/>
                <w:color w:val="000000"/>
                <w:sz w:val="20"/>
              </w:rPr>
              <w:t>E. B</w:t>
            </w:r>
            <w:r>
              <w:rPr>
                <w:rFonts w:ascii="Times New Roman;sans-serif" w:hAnsi="Times New Roman;sans-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w:t>
      </w:r>
    </w:p>
    <w:p>
      <w:pPr>
        <w:pStyle w:val="TextBody"/>
        <w:bidi w:val="0"/>
        <w:spacing w:before="0" w:after="0"/>
        <w:jc w:val="righ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AGNC Investment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CEO and CFO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Peter J. Federico, President and Chief Executive Officer, and Bernice E. Bell, Executive Vice President and Chief Financial Officer of AGNC Investment Corp. (the “Company”), certify pursuant to Section 906 of the Sarbanes-Oxley Act of 2002, 18 U.S.C. Section 1350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 ended June 30, 2023 (the “Report”) fully complies with the requirements of Section 13(a) of the Securities Exchange Act of 1934 (15 U.S.C. 78m);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495"/>
        <w:jc w:val="both"/>
        <w:rPr/>
      </w:pPr>
      <w:r>
        <w:rPr/>
      </w:r>
    </w:p>
    <w:p>
      <w:pPr>
        <w:pStyle w:val="TextBody"/>
        <w:bidi w:val="0"/>
        <w:spacing w:lineRule="auto" w:line="288" w:before="0" w:after="0"/>
        <w:jc w:val="left"/>
        <w:rPr>
          <w:color w:val="000000"/>
        </w:rPr>
      </w:pPr>
      <w:r>
        <w:rPr>
          <w:color w:val="000000"/>
        </w:rPr>
        <w:t> </w:t>
      </w:r>
    </w:p>
    <w:tbl>
      <w:tblPr>
        <w:tblW w:w="5411" w:type="dxa"/>
        <w:jc w:val="left"/>
        <w:tblInd w:w="0" w:type="dxa"/>
        <w:tblLayout w:type="fixed"/>
        <w:tblCellMar>
          <w:top w:w="28" w:type="dxa"/>
          <w:left w:w="28" w:type="dxa"/>
          <w:bottom w:w="28" w:type="dxa"/>
          <w:right w:w="28" w:type="dxa"/>
        </w:tblCellMar>
      </w:tblPr>
      <w:tblGrid>
        <w:gridCol w:w="233"/>
        <w:gridCol w:w="205"/>
        <w:gridCol w:w="207"/>
        <w:gridCol w:w="1463"/>
        <w:gridCol w:w="1463"/>
        <w:gridCol w:w="1468"/>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P</w:t>
            </w:r>
            <w:r>
              <w:rPr>
                <w:rFonts w:ascii="Times New Roman;sans-serif" w:hAnsi="Times New Roman;sans-serif"/>
                <w:b w:val="false"/>
                <w:color w:val="000000"/>
                <w:sz w:val="16"/>
              </w:rPr>
              <w:t>ETER</w:t>
            </w:r>
            <w:r>
              <w:rPr>
                <w:color w:val="000000"/>
              </w:rPr>
              <w:t xml:space="preserve"> </w:t>
            </w:r>
            <w:r>
              <w:rPr>
                <w:rFonts w:ascii="Times New Roman;sans-serif" w:hAnsi="Times New Roman;sans-serif"/>
                <w:b w:val="false"/>
                <w:color w:val="000000"/>
                <w:sz w:val="20"/>
              </w:rPr>
              <w:t>J. F</w:t>
            </w:r>
            <w:r>
              <w:rPr>
                <w:rFonts w:ascii="Times New Roman;sans-serif" w:hAnsi="Times New Roman;sans-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w:t>
              <w:b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B</w:t>
            </w:r>
            <w:r>
              <w:rPr>
                <w:rFonts w:ascii="Times New Roman;sans-serif" w:hAnsi="Times New Roman;sans-serif"/>
                <w:b w:val="false"/>
                <w:color w:val="000000"/>
                <w:sz w:val="16"/>
              </w:rPr>
              <w:t>ERNICE</w:t>
            </w:r>
            <w:r>
              <w:rPr>
                <w:color w:val="000000"/>
              </w:rPr>
              <w:t xml:space="preserve"> </w:t>
            </w:r>
            <w:r>
              <w:rPr>
                <w:rFonts w:ascii="Times New Roman;sans-serif" w:hAnsi="Times New Roman;sans-serif"/>
                <w:b w:val="false"/>
                <w:color w:val="000000"/>
                <w:sz w:val="20"/>
              </w:rPr>
              <w:t>E. B</w:t>
            </w:r>
            <w:r>
              <w:rPr>
                <w:rFonts w:ascii="Times New Roman;sans-serif" w:hAnsi="Times New Roman;sans-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w:t>
              <w:br/>
              <w:t>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ind w:left="0" w:right="0" w:firstLine="495"/>
        <w:jc w:val="both"/>
        <w:rPr/>
      </w:pPr>
      <w:r>
        <w:rPr/>
      </w:r>
    </w:p>
    <w:p>
      <w:pPr>
        <w:pStyle w:val="TextBody"/>
        <w:bidi w:val="0"/>
        <w:spacing w:before="0" w:after="0"/>
        <w:jc w:val="both"/>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Malgun Gothic">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23689/000142368922000014/agncexhibit3112312110-k.htm" TargetMode="External"/><Relationship Id="rId4" Type="http://schemas.openxmlformats.org/officeDocument/2006/relationships/hyperlink" Target="http://www.sec.gov/Archives/edgar/data/1423689/000142368922000014/agncexhibit3112312110-k.htm" TargetMode="External"/><Relationship Id="rId5" Type="http://schemas.openxmlformats.org/officeDocument/2006/relationships/hyperlink" Target="http://www.sec.gov/Archives/edgar/data/1423689/000142368921000017/arbylaws-march2021vrevised.htm" TargetMode="External"/><Relationship Id="rId6" Type="http://schemas.openxmlformats.org/officeDocument/2006/relationships/hyperlink" Target="http://www.sec.gov/Archives/edgar/data/1423689/000142368923000046/bylaws72023-ex.htm" TargetMode="External"/><Relationship Id="rId7" Type="http://schemas.openxmlformats.org/officeDocument/2006/relationships/hyperlink" Target="http://www.sec.gov/Archives/edgar/data/1423689/000142368917000044/ex35certificateofdesignati.htm" TargetMode="External"/><Relationship Id="rId8" Type="http://schemas.openxmlformats.org/officeDocument/2006/relationships/hyperlink" Target="http://www.sec.gov/Archives/edgar/data/1423689/000142368917000044/ex35certificateofdesignati.htm" TargetMode="External"/><Relationship Id="rId9" Type="http://schemas.openxmlformats.org/officeDocument/2006/relationships/hyperlink" Target="http://www.sec.gov/Archives/edgar/data/1423689/000142368917000065/certificateofelimination.htm" TargetMode="External"/><Relationship Id="rId10" Type="http://schemas.openxmlformats.org/officeDocument/2006/relationships/hyperlink" Target="http://www.sec.gov/Archives/edgar/data/1423689/000142368917000065/certificateofelimination.htm" TargetMode="External"/><Relationship Id="rId11" Type="http://schemas.openxmlformats.org/officeDocument/2006/relationships/hyperlink" Target="http://www.sec.gov/Archives/edgar/data/1423689/000142368919000019/certificateofdesignations.htm" TargetMode="External"/><Relationship Id="rId12" Type="http://schemas.openxmlformats.org/officeDocument/2006/relationships/hyperlink" Target="http://www.sec.gov/Archives/edgar/data/1423689/000142368919000019/certificateofdesignations.htm" TargetMode="External"/><Relationship Id="rId13" Type="http://schemas.openxmlformats.org/officeDocument/2006/relationships/hyperlink" Target="http://www.sec.gov/Archives/edgar/data/1423689/000142368919000064/certofdesignations.htm" TargetMode="External"/><Relationship Id="rId14" Type="http://schemas.openxmlformats.org/officeDocument/2006/relationships/hyperlink" Target="http://www.sec.gov/Archives/edgar/data/1423689/000142368919000064/certofdesignations.htm" TargetMode="External"/><Relationship Id="rId15" Type="http://schemas.openxmlformats.org/officeDocument/2006/relationships/hyperlink" Target="http://www.sec.gov/Archives/edgar/data/1423689/000142368919000078/certificateofeliminati.htm" TargetMode="External"/><Relationship Id="rId16" Type="http://schemas.openxmlformats.org/officeDocument/2006/relationships/hyperlink" Target="http://www.sec.gov/Archives/edgar/data/1423689/000142368919000078/certificateofeliminati.htm" TargetMode="External"/><Relationship Id="rId17" Type="http://schemas.openxmlformats.org/officeDocument/2006/relationships/hyperlink" Target="http://www.sec.gov/Archives/edgar/data/1423689/000142368920000012/certificateofdesignations-.htm" TargetMode="External"/><Relationship Id="rId18" Type="http://schemas.openxmlformats.org/officeDocument/2006/relationships/hyperlink" Target="http://www.sec.gov/Archives/edgar/data/1423689/000142368920000012/certificateofdesignations-.htm" TargetMode="External"/><Relationship Id="rId19" Type="http://schemas.openxmlformats.org/officeDocument/2006/relationships/hyperlink" Target="http://www.sec.gov/Archives/edgar/data/1423689/000142368922000061/seriesgcertificateofdesign.htm" TargetMode="External"/><Relationship Id="rId20" Type="http://schemas.openxmlformats.org/officeDocument/2006/relationships/hyperlink" Target="http://www.sec.gov/Archives/edgar/data/1423689/000142368922000061/seriesgcertificateofdesign.htm" TargetMode="External"/><Relationship Id="rId21" Type="http://schemas.openxmlformats.org/officeDocument/2006/relationships/hyperlink" Target="http://www.sec.gov/Archives/edgar/data/1423689/000142368922000014/agncexhibit3112312110-k.htm" TargetMode="External"/><Relationship Id="rId22" Type="http://schemas.openxmlformats.org/officeDocument/2006/relationships/hyperlink" Target="http://www.sec.gov/Archives/edgar/data/1423689/000142368922000014/agncexhibit3112312110-k.htm" TargetMode="External"/><Relationship Id="rId23" Type="http://schemas.openxmlformats.org/officeDocument/2006/relationships/hyperlink" Target="http://www.sec.gov/Archives/edgar/data/1423689/000142368921000017/arbylaws-march2021vrevised.htm" TargetMode="External"/><Relationship Id="rId24" Type="http://schemas.openxmlformats.org/officeDocument/2006/relationships/hyperlink" Target="http://www.sec.gov/Archives/edgar/data/1423689/000142368923000046/bylaws72023-ex.htm" TargetMode="External"/><Relationship Id="rId25" Type="http://schemas.openxmlformats.org/officeDocument/2006/relationships/hyperlink" Target="http://www.sec.gov/Archives/edgar/data/1423689/000142368922000076/exhibit43.htm" TargetMode="External"/><Relationship Id="rId26" Type="http://schemas.openxmlformats.org/officeDocument/2006/relationships/hyperlink" Target="http://www.sec.gov/Archives/edgar/data/1423689/000142368922000076/exhibit43.htm" TargetMode="External"/><Relationship Id="rId27" Type="http://schemas.openxmlformats.org/officeDocument/2006/relationships/hyperlink" Target="http://www.sec.gov/Archives/edgar/data/1423689/000142368917000044/exhibit41.htm" TargetMode="External"/><Relationship Id="rId28" Type="http://schemas.openxmlformats.org/officeDocument/2006/relationships/hyperlink" Target="http://www.sec.gov/Archives/edgar/data/1423689/000142368917000044/exhibit41.htm" TargetMode="External"/><Relationship Id="rId29" Type="http://schemas.openxmlformats.org/officeDocument/2006/relationships/hyperlink" Target="http://www.sec.gov/Archives/edgar/data/1423689/000142368919000019/stockcertificateb98.htm" TargetMode="External"/><Relationship Id="rId30" Type="http://schemas.openxmlformats.org/officeDocument/2006/relationships/hyperlink" Target="http://www.sec.gov/Archives/edgar/data/1423689/000142368919000019/stockcertificateb98.htm" TargetMode="External"/><Relationship Id="rId31" Type="http://schemas.openxmlformats.org/officeDocument/2006/relationships/hyperlink" Target="http://www.sec.gov/Archives/edgar/data/1423689/000142368919000064/stockcertificate.htm" TargetMode="External"/><Relationship Id="rId32" Type="http://schemas.openxmlformats.org/officeDocument/2006/relationships/hyperlink" Target="http://www.sec.gov/Archives/edgar/data/1423689/000142368919000064/stockcertificate.htm" TargetMode="External"/><Relationship Id="rId33" Type="http://schemas.openxmlformats.org/officeDocument/2006/relationships/hyperlink" Target="http://www.sec.gov/Archives/edgar/data/1423689/000142368920000012/stockcertificate.htm" TargetMode="External"/><Relationship Id="rId34" Type="http://schemas.openxmlformats.org/officeDocument/2006/relationships/hyperlink" Target="http://www.sec.gov/Archives/edgar/data/1423689/000142368920000012/stockcertificate.htm" TargetMode="External"/><Relationship Id="rId35" Type="http://schemas.openxmlformats.org/officeDocument/2006/relationships/hyperlink" Target="http://www.sec.gov/Archives/edgar/data/1423689/000142368922000061/stockcertificate1.htm" TargetMode="External"/><Relationship Id="rId36" Type="http://schemas.openxmlformats.org/officeDocument/2006/relationships/hyperlink" Target="http://www.sec.gov/Archives/edgar/data/1423689/000142368922000061/stockcertificate1.htm" TargetMode="External"/><Relationship Id="rId37" Type="http://schemas.openxmlformats.org/officeDocument/2006/relationships/hyperlink" Target="http://www.sec.gov/Archives/edgar/data/1423689/000142368917000049/depositagreement.htm" TargetMode="External"/><Relationship Id="rId38" Type="http://schemas.openxmlformats.org/officeDocument/2006/relationships/hyperlink" Target="http://www.sec.gov/Archives/edgar/data/1423689/000142368917000049/depositagreement.htm" TargetMode="External"/><Relationship Id="rId39" Type="http://schemas.openxmlformats.org/officeDocument/2006/relationships/hyperlink" Target="http://www.sec.gov/Archives/edgar/data/1423689/000142368917000049/depositagreement.htm" TargetMode="External"/><Relationship Id="rId40" Type="http://schemas.openxmlformats.org/officeDocument/2006/relationships/hyperlink" Target="http://www.sec.gov/Archives/edgar/data/1423689/000142368917000049/depositagreement.htm" TargetMode="External"/><Relationship Id="rId41" Type="http://schemas.openxmlformats.org/officeDocument/2006/relationships/hyperlink" Target="http://www.sec.gov/Archives/edgar/data/1423689/000142368919000021/prefddepositagmt.htm" TargetMode="External"/><Relationship Id="rId42" Type="http://schemas.openxmlformats.org/officeDocument/2006/relationships/hyperlink" Target="http://www.sec.gov/Archives/edgar/data/1423689/000142368919000021/prefddepositagmt.htm" TargetMode="External"/><Relationship Id="rId43" Type="http://schemas.openxmlformats.org/officeDocument/2006/relationships/hyperlink" Target="http://www.sec.gov/Archives/edgar/data/1423689/000142368919000021/prefddepositagmt.htm" TargetMode="External"/><Relationship Id="rId44" Type="http://schemas.openxmlformats.org/officeDocument/2006/relationships/hyperlink" Target="http://www.sec.gov/Archives/edgar/data/1423689/000142368919000021/prefddepositagmt.htm" TargetMode="External"/><Relationship Id="rId45" Type="http://schemas.openxmlformats.org/officeDocument/2006/relationships/hyperlink" Target="http://www.sec.gov/Archives/edgar/data/1423689/000142368919000068/depositagmt-prefe.htm" TargetMode="External"/><Relationship Id="rId46" Type="http://schemas.openxmlformats.org/officeDocument/2006/relationships/hyperlink" Target="http://www.sec.gov/Archives/edgar/data/1423689/000142368919000068/depositagmt-prefe.htm" TargetMode="External"/><Relationship Id="rId47" Type="http://schemas.openxmlformats.org/officeDocument/2006/relationships/hyperlink" Target="http://www.sec.gov/Archives/edgar/data/1423689/000142368919000068/depositagmt-prefe.htm" TargetMode="External"/><Relationship Id="rId48" Type="http://schemas.openxmlformats.org/officeDocument/2006/relationships/hyperlink" Target="http://www.sec.gov/Archives/edgar/data/1423689/000142368919000068/depositagmt-prefe.htm" TargetMode="External"/><Relationship Id="rId49" Type="http://schemas.openxmlformats.org/officeDocument/2006/relationships/hyperlink" Target="http://www.sec.gov/Archives/edgar/data/1423689/000142368920000014/depositaryagmt-seriesf.htm" TargetMode="External"/><Relationship Id="rId50" Type="http://schemas.openxmlformats.org/officeDocument/2006/relationships/hyperlink" Target="http://www.sec.gov/Archives/edgar/data/1423689/000142368920000014/depositaryagmt-seriesf.htm" TargetMode="External"/><Relationship Id="rId51" Type="http://schemas.openxmlformats.org/officeDocument/2006/relationships/hyperlink" Target="http://www.sec.gov/Archives/edgar/data/1423689/000142368920000014/depositaryagmt-seriesf.htm" TargetMode="External"/><Relationship Id="rId52" Type="http://schemas.openxmlformats.org/officeDocument/2006/relationships/hyperlink" Target="http://www.sec.gov/Archives/edgar/data/1423689/000142368920000014/depositaryagmt-seriesf.htm" TargetMode="External"/><Relationship Id="rId53" Type="http://schemas.openxmlformats.org/officeDocument/2006/relationships/hyperlink" Target="http://www.sec.gov/Archives/edgar/data/1423689/000142368922000069/depositaryagmt.htm" TargetMode="External"/><Relationship Id="rId54" Type="http://schemas.openxmlformats.org/officeDocument/2006/relationships/hyperlink" Target="http://www.sec.gov/Archives/edgar/data/1423689/000142368922000069/depositaryagmt.htm" TargetMode="External"/><Relationship Id="rId55" Type="http://schemas.openxmlformats.org/officeDocument/2006/relationships/hyperlink" Target="http://www.sec.gov/Archives/edgar/data/1423689/000142368922000069/depositaryagmt.htm" TargetMode="External"/><Relationship Id="rId56" Type="http://schemas.openxmlformats.org/officeDocument/2006/relationships/hyperlink" Target="http://www.sec.gov/Archives/edgar/data/1423689/000142368922000069/depositaryagmt.htm" TargetMode="External"/><Relationship Id="rId57" Type="http://schemas.openxmlformats.org/officeDocument/2006/relationships/hyperlink" Target="http://www.sec.gov/Archives/edgar/data/1423689/000142368922000069/depositaryagmt.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34677</Words>
  <Characters>187729</Characters>
  <CharactersWithSpaces>219362</CharactersWithSpaces>
  <Paragraphs>5939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