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8300" w:type="dxa"/>
            <w:vAlign w:val="bottom"/>
          </w:tcPr>
          <w:p>
            <w:pPr>
              <w:jc w:val="center"/>
              <w:ind w:left="219"/>
              <w:spacing w:after="0"/>
              <w:rPr>
                <w:sz w:val="20"/>
                <w:szCs w:val="20"/>
                <w:color w:val="auto"/>
              </w:rPr>
            </w:pPr>
            <w:r>
              <w:rPr>
                <w:rFonts w:ascii="Arial" w:cs="Arial" w:eastAsia="Arial" w:hAnsi="Arial"/>
                <w:sz w:val="20"/>
                <w:szCs w:val="20"/>
                <w:b w:val="1"/>
                <w:bCs w:val="1"/>
                <w:color w:val="auto"/>
                <w:w w:val="98"/>
              </w:rPr>
              <w:t>UNITED STATES</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8300" w:type="dxa"/>
            <w:vAlign w:val="bottom"/>
          </w:tcPr>
          <w:p>
            <w:pPr>
              <w:jc w:val="center"/>
              <w:ind w:left="239"/>
              <w:spacing w:after="0"/>
              <w:rPr>
                <w:sz w:val="20"/>
                <w:szCs w:val="20"/>
                <w:color w:val="auto"/>
              </w:rPr>
            </w:pPr>
            <w:r>
              <w:rPr>
                <w:rFonts w:ascii="Arial" w:cs="Arial" w:eastAsia="Arial" w:hAnsi="Arial"/>
                <w:sz w:val="20"/>
                <w:szCs w:val="20"/>
                <w:b w:val="1"/>
                <w:bCs w:val="1"/>
                <w:color w:val="auto"/>
              </w:rPr>
              <w:t>SECURITIES AND EXCHANGE COMMISSION</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8300" w:type="dxa"/>
            <w:vAlign w:val="bottom"/>
          </w:tcPr>
          <w:p>
            <w:pPr>
              <w:jc w:val="center"/>
              <w:ind w:left="219"/>
              <w:spacing w:after="0"/>
              <w:rPr>
                <w:sz w:val="20"/>
                <w:szCs w:val="20"/>
                <w:color w:val="auto"/>
              </w:rPr>
            </w:pPr>
            <w:r>
              <w:rPr>
                <w:rFonts w:ascii="Arial" w:cs="Arial" w:eastAsia="Arial" w:hAnsi="Arial"/>
                <w:sz w:val="14"/>
                <w:szCs w:val="14"/>
                <w:b w:val="1"/>
                <w:bCs w:val="1"/>
                <w:color w:val="auto"/>
                <w:w w:val="93"/>
              </w:rPr>
              <w:t>Washington, D.C. 20549</w:t>
            </w:r>
          </w:p>
        </w:tc>
        <w:tc>
          <w:tcPr>
            <w:tcW w:w="0" w:type="dxa"/>
            <w:vAlign w:val="bottom"/>
          </w:tcPr>
          <w:p>
            <w:pPr>
              <w:spacing w:after="0"/>
              <w:rPr>
                <w:sz w:val="1"/>
                <w:szCs w:val="1"/>
                <w:color w:val="auto"/>
              </w:rPr>
            </w:pPr>
          </w:p>
        </w:tc>
      </w:tr>
      <w:tr>
        <w:trPr>
          <w:trHeight w:val="256"/>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19"/>
              <w:spacing w:after="0"/>
              <w:rPr>
                <w:sz w:val="20"/>
                <w:szCs w:val="20"/>
                <w:color w:val="auto"/>
              </w:rPr>
            </w:pPr>
            <w:r>
              <w:rPr>
                <w:rFonts w:ascii="Arial" w:cs="Arial" w:eastAsia="Arial" w:hAnsi="Arial"/>
                <w:sz w:val="20"/>
                <w:szCs w:val="20"/>
                <w:b w:val="1"/>
                <w:bCs w:val="1"/>
                <w:color w:val="auto"/>
                <w:w w:val="99"/>
              </w:rPr>
              <w:t>FORM 10-Q</w:t>
            </w: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8300" w:type="dxa"/>
            <w:vAlign w:val="bottom"/>
          </w:tcPr>
          <w:p>
            <w:pPr>
              <w:ind w:left="96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8300" w:type="dxa"/>
            <w:vAlign w:val="bottom"/>
          </w:tcPr>
          <w:p>
            <w:pPr>
              <w:jc w:val="center"/>
              <w:ind w:left="239"/>
              <w:spacing w:after="0"/>
              <w:rPr>
                <w:sz w:val="20"/>
                <w:szCs w:val="20"/>
                <w:color w:val="auto"/>
              </w:rPr>
            </w:pPr>
            <w:r>
              <w:rPr>
                <w:rFonts w:ascii="Arial" w:cs="Arial" w:eastAsia="Arial" w:hAnsi="Arial"/>
                <w:sz w:val="14"/>
                <w:szCs w:val="14"/>
                <w:b w:val="1"/>
                <w:bCs w:val="1"/>
                <w:color w:val="auto"/>
                <w:w w:val="93"/>
              </w:rPr>
              <w:t>For the quarterly period ended June 30, 2022</w:t>
            </w:r>
          </w:p>
        </w:tc>
        <w:tc>
          <w:tcPr>
            <w:tcW w:w="0" w:type="dxa"/>
            <w:vAlign w:val="bottom"/>
          </w:tcPr>
          <w:p>
            <w:pPr>
              <w:spacing w:after="0"/>
              <w:rPr>
                <w:sz w:val="1"/>
                <w:szCs w:val="1"/>
                <w:color w:val="auto"/>
              </w:rPr>
            </w:pPr>
          </w:p>
        </w:tc>
      </w:tr>
      <w:tr>
        <w:trPr>
          <w:trHeight w:val="186"/>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39"/>
              <w:spacing w:after="0"/>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r>
        <w:trPr>
          <w:trHeight w:val="219"/>
        </w:trPr>
        <w:tc>
          <w:tcPr>
            <w:tcW w:w="1060" w:type="dxa"/>
            <w:vAlign w:val="bottom"/>
            <w:vMerge w:val="continue"/>
          </w:tcPr>
          <w:p>
            <w:pPr>
              <w:spacing w:after="0"/>
              <w:rPr>
                <w:sz w:val="19"/>
                <w:szCs w:val="19"/>
                <w:color w:val="auto"/>
              </w:rPr>
            </w:pPr>
          </w:p>
        </w:tc>
        <w:tc>
          <w:tcPr>
            <w:tcW w:w="8300" w:type="dxa"/>
            <w:vAlign w:val="bottom"/>
          </w:tcPr>
          <w:p>
            <w:pPr>
              <w:ind w:left="94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67"/>
        </w:trPr>
        <w:tc>
          <w:tcPr>
            <w:tcW w:w="1060" w:type="dxa"/>
            <w:vAlign w:val="bottom"/>
          </w:tcPr>
          <w:p>
            <w:pPr>
              <w:spacing w:after="0"/>
              <w:rPr>
                <w:sz w:val="23"/>
                <w:szCs w:val="23"/>
                <w:color w:val="auto"/>
              </w:rPr>
            </w:pPr>
          </w:p>
        </w:tc>
        <w:tc>
          <w:tcPr>
            <w:tcW w:w="8300" w:type="dxa"/>
            <w:vAlign w:val="bottom"/>
          </w:tcPr>
          <w:p>
            <w:pPr>
              <w:jc w:val="center"/>
              <w:ind w:left="219"/>
              <w:spacing w:after="0"/>
              <w:rPr>
                <w:sz w:val="20"/>
                <w:szCs w:val="20"/>
                <w:color w:val="auto"/>
              </w:rPr>
            </w:pPr>
            <w:r>
              <w:rPr>
                <w:rFonts w:ascii="Arial" w:cs="Arial" w:eastAsia="Arial" w:hAnsi="Arial"/>
                <w:sz w:val="14"/>
                <w:szCs w:val="14"/>
                <w:b w:val="1"/>
                <w:bCs w:val="1"/>
                <w:color w:val="auto"/>
                <w:w w:val="92"/>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517525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483235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102235</wp:posOffset>
            </wp:positionV>
            <wp:extent cx="2040255"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25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AGNC INVESTMENT CORP.</w:t>
      </w:r>
    </w:p>
    <w:p>
      <w:pPr>
        <w:sectPr>
          <w:pgSz w:w="11900" w:h="16838" w:orient="portrait"/>
          <w:cols w:equalWidth="0" w:num="1">
            <w:col w:w="11240"/>
          </w:cols>
          <w:pgMar w:left="320" w:top="899" w:right="339" w:bottom="1440" w:gutter="0" w:footer="0" w:header="0"/>
        </w:sectPr>
      </w:pP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4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182"/>
        </w:trPr>
        <w:tc>
          <w:tcPr>
            <w:tcW w:w="7440" w:type="dxa"/>
            <w:vAlign w:val="bottom"/>
            <w:gridSpan w:val="5"/>
          </w:tcPr>
          <w:p>
            <w:pPr>
              <w:jc w:val="right"/>
              <w:ind w:right="20"/>
              <w:spacing w:after="0"/>
              <w:rPr>
                <w:sz w:val="20"/>
                <w:szCs w:val="20"/>
                <w:color w:val="auto"/>
              </w:rPr>
            </w:pPr>
            <w:r>
              <w:rPr>
                <w:rFonts w:ascii="Arial" w:cs="Arial" w:eastAsia="Arial" w:hAnsi="Arial"/>
                <w:sz w:val="14"/>
                <w:szCs w:val="14"/>
                <w:color w:val="auto"/>
              </w:rPr>
              <w:t>__________________________________________________</w:t>
            </w:r>
          </w:p>
        </w:tc>
        <w:tc>
          <w:tcPr>
            <w:tcW w:w="0" w:type="dxa"/>
            <w:vAlign w:val="bottom"/>
          </w:tcPr>
          <w:p>
            <w:pPr>
              <w:spacing w:after="0"/>
              <w:rPr>
                <w:sz w:val="1"/>
                <w:szCs w:val="1"/>
                <w:color w:val="auto"/>
              </w:rPr>
            </w:pPr>
          </w:p>
        </w:tc>
      </w:tr>
      <w:tr>
        <w:trPr>
          <w:trHeight w:val="203"/>
        </w:trPr>
        <w:tc>
          <w:tcPr>
            <w:tcW w:w="4040" w:type="dxa"/>
            <w:vAlign w:val="bottom"/>
          </w:tcPr>
          <w:p>
            <w:pPr>
              <w:jc w:val="center"/>
              <w:ind w:left="1308"/>
              <w:spacing w:after="0"/>
              <w:rPr>
                <w:sz w:val="20"/>
                <w:szCs w:val="20"/>
                <w:color w:val="auto"/>
              </w:rPr>
            </w:pPr>
            <w:r>
              <w:rPr>
                <w:rFonts w:ascii="Arial" w:cs="Arial" w:eastAsia="Arial" w:hAnsi="Arial"/>
                <w:sz w:val="14"/>
                <w:szCs w:val="14"/>
                <w:b w:val="1"/>
                <w:bCs w:val="1"/>
                <w:color w:val="auto"/>
                <w:w w:val="94"/>
              </w:rPr>
              <w:t>Delaware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40" w:type="dxa"/>
            <w:vAlign w:val="bottom"/>
          </w:tcPr>
          <w:p>
            <w:pPr>
              <w:jc w:val="center"/>
              <w:ind w:left="1308"/>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40" w:type="dxa"/>
            <w:vAlign w:val="bottom"/>
          </w:tcPr>
          <w:p>
            <w:pPr>
              <w:jc w:val="center"/>
              <w:ind w:left="1308"/>
              <w:spacing w:after="0"/>
              <w:rPr>
                <w:sz w:val="20"/>
                <w:szCs w:val="20"/>
                <w:color w:val="auto"/>
              </w:rPr>
            </w:pPr>
            <w:r>
              <w:rPr>
                <w:rFonts w:ascii="Arial" w:cs="Arial" w:eastAsia="Arial" w:hAnsi="Arial"/>
                <w:sz w:val="14"/>
                <w:szCs w:val="14"/>
                <w:b w:val="1"/>
                <w:bCs w:val="1"/>
                <w:color w:val="auto"/>
                <w:w w:val="95"/>
              </w:rPr>
              <w:t>Incorporation or Organization)</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3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2 Bethesda Metro Center, 12th Floor</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3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Bethesda, Maryland 20814</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34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3240" w:type="dxa"/>
            <w:vAlign w:val="bottom"/>
            <w:gridSpan w:val="3"/>
          </w:tcPr>
          <w:p>
            <w:pPr>
              <w:jc w:val="right"/>
              <w:ind w:right="1128"/>
              <w:spacing w:after="0"/>
              <w:rPr>
                <w:sz w:val="20"/>
                <w:szCs w:val="20"/>
                <w:color w:val="auto"/>
              </w:rPr>
            </w:pPr>
            <w:r>
              <w:rPr>
                <w:rFonts w:ascii="Arial" w:cs="Arial" w:eastAsia="Arial" w:hAnsi="Arial"/>
                <w:sz w:val="14"/>
                <w:szCs w:val="14"/>
                <w:b w:val="1"/>
                <w:bCs w:val="1"/>
                <w:color w:val="auto"/>
              </w:rPr>
              <w:t>(301) 968-9315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440" w:type="dxa"/>
            <w:vAlign w:val="bottom"/>
            <w:gridSpan w:val="5"/>
          </w:tcPr>
          <w:p>
            <w:pPr>
              <w:jc w:val="center"/>
              <w:ind w:left="372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162"/>
        </w:trPr>
        <w:tc>
          <w:tcPr>
            <w:tcW w:w="7440" w:type="dxa"/>
            <w:vAlign w:val="bottom"/>
            <w:gridSpan w:val="5"/>
          </w:tcPr>
          <w:p>
            <w:pPr>
              <w:jc w:val="center"/>
              <w:ind w:left="3768"/>
              <w:spacing w:after="0"/>
              <w:rPr>
                <w:sz w:val="20"/>
                <w:szCs w:val="20"/>
                <w:color w:val="auto"/>
              </w:rPr>
            </w:pPr>
            <w:r>
              <w:rPr>
                <w:rFonts w:ascii="Arial" w:cs="Arial" w:eastAsia="Arial" w:hAnsi="Arial"/>
                <w:sz w:val="14"/>
                <w:szCs w:val="14"/>
                <w:color w:val="auto"/>
                <w:w w:val="92"/>
              </w:rPr>
              <w:t>__________________________________________________</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tcPr>
          <w:p>
            <w:pPr>
              <w:jc w:val="center"/>
              <w:ind w:left="1528"/>
              <w:spacing w:after="0"/>
              <w:rPr>
                <w:sz w:val="20"/>
                <w:szCs w:val="20"/>
                <w:color w:val="auto"/>
              </w:rPr>
            </w:pPr>
            <w:r>
              <w:rPr>
                <w:rFonts w:ascii="Arial" w:cs="Arial" w:eastAsia="Arial" w:hAnsi="Arial"/>
                <w:sz w:val="14"/>
                <w:szCs w:val="14"/>
                <w:b w:val="1"/>
                <w:bCs w:val="1"/>
                <w:color w:val="auto"/>
                <w:w w:val="93"/>
              </w:rPr>
              <w:t>Title of Each Class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Trading Symbol(s)</w:t>
            </w:r>
          </w:p>
        </w:tc>
        <w:tc>
          <w:tcPr>
            <w:tcW w:w="0" w:type="dxa"/>
            <w:vAlign w:val="bottom"/>
          </w:tcPr>
          <w:p>
            <w:pPr>
              <w:spacing w:after="0"/>
              <w:rPr>
                <w:sz w:val="1"/>
                <w:szCs w:val="1"/>
                <w:color w:val="auto"/>
              </w:rPr>
            </w:pPr>
          </w:p>
        </w:tc>
      </w:tr>
      <w:tr>
        <w:trPr>
          <w:trHeight w:val="182"/>
        </w:trPr>
        <w:tc>
          <w:tcPr>
            <w:tcW w:w="4040" w:type="dxa"/>
            <w:vAlign w:val="bottom"/>
            <w:tcBorders>
              <w:top w:val="single" w:sz="8" w:color="auto"/>
            </w:tcBorders>
          </w:tcPr>
          <w:p>
            <w:pPr>
              <w:jc w:val="center"/>
              <w:ind w:left="1508"/>
              <w:spacing w:after="0"/>
              <w:rPr>
                <w:sz w:val="20"/>
                <w:szCs w:val="20"/>
                <w:color w:val="auto"/>
              </w:rPr>
            </w:pPr>
            <w:r>
              <w:rPr>
                <w:rFonts w:ascii="Arial" w:cs="Arial" w:eastAsia="Arial" w:hAnsi="Arial"/>
                <w:sz w:val="14"/>
                <w:szCs w:val="14"/>
                <w:color w:val="auto"/>
                <w:w w:val="91"/>
              </w:rPr>
              <w:t>Common Stock, par value $0.01 per share</w:t>
            </w:r>
          </w:p>
        </w:tc>
        <w:tc>
          <w:tcPr>
            <w:tcW w:w="1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AGNC</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gridSpan w:val="3"/>
          </w:tcPr>
          <w:p>
            <w:pPr>
              <w:jc w:val="center"/>
              <w:ind w:right="100"/>
              <w:spacing w:after="0" w:line="142" w:lineRule="exact"/>
              <w:rPr>
                <w:sz w:val="20"/>
                <w:szCs w:val="20"/>
                <w:color w:val="auto"/>
              </w:rPr>
            </w:pPr>
            <w:r>
              <w:rPr>
                <w:rFonts w:ascii="Arial" w:cs="Arial" w:eastAsia="Arial" w:hAnsi="Arial"/>
                <w:sz w:val="14"/>
                <w:szCs w:val="14"/>
                <w:color w:val="auto"/>
                <w:w w:val="92"/>
              </w:rPr>
              <w:t>Depositary shares of 7.000% Series C Fixed-to-Floating Rate Cumulative Redeemable Preferred</w:t>
            </w:r>
          </w:p>
        </w:tc>
        <w:tc>
          <w:tcPr>
            <w:tcW w:w="17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8"/>
              </w:rPr>
              <w:t>AGNCN</w:t>
            </w:r>
          </w:p>
        </w:tc>
        <w:tc>
          <w:tcPr>
            <w:tcW w:w="0" w:type="dxa"/>
            <w:vAlign w:val="bottom"/>
          </w:tcPr>
          <w:p>
            <w:pPr>
              <w:spacing w:after="0"/>
              <w:rPr>
                <w:sz w:val="1"/>
                <w:szCs w:val="1"/>
                <w:color w:val="auto"/>
              </w:rPr>
            </w:pPr>
          </w:p>
        </w:tc>
      </w:tr>
      <w:tr>
        <w:trPr>
          <w:trHeight w:val="110"/>
        </w:trPr>
        <w:tc>
          <w:tcPr>
            <w:tcW w:w="4040" w:type="dxa"/>
            <w:vAlign w:val="bottom"/>
            <w:vMerge w:val="restart"/>
          </w:tcPr>
          <w:p>
            <w:pPr>
              <w:jc w:val="center"/>
              <w:ind w:left="1528"/>
              <w:spacing w:after="0"/>
              <w:rPr>
                <w:sz w:val="20"/>
                <w:szCs w:val="20"/>
                <w:color w:val="auto"/>
              </w:rPr>
            </w:pPr>
            <w:r>
              <w:rPr>
                <w:rFonts w:ascii="Arial" w:cs="Arial" w:eastAsia="Arial" w:hAnsi="Arial"/>
                <w:sz w:val="14"/>
                <w:szCs w:val="14"/>
                <w:color w:val="auto"/>
                <w:w w:val="91"/>
              </w:rPr>
              <w:t>Stock</w:t>
            </w: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4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142"/>
        </w:trPr>
        <w:tc>
          <w:tcPr>
            <w:tcW w:w="5880" w:type="dxa"/>
            <w:vAlign w:val="bottom"/>
          </w:tcPr>
          <w:p>
            <w:pPr>
              <w:jc w:val="center"/>
              <w:ind w:right="248"/>
              <w:spacing w:after="0" w:line="142" w:lineRule="exact"/>
              <w:rPr>
                <w:sz w:val="20"/>
                <w:szCs w:val="20"/>
                <w:color w:val="auto"/>
              </w:rPr>
            </w:pPr>
            <w:r>
              <w:rPr>
                <w:rFonts w:ascii="Arial" w:cs="Arial" w:eastAsia="Arial" w:hAnsi="Arial"/>
                <w:sz w:val="14"/>
                <w:szCs w:val="14"/>
                <w:color w:val="auto"/>
                <w:w w:val="92"/>
              </w:rPr>
              <w:t>Depositary shares of 6.875% Series D Fixed-to-Floating Rate Cumulative Redeemable Preferred</w:t>
            </w:r>
          </w:p>
        </w:tc>
        <w:tc>
          <w:tcPr>
            <w:tcW w:w="860" w:type="dxa"/>
            <w:vAlign w:val="bottom"/>
            <w:vMerge w:val="restart"/>
          </w:tcPr>
          <w:p>
            <w:pPr>
              <w:jc w:val="center"/>
              <w:ind w:left="248"/>
              <w:spacing w:after="0"/>
              <w:rPr>
                <w:sz w:val="20"/>
                <w:szCs w:val="20"/>
                <w:color w:val="auto"/>
              </w:rPr>
            </w:pPr>
            <w:r>
              <w:rPr>
                <w:rFonts w:ascii="Arial" w:cs="Arial" w:eastAsia="Arial" w:hAnsi="Arial"/>
                <w:sz w:val="14"/>
                <w:szCs w:val="14"/>
                <w:color w:val="auto"/>
              </w:rPr>
              <w:t>AGNCM</w:t>
            </w:r>
          </w:p>
        </w:tc>
        <w:tc>
          <w:tcPr>
            <w:tcW w:w="0" w:type="dxa"/>
            <w:vAlign w:val="bottom"/>
          </w:tcPr>
          <w:p>
            <w:pPr>
              <w:spacing w:after="0"/>
              <w:rPr>
                <w:sz w:val="1"/>
                <w:szCs w:val="1"/>
                <w:color w:val="auto"/>
              </w:rPr>
            </w:pPr>
          </w:p>
        </w:tc>
      </w:tr>
      <w:tr>
        <w:trPr>
          <w:trHeight w:val="110"/>
        </w:trPr>
        <w:tc>
          <w:tcPr>
            <w:tcW w:w="5880" w:type="dxa"/>
            <w:vAlign w:val="bottom"/>
            <w:vMerge w:val="restart"/>
          </w:tcPr>
          <w:p>
            <w:pPr>
              <w:jc w:val="center"/>
              <w:ind w:right="248"/>
              <w:spacing w:after="0"/>
              <w:rPr>
                <w:sz w:val="20"/>
                <w:szCs w:val="20"/>
                <w:color w:val="auto"/>
              </w:rPr>
            </w:pPr>
            <w:r>
              <w:rPr>
                <w:rFonts w:ascii="Arial" w:cs="Arial" w:eastAsia="Arial" w:hAnsi="Arial"/>
                <w:sz w:val="14"/>
                <w:szCs w:val="14"/>
                <w:color w:val="auto"/>
                <w:w w:val="91"/>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58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880" w:type="dxa"/>
            <w:vAlign w:val="bottom"/>
          </w:tcPr>
          <w:p>
            <w:pPr>
              <w:jc w:val="center"/>
              <w:ind w:right="248"/>
              <w:spacing w:after="0" w:line="142" w:lineRule="exact"/>
              <w:rPr>
                <w:sz w:val="20"/>
                <w:szCs w:val="20"/>
                <w:color w:val="auto"/>
              </w:rPr>
            </w:pPr>
            <w:r>
              <w:rPr>
                <w:rFonts w:ascii="Arial" w:cs="Arial" w:eastAsia="Arial" w:hAnsi="Arial"/>
                <w:sz w:val="14"/>
                <w:szCs w:val="14"/>
                <w:color w:val="auto"/>
                <w:w w:val="92"/>
              </w:rPr>
              <w:t>Depositary shares of 6.50% Series E Fixed-to-Floating Rate Cumulative Redeemable Preferred</w:t>
            </w:r>
          </w:p>
        </w:tc>
        <w:tc>
          <w:tcPr>
            <w:tcW w:w="860" w:type="dxa"/>
            <w:vAlign w:val="bottom"/>
            <w:vMerge w:val="restart"/>
          </w:tcPr>
          <w:p>
            <w:pPr>
              <w:jc w:val="center"/>
              <w:ind w:left="248"/>
              <w:spacing w:after="0"/>
              <w:rPr>
                <w:sz w:val="20"/>
                <w:szCs w:val="20"/>
                <w:color w:val="auto"/>
              </w:rPr>
            </w:pPr>
            <w:r>
              <w:rPr>
                <w:rFonts w:ascii="Arial" w:cs="Arial" w:eastAsia="Arial" w:hAnsi="Arial"/>
                <w:sz w:val="14"/>
                <w:szCs w:val="14"/>
                <w:color w:val="auto"/>
                <w:w w:val="97"/>
              </w:rPr>
              <w:t>AGNCO</w:t>
            </w:r>
          </w:p>
        </w:tc>
        <w:tc>
          <w:tcPr>
            <w:tcW w:w="0" w:type="dxa"/>
            <w:vAlign w:val="bottom"/>
          </w:tcPr>
          <w:p>
            <w:pPr>
              <w:spacing w:after="0"/>
              <w:rPr>
                <w:sz w:val="1"/>
                <w:szCs w:val="1"/>
                <w:color w:val="auto"/>
              </w:rPr>
            </w:pPr>
          </w:p>
        </w:tc>
      </w:tr>
      <w:tr>
        <w:trPr>
          <w:trHeight w:val="110"/>
        </w:trPr>
        <w:tc>
          <w:tcPr>
            <w:tcW w:w="5880" w:type="dxa"/>
            <w:vAlign w:val="bottom"/>
            <w:vMerge w:val="restart"/>
          </w:tcPr>
          <w:p>
            <w:pPr>
              <w:jc w:val="center"/>
              <w:ind w:right="248"/>
              <w:spacing w:after="0"/>
              <w:rPr>
                <w:sz w:val="20"/>
                <w:szCs w:val="20"/>
                <w:color w:val="auto"/>
              </w:rPr>
            </w:pPr>
            <w:r>
              <w:rPr>
                <w:rFonts w:ascii="Arial" w:cs="Arial" w:eastAsia="Arial" w:hAnsi="Arial"/>
                <w:sz w:val="14"/>
                <w:szCs w:val="14"/>
                <w:color w:val="auto"/>
                <w:w w:val="91"/>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58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880" w:type="dxa"/>
            <w:vAlign w:val="bottom"/>
          </w:tcPr>
          <w:p>
            <w:pPr>
              <w:jc w:val="center"/>
              <w:ind w:right="268"/>
              <w:spacing w:after="0" w:line="142" w:lineRule="exact"/>
              <w:rPr>
                <w:sz w:val="20"/>
                <w:szCs w:val="20"/>
                <w:color w:val="auto"/>
              </w:rPr>
            </w:pPr>
            <w:r>
              <w:rPr>
                <w:rFonts w:ascii="Arial" w:cs="Arial" w:eastAsia="Arial" w:hAnsi="Arial"/>
                <w:sz w:val="14"/>
                <w:szCs w:val="14"/>
                <w:color w:val="auto"/>
                <w:w w:val="92"/>
              </w:rPr>
              <w:t>Depositary shares of 6.125% Series F Fixed-to-Floating Rate Cumulative Redeemable Preferred</w:t>
            </w:r>
          </w:p>
        </w:tc>
        <w:tc>
          <w:tcPr>
            <w:tcW w:w="860" w:type="dxa"/>
            <w:vAlign w:val="bottom"/>
            <w:vMerge w:val="restart"/>
          </w:tcPr>
          <w:p>
            <w:pPr>
              <w:jc w:val="center"/>
              <w:ind w:left="248"/>
              <w:spacing w:after="0"/>
              <w:rPr>
                <w:sz w:val="20"/>
                <w:szCs w:val="20"/>
                <w:color w:val="auto"/>
              </w:rPr>
            </w:pPr>
            <w:r>
              <w:rPr>
                <w:rFonts w:ascii="Arial" w:cs="Arial" w:eastAsia="Arial" w:hAnsi="Arial"/>
                <w:sz w:val="14"/>
                <w:szCs w:val="14"/>
                <w:color w:val="auto"/>
              </w:rPr>
              <w:t>AGNCP</w:t>
            </w:r>
          </w:p>
        </w:tc>
        <w:tc>
          <w:tcPr>
            <w:tcW w:w="0" w:type="dxa"/>
            <w:vAlign w:val="bottom"/>
          </w:tcPr>
          <w:p>
            <w:pPr>
              <w:spacing w:after="0"/>
              <w:rPr>
                <w:sz w:val="1"/>
                <w:szCs w:val="1"/>
                <w:color w:val="auto"/>
              </w:rPr>
            </w:pPr>
          </w:p>
        </w:tc>
      </w:tr>
      <w:tr>
        <w:trPr>
          <w:trHeight w:val="110"/>
        </w:trPr>
        <w:tc>
          <w:tcPr>
            <w:tcW w:w="5880" w:type="dxa"/>
            <w:vAlign w:val="bottom"/>
            <w:vMerge w:val="restart"/>
          </w:tcPr>
          <w:p>
            <w:pPr>
              <w:jc w:val="center"/>
              <w:ind w:right="248"/>
              <w:spacing w:after="0"/>
              <w:rPr>
                <w:sz w:val="20"/>
                <w:szCs w:val="20"/>
                <w:color w:val="auto"/>
              </w:rPr>
            </w:pPr>
            <w:r>
              <w:rPr>
                <w:rFonts w:ascii="Arial" w:cs="Arial" w:eastAsia="Arial" w:hAnsi="Arial"/>
                <w:sz w:val="14"/>
                <w:szCs w:val="14"/>
                <w:color w:val="auto"/>
                <w:w w:val="91"/>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58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jc w:val="center"/>
        <w:ind w:right="2040"/>
        <w:spacing w:after="0"/>
        <w:rPr>
          <w:sz w:val="20"/>
          <w:szCs w:val="20"/>
          <w:color w:val="auto"/>
        </w:rPr>
      </w:pPr>
      <w:r>
        <w:rPr>
          <w:rFonts w:ascii="Arial" w:cs="Arial" w:eastAsia="Arial" w:hAnsi="Arial"/>
          <w:sz w:val="14"/>
          <w:szCs w:val="14"/>
          <w:b w:val="1"/>
          <w:bCs w:val="1"/>
          <w:color w:val="auto"/>
        </w:rPr>
        <w:t>26-1701984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680"/>
        <w:spacing w:after="0"/>
        <w:rPr>
          <w:sz w:val="20"/>
          <w:szCs w:val="20"/>
          <w:color w:val="auto"/>
        </w:rPr>
      </w:pPr>
      <w:r>
        <w:rPr>
          <w:rFonts w:ascii="Arial" w:cs="Arial" w:eastAsia="Arial" w:hAnsi="Arial"/>
          <w:sz w:val="12"/>
          <w:szCs w:val="12"/>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-436245</wp:posOffset>
            </wp:positionH>
            <wp:positionV relativeFrom="paragraph">
              <wp:posOffset>38100</wp:posOffset>
            </wp:positionV>
            <wp:extent cx="2442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49"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96"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63"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63"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63"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72" w:lineRule="exact"/>
        <w:rPr>
          <w:sz w:val="24"/>
          <w:szCs w:val="24"/>
          <w:color w:val="auto"/>
        </w:rPr>
      </w:pPr>
    </w:p>
    <w:p>
      <w:pPr>
        <w:sectPr>
          <w:pgSz w:w="11900" w:h="16838" w:orient="portrait"/>
          <w:cols w:equalWidth="0" w:num="2">
            <w:col w:w="7440" w:space="640"/>
            <w:col w:w="3160"/>
          </w:cols>
          <w:pgMar w:left="320" w:top="899" w:right="339" w:bottom="1440" w:gutter="0" w:footer="0" w:header="0"/>
          <w:type w:val="continuous"/>
        </w:sectPr>
      </w:pPr>
    </w:p>
    <w:p>
      <w:pPr>
        <w:jc w:val="center"/>
        <w:ind w:right="-33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7" w:lineRule="exact"/>
        <w:rPr>
          <w:sz w:val="24"/>
          <w:szCs w:val="24"/>
          <w:color w:val="auto"/>
        </w:rPr>
      </w:pPr>
    </w:p>
    <w:p>
      <w:pPr>
        <w:ind w:right="100"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24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300" w:type="dxa"/>
        <w:tblCellMar>
          <w:top w:w="0" w:type="dxa"/>
          <w:left w:w="0" w:type="dxa"/>
          <w:bottom w:w="0" w:type="dxa"/>
          <w:right w:w="0" w:type="dxa"/>
        </w:tblCellMar>
      </w:tblPr>
      <w:tr>
        <w:trPr>
          <w:trHeight w:val="182"/>
        </w:trPr>
        <w:tc>
          <w:tcPr>
            <w:tcW w:w="21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140" w:type="dxa"/>
            <w:vAlign w:val="bottom"/>
          </w:tcPr>
          <w:p>
            <w:pPr>
              <w:spacing w:after="0"/>
              <w:rPr>
                <w:sz w:val="20"/>
                <w:szCs w:val="20"/>
                <w:color w:val="auto"/>
              </w:rPr>
            </w:pPr>
            <w:r>
              <w:rPr>
                <w:rFonts w:ascii="Arial" w:cs="Arial" w:eastAsia="Arial" w:hAnsi="Arial"/>
                <w:sz w:val="14"/>
                <w:szCs w:val="14"/>
                <w:color w:val="auto"/>
              </w:rPr>
              <w:t>Non-accelerated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85" w:lineRule="exact"/>
        <w:rPr>
          <w:sz w:val="24"/>
          <w:szCs w:val="24"/>
          <w:color w:val="auto"/>
        </w:rPr>
      </w:pPr>
    </w:p>
    <w:p>
      <w:pPr>
        <w:ind w:right="460" w:firstLine="324"/>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40" w:right="3360"/>
        <w:spacing w:after="0" w:line="169"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The number of shares of the issuer's common stock, $0.01 par value, outstanding as of July 31, 2022 was 522,722,819.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51435</wp:posOffset>
            </wp:positionV>
            <wp:extent cx="6990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00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17145</wp:posOffset>
            </wp:positionV>
            <wp:extent cx="6990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0080" cy="889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AGNC INVESTMENT CORP.</w:t>
      </w:r>
    </w:p>
    <w:p>
      <w:pPr>
        <w:spacing w:after="0" w:line="1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gridSpan w:val="2"/>
          </w:tcPr>
          <w:p>
            <w:pPr>
              <w:spacing w:after="0"/>
              <w:rPr>
                <w:rFonts w:ascii="Arial" w:cs="Arial" w:eastAsia="Arial" w:hAnsi="Arial"/>
                <w:sz w:val="16"/>
                <w:szCs w:val="16"/>
                <w:b w:val="1"/>
                <w:bCs w:val="1"/>
                <w:color w:val="0000FF"/>
                <w:w w:val="98"/>
              </w:rPr>
            </w:pPr>
            <w:hyperlink w:anchor="page47">
              <w:r>
                <w:rPr>
                  <w:rFonts w:ascii="Arial" w:cs="Arial" w:eastAsia="Arial" w:hAnsi="Arial"/>
                  <w:sz w:val="16"/>
                  <w:szCs w:val="16"/>
                  <w:b w:val="1"/>
                  <w:bCs w:val="1"/>
                  <w:color w:val="0000FF"/>
                  <w:w w:val="98"/>
                </w:rPr>
                <w:t>PART I.</w:t>
              </w:r>
            </w:hyperlink>
          </w:p>
        </w:tc>
        <w:tc>
          <w:tcPr>
            <w:tcW w:w="460" w:type="dxa"/>
            <w:vAlign w:val="bottom"/>
            <w:gridSpan w:val="2"/>
          </w:tcPr>
          <w:p>
            <w:pPr>
              <w:spacing w:after="0"/>
              <w:rPr>
                <w:sz w:val="16"/>
                <w:szCs w:val="16"/>
                <w:color w:val="auto"/>
              </w:rPr>
            </w:pPr>
          </w:p>
        </w:tc>
        <w:tc>
          <w:tcPr>
            <w:tcW w:w="7580" w:type="dxa"/>
            <w:vAlign w:val="bottom"/>
            <w:gridSpan w:val="12"/>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FINANCIAL INFORMATION</w:t>
              </w:r>
            </w:hyperlink>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460" w:type="dxa"/>
            <w:vAlign w:val="bottom"/>
            <w:tcBorders>
              <w:top w:val="single" w:sz="8" w:color="0000FF"/>
            </w:tcBorders>
          </w:tcPr>
          <w:p>
            <w:pPr>
              <w:spacing w:after="0"/>
              <w:rPr>
                <w:rFonts w:ascii="Arial" w:cs="Arial" w:eastAsia="Arial" w:hAnsi="Arial"/>
                <w:sz w:val="16"/>
                <w:szCs w:val="16"/>
                <w:color w:val="0000FF"/>
                <w:w w:val="85"/>
              </w:rPr>
            </w:pPr>
            <w:hyperlink w:anchor="page3">
              <w:r>
                <w:rPr>
                  <w:rFonts w:ascii="Arial" w:cs="Arial" w:eastAsia="Arial" w:hAnsi="Arial"/>
                  <w:sz w:val="16"/>
                  <w:szCs w:val="16"/>
                  <w:color w:val="0000FF"/>
                  <w:w w:val="85"/>
                </w:rPr>
                <w:t>Item 1.</w:t>
              </w:r>
            </w:hyperlink>
          </w:p>
        </w:tc>
        <w:tc>
          <w:tcPr>
            <w:tcW w:w="120" w:type="dxa"/>
            <w:vAlign w:val="bottom"/>
            <w:tcBorders>
              <w:top w:val="single" w:sz="8" w:color="0000FF"/>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2140" w:type="dxa"/>
            <w:vAlign w:val="bottom"/>
            <w:tcBorders>
              <w:top w:val="single" w:sz="8" w:color="0000FF"/>
            </w:tcBorders>
            <w:gridSpan w:val="9"/>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5440" w:type="dxa"/>
            <w:vAlign w:val="bottom"/>
            <w:gridSpan w:val="3"/>
          </w:tcPr>
          <w:p>
            <w:pPr>
              <w:spacing w:after="0"/>
              <w:rPr>
                <w:sz w:val="17"/>
                <w:szCs w:val="17"/>
                <w:color w:val="auto"/>
              </w:rPr>
            </w:pPr>
          </w:p>
        </w:tc>
        <w:tc>
          <w:tcPr>
            <w:tcW w:w="192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2</w:t>
              </w:r>
            </w:hyperlink>
          </w:p>
        </w:tc>
        <w:tc>
          <w:tcPr>
            <w:tcW w:w="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25">
              <w:r>
                <w:rPr>
                  <w:rFonts w:ascii="Arial" w:cs="Arial" w:eastAsia="Arial" w:hAnsi="Arial"/>
                  <w:sz w:val="16"/>
                  <w:szCs w:val="16"/>
                  <w:color w:val="0000FF"/>
                  <w:w w:val="85"/>
                </w:rPr>
                <w:t>Item 2.</w:t>
              </w:r>
            </w:hyperlink>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7580" w:type="dxa"/>
            <w:vAlign w:val="bottom"/>
            <w:gridSpan w:val="12"/>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Management's Discussion and Analysis of Financial Condition and Results of Operations</w:t>
              </w:r>
            </w:hyperlink>
          </w:p>
        </w:tc>
        <w:tc>
          <w:tcPr>
            <w:tcW w:w="1960" w:type="dxa"/>
            <w:vAlign w:val="bottom"/>
            <w:gridSpan w:val="4"/>
          </w:tcPr>
          <w:p>
            <w:pPr>
              <w:jc w:val="right"/>
              <w:spacing w:after="0"/>
              <w:rPr>
                <w:rFonts w:ascii="Arial" w:cs="Arial" w:eastAsia="Arial" w:hAnsi="Arial"/>
                <w:sz w:val="16"/>
                <w:szCs w:val="16"/>
                <w:color w:val="0000FF"/>
              </w:rPr>
            </w:pPr>
            <w:hyperlink w:anchor="page25">
              <w:r>
                <w:rPr>
                  <w:rFonts w:ascii="Arial" w:cs="Arial" w:eastAsia="Arial" w:hAnsi="Arial"/>
                  <w:sz w:val="16"/>
                  <w:szCs w:val="16"/>
                  <w:color w:val="0000FF"/>
                </w:rPr>
                <w:t>24</w:t>
              </w:r>
            </w:hyperlink>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8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44">
              <w:r>
                <w:rPr>
                  <w:rFonts w:ascii="Arial" w:cs="Arial" w:eastAsia="Arial" w:hAnsi="Arial"/>
                  <w:sz w:val="16"/>
                  <w:szCs w:val="16"/>
                  <w:color w:val="0000FF"/>
                  <w:w w:val="85"/>
                </w:rPr>
                <w:t>Item 3.</w:t>
              </w:r>
            </w:hyperlink>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3900" w:type="dxa"/>
            <w:vAlign w:val="bottom"/>
            <w:gridSpan w:val="10"/>
          </w:tcPr>
          <w:p>
            <w:pPr>
              <w:spacing w:after="0"/>
              <w:rPr>
                <w:rFonts w:ascii="Arial" w:cs="Arial" w:eastAsia="Arial" w:hAnsi="Arial"/>
                <w:sz w:val="16"/>
                <w:szCs w:val="16"/>
                <w:color w:val="0000FF"/>
                <w:w w:val="92"/>
              </w:rPr>
            </w:pPr>
            <w:hyperlink w:anchor="page44">
              <w:r>
                <w:rPr>
                  <w:rFonts w:ascii="Arial" w:cs="Arial" w:eastAsia="Arial" w:hAnsi="Arial"/>
                  <w:sz w:val="16"/>
                  <w:szCs w:val="16"/>
                  <w:color w:val="0000FF"/>
                  <w:w w:val="92"/>
                </w:rPr>
                <w:t>Quantitative and Qualitative Disclosures About Market Risk</w:t>
              </w:r>
            </w:hyperlink>
          </w:p>
        </w:tc>
        <w:tc>
          <w:tcPr>
            <w:tcW w:w="1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60" w:type="dxa"/>
            <w:vAlign w:val="bottom"/>
            <w:gridSpan w:val="4"/>
          </w:tcPr>
          <w:p>
            <w:pPr>
              <w:jc w:val="right"/>
              <w:spacing w:after="0"/>
              <w:rPr>
                <w:rFonts w:ascii="Arial" w:cs="Arial" w:eastAsia="Arial" w:hAnsi="Arial"/>
                <w:sz w:val="16"/>
                <w:szCs w:val="16"/>
                <w:color w:val="0000FF"/>
              </w:rPr>
            </w:pPr>
            <w:hyperlink w:anchor="page44">
              <w:r>
                <w:rPr>
                  <w:rFonts w:ascii="Arial" w:cs="Arial" w:eastAsia="Arial" w:hAnsi="Arial"/>
                  <w:sz w:val="16"/>
                  <w:szCs w:val="16"/>
                  <w:color w:val="0000FF"/>
                </w:rPr>
                <w:t>43</w:t>
              </w:r>
            </w:hyperlink>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680" w:type="dxa"/>
            <w:vAlign w:val="bottom"/>
            <w:tcBorders>
              <w:left w:val="single" w:sz="8" w:color="0000FF"/>
            </w:tcBorders>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47">
              <w:r>
                <w:rPr>
                  <w:rFonts w:ascii="Arial" w:cs="Arial" w:eastAsia="Arial" w:hAnsi="Arial"/>
                  <w:sz w:val="16"/>
                  <w:szCs w:val="16"/>
                  <w:color w:val="0000FF"/>
                  <w:w w:val="85"/>
                </w:rPr>
                <w:t>Item 4.</w:t>
              </w:r>
            </w:hyperlink>
          </w:p>
        </w:tc>
        <w:tc>
          <w:tcPr>
            <w:tcW w:w="580" w:type="dxa"/>
            <w:vAlign w:val="bottom"/>
            <w:gridSpan w:val="3"/>
          </w:tcPr>
          <w:p>
            <w:pPr>
              <w:spacing w:after="0"/>
              <w:rPr>
                <w:sz w:val="17"/>
                <w:szCs w:val="17"/>
                <w:color w:val="auto"/>
              </w:rPr>
            </w:pPr>
          </w:p>
        </w:tc>
        <w:tc>
          <w:tcPr>
            <w:tcW w:w="3900" w:type="dxa"/>
            <w:vAlign w:val="bottom"/>
            <w:gridSpan w:val="10"/>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Controls and Procedures</w:t>
              </w:r>
            </w:hyperlink>
          </w:p>
        </w:tc>
        <w:tc>
          <w:tcPr>
            <w:tcW w:w="3680" w:type="dxa"/>
            <w:vAlign w:val="bottom"/>
            <w:gridSpan w:val="2"/>
          </w:tcPr>
          <w:p>
            <w:pPr>
              <w:spacing w:after="0"/>
              <w:rPr>
                <w:sz w:val="17"/>
                <w:szCs w:val="17"/>
                <w:color w:val="auto"/>
              </w:rPr>
            </w:pPr>
          </w:p>
        </w:tc>
        <w:tc>
          <w:tcPr>
            <w:tcW w:w="1960" w:type="dxa"/>
            <w:vAlign w:val="bottom"/>
            <w:gridSpan w:val="4"/>
          </w:tcPr>
          <w:p>
            <w:pPr>
              <w:jc w:val="right"/>
              <w:spacing w:after="0"/>
              <w:rPr>
                <w:rFonts w:ascii="Arial" w:cs="Arial" w:eastAsia="Arial" w:hAnsi="Arial"/>
                <w:sz w:val="16"/>
                <w:szCs w:val="16"/>
                <w:color w:val="0000FF"/>
              </w:rPr>
            </w:pPr>
            <w:hyperlink w:anchor="page47">
              <w:r>
                <w:rPr>
                  <w:rFonts w:ascii="Arial" w:cs="Arial" w:eastAsia="Arial" w:hAnsi="Arial"/>
                  <w:sz w:val="16"/>
                  <w:szCs w:val="16"/>
                  <w:color w:val="0000FF"/>
                </w:rPr>
                <w:t>46</w:t>
              </w:r>
            </w:hyperlink>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53"/>
        </w:trPr>
        <w:tc>
          <w:tcPr>
            <w:tcW w:w="680" w:type="dxa"/>
            <w:vAlign w:val="bottom"/>
            <w:tcBorders>
              <w:bottom w:val="single" w:sz="8" w:color="0000FF"/>
            </w:tcBorders>
            <w:gridSpan w:val="3"/>
          </w:tcPr>
          <w:p>
            <w:pPr>
              <w:spacing w:after="0"/>
              <w:rPr>
                <w:rFonts w:ascii="Arial" w:cs="Arial" w:eastAsia="Arial" w:hAnsi="Arial"/>
                <w:sz w:val="16"/>
                <w:szCs w:val="16"/>
                <w:b w:val="1"/>
                <w:bCs w:val="1"/>
                <w:color w:val="0000FF"/>
              </w:rPr>
            </w:pPr>
            <w:hyperlink w:anchor="page47">
              <w:r>
                <w:rPr>
                  <w:rFonts w:ascii="Arial" w:cs="Arial" w:eastAsia="Arial" w:hAnsi="Arial"/>
                  <w:sz w:val="16"/>
                  <w:szCs w:val="16"/>
                  <w:b w:val="1"/>
                  <w:bCs w:val="1"/>
                  <w:color w:val="0000FF"/>
                </w:rPr>
                <w:t>PART II.</w:t>
              </w:r>
            </w:hyperlink>
          </w:p>
        </w:tc>
        <w:tc>
          <w:tcPr>
            <w:tcW w:w="360" w:type="dxa"/>
            <w:vAlign w:val="bottom"/>
          </w:tcPr>
          <w:p>
            <w:pPr>
              <w:spacing w:after="0"/>
              <w:rPr>
                <w:sz w:val="24"/>
                <w:szCs w:val="24"/>
                <w:color w:val="auto"/>
              </w:rPr>
            </w:pPr>
          </w:p>
        </w:tc>
        <w:tc>
          <w:tcPr>
            <w:tcW w:w="1820" w:type="dxa"/>
            <w:vAlign w:val="bottom"/>
            <w:tcBorders>
              <w:bottom w:val="single" w:sz="8" w:color="0000FF"/>
            </w:tcBorders>
            <w:gridSpan w:val="7"/>
          </w:tcPr>
          <w:p>
            <w:pPr>
              <w:spacing w:after="0"/>
              <w:rPr>
                <w:rFonts w:ascii="Arial" w:cs="Arial" w:eastAsia="Arial" w:hAnsi="Arial"/>
                <w:sz w:val="16"/>
                <w:szCs w:val="16"/>
                <w:b w:val="1"/>
                <w:bCs w:val="1"/>
                <w:color w:val="0000FF"/>
              </w:rPr>
            </w:pPr>
            <w:hyperlink w:anchor="page47">
              <w:r>
                <w:rPr>
                  <w:rFonts w:ascii="Arial" w:cs="Arial" w:eastAsia="Arial" w:hAnsi="Arial"/>
                  <w:sz w:val="16"/>
                  <w:szCs w:val="16"/>
                  <w:b w:val="1"/>
                  <w:bCs w:val="1"/>
                  <w:color w:val="0000FF"/>
                </w:rPr>
                <w:t>OTHER INFORMATION</w:t>
              </w:r>
            </w:hyperlink>
          </w:p>
        </w:tc>
        <w:tc>
          <w:tcPr>
            <w:tcW w:w="5760" w:type="dxa"/>
            <w:vAlign w:val="bottom"/>
            <w:gridSpan w:val="5"/>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80" w:type="dxa"/>
            <w:vAlign w:val="bottom"/>
            <w:tcBorders>
              <w:bottom w:val="single" w:sz="8" w:color="0000FF"/>
            </w:tcBorders>
            <w:gridSpan w:val="2"/>
          </w:tcPr>
          <w:p>
            <w:pPr>
              <w:spacing w:after="0" w:line="183" w:lineRule="exact"/>
              <w:rPr>
                <w:rFonts w:ascii="Arial" w:cs="Arial" w:eastAsia="Arial" w:hAnsi="Arial"/>
                <w:sz w:val="16"/>
                <w:szCs w:val="16"/>
                <w:color w:val="0000FF"/>
              </w:rPr>
            </w:pPr>
            <w:hyperlink w:anchor="page48">
              <w:r>
                <w:rPr>
                  <w:rFonts w:ascii="Arial" w:cs="Arial" w:eastAsia="Arial" w:hAnsi="Arial"/>
                  <w:sz w:val="16"/>
                  <w:szCs w:val="16"/>
                  <w:color w:val="0000FF"/>
                </w:rPr>
                <w:t>Item 1.</w:t>
              </w:r>
            </w:hyperlink>
          </w:p>
        </w:tc>
        <w:tc>
          <w:tcPr>
            <w:tcW w:w="460" w:type="dxa"/>
            <w:vAlign w:val="bottom"/>
            <w:gridSpan w:val="2"/>
          </w:tcPr>
          <w:p>
            <w:pPr>
              <w:spacing w:after="0"/>
              <w:rPr>
                <w:sz w:val="18"/>
                <w:szCs w:val="18"/>
                <w:color w:val="auto"/>
              </w:rPr>
            </w:pPr>
          </w:p>
        </w:tc>
        <w:tc>
          <w:tcPr>
            <w:tcW w:w="1200" w:type="dxa"/>
            <w:vAlign w:val="bottom"/>
            <w:tcBorders>
              <w:bottom w:val="single" w:sz="8" w:color="0000FF"/>
            </w:tcBorders>
            <w:gridSpan w:val="4"/>
          </w:tcPr>
          <w:p>
            <w:pPr>
              <w:spacing w:after="0" w:line="183" w:lineRule="exact"/>
              <w:rPr>
                <w:rFonts w:ascii="Arial" w:cs="Arial" w:eastAsia="Arial" w:hAnsi="Arial"/>
                <w:sz w:val="16"/>
                <w:szCs w:val="16"/>
                <w:color w:val="0000FF"/>
                <w:w w:val="89"/>
              </w:rPr>
            </w:pPr>
            <w:hyperlink w:anchor="page48">
              <w:r>
                <w:rPr>
                  <w:rFonts w:ascii="Arial" w:cs="Arial" w:eastAsia="Arial" w:hAnsi="Arial"/>
                  <w:sz w:val="16"/>
                  <w:szCs w:val="16"/>
                  <w:color w:val="0000FF"/>
                  <w:w w:val="89"/>
                </w:rPr>
                <w:t>Legal Proceedings</w:t>
              </w:r>
            </w:hyperlink>
          </w:p>
        </w:tc>
        <w:tc>
          <w:tcPr>
            <w:tcW w:w="840" w:type="dxa"/>
            <w:vAlign w:val="bottom"/>
            <w:tcBorders>
              <w:bottom w:val="single" w:sz="8" w:color="0000FF"/>
            </w:tcBorders>
            <w:gridSpan w:val="4"/>
          </w:tcPr>
          <w:p>
            <w:pPr>
              <w:spacing w:after="0"/>
              <w:rPr>
                <w:sz w:val="18"/>
                <w:szCs w:val="18"/>
                <w:color w:val="auto"/>
              </w:rPr>
            </w:pPr>
          </w:p>
        </w:tc>
        <w:tc>
          <w:tcPr>
            <w:tcW w:w="1860" w:type="dxa"/>
            <w:vAlign w:val="bottom"/>
            <w:gridSpan w:val="2"/>
          </w:tcPr>
          <w:p>
            <w:pPr>
              <w:spacing w:after="0"/>
              <w:rPr>
                <w:sz w:val="18"/>
                <w:szCs w:val="18"/>
                <w:color w:val="auto"/>
              </w:rPr>
            </w:pPr>
          </w:p>
        </w:tc>
        <w:tc>
          <w:tcPr>
            <w:tcW w:w="368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line="176"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47</w:t>
              </w:r>
            </w:hyperlink>
          </w:p>
        </w:tc>
      </w:tr>
      <w:tr>
        <w:trPr>
          <w:trHeight w:val="190"/>
        </w:trPr>
        <w:tc>
          <w:tcPr>
            <w:tcW w:w="1040" w:type="dxa"/>
            <w:vAlign w:val="bottom"/>
            <w:gridSpan w:val="4"/>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Item 1A.</w:t>
              </w:r>
            </w:hyperlink>
          </w:p>
        </w:tc>
        <w:tc>
          <w:tcPr>
            <w:tcW w:w="7580" w:type="dxa"/>
            <w:vAlign w:val="bottom"/>
            <w:gridSpan w:val="12"/>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Risk Factors</w:t>
              </w:r>
            </w:hyperlink>
          </w:p>
        </w:tc>
        <w:tc>
          <w:tcPr>
            <w:tcW w:w="1960" w:type="dxa"/>
            <w:vAlign w:val="bottom"/>
            <w:gridSpan w:val="4"/>
          </w:tcPr>
          <w:p>
            <w:pPr>
              <w:jc w:val="right"/>
              <w:spacing w:after="0"/>
              <w:rPr>
                <w:rFonts w:ascii="Arial" w:cs="Arial" w:eastAsia="Arial" w:hAnsi="Arial"/>
                <w:sz w:val="16"/>
                <w:szCs w:val="16"/>
                <w:color w:val="0000FF"/>
              </w:rPr>
            </w:pPr>
            <w:hyperlink w:anchor="page48">
              <w:r>
                <w:rPr>
                  <w:rFonts w:ascii="Arial" w:cs="Arial" w:eastAsia="Arial" w:hAnsi="Arial"/>
                  <w:sz w:val="16"/>
                  <w:szCs w:val="16"/>
                  <w:color w:val="0000FF"/>
                </w:rPr>
                <w:t>47</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48">
              <w:r>
                <w:rPr>
                  <w:rFonts w:ascii="Arial" w:cs="Arial" w:eastAsia="Arial" w:hAnsi="Arial"/>
                  <w:sz w:val="16"/>
                  <w:szCs w:val="16"/>
                  <w:color w:val="0000FF"/>
                  <w:w w:val="85"/>
                </w:rPr>
                <w:t>Item 2.</w:t>
              </w:r>
            </w:hyperlink>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7580" w:type="dxa"/>
            <w:vAlign w:val="bottom"/>
            <w:gridSpan w:val="12"/>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Unregistered Sales of Equity Securities and Use of Proceeds</w:t>
              </w:r>
            </w:hyperlink>
          </w:p>
        </w:tc>
        <w:tc>
          <w:tcPr>
            <w:tcW w:w="1960" w:type="dxa"/>
            <w:vAlign w:val="bottom"/>
            <w:gridSpan w:val="4"/>
          </w:tcPr>
          <w:p>
            <w:pPr>
              <w:jc w:val="right"/>
              <w:spacing w:after="0"/>
              <w:rPr>
                <w:rFonts w:ascii="Arial" w:cs="Arial" w:eastAsia="Arial" w:hAnsi="Arial"/>
                <w:sz w:val="16"/>
                <w:szCs w:val="16"/>
                <w:color w:val="0000FF"/>
              </w:rPr>
            </w:pPr>
            <w:hyperlink w:anchor="page48">
              <w:r>
                <w:rPr>
                  <w:rFonts w:ascii="Arial" w:cs="Arial" w:eastAsia="Arial" w:hAnsi="Arial"/>
                  <w:sz w:val="16"/>
                  <w:szCs w:val="16"/>
                  <w:color w:val="0000FF"/>
                </w:rPr>
                <w:t>47</w:t>
              </w:r>
            </w:hyperlink>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3"/>
        </w:trPr>
        <w:tc>
          <w:tcPr>
            <w:tcW w:w="460" w:type="dxa"/>
            <w:vAlign w:val="bottom"/>
            <w:tcBorders>
              <w:bottom w:val="single" w:sz="8" w:color="0000FF"/>
            </w:tcBorders>
          </w:tcPr>
          <w:p>
            <w:pPr>
              <w:spacing w:after="0" w:line="183" w:lineRule="exact"/>
              <w:rPr>
                <w:rFonts w:ascii="Arial" w:cs="Arial" w:eastAsia="Arial" w:hAnsi="Arial"/>
                <w:sz w:val="16"/>
                <w:szCs w:val="16"/>
                <w:color w:val="0000FF"/>
                <w:w w:val="85"/>
              </w:rPr>
            </w:pPr>
            <w:hyperlink w:anchor="page48">
              <w:r>
                <w:rPr>
                  <w:rFonts w:ascii="Arial" w:cs="Arial" w:eastAsia="Arial" w:hAnsi="Arial"/>
                  <w:sz w:val="16"/>
                  <w:szCs w:val="16"/>
                  <w:color w:val="0000FF"/>
                  <w:w w:val="85"/>
                </w:rPr>
                <w:t>Item 3.</w:t>
              </w:r>
            </w:hyperlink>
          </w:p>
        </w:tc>
        <w:tc>
          <w:tcPr>
            <w:tcW w:w="220" w:type="dxa"/>
            <w:vAlign w:val="bottom"/>
            <w:tcBorders>
              <w:bottom w:val="single" w:sz="8" w:color="0000FF"/>
            </w:tcBorders>
            <w:gridSpan w:val="2"/>
          </w:tcPr>
          <w:p>
            <w:pPr>
              <w:spacing w:after="0"/>
              <w:rPr>
                <w:sz w:val="17"/>
                <w:szCs w:val="17"/>
                <w:color w:val="auto"/>
              </w:rPr>
            </w:pPr>
          </w:p>
        </w:tc>
        <w:tc>
          <w:tcPr>
            <w:tcW w:w="360" w:type="dxa"/>
            <w:vAlign w:val="bottom"/>
          </w:tcPr>
          <w:p>
            <w:pPr>
              <w:spacing w:after="0"/>
              <w:rPr>
                <w:sz w:val="17"/>
                <w:szCs w:val="17"/>
                <w:color w:val="auto"/>
              </w:rPr>
            </w:pPr>
          </w:p>
        </w:tc>
        <w:tc>
          <w:tcPr>
            <w:tcW w:w="3900" w:type="dxa"/>
            <w:vAlign w:val="bottom"/>
            <w:tcBorders>
              <w:bottom w:val="single" w:sz="8" w:color="0000FF"/>
            </w:tcBorders>
            <w:gridSpan w:val="10"/>
          </w:tcPr>
          <w:p>
            <w:pPr>
              <w:spacing w:after="0" w:line="183" w:lineRule="exact"/>
              <w:rPr>
                <w:rFonts w:ascii="Arial" w:cs="Arial" w:eastAsia="Arial" w:hAnsi="Arial"/>
                <w:sz w:val="16"/>
                <w:szCs w:val="16"/>
                <w:color w:val="0000FF"/>
              </w:rPr>
            </w:pPr>
            <w:hyperlink w:anchor="page48">
              <w:r>
                <w:rPr>
                  <w:rFonts w:ascii="Arial" w:cs="Arial" w:eastAsia="Arial" w:hAnsi="Arial"/>
                  <w:sz w:val="16"/>
                  <w:szCs w:val="16"/>
                  <w:color w:val="0000FF"/>
                </w:rPr>
                <w:t>Defaults upon Senior Securities</w:t>
              </w:r>
            </w:hyperlink>
          </w:p>
        </w:tc>
        <w:tc>
          <w:tcPr>
            <w:tcW w:w="3680" w:type="dxa"/>
            <w:vAlign w:val="bottom"/>
            <w:tcBorders>
              <w:bottom w:val="single" w:sz="8" w:color="0000FF"/>
            </w:tcBorders>
            <w:gridSpan w:val="2"/>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line="182"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47</w:t>
              </w:r>
            </w:hyperlink>
          </w:p>
        </w:tc>
      </w:tr>
      <w:tr>
        <w:trPr>
          <w:trHeight w:val="203"/>
        </w:trPr>
        <w:tc>
          <w:tcPr>
            <w:tcW w:w="680" w:type="dxa"/>
            <w:vAlign w:val="bottom"/>
            <w:gridSpan w:val="3"/>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Item 4.</w:t>
              </w:r>
            </w:hyperlink>
          </w:p>
        </w:tc>
        <w:tc>
          <w:tcPr>
            <w:tcW w:w="360" w:type="dxa"/>
            <w:vAlign w:val="bottom"/>
          </w:tcPr>
          <w:p>
            <w:pPr>
              <w:spacing w:after="0"/>
              <w:rPr>
                <w:sz w:val="17"/>
                <w:szCs w:val="17"/>
                <w:color w:val="auto"/>
              </w:rPr>
            </w:pPr>
          </w:p>
        </w:tc>
        <w:tc>
          <w:tcPr>
            <w:tcW w:w="7580" w:type="dxa"/>
            <w:vAlign w:val="bottom"/>
            <w:gridSpan w:val="12"/>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Mine Safety Disclosures</w:t>
              </w:r>
            </w:hyperlink>
          </w:p>
        </w:tc>
        <w:tc>
          <w:tcPr>
            <w:tcW w:w="1960" w:type="dxa"/>
            <w:vAlign w:val="bottom"/>
            <w:gridSpan w:val="4"/>
          </w:tcPr>
          <w:p>
            <w:pPr>
              <w:jc w:val="right"/>
              <w:spacing w:after="0"/>
              <w:rPr>
                <w:rFonts w:ascii="Arial" w:cs="Arial" w:eastAsia="Arial" w:hAnsi="Arial"/>
                <w:sz w:val="16"/>
                <w:szCs w:val="16"/>
                <w:color w:val="0000FF"/>
              </w:rPr>
            </w:pPr>
            <w:hyperlink w:anchor="page48">
              <w:r>
                <w:rPr>
                  <w:rFonts w:ascii="Arial" w:cs="Arial" w:eastAsia="Arial" w:hAnsi="Arial"/>
                  <w:sz w:val="16"/>
                  <w:szCs w:val="16"/>
                  <w:color w:val="0000FF"/>
                </w:rPr>
                <w:t>47</w:t>
              </w:r>
            </w:hyperlink>
          </w:p>
        </w:tc>
      </w:tr>
      <w:tr>
        <w:trPr>
          <w:trHeight w:val="196"/>
        </w:trPr>
        <w:tc>
          <w:tcPr>
            <w:tcW w:w="460" w:type="dxa"/>
            <w:vAlign w:val="bottom"/>
            <w:tcBorders>
              <w:top w:val="single" w:sz="8" w:color="0000FF"/>
            </w:tcBorders>
          </w:tcPr>
          <w:p>
            <w:pPr>
              <w:spacing w:after="0"/>
              <w:rPr>
                <w:rFonts w:ascii="Arial" w:cs="Arial" w:eastAsia="Arial" w:hAnsi="Arial"/>
                <w:sz w:val="16"/>
                <w:szCs w:val="16"/>
                <w:color w:val="0000FF"/>
                <w:w w:val="85"/>
              </w:rPr>
            </w:pPr>
            <w:hyperlink w:anchor="page48">
              <w:r>
                <w:rPr>
                  <w:rFonts w:ascii="Arial" w:cs="Arial" w:eastAsia="Arial" w:hAnsi="Arial"/>
                  <w:sz w:val="16"/>
                  <w:szCs w:val="16"/>
                  <w:color w:val="0000FF"/>
                  <w:w w:val="85"/>
                </w:rPr>
                <w:t>Item 5.</w:t>
              </w:r>
            </w:hyperlink>
          </w:p>
        </w:tc>
        <w:tc>
          <w:tcPr>
            <w:tcW w:w="220" w:type="dxa"/>
            <w:vAlign w:val="bottom"/>
            <w:tcBorders>
              <w:top w:val="single" w:sz="8" w:color="0000FF"/>
            </w:tcBorders>
            <w:gridSpan w:val="2"/>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Borders>
              <w:top w:val="single" w:sz="8" w:color="0000FF"/>
            </w:tcBorders>
            <w:gridSpan w:val="3"/>
          </w:tcPr>
          <w:p>
            <w:pPr>
              <w:spacing w:after="0"/>
              <w:rPr>
                <w:rFonts w:ascii="Arial" w:cs="Arial" w:eastAsia="Arial" w:hAnsi="Arial"/>
                <w:sz w:val="16"/>
                <w:szCs w:val="16"/>
                <w:color w:val="0000FF"/>
                <w:w w:val="93"/>
              </w:rPr>
            </w:pPr>
            <w:hyperlink w:anchor="page48">
              <w:r>
                <w:rPr>
                  <w:rFonts w:ascii="Arial" w:cs="Arial" w:eastAsia="Arial" w:hAnsi="Arial"/>
                  <w:sz w:val="16"/>
                  <w:szCs w:val="16"/>
                  <w:color w:val="0000FF"/>
                  <w:w w:val="93"/>
                </w:rPr>
                <w:t>Other Information</w:t>
              </w:r>
            </w:hyperlink>
          </w:p>
        </w:tc>
        <w:tc>
          <w:tcPr>
            <w:tcW w:w="400" w:type="dxa"/>
            <w:vAlign w:val="bottom"/>
            <w:tcBorders>
              <w:top w:val="single" w:sz="8" w:color="0000FF"/>
            </w:tcBorders>
            <w:gridSpan w:val="3"/>
          </w:tcPr>
          <w:p>
            <w:pPr>
              <w:spacing w:after="0"/>
              <w:rPr>
                <w:sz w:val="17"/>
                <w:szCs w:val="17"/>
                <w:color w:val="auto"/>
              </w:rPr>
            </w:pPr>
          </w:p>
        </w:tc>
        <w:tc>
          <w:tcPr>
            <w:tcW w:w="6000" w:type="dxa"/>
            <w:vAlign w:val="bottom"/>
            <w:gridSpan w:val="6"/>
          </w:tcPr>
          <w:p>
            <w:pPr>
              <w:spacing w:after="0"/>
              <w:rPr>
                <w:sz w:val="17"/>
                <w:szCs w:val="17"/>
                <w:color w:val="auto"/>
              </w:rPr>
            </w:pPr>
          </w:p>
        </w:tc>
        <w:tc>
          <w:tcPr>
            <w:tcW w:w="1960" w:type="dxa"/>
            <w:vAlign w:val="bottom"/>
            <w:gridSpan w:val="4"/>
          </w:tcPr>
          <w:p>
            <w:pPr>
              <w:jc w:val="right"/>
              <w:spacing w:after="0"/>
              <w:rPr>
                <w:rFonts w:ascii="Arial" w:cs="Arial" w:eastAsia="Arial" w:hAnsi="Arial"/>
                <w:sz w:val="16"/>
                <w:szCs w:val="16"/>
                <w:color w:val="0000FF"/>
              </w:rPr>
            </w:pPr>
            <w:hyperlink w:anchor="page48">
              <w:r>
                <w:rPr>
                  <w:rFonts w:ascii="Arial" w:cs="Arial" w:eastAsia="Arial" w:hAnsi="Arial"/>
                  <w:sz w:val="16"/>
                  <w:szCs w:val="16"/>
                  <w:color w:val="0000FF"/>
                </w:rPr>
                <w:t>47</w:t>
              </w:r>
            </w:hyperlink>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0" w:type="dxa"/>
            <w:vAlign w:val="bottom"/>
            <w:gridSpan w:val="9"/>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48">
              <w:r>
                <w:rPr>
                  <w:rFonts w:ascii="Arial" w:cs="Arial" w:eastAsia="Arial" w:hAnsi="Arial"/>
                  <w:sz w:val="16"/>
                  <w:szCs w:val="16"/>
                  <w:color w:val="0000FF"/>
                  <w:w w:val="85"/>
                </w:rPr>
                <w:t>Item 6.</w:t>
              </w:r>
            </w:hyperlink>
          </w:p>
        </w:tc>
        <w:tc>
          <w:tcPr>
            <w:tcW w:w="580" w:type="dxa"/>
            <w:vAlign w:val="bottom"/>
            <w:gridSpan w:val="3"/>
          </w:tcPr>
          <w:p>
            <w:pPr>
              <w:spacing w:after="0"/>
              <w:rPr>
                <w:sz w:val="17"/>
                <w:szCs w:val="17"/>
                <w:color w:val="auto"/>
              </w:rPr>
            </w:pPr>
          </w:p>
        </w:tc>
        <w:tc>
          <w:tcPr>
            <w:tcW w:w="540" w:type="dxa"/>
            <w:vAlign w:val="bottom"/>
          </w:tcPr>
          <w:p>
            <w:pPr>
              <w:spacing w:after="0"/>
              <w:rPr>
                <w:rFonts w:ascii="Arial" w:cs="Arial" w:eastAsia="Arial" w:hAnsi="Arial"/>
                <w:sz w:val="16"/>
                <w:szCs w:val="16"/>
                <w:color w:val="0000FF"/>
                <w:w w:val="92"/>
              </w:rPr>
            </w:pPr>
            <w:hyperlink w:anchor="page48">
              <w:r>
                <w:rPr>
                  <w:rFonts w:ascii="Arial" w:cs="Arial" w:eastAsia="Arial" w:hAnsi="Arial"/>
                  <w:sz w:val="16"/>
                  <w:szCs w:val="16"/>
                  <w:color w:val="0000FF"/>
                  <w:w w:val="92"/>
                </w:rPr>
                <w:t>Exhibits</w:t>
              </w:r>
            </w:hyperlink>
          </w:p>
        </w:tc>
        <w:tc>
          <w:tcPr>
            <w:tcW w:w="640" w:type="dxa"/>
            <w:vAlign w:val="bottom"/>
            <w:gridSpan w:val="2"/>
          </w:tcPr>
          <w:p>
            <w:pPr>
              <w:spacing w:after="0"/>
              <w:rPr>
                <w:sz w:val="17"/>
                <w:szCs w:val="17"/>
                <w:color w:val="auto"/>
              </w:rPr>
            </w:pPr>
          </w:p>
        </w:tc>
        <w:tc>
          <w:tcPr>
            <w:tcW w:w="6400" w:type="dxa"/>
            <w:vAlign w:val="bottom"/>
            <w:gridSpan w:val="9"/>
          </w:tcPr>
          <w:p>
            <w:pPr>
              <w:spacing w:after="0"/>
              <w:rPr>
                <w:sz w:val="17"/>
                <w:szCs w:val="17"/>
                <w:color w:val="auto"/>
              </w:rPr>
            </w:pPr>
          </w:p>
        </w:tc>
        <w:tc>
          <w:tcPr>
            <w:tcW w:w="1960" w:type="dxa"/>
            <w:vAlign w:val="bottom"/>
            <w:gridSpan w:val="4"/>
          </w:tcPr>
          <w:p>
            <w:pPr>
              <w:jc w:val="right"/>
              <w:spacing w:after="0"/>
              <w:rPr>
                <w:rFonts w:ascii="Arial" w:cs="Arial" w:eastAsia="Arial" w:hAnsi="Arial"/>
                <w:sz w:val="16"/>
                <w:szCs w:val="16"/>
                <w:color w:val="0000FF"/>
              </w:rPr>
            </w:pPr>
            <w:hyperlink w:anchor="page48">
              <w:r>
                <w:rPr>
                  <w:rFonts w:ascii="Arial" w:cs="Arial" w:eastAsia="Arial" w:hAnsi="Arial"/>
                  <w:sz w:val="16"/>
                  <w:szCs w:val="16"/>
                  <w:color w:val="0000FF"/>
                </w:rPr>
                <w:t>47</w:t>
              </w:r>
            </w:hyperlink>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453"/>
        </w:trPr>
        <w:tc>
          <w:tcPr>
            <w:tcW w:w="1040" w:type="dxa"/>
            <w:vAlign w:val="bottom"/>
            <w:gridSpan w:val="4"/>
          </w:tcPr>
          <w:p>
            <w:pPr>
              <w:spacing w:after="0"/>
              <w:rPr>
                <w:sz w:val="20"/>
                <w:szCs w:val="20"/>
                <w:color w:val="auto"/>
              </w:rPr>
            </w:pPr>
            <w:r>
              <w:rPr>
                <w:rFonts w:ascii="Arial" w:cs="Arial" w:eastAsia="Arial" w:hAnsi="Arial"/>
                <w:sz w:val="16"/>
                <w:szCs w:val="16"/>
                <w:color w:val="0000FF"/>
              </w:rPr>
              <w:t>Signatures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gridSpan w:val="4"/>
          </w:tcPr>
          <w:p>
            <w:pPr>
              <w:jc w:val="right"/>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40" w:top="891" w:right="9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87"/>
        </w:trPr>
        <w:tc>
          <w:tcPr>
            <w:tcW w:w="79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Agency securities, at fair value (including pledged securities of $40,107 and $47,601, respectively)</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43,459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52,396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Credit risk transfer securities, at fair value (including pledged securities of $629 and $510, respectively)</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Non-Agency securities, at fair value (including pledged securities of $643 and $571, respectively)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U.S. Treasury securities, at fair value (including pledged securities of $1,882 and $471, respectively)</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Derivative assets, at fair value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Receivable for investment securities sold (including pledged securities of $1,907 and $0, respectively)</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Receivable under reverse repurchase agreements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10,475</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13"/>
        </w:trPr>
        <w:tc>
          <w:tcPr>
            <w:tcW w:w="7900" w:type="dxa"/>
            <w:vAlign w:val="bottom"/>
          </w:tcPr>
          <w:p>
            <w:pPr>
              <w:ind w:left="5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61,240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68,149</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Repurchase agreements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43,153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47,381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Debt of consolidated variable interest entities, at fair value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Payable for investment securities purchased</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Derivative liabilities, at fair value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Dividends payable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9,697</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Accounts payable and other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53,200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57,858</w:t>
            </w:r>
          </w:p>
        </w:tc>
        <w:tc>
          <w:tcPr>
            <w:tcW w:w="0" w:type="dxa"/>
            <w:vAlign w:val="bottom"/>
          </w:tcPr>
          <w:p>
            <w:pPr>
              <w:spacing w:after="0"/>
              <w:rPr>
                <w:sz w:val="1"/>
                <w:szCs w:val="1"/>
                <w:color w:val="auto"/>
              </w:rPr>
            </w:pPr>
          </w:p>
        </w:tc>
      </w:tr>
      <w:tr>
        <w:trPr>
          <w:trHeight w:val="193"/>
        </w:trPr>
        <w:tc>
          <w:tcPr>
            <w:tcW w:w="790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Preferred Stock - aggregate liquidation preference of $1,538</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166"/>
        </w:trPr>
        <w:tc>
          <w:tcPr>
            <w:tcW w:w="7900" w:type="dxa"/>
            <w:vAlign w:val="bottom"/>
          </w:tcPr>
          <w:p>
            <w:pPr>
              <w:ind w:left="200"/>
              <w:spacing w:after="0" w:line="166" w:lineRule="exact"/>
              <w:rPr>
                <w:sz w:val="20"/>
                <w:szCs w:val="20"/>
                <w:color w:val="auto"/>
              </w:rPr>
            </w:pPr>
            <w:r>
              <w:rPr>
                <w:rFonts w:ascii="Arial" w:cs="Arial" w:eastAsia="Arial" w:hAnsi="Arial"/>
                <w:sz w:val="16"/>
                <w:szCs w:val="16"/>
                <w:color w:val="auto"/>
              </w:rPr>
              <w:t>Common stock - $0.01 par value; 1,500 shares authorized; 522.7 and 522.2 shares issued and outstanding,</w:t>
            </w:r>
          </w:p>
        </w:tc>
        <w:tc>
          <w:tcPr>
            <w:tcW w:w="2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790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13,710</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Retained deficit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(5,214)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10,291</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68,149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2020" w:type="dxa"/>
            <w:vAlign w:val="bottom"/>
            <w:gridSpan w:val="6"/>
          </w:tcPr>
          <w:p>
            <w:pPr>
              <w:ind w:left="40"/>
              <w:spacing w:after="0"/>
              <w:rPr>
                <w:sz w:val="20"/>
                <w:szCs w:val="20"/>
                <w:color w:val="auto"/>
              </w:rPr>
            </w:pPr>
            <w:r>
              <w:rPr>
                <w:rFonts w:ascii="Arial" w:cs="Arial" w:eastAsia="Arial" w:hAnsi="Arial"/>
                <w:sz w:val="16"/>
                <w:szCs w:val="16"/>
                <w:b w:val="1"/>
                <w:bCs w:val="1"/>
                <w:color w:val="auto"/>
                <w:w w:val="97"/>
              </w:rPr>
              <w:t>Three Months Ended June</w:t>
            </w:r>
          </w:p>
        </w:tc>
        <w:tc>
          <w:tcPr>
            <w:tcW w:w="194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w w:val="91"/>
              </w:rPr>
              <w:t>Six Months Ended June 30,</w:t>
            </w:r>
          </w:p>
        </w:tc>
        <w:tc>
          <w:tcPr>
            <w:tcW w:w="0" w:type="dxa"/>
            <w:vAlign w:val="bottom"/>
          </w:tcPr>
          <w:p>
            <w:pPr>
              <w:spacing w:after="0"/>
              <w:rPr>
                <w:sz w:val="1"/>
                <w:szCs w:val="1"/>
                <w:color w:val="auto"/>
              </w:rPr>
            </w:pPr>
          </w:p>
        </w:tc>
      </w:tr>
      <w:tr>
        <w:trPr>
          <w:trHeight w:val="213"/>
        </w:trPr>
        <w:tc>
          <w:tcPr>
            <w:tcW w:w="7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interest income</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gain (loss), net: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Gain (loss) on sale of investment securities, net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Unrealized loss on investment securities measured at fair value through net income, net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Gain (loss) on derivative instruments and other securities, net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loss, net:</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expense</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on preferred stock</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Net income (loss) available (attributable) to common stockholders</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175"/>
        </w:trPr>
        <w:tc>
          <w:tcPr>
            <w:tcW w:w="72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Unrealized loss on investment securities measured at fair value through other comprehensive</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net</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on preferred stock</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7280" w:type="dxa"/>
            <w:vAlign w:val="bottom"/>
          </w:tcPr>
          <w:p>
            <w:pPr>
              <w:ind w:left="6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Net income (loss) per common share - basic</w:t>
            </w:r>
          </w:p>
        </w:tc>
        <w:tc>
          <w:tcPr>
            <w:tcW w:w="200" w:type="dxa"/>
            <w:vAlign w:val="bottom"/>
            <w:tcBorders>
              <w:bottom w:val="single" w:sz="8" w:color="auto"/>
            </w:tcBorders>
          </w:tcPr>
          <w:p>
            <w:pPr>
              <w:jc w:val="right"/>
              <w:ind w:right="11"/>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(0.83)</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common share - diluted</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Dividends declared per common share</w:t>
            </w:r>
          </w:p>
        </w:tc>
        <w:tc>
          <w:tcPr>
            <w:tcW w:w="200" w:type="dxa"/>
            <w:vAlign w:val="bottom"/>
            <w:tcBorders>
              <w:bottom w:val="single" w:sz="8" w:color="auto"/>
            </w:tcBorders>
          </w:tcPr>
          <w:p>
            <w:pPr>
              <w:jc w:val="right"/>
              <w:ind w:right="11"/>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ind w:right="-27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Preferred</w:t>
            </w:r>
          </w:p>
        </w:tc>
        <w:tc>
          <w:tcPr>
            <w:tcW w:w="18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86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8"/>
                <w:szCs w:val="8"/>
                <w:color w:val="auto"/>
              </w:rPr>
            </w:pPr>
          </w:p>
        </w:tc>
        <w:tc>
          <w:tcPr>
            <w:tcW w:w="12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Comprehensive</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524.9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482</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11,364</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360"/>
              <w:spacing w:after="0"/>
              <w:rPr>
                <w:sz w:val="20"/>
                <w:szCs w:val="20"/>
                <w:color w:val="auto"/>
              </w:rPr>
            </w:pPr>
            <w:r>
              <w:rPr>
                <w:rFonts w:ascii="Arial" w:cs="Arial" w:eastAsia="Arial" w:hAnsi="Arial"/>
                <w:sz w:val="14"/>
                <w:szCs w:val="14"/>
                <w:color w:val="auto"/>
              </w:rPr>
              <w:t>Unrealized loss on available-for-sale securities,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net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524.9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13,741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10,668</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523.3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13,704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(6,078)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8,930</w:t>
            </w:r>
          </w:p>
        </w:tc>
        <w:tc>
          <w:tcPr>
            <w:tcW w:w="0" w:type="dxa"/>
            <w:vAlign w:val="bottom"/>
          </w:tcPr>
          <w:p>
            <w:pPr>
              <w:spacing w:after="0"/>
              <w:rPr>
                <w:sz w:val="1"/>
                <w:szCs w:val="1"/>
                <w:color w:val="auto"/>
              </w:rPr>
            </w:pPr>
          </w:p>
        </w:tc>
      </w:tr>
      <w:tr>
        <w:trPr>
          <w:trHeight w:val="190"/>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Unrealized loss on available-for-sale securities, net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Stock-based compensation,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Repurchase of common stock</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11"/>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8,040</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539.5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11,079</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360"/>
              <w:spacing w:after="0"/>
              <w:rPr>
                <w:sz w:val="20"/>
                <w:szCs w:val="20"/>
                <w:color w:val="auto"/>
              </w:rPr>
            </w:pPr>
            <w:r>
              <w:rPr>
                <w:rFonts w:ascii="Arial" w:cs="Arial" w:eastAsia="Arial" w:hAnsi="Arial"/>
                <w:sz w:val="14"/>
                <w:szCs w:val="14"/>
                <w:color w:val="auto"/>
              </w:rPr>
              <w:t>Unrealized loss on available-for-sale securities,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net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Repurchase of common stock</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11"/>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10,668</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522.2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10,291</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360"/>
              <w:spacing w:after="0"/>
              <w:rPr>
                <w:sz w:val="20"/>
                <w:szCs w:val="20"/>
                <w:color w:val="auto"/>
              </w:rPr>
            </w:pPr>
            <w:r>
              <w:rPr>
                <w:rFonts w:ascii="Arial" w:cs="Arial" w:eastAsia="Arial" w:hAnsi="Arial"/>
                <w:sz w:val="14"/>
                <w:szCs w:val="14"/>
                <w:color w:val="auto"/>
              </w:rPr>
              <w:t>Unrealized loss on available-for-sale securities,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net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Issuance of common stock</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 of common stock</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522.7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13,707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(6,726)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8,040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891" w:right="6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 millions)</w:t>
      </w:r>
    </w:p>
    <w:p>
      <w:pPr>
        <w:spacing w:after="0" w:line="17"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Six Months Ended</w:t>
      </w:r>
    </w:p>
    <w:p>
      <w:pPr>
        <w:jc w:val="center"/>
        <w:ind w:left="7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r>
      <w:tr>
        <w:trPr>
          <w:trHeight w:val="197"/>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(Gain) loss on sale of investment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loss on investment securities measured at fair value through net income,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Gain on derivative instruments and other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(821)</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other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Increase (decrease) in accounts payable and other accrued liabilities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w:t>
            </w:r>
          </w:p>
        </w:tc>
      </w:tr>
      <w:tr>
        <w:trPr>
          <w:trHeight w:val="193"/>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Agency mortgage-backed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(23,954)</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Purchases of credit risk transfer and non-Agency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(1,310)</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Agency mortgage-backed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18,311</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931</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collections on Agency mortgage-backed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8,791</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U.S. Treasury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(10,536)</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Proceeds from U.S. Treasury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10,172</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proceeds from (payments on) reverse repurchase agreements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proceeds from derivative instruments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2,801</w:t>
            </w:r>
          </w:p>
        </w:tc>
      </w:tr>
      <w:tr>
        <w:trPr>
          <w:trHeight w:val="193"/>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repurchase arrangements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1,129,132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1,163,175</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Payments on repurchase agreements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(1,133,360)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(1,166,804)</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debt of consolidated variable interest entities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Proceeds from common stock issuances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for common stock repurchases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dividends paid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(4,326)</w:t>
            </w:r>
          </w:p>
        </w:tc>
      </w:tr>
      <w:tr>
        <w:trPr>
          <w:trHeight w:val="206"/>
        </w:trPr>
        <w:tc>
          <w:tcPr>
            <w:tcW w:w="748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(754)</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2,324</w:t>
            </w: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w:t>
            </w: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960" w:top="891" w:right="9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3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4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p>
    <w:p>
      <w:pPr>
        <w:spacing w:after="0" w:line="10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are internally managed with the principal objective of providing our stockholders with favorable long-term returns on a risk-adjusted basis through attractive monthly dividends. We generate income from the interest earned on our investments, net of associated borrowing and hedging costs, and net realized gains and losses on our investment and hedging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2021.</w:t>
      </w:r>
    </w:p>
    <w:p>
      <w:pPr>
        <w:spacing w:after="0" w:line="5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ind w:firstLine="405"/>
        <w:spacing w:after="0" w:line="311" w:lineRule="auto"/>
        <w:rPr>
          <w:sz w:val="20"/>
          <w:szCs w:val="20"/>
          <w:color w:val="auto"/>
        </w:rPr>
      </w:pPr>
      <w:r>
        <w:rPr>
          <w:rFonts w:ascii="Arial" w:cs="Arial" w:eastAsia="Arial" w:hAnsi="Arial"/>
          <w:sz w:val="16"/>
          <w:szCs w:val="16"/>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9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 xml:space="preserve">All of our securities are reported at fair value on our consolidated balance sheet. Accounting Standards Codification ("ASC") Topic 320,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w:t>
      </w:r>
      <w:r>
        <w:rPr>
          <w:rFonts w:ascii="Arial" w:cs="Arial" w:eastAsia="Arial" w:hAnsi="Arial"/>
          <w:sz w:val="16"/>
          <w:szCs w:val="16"/>
          <w:i w:val="1"/>
          <w:iCs w:val="1"/>
          <w:color w:val="auto"/>
        </w:rPr>
        <w:t>—Debt and Equity Securities</w:t>
      </w:r>
      <w:r>
        <w:rPr>
          <w:rFonts w:ascii="Arial" w:cs="Arial" w:eastAsia="Arial" w:hAnsi="Arial"/>
          <w:sz w:val="16"/>
          <w:szCs w:val="16"/>
          <w:color w:val="auto"/>
        </w:rPr>
        <w:t>, requires that at the time of purchase, we designate a security as held-to-maturity, available-for-sale or trading, depending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ability and intent to hold such security to maturity. Alternatively, we may elect the fair value option of accounting for securities pursuant to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18"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such as during periods of elevated market uncertainty or unique market conditions,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1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finance the acquisition of securities for our investment portfolio primarily through repurchase agreements with financial institutions. Repurchase arrangements involve the sale and a simultaneous agreement to repurchase the transferred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 xml:space="preserve">assets at a future date. We maintain a beneficial interest in the specific securities pledged during the term of each repurchase arrangement and we receive the related principal and interest payments. Pursuant to ASC Topic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 we account for repurchase agreements as collateralized financing transactions, which are carried at their contractual amounts (cost), plus accrued interest. Our repurchase agreements typically have maturities of less than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 xml:space="preserve">We borrow securities to cover short sales of U.S. Treasury securities through reverse repurchase transactions under our master repurchase agreements (see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paid. If we sell or exercise a swaption, the realized gain or loss on the swaption would be equal to the difference between the cash or the fair value of the underlying interest rate swap and the premium paid.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 contracts are recognized in gain (loss) on derivative instruments and other securities, net in our consolidated statements of comprehensive income.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would indicate and we cannot obtain an understanding from the third-party source as to the significant inputs used to determine the price.</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w:t>
      </w:r>
    </w:p>
    <w:p>
      <w:pPr>
        <w:spacing w:after="0" w:line="133"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i w:val="1"/>
          <w:iCs w:val="1"/>
          <w:color w:val="auto"/>
        </w:rPr>
        <w:t xml:space="preserve">Investment securities </w:t>
      </w:r>
      <w:r>
        <w:rPr>
          <w:rFonts w:ascii="Arial" w:cs="Arial" w:eastAsia="Arial" w:hAnsi="Arial"/>
          <w:sz w:val="17"/>
          <w:szCs w:val="17"/>
          <w:color w:val="auto"/>
        </w:rPr>
        <w:t>- are valued based on prices obtained from multiple third-party pricing sources. The pricing sources utilize various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approaches, including market and income approaches. For Agency RMBS, the pricing sources primarily utilize a matrix pricing technique that interpolates the estimated fair value based on observed quoted prices for forward contracts in the Agency RMBS "to-be-announced" market ("TBA securities") of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TBA securities </w:t>
      </w:r>
      <w:r>
        <w:rPr>
          <w:rFonts w:ascii="Arial" w:cs="Arial" w:eastAsia="Arial" w:hAnsi="Arial"/>
          <w:sz w:val="17"/>
          <w:szCs w:val="17"/>
          <w:color w:val="auto"/>
        </w:rPr>
        <w:t>- are valued using prices obtained from third-party pricing sources based on pricing models that reference recent trading activity.</w:t>
      </w:r>
    </w:p>
    <w:p>
      <w:pPr>
        <w:spacing w:after="0" w:line="18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 are valued using the daily settlement price, or fair value, determined by the clearing exchange based on a pricing model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references observable market inputs, including current benchmark rates and the forward yield curve.</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Interest rate swaptions </w:t>
      </w:r>
      <w:r>
        <w:rPr>
          <w:rFonts w:ascii="Arial" w:cs="Arial" w:eastAsia="Arial" w:hAnsi="Arial"/>
          <w:sz w:val="18"/>
          <w:szCs w:val="18"/>
          <w:color w:val="auto"/>
        </w:rPr>
        <w:t>- are valued using prices obtained from the counterparty and other third-party pricing models. The pricing models are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value of the future interest rate swap that we have the option to enter into as well as the remaining length of time that we have to exercise the option based on observable market inputs, adjusted for non-performance risk, if any.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 Treasury securities and futures are valued based on quoted prices for identical instruments in active markets and are classified as Level 1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 of our financial instruments are classified as Level 3 inputs.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175"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As of June 30, 2022 and December 31, 2021, our investment portfolio consisted of: $45.4 billion and $54.4 billion investment securities, at fair value, respectively; $15.9 billion and $27.1 billion net TBA securities, at fair value, respectively; and, as of December 31, 2021, $0.4 billion forward settling non-Agency securities, at fair value. Our net TBA position and forward settling non-Agency securities are reported at their net carrying value totaling $(108) million and $(44) million as of June 30, 2022 and December 31, 2021, respectively, in derivative assets / (liabilities) on our accompanying consolidated balance sheets. The net carrying value of our TBA position and forward settling non-Agency securities represents the difference between the fair value of the underlying security and the cost basis or the forward price to be paid or received for the underlying security.</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2022 and December 31, 2021, our investment securities had a net unamortized premium balance of $1.5 billion and $1.8 billion,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 w:name="page12"/>
    <w:bookmarkEnd w:id="11"/>
    <w:p>
      <w:pPr>
        <w:ind w:firstLine="405"/>
        <w:spacing w:after="0" w:line="308" w:lineRule="auto"/>
        <w:rPr>
          <w:sz w:val="20"/>
          <w:szCs w:val="20"/>
          <w:color w:val="auto"/>
        </w:rPr>
      </w:pPr>
      <w:r>
        <w:rPr>
          <w:rFonts w:ascii="Arial" w:cs="Arial" w:eastAsia="Arial" w:hAnsi="Arial"/>
          <w:sz w:val="17"/>
          <w:szCs w:val="17"/>
          <w:color w:val="auto"/>
        </w:rPr>
        <w:t>The following tables summarize our investment securities as of June 30, 2022 and December 31, 2021, excluding TBA and forward settling securities, (dollars in millions). Details of our TBA and forward settling securities as of each of the respective dates are included in Note 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375"/>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5"/>
              </w:rPr>
              <w:t>December 31, 2021</w:t>
            </w: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320"/>
              <w:spacing w:after="0" w:line="135" w:lineRule="exact"/>
              <w:rPr>
                <w:sz w:val="20"/>
                <w:szCs w:val="20"/>
                <w:color w:val="auto"/>
              </w:rPr>
            </w:pPr>
            <w:r>
              <w:rPr>
                <w:rFonts w:ascii="Arial" w:cs="Arial" w:eastAsia="Arial" w:hAnsi="Arial"/>
                <w:sz w:val="14"/>
                <w:szCs w:val="14"/>
                <w:b w:val="1"/>
                <w:bCs w:val="1"/>
                <w:color w:val="auto"/>
              </w:rPr>
              <w:t>Amortized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vMerge w:val="restart"/>
          </w:tcPr>
          <w:p>
            <w:pPr>
              <w:jc w:val="right"/>
              <w:ind w:right="257"/>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1"/>
                <w:szCs w:val="11"/>
                <w:color w:val="auto"/>
              </w:rPr>
            </w:pPr>
          </w:p>
        </w:tc>
        <w:tc>
          <w:tcPr>
            <w:tcW w:w="1240" w:type="dxa"/>
            <w:vAlign w:val="bottom"/>
            <w:gridSpan w:val="4"/>
          </w:tcPr>
          <w:p>
            <w:pPr>
              <w:jc w:val="right"/>
              <w:ind w:right="189"/>
              <w:spacing w:after="0" w:line="135" w:lineRule="exact"/>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Cost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4"/>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RMBS: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Fixed rate</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46,737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635"/>
              <w:spacing w:after="0"/>
              <w:rPr>
                <w:sz w:val="20"/>
                <w:szCs w:val="20"/>
                <w:color w:val="auto"/>
              </w:rPr>
            </w:pPr>
            <w:r>
              <w:rPr>
                <w:rFonts w:ascii="Arial" w:cs="Arial" w:eastAsia="Arial" w:hAnsi="Arial"/>
                <w:sz w:val="14"/>
                <w:szCs w:val="14"/>
                <w:color w:val="auto"/>
              </w:rPr>
              <w:t>$</w:t>
            </w:r>
          </w:p>
        </w:tc>
        <w:tc>
          <w:tcPr>
            <w:tcW w:w="480" w:type="dxa"/>
            <w:vAlign w:val="bottom"/>
            <w:gridSpan w:val="3"/>
          </w:tcPr>
          <w:p>
            <w:pPr>
              <w:jc w:val="right"/>
              <w:spacing w:after="0"/>
              <w:rPr>
                <w:sz w:val="20"/>
                <w:szCs w:val="20"/>
                <w:color w:val="auto"/>
              </w:rPr>
            </w:pPr>
            <w:r>
              <w:rPr>
                <w:rFonts w:ascii="Arial" w:cs="Arial" w:eastAsia="Arial" w:hAnsi="Arial"/>
                <w:sz w:val="14"/>
                <w:szCs w:val="14"/>
                <w:color w:val="auto"/>
                <w:w w:val="93"/>
              </w:rPr>
              <w:t>43,382</w:t>
            </w:r>
          </w:p>
        </w:tc>
        <w:tc>
          <w:tcPr>
            <w:tcW w:w="700" w:type="dxa"/>
            <w:vAlign w:val="bottom"/>
            <w:gridSpan w:val="2"/>
          </w:tcPr>
          <w:p>
            <w:pPr>
              <w:jc w:val="right"/>
              <w:ind w:right="375"/>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51,546</w:t>
            </w:r>
          </w:p>
        </w:tc>
        <w:tc>
          <w:tcPr>
            <w:tcW w:w="3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52,289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Adjustable rate</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CMO</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151</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Interest-only and principal-only strips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6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Total Agency RMBS</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46,985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w w:val="93"/>
              </w:rPr>
              <w:t>43,626</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51,843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52,604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Non-Agency RMBS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CMBS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518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497</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CRT securities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16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Total investment securities</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48,862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3"/>
              </w:rPr>
              <w:t>45,401</w:t>
            </w:r>
          </w:p>
        </w:tc>
        <w:tc>
          <w:tcPr>
            <w:tcW w:w="160" w:type="dxa"/>
            <w:vAlign w:val="bottom"/>
          </w:tcPr>
          <w:p>
            <w:pPr>
              <w:spacing w:after="0"/>
              <w:rPr>
                <w:sz w:val="15"/>
                <w:szCs w:val="15"/>
                <w:color w:val="auto"/>
              </w:rPr>
            </w:pPr>
          </w:p>
        </w:tc>
        <w:tc>
          <w:tcPr>
            <w:tcW w:w="5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53,628</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w w:val="90"/>
              </w:rPr>
              <w:t>June 30, 2022</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Agency RMBS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575"/>
              <w:spacing w:after="0"/>
              <w:rPr>
                <w:sz w:val="20"/>
                <w:szCs w:val="20"/>
                <w:color w:val="auto"/>
              </w:rPr>
            </w:pPr>
            <w:r>
              <w:rPr>
                <w:rFonts w:ascii="Arial" w:cs="Arial" w:eastAsia="Arial" w:hAnsi="Arial"/>
                <w:sz w:val="14"/>
                <w:szCs w:val="14"/>
                <w:b w:val="1"/>
                <w:bCs w:val="1"/>
                <w:color w:val="auto"/>
              </w:rPr>
              <w:t>Non-Agency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Fannie Mae</w:t>
            </w:r>
          </w:p>
        </w:tc>
        <w:tc>
          <w:tcPr>
            <w:tcW w:w="80" w:type="dxa"/>
            <w:vAlign w:val="bottom"/>
          </w:tcPr>
          <w:p>
            <w:pPr>
              <w:spacing w:after="0"/>
              <w:rPr>
                <w:sz w:val="11"/>
                <w:szCs w:val="11"/>
                <w:color w:val="auto"/>
              </w:rPr>
            </w:pPr>
          </w:p>
        </w:tc>
        <w:tc>
          <w:tcPr>
            <w:tcW w:w="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Freddie Mac</w:t>
            </w:r>
          </w:p>
        </w:tc>
        <w:tc>
          <w:tcPr>
            <w:tcW w:w="180" w:type="dxa"/>
            <w:vAlign w:val="bottom"/>
          </w:tcPr>
          <w:p>
            <w:pPr>
              <w:spacing w:after="0"/>
              <w:rPr>
                <w:sz w:val="11"/>
                <w:szCs w:val="11"/>
                <w:color w:val="auto"/>
              </w:rPr>
            </w:pPr>
          </w:p>
        </w:tc>
        <w:tc>
          <w:tcPr>
            <w:tcW w:w="800" w:type="dxa"/>
            <w:vAlign w:val="bottom"/>
          </w:tcPr>
          <w:p>
            <w:pPr>
              <w:jc w:val="right"/>
              <w:ind w:right="213"/>
              <w:spacing w:after="0" w:line="130" w:lineRule="exact"/>
              <w:rPr>
                <w:sz w:val="20"/>
                <w:szCs w:val="20"/>
                <w:color w:val="auto"/>
              </w:rPr>
            </w:pPr>
            <w:r>
              <w:rPr>
                <w:rFonts w:ascii="Arial" w:cs="Arial" w:eastAsia="Arial" w:hAnsi="Arial"/>
                <w:sz w:val="14"/>
                <w:szCs w:val="14"/>
                <w:b w:val="1"/>
                <w:bCs w:val="1"/>
                <w:color w:val="auto"/>
              </w:rPr>
              <w:t>Ginnie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RMBS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CMBS</w:t>
            </w:r>
          </w:p>
        </w:tc>
        <w:tc>
          <w:tcPr>
            <w:tcW w:w="100" w:type="dxa"/>
            <w:vAlign w:val="bottom"/>
          </w:tcPr>
          <w:p>
            <w:pPr>
              <w:spacing w:after="0"/>
              <w:rPr>
                <w:sz w:val="11"/>
                <w:szCs w:val="11"/>
                <w:color w:val="auto"/>
              </w:rPr>
            </w:pPr>
          </w:p>
        </w:tc>
        <w:tc>
          <w:tcPr>
            <w:tcW w:w="9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CRT</w:t>
            </w:r>
          </w:p>
        </w:tc>
        <w:tc>
          <w:tcPr>
            <w:tcW w:w="260" w:type="dxa"/>
            <w:vAlign w:val="bottom"/>
          </w:tcPr>
          <w:p>
            <w:pPr>
              <w:spacing w:after="0"/>
              <w:rPr>
                <w:sz w:val="11"/>
                <w:szCs w:val="11"/>
                <w:color w:val="auto"/>
              </w:rPr>
            </w:pPr>
          </w:p>
        </w:tc>
        <w:tc>
          <w:tcPr>
            <w:tcW w:w="7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auto"/>
            </w:tcBorders>
          </w:tcPr>
          <w:p>
            <w:pPr>
              <w:spacing w:after="0"/>
              <w:rPr>
                <w:sz w:val="14"/>
                <w:szCs w:val="14"/>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5,236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1,683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480" w:type="dxa"/>
            <w:vAlign w:val="bottom"/>
            <w:gridSpan w:val="3"/>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6,920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gridSpan w:val="3"/>
          </w:tcPr>
          <w:p>
            <w:pPr>
              <w:jc w:val="right"/>
              <w:ind w:right="280"/>
              <w:spacing w:after="0"/>
              <w:rPr>
                <w:sz w:val="20"/>
                <w:szCs w:val="20"/>
                <w:color w:val="auto"/>
              </w:rPr>
            </w:pPr>
            <w:r>
              <w:rPr>
                <w:rFonts w:ascii="Arial" w:cs="Arial" w:eastAsia="Arial" w:hAnsi="Arial"/>
                <w:sz w:val="13"/>
                <w:szCs w:val="13"/>
                <w:color w:val="auto"/>
                <w:w w:val="76"/>
              </w:rPr>
              <w:t>—</w:t>
            </w: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Unamortized premium</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408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Amortized cost</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5,541</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1,785</w:t>
            </w: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4"/>
              <w:spacing w:after="0"/>
              <w:rPr>
                <w:sz w:val="20"/>
                <w:szCs w:val="20"/>
                <w:color w:val="auto"/>
              </w:rPr>
            </w:pPr>
            <w:r>
              <w:rPr>
                <w:rFonts w:ascii="Arial" w:cs="Arial" w:eastAsia="Arial" w:hAnsi="Arial"/>
                <w:sz w:val="13"/>
                <w:szCs w:val="13"/>
                <w:color w:val="auto"/>
              </w:rPr>
              <w:t>7,327</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Gross unrealized losses</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(437)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available-for-sale securities, at fair value</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5,218</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1,673</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6,892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gridSpan w:val="2"/>
          </w:tcPr>
          <w:p>
            <w:pPr>
              <w:spacing w:after="0" w:line="141" w:lineRule="exact"/>
              <w:rPr>
                <w:sz w:val="20"/>
                <w:szCs w:val="20"/>
                <w:color w:val="auto"/>
              </w:rPr>
            </w:pPr>
            <w:r>
              <w:rPr>
                <w:rFonts w:ascii="Arial" w:cs="Arial" w:eastAsia="Arial" w:hAnsi="Arial"/>
                <w:sz w:val="13"/>
                <w:szCs w:val="13"/>
                <w:color w:val="auto"/>
              </w:rPr>
              <w:t>Securities remeasured at fair value through earnings: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27,533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11,003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432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95"/>
              <w:spacing w:after="0"/>
              <w:rPr>
                <w:sz w:val="20"/>
                <w:szCs w:val="20"/>
                <w:color w:val="auto"/>
              </w:rPr>
            </w:pPr>
            <w:r>
              <w:rPr>
                <w:rFonts w:ascii="Arial" w:cs="Arial" w:eastAsia="Arial" w:hAnsi="Arial"/>
                <w:sz w:val="13"/>
                <w:szCs w:val="13"/>
                <w:color w:val="auto"/>
              </w:rPr>
              <w:t>521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w w:val="82"/>
              </w:rPr>
              <w:t>936</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40,427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55"/>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gridSpan w:val="3"/>
          </w:tcPr>
          <w:p>
            <w:pPr>
              <w:jc w:val="right"/>
              <w:ind w:right="68"/>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(207)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Unamortized premium</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914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95"/>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1,315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Amortized cost</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28,297</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11,359</w:t>
            </w: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color w:val="auto"/>
              </w:rPr>
              <w:t>416</w:t>
            </w: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right"/>
              <w:ind w:right="95"/>
              <w:spacing w:after="0"/>
              <w:rPr>
                <w:sz w:val="20"/>
                <w:szCs w:val="20"/>
                <w:color w:val="auto"/>
              </w:rPr>
            </w:pPr>
            <w:r>
              <w:rPr>
                <w:rFonts w:ascii="Arial" w:cs="Arial" w:eastAsia="Arial" w:hAnsi="Arial"/>
                <w:sz w:val="13"/>
                <w:szCs w:val="13"/>
                <w:color w:val="auto"/>
              </w:rPr>
              <w:t>518</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3"/>
          </w:tcPr>
          <w:p>
            <w:pPr>
              <w:jc w:val="right"/>
              <w:ind w:right="88"/>
              <w:spacing w:after="0"/>
              <w:rPr>
                <w:sz w:val="20"/>
                <w:szCs w:val="20"/>
                <w:color w:val="auto"/>
              </w:rPr>
            </w:pPr>
            <w:r>
              <w:rPr>
                <w:rFonts w:ascii="Arial" w:cs="Arial" w:eastAsia="Arial" w:hAnsi="Arial"/>
                <w:sz w:val="13"/>
                <w:szCs w:val="13"/>
                <w:color w:val="auto"/>
                <w:w w:val="82"/>
              </w:rPr>
              <w:t>943</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4"/>
              <w:spacing w:after="0"/>
              <w:rPr>
                <w:sz w:val="20"/>
                <w:szCs w:val="20"/>
                <w:color w:val="auto"/>
              </w:rPr>
            </w:pPr>
            <w:r>
              <w:rPr>
                <w:rFonts w:ascii="Arial" w:cs="Arial" w:eastAsia="Arial" w:hAnsi="Arial"/>
                <w:sz w:val="13"/>
                <w:szCs w:val="13"/>
                <w:color w:val="auto"/>
              </w:rPr>
              <w:t>41,535</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Gross unrealized losses</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(2,106)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Arial" w:cs="Arial" w:eastAsia="Arial" w:hAnsi="Arial"/>
                <w:sz w:val="13"/>
                <w:szCs w:val="13"/>
                <w:color w:val="auto"/>
              </w:rPr>
              <w:t>(824)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55"/>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gridSpan w:val="3"/>
          </w:tcPr>
          <w:p>
            <w:pPr>
              <w:jc w:val="right"/>
              <w:ind w:right="68"/>
              <w:spacing w:after="0"/>
              <w:rPr>
                <w:sz w:val="20"/>
                <w:szCs w:val="20"/>
                <w:color w:val="auto"/>
              </w:rPr>
            </w:pPr>
            <w:r>
              <w:rPr>
                <w:rFonts w:ascii="Arial" w:cs="Arial" w:eastAsia="Arial" w:hAnsi="Arial"/>
                <w:sz w:val="13"/>
                <w:szCs w:val="13"/>
                <w:color w:val="auto"/>
                <w:w w:val="86"/>
              </w:rPr>
              <w:t>(52)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(3,036)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securities remeasured at fair value through earnings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26,196</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10,536</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384</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gridSpan w:val="2"/>
            <w:shd w:val="clear" w:color="auto" w:fill="CCEEFF"/>
          </w:tcPr>
          <w:p>
            <w:pPr>
              <w:jc w:val="right"/>
              <w:ind w:right="95"/>
              <w:spacing w:after="0"/>
              <w:rPr>
                <w:sz w:val="20"/>
                <w:szCs w:val="20"/>
                <w:color w:val="auto"/>
              </w:rPr>
            </w:pPr>
            <w:r>
              <w:rPr>
                <w:rFonts w:ascii="Arial" w:cs="Arial" w:eastAsia="Arial" w:hAnsi="Arial"/>
                <w:sz w:val="13"/>
                <w:szCs w:val="13"/>
                <w:color w:val="auto"/>
              </w:rPr>
              <w:t>497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gridSpan w:val="3"/>
            <w:shd w:val="clear" w:color="auto" w:fill="CCEEFF"/>
          </w:tcPr>
          <w:p>
            <w:pPr>
              <w:jc w:val="right"/>
              <w:ind w:right="88"/>
              <w:spacing w:after="0"/>
              <w:rPr>
                <w:sz w:val="20"/>
                <w:szCs w:val="20"/>
                <w:color w:val="auto"/>
              </w:rPr>
            </w:pPr>
            <w:r>
              <w:rPr>
                <w:rFonts w:ascii="Arial" w:cs="Arial" w:eastAsia="Arial" w:hAnsi="Arial"/>
                <w:sz w:val="13"/>
                <w:szCs w:val="13"/>
                <w:color w:val="auto"/>
                <w:w w:val="82"/>
              </w:rPr>
              <w:t>894</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38,509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Total securities, at fair value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31,414</w:t>
            </w:r>
          </w:p>
        </w:tc>
        <w:tc>
          <w:tcPr>
            <w:tcW w:w="12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12,209</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384</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3"/>
                <w:szCs w:val="13"/>
                <w:color w:val="auto"/>
              </w:rPr>
              <w:t>497</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3"/>
                <w:szCs w:val="13"/>
                <w:color w:val="auto"/>
                <w:w w:val="82"/>
              </w:rPr>
              <w:t>894</w:t>
            </w:r>
          </w:p>
        </w:tc>
        <w:tc>
          <w:tcPr>
            <w:tcW w:w="14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45,401</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coupon as of June 30, 2022</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3.33 %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3.35 %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4.02 %</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5.44 %</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Weighted average yield as of June 30, 2022 </w:t>
            </w:r>
            <w:r>
              <w:rPr>
                <w:rFonts w:ascii="Arial" w:cs="Arial" w:eastAsia="Arial" w:hAnsi="Arial"/>
                <w:sz w:val="16"/>
                <w:szCs w:val="16"/>
                <w:color w:val="auto"/>
                <w:vertAlign w:val="superscript"/>
              </w:rPr>
              <w:t>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2.75 %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2.76 %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2.56 %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3.70 %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5.28 %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3"/>
                <w:szCs w:val="13"/>
                <w:color w:val="auto"/>
              </w:rPr>
              <w:t>6.39 %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7.2% based on forward rates as of June 30, 2022.</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tbl>
      <w:tblPr>
        <w:tblLayout w:type="fixed"/>
        <w:tblInd w:w="34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Agency RMBS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537"/>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1"/>
                <w:szCs w:val="11"/>
                <w:color w:val="auto"/>
              </w:rPr>
            </w:pPr>
          </w:p>
        </w:tc>
        <w:tc>
          <w:tcPr>
            <w:tcW w:w="760" w:type="dxa"/>
            <w:vAlign w:val="bottom"/>
          </w:tcPr>
          <w:p>
            <w:pPr>
              <w:jc w:val="right"/>
              <w:ind w:right="196"/>
              <w:spacing w:after="0" w:line="130" w:lineRule="exact"/>
              <w:rPr>
                <w:sz w:val="20"/>
                <w:szCs w:val="20"/>
                <w:color w:val="auto"/>
              </w:rPr>
            </w:pPr>
            <w:r>
              <w:rPr>
                <w:rFonts w:ascii="Arial" w:cs="Arial" w:eastAsia="Arial" w:hAnsi="Arial"/>
                <w:sz w:val="14"/>
                <w:szCs w:val="14"/>
                <w:b w:val="1"/>
                <w:bCs w:val="1"/>
                <w:color w:val="auto"/>
              </w:rPr>
              <w:t>Fannie</w:t>
            </w:r>
          </w:p>
        </w:tc>
        <w:tc>
          <w:tcPr>
            <w:tcW w:w="120" w:type="dxa"/>
            <w:vAlign w:val="bottom"/>
          </w:tcPr>
          <w:p>
            <w:pPr>
              <w:spacing w:after="0"/>
              <w:rPr>
                <w:sz w:val="11"/>
                <w:szCs w:val="11"/>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Freddie Mac</w:t>
            </w:r>
          </w:p>
        </w:tc>
        <w:tc>
          <w:tcPr>
            <w:tcW w:w="160" w:type="dxa"/>
            <w:vAlign w:val="bottom"/>
          </w:tcPr>
          <w:p>
            <w:pPr>
              <w:spacing w:after="0"/>
              <w:rPr>
                <w:sz w:val="11"/>
                <w:szCs w:val="11"/>
                <w:color w:val="auto"/>
              </w:rPr>
            </w:pPr>
          </w:p>
        </w:tc>
        <w:tc>
          <w:tcPr>
            <w:tcW w:w="740" w:type="dxa"/>
            <w:vAlign w:val="bottom"/>
          </w:tcPr>
          <w:p>
            <w:pPr>
              <w:jc w:val="right"/>
              <w:ind w:right="176"/>
              <w:spacing w:after="0" w:line="130"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RMBS</w:t>
            </w:r>
          </w:p>
        </w:tc>
        <w:tc>
          <w:tcPr>
            <w:tcW w:w="14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CMBS</w:t>
            </w:r>
          </w:p>
        </w:tc>
        <w:tc>
          <w:tcPr>
            <w:tcW w:w="18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CRT</w:t>
            </w:r>
          </w:p>
        </w:tc>
        <w:tc>
          <w:tcPr>
            <w:tcW w:w="180" w:type="dxa"/>
            <w:vAlign w:val="bottom"/>
          </w:tcPr>
          <w:p>
            <w:pPr>
              <w:spacing w:after="0"/>
              <w:rPr>
                <w:sz w:val="11"/>
                <w:szCs w:val="11"/>
                <w:color w:val="auto"/>
              </w:rPr>
            </w:pPr>
          </w:p>
        </w:tc>
        <w:tc>
          <w:tcPr>
            <w:tcW w:w="7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Mae</w:t>
            </w:r>
          </w:p>
        </w:tc>
        <w:tc>
          <w:tcPr>
            <w:tcW w:w="1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4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Par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6,345</w:t>
            </w:r>
          </w:p>
        </w:tc>
        <w:tc>
          <w:tcPr>
            <w:tcW w:w="36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2,111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w:t>
            </w:r>
          </w:p>
        </w:tc>
        <w:tc>
          <w:tcPr>
            <w:tcW w:w="30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8,458</w:t>
            </w:r>
          </w:p>
        </w:tc>
        <w:tc>
          <w:tcPr>
            <w:tcW w:w="0" w:type="dxa"/>
            <w:vAlign w:val="bottom"/>
          </w:tcPr>
          <w:p>
            <w:pPr>
              <w:spacing w:after="0"/>
              <w:rPr>
                <w:sz w:val="1"/>
                <w:szCs w:val="1"/>
                <w:color w:val="auto"/>
              </w:rPr>
            </w:pPr>
          </w:p>
        </w:tc>
      </w:tr>
      <w:tr>
        <w:trPr>
          <w:trHeight w:val="168"/>
        </w:trPr>
        <w:tc>
          <w:tcPr>
            <w:tcW w:w="3520" w:type="dxa"/>
            <w:vAlign w:val="bottom"/>
            <w:gridSpan w:val="2"/>
          </w:tcPr>
          <w:p>
            <w:pPr>
              <w:ind w:left="180"/>
              <w:spacing w:after="0"/>
              <w:rPr>
                <w:sz w:val="20"/>
                <w:szCs w:val="20"/>
                <w:color w:val="auto"/>
              </w:rPr>
            </w:pPr>
            <w:r>
              <w:rPr>
                <w:rFonts w:ascii="Arial" w:cs="Arial" w:eastAsia="Arial" w:hAnsi="Arial"/>
                <w:sz w:val="13"/>
                <w:szCs w:val="13"/>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Unamortized premium</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299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61"/>
        </w:trPr>
        <w:tc>
          <w:tcPr>
            <w:tcW w:w="3520" w:type="dxa"/>
            <w:vAlign w:val="bottom"/>
            <w:gridSpan w:val="2"/>
          </w:tcPr>
          <w:p>
            <w:pPr>
              <w:ind w:left="220"/>
              <w:spacing w:after="0"/>
              <w:rPr>
                <w:sz w:val="20"/>
                <w:szCs w:val="20"/>
                <w:color w:val="auto"/>
              </w:rPr>
            </w:pPr>
            <w:r>
              <w:rPr>
                <w:rFonts w:ascii="Arial" w:cs="Arial" w:eastAsia="Arial" w:hAnsi="Arial"/>
                <w:sz w:val="13"/>
                <w:szCs w:val="13"/>
                <w:color w:val="auto"/>
              </w:rPr>
              <w:t>Amortized cost</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rPr>
              <w:t>6,641</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2,215</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2</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8,858</w:t>
            </w: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234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69"/>
        </w:trPr>
        <w:tc>
          <w:tcPr>
            <w:tcW w:w="3520" w:type="dxa"/>
            <w:vAlign w:val="bottom"/>
            <w:gridSpan w:val="2"/>
          </w:tcPr>
          <w:p>
            <w:pPr>
              <w:ind w:left="180"/>
              <w:spacing w:after="0"/>
              <w:rPr>
                <w:sz w:val="20"/>
                <w:szCs w:val="20"/>
                <w:color w:val="auto"/>
              </w:rPr>
            </w:pPr>
            <w:r>
              <w:rPr>
                <w:rFonts w:ascii="Arial" w:cs="Arial" w:eastAsia="Arial" w:hAnsi="Arial"/>
                <w:sz w:val="13"/>
                <w:szCs w:val="13"/>
                <w:color w:val="auto"/>
              </w:rPr>
              <w:t>Gross unrealized losses</w:t>
            </w:r>
          </w:p>
        </w:tc>
        <w:tc>
          <w:tcPr>
            <w:tcW w:w="16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6,875</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2,282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9,159</w:t>
            </w:r>
          </w:p>
        </w:tc>
        <w:tc>
          <w:tcPr>
            <w:tcW w:w="0" w:type="dxa"/>
            <w:vAlign w:val="bottom"/>
          </w:tcPr>
          <w:p>
            <w:pPr>
              <w:spacing w:after="0"/>
              <w:rPr>
                <w:sz w:val="1"/>
                <w:szCs w:val="1"/>
                <w:color w:val="auto"/>
              </w:rPr>
            </w:pPr>
          </w:p>
        </w:tc>
      </w:tr>
      <w:tr>
        <w:trPr>
          <w:trHeight w:val="148"/>
        </w:trPr>
        <w:tc>
          <w:tcPr>
            <w:tcW w:w="352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Securities remeasured at fair value through earnings: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Par value</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27,952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13,680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950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43,420</w:t>
            </w:r>
          </w:p>
        </w:tc>
        <w:tc>
          <w:tcPr>
            <w:tcW w:w="0" w:type="dxa"/>
            <w:vAlign w:val="bottom"/>
          </w:tcPr>
          <w:p>
            <w:pPr>
              <w:spacing w:after="0"/>
              <w:rPr>
                <w:sz w:val="1"/>
                <w:szCs w:val="1"/>
                <w:color w:val="auto"/>
              </w:rPr>
            </w:pPr>
          </w:p>
        </w:tc>
      </w:tr>
      <w:tr>
        <w:trPr>
          <w:trHeight w:val="168"/>
        </w:trPr>
        <w:tc>
          <w:tcPr>
            <w:tcW w:w="3520" w:type="dxa"/>
            <w:vAlign w:val="bottom"/>
            <w:gridSpan w:val="2"/>
          </w:tcPr>
          <w:p>
            <w:pPr>
              <w:ind w:left="220"/>
              <w:spacing w:after="0"/>
              <w:rPr>
                <w:sz w:val="20"/>
                <w:szCs w:val="20"/>
                <w:color w:val="auto"/>
              </w:rPr>
            </w:pPr>
            <w:r>
              <w:rPr>
                <w:rFonts w:ascii="Arial" w:cs="Arial" w:eastAsia="Arial" w:hAnsi="Arial"/>
                <w:sz w:val="13"/>
                <w:szCs w:val="13"/>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Unamortized premium</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924</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444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1,387</w:t>
            </w:r>
          </w:p>
        </w:tc>
        <w:tc>
          <w:tcPr>
            <w:tcW w:w="0" w:type="dxa"/>
            <w:vAlign w:val="bottom"/>
          </w:tcPr>
          <w:p>
            <w:pPr>
              <w:spacing w:after="0"/>
              <w:rPr>
                <w:sz w:val="1"/>
                <w:szCs w:val="1"/>
                <w:color w:val="auto"/>
              </w:rPr>
            </w:pPr>
          </w:p>
        </w:tc>
      </w:tr>
      <w:tr>
        <w:trPr>
          <w:trHeight w:val="161"/>
        </w:trPr>
        <w:tc>
          <w:tcPr>
            <w:tcW w:w="3520" w:type="dxa"/>
            <w:vAlign w:val="bottom"/>
            <w:gridSpan w:val="2"/>
          </w:tcPr>
          <w:p>
            <w:pPr>
              <w:ind w:left="220"/>
              <w:spacing w:after="0"/>
              <w:rPr>
                <w:sz w:val="20"/>
                <w:szCs w:val="20"/>
                <w:color w:val="auto"/>
              </w:rPr>
            </w:pPr>
            <w:r>
              <w:rPr>
                <w:rFonts w:ascii="Arial" w:cs="Arial" w:eastAsia="Arial" w:hAnsi="Arial"/>
                <w:sz w:val="13"/>
                <w:szCs w:val="13"/>
                <w:color w:val="auto"/>
              </w:rPr>
              <w:t>Amortized cost</w:t>
            </w:r>
          </w:p>
        </w:tc>
        <w:tc>
          <w:tcPr>
            <w:tcW w:w="16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28,862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14,120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16"/>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505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955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44,770</w:t>
            </w: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517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213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768</w:t>
            </w:r>
          </w:p>
        </w:tc>
        <w:tc>
          <w:tcPr>
            <w:tcW w:w="0" w:type="dxa"/>
            <w:vAlign w:val="bottom"/>
          </w:tcPr>
          <w:p>
            <w:pPr>
              <w:spacing w:after="0"/>
              <w:rPr>
                <w:sz w:val="1"/>
                <w:szCs w:val="1"/>
                <w:color w:val="auto"/>
              </w:rPr>
            </w:pPr>
          </w:p>
        </w:tc>
      </w:tr>
      <w:tr>
        <w:trPr>
          <w:trHeight w:val="169"/>
        </w:trPr>
        <w:tc>
          <w:tcPr>
            <w:tcW w:w="3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Gross unrealized losses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(181)</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75"/>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29,198</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14,244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329</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514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974</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45,262</w:t>
            </w:r>
          </w:p>
        </w:tc>
        <w:tc>
          <w:tcPr>
            <w:tcW w:w="0" w:type="dxa"/>
            <w:vAlign w:val="bottom"/>
          </w:tcPr>
          <w:p>
            <w:pPr>
              <w:spacing w:after="0"/>
              <w:rPr>
                <w:sz w:val="1"/>
                <w:szCs w:val="1"/>
                <w:color w:val="auto"/>
              </w:rPr>
            </w:pPr>
          </w:p>
        </w:tc>
      </w:tr>
      <w:tr>
        <w:trPr>
          <w:trHeight w:val="169"/>
        </w:trPr>
        <w:tc>
          <w:tcPr>
            <w:tcW w:w="352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36,073</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16,526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329</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514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974</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54,421</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2021</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3.09 %</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4.69 %</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3.74 %</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3.08 %</w:t>
            </w:r>
          </w:p>
        </w:tc>
        <w:tc>
          <w:tcPr>
            <w:tcW w:w="0" w:type="dxa"/>
            <w:vAlign w:val="bottom"/>
          </w:tcPr>
          <w:p>
            <w:pPr>
              <w:spacing w:after="0"/>
              <w:rPr>
                <w:sz w:val="1"/>
                <w:szCs w:val="1"/>
                <w:color w:val="auto"/>
              </w:rPr>
            </w:pPr>
          </w:p>
        </w:tc>
      </w:tr>
      <w:tr>
        <w:trPr>
          <w:trHeight w:val="214"/>
        </w:trPr>
        <w:tc>
          <w:tcPr>
            <w:tcW w:w="352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2021 </w:t>
            </w:r>
            <w:r>
              <w:rPr>
                <w:rFonts w:ascii="Arial" w:cs="Arial" w:eastAsia="Arial" w:hAnsi="Arial"/>
                <w:sz w:val="16"/>
                <w:szCs w:val="16"/>
                <w:color w:val="auto"/>
                <w:vertAlign w:val="superscript"/>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2.54 %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5.68 %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4.47 %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2.43 %</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10.9% based on forward rates as of December 31, 2021.</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2022 and December 31, 2021, our investments in CRT and non-Agency securities had the following credit ratings (in millions):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2022</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9"/>
        </w:trPr>
        <w:tc>
          <w:tcPr>
            <w:tcW w:w="406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18"/>
                <w:szCs w:val="18"/>
                <w:b w:val="1"/>
                <w:bCs w:val="1"/>
                <w:color w:val="auto"/>
                <w:vertAlign w:val="superscript"/>
              </w:rPr>
              <w:t>1</w:t>
            </w:r>
          </w:p>
        </w:tc>
        <w:tc>
          <w:tcPr>
            <w:tcW w:w="24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CRT</w:t>
            </w: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RMBS</w:t>
            </w:r>
          </w:p>
        </w:tc>
        <w:tc>
          <w:tcPr>
            <w:tcW w:w="20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CMBS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RMBS</w:t>
            </w:r>
          </w:p>
        </w:tc>
        <w:tc>
          <w:tcPr>
            <w:tcW w:w="20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CMBS</w:t>
            </w:r>
          </w:p>
        </w:tc>
      </w:tr>
      <w:tr>
        <w:trPr>
          <w:trHeight w:val="183"/>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AA</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19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BBB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19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BB</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19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Not Rated</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3"/>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w:t>
            </w:r>
          </w:p>
        </w:tc>
        <w:tc>
          <w:tcPr>
            <w:tcW w:w="16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w:t>
            </w: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55"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spacing w:after="0" w:line="13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CRT securities reference the performance of loans underlying Agency RMBS issued by Fannie Mae or Freddie Mac, which were subject to their underwriting standards.</w:t>
      </w:r>
    </w:p>
    <w:p>
      <w:pPr>
        <w:spacing w:after="0" w:line="11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June 30, 2022 and December 31, 2021, the weighted average expected constant prepayment rate ("CPR") over the remaining life of our Agency and high credit quality non-Agency RMBS investment portfolio was 7.2% and 10.9%, respectively. Our estimates can differ materially for different securities and thus our individual holdings have a wide range of projected CPRs. The following table summarizes our investments as of June 30, 2022 and December 31, 2021 according to their estimated weighted average life classification (dollars in millions):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June 30, 2022</w:t>
            </w:r>
          </w:p>
        </w:tc>
        <w:tc>
          <w:tcPr>
            <w:tcW w:w="10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2021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 Weighted Average Life of</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8"/>
        </w:trPr>
        <w:tc>
          <w:tcPr>
            <w:tcW w:w="2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Coupon</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Coupon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84"/>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3 years</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590</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4.20%</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3.61%</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3.64%</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3.69%</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&gt; 3 years and ≤ 5 years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2,851</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3.73%</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3.35%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10,868</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3.97%</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2.74%</w:t>
            </w:r>
          </w:p>
        </w:tc>
        <w:tc>
          <w:tcPr>
            <w:tcW w:w="0" w:type="dxa"/>
            <w:vAlign w:val="bottom"/>
          </w:tcPr>
          <w:p>
            <w:pPr>
              <w:spacing w:after="0"/>
              <w:rPr>
                <w:sz w:val="1"/>
                <w:szCs w:val="1"/>
                <w:color w:val="auto"/>
              </w:rPr>
            </w:pPr>
          </w:p>
        </w:tc>
      </w:tr>
      <w:tr>
        <w:trPr>
          <w:trHeight w:val="192"/>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&gt; 5 years and ≤10 years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33,317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2.32%</w:t>
            </w:r>
          </w:p>
        </w:tc>
        <w:tc>
          <w:tcPr>
            <w:tcW w:w="0" w:type="dxa"/>
            <w:vAlign w:val="bottom"/>
          </w:tcPr>
          <w:p>
            <w:pPr>
              <w:spacing w:after="0"/>
              <w:rPr>
                <w:sz w:val="1"/>
                <w:szCs w:val="1"/>
                <w:color w:val="auto"/>
              </w:rPr>
            </w:pPr>
          </w:p>
        </w:tc>
      </w:tr>
      <w:tr>
        <w:trPr>
          <w:trHeight w:val="186"/>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&gt; 10 years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12,104</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2.68%</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2.57%</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4,628</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2.48%</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2.09%</w:t>
            </w:r>
          </w:p>
        </w:tc>
        <w:tc>
          <w:tcPr>
            <w:tcW w:w="0" w:type="dxa"/>
            <w:vAlign w:val="bottom"/>
          </w:tcPr>
          <w:p>
            <w:pPr>
              <w:spacing w:after="0"/>
              <w:rPr>
                <w:sz w:val="1"/>
                <w:szCs w:val="1"/>
                <w:color w:val="auto"/>
              </w:rPr>
            </w:pPr>
          </w:p>
        </w:tc>
      </w:tr>
      <w:tr>
        <w:trPr>
          <w:trHeight w:val="211"/>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45,401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48,862</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3.35%</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2.85%</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54,421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53,628</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3.08%</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2.43%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80" w:firstLine="486"/>
        <w:spacing w:after="0" w:line="284" w:lineRule="auto"/>
        <w:rPr>
          <w:sz w:val="20"/>
          <w:szCs w:val="20"/>
          <w:color w:val="auto"/>
        </w:rPr>
      </w:pPr>
      <w:r>
        <w:rPr>
          <w:rFonts w:ascii="Arial" w:cs="Arial" w:eastAsia="Arial" w:hAnsi="Arial"/>
          <w:sz w:val="17"/>
          <w:szCs w:val="17"/>
          <w:color w:val="auto"/>
        </w:rPr>
        <w:t>The following table presents the gross unrealized loss and fair values of securities classified as available-for-sale by length of time that such securities have been in a continuous unrealized loss position as of June 30, 2022 and December 31, 2021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Unrealized Loss Position For</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0" w:type="dxa"/>
            <w:vAlign w:val="bottom"/>
            <w:gridSpan w:val="5"/>
          </w:tcPr>
          <w:p>
            <w:pPr>
              <w:ind w:left="580"/>
              <w:spacing w:after="0"/>
              <w:rPr>
                <w:sz w:val="20"/>
                <w:szCs w:val="20"/>
                <w:color w:val="auto"/>
              </w:rPr>
            </w:pPr>
            <w:r>
              <w:rPr>
                <w:rFonts w:ascii="Arial" w:cs="Arial" w:eastAsia="Arial" w:hAnsi="Arial"/>
                <w:sz w:val="14"/>
                <w:szCs w:val="14"/>
                <w:b w:val="1"/>
                <w:bCs w:val="1"/>
                <w:color w:val="auto"/>
              </w:rPr>
              <w:t>Less than 12 Months</w:t>
            </w:r>
          </w:p>
        </w:tc>
        <w:tc>
          <w:tcPr>
            <w:tcW w:w="1040" w:type="dxa"/>
            <w:vAlign w:val="bottom"/>
          </w:tcPr>
          <w:p>
            <w:pPr>
              <w:spacing w:after="0"/>
              <w:rPr>
                <w:sz w:val="16"/>
                <w:szCs w:val="16"/>
                <w:color w:val="auto"/>
              </w:rPr>
            </w:pPr>
          </w:p>
        </w:tc>
        <w:tc>
          <w:tcPr>
            <w:tcW w:w="156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w w:val="96"/>
              </w:rPr>
              <w:t>12 Months or More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40" w:type="dxa"/>
            <w:vAlign w:val="bottom"/>
            <w:gridSpan w:val="2"/>
          </w:tcPr>
          <w:p>
            <w:pPr>
              <w:ind w:left="520"/>
              <w:spacing w:after="0" w:line="131" w:lineRule="exact"/>
              <w:rPr>
                <w:sz w:val="20"/>
                <w:szCs w:val="20"/>
                <w:color w:val="auto"/>
              </w:rPr>
            </w:pPr>
            <w:r>
              <w:rPr>
                <w:rFonts w:ascii="Arial" w:cs="Arial" w:eastAsia="Arial" w:hAnsi="Arial"/>
                <w:sz w:val="14"/>
                <w:szCs w:val="14"/>
                <w:b w:val="1"/>
                <w:bCs w:val="1"/>
                <w:color w:val="auto"/>
                <w:w w:val="95"/>
              </w:rPr>
              <w:t>Securities Classified as</w:t>
            </w:r>
          </w:p>
        </w:tc>
        <w:tc>
          <w:tcPr>
            <w:tcW w:w="5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300"/>
              <w:spacing w:after="0" w:line="131" w:lineRule="exact"/>
              <w:rPr>
                <w:sz w:val="20"/>
                <w:szCs w:val="20"/>
                <w:color w:val="auto"/>
              </w:rPr>
            </w:pPr>
            <w:r>
              <w:rPr>
                <w:rFonts w:ascii="Arial" w:cs="Arial" w:eastAsia="Arial" w:hAnsi="Arial"/>
                <w:sz w:val="14"/>
                <w:szCs w:val="14"/>
                <w:b w:val="1"/>
                <w:bCs w:val="1"/>
                <w:color w:val="auto"/>
              </w:rPr>
              <w:t>Fair</w:t>
            </w:r>
          </w:p>
        </w:tc>
        <w:tc>
          <w:tcPr>
            <w:tcW w:w="6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88"/>
              <w:spacing w:after="0" w:line="131" w:lineRule="exact"/>
              <w:rPr>
                <w:sz w:val="20"/>
                <w:szCs w:val="20"/>
                <w:color w:val="auto"/>
              </w:rPr>
            </w:pPr>
            <w:r>
              <w:rPr>
                <w:rFonts w:ascii="Arial" w:cs="Arial" w:eastAsia="Arial" w:hAnsi="Arial"/>
                <w:sz w:val="14"/>
                <w:szCs w:val="14"/>
                <w:b w:val="1"/>
                <w:bCs w:val="1"/>
                <w:color w:val="auto"/>
                <w:w w:val="98"/>
              </w:rPr>
              <w:t>Unrealized</w:t>
            </w:r>
          </w:p>
        </w:tc>
        <w:tc>
          <w:tcPr>
            <w:tcW w:w="100" w:type="dxa"/>
            <w:vAlign w:val="bottom"/>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600"/>
              <w:spacing w:after="0" w:line="131"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280"/>
              <w:spacing w:after="0" w:line="131" w:lineRule="exact"/>
              <w:rPr>
                <w:sz w:val="20"/>
                <w:szCs w:val="20"/>
                <w:color w:val="auto"/>
              </w:rPr>
            </w:pPr>
            <w:r>
              <w:rPr>
                <w:rFonts w:ascii="Arial" w:cs="Arial" w:eastAsia="Arial" w:hAnsi="Arial"/>
                <w:sz w:val="14"/>
                <w:szCs w:val="14"/>
                <w:b w:val="1"/>
                <w:bCs w:val="1"/>
                <w:color w:val="auto"/>
              </w:rPr>
              <w:t>Fair</w:t>
            </w:r>
          </w:p>
        </w:tc>
        <w:tc>
          <w:tcPr>
            <w:tcW w:w="6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88"/>
              <w:spacing w:after="0" w:line="131"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88"/>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Available-for-Sale</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Loss</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85"/>
              </w:rPr>
              <w:t>Value</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w w:val="79"/>
              </w:rPr>
              <w:t>Loss</w:t>
            </w:r>
          </w:p>
        </w:tc>
        <w:tc>
          <w:tcPr>
            <w:tcW w:w="0" w:type="dxa"/>
            <w:vAlign w:val="bottom"/>
          </w:tcPr>
          <w:p>
            <w:pPr>
              <w:spacing w:after="0"/>
              <w:rPr>
                <w:sz w:val="1"/>
                <w:szCs w:val="1"/>
                <w:color w:val="auto"/>
              </w:rPr>
            </w:pPr>
          </w:p>
        </w:tc>
      </w:tr>
      <w:tr>
        <w:trPr>
          <w:trHeight w:val="346"/>
        </w:trPr>
        <w:tc>
          <w:tcPr>
            <w:tcW w:w="20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June 30, 2022</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6,803</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6,803</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339"/>
        </w:trPr>
        <w:tc>
          <w:tcPr>
            <w:tcW w:w="2040" w:type="dxa"/>
            <w:vAlign w:val="bottom"/>
            <w:gridSpan w:val="2"/>
          </w:tcPr>
          <w:p>
            <w:pPr>
              <w:ind w:left="520"/>
              <w:spacing w:after="0"/>
              <w:rPr>
                <w:sz w:val="20"/>
                <w:szCs w:val="20"/>
                <w:color w:val="auto"/>
              </w:rPr>
            </w:pPr>
            <w:r>
              <w:rPr>
                <w:rFonts w:ascii="Arial" w:cs="Arial" w:eastAsia="Arial" w:hAnsi="Arial"/>
                <w:sz w:val="14"/>
                <w:szCs w:val="14"/>
                <w:color w:val="auto"/>
              </w:rPr>
              <w:t>December 31, 2021</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Sale of Investment Securities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is a summary of our net gain (loss) from the sale of investment securities for the three and six months ended June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by investment classification of accounting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80"/>
              <w:spacing w:after="0" w:line="121" w:lineRule="exact"/>
              <w:rPr>
                <w:sz w:val="20"/>
                <w:szCs w:val="20"/>
                <w:color w:val="auto"/>
              </w:rPr>
            </w:pPr>
            <w:r>
              <w:rPr>
                <w:rFonts w:ascii="Arial" w:cs="Arial" w:eastAsia="Arial" w:hAnsi="Arial"/>
                <w:sz w:val="13"/>
                <w:szCs w:val="13"/>
                <w:b w:val="1"/>
                <w:bCs w:val="1"/>
                <w:color w:val="auto"/>
                <w:w w:val="89"/>
              </w:rPr>
              <w:t>Available-for-</w:t>
            </w:r>
          </w:p>
        </w:tc>
        <w:tc>
          <w:tcPr>
            <w:tcW w:w="120" w:type="dxa"/>
            <w:vAlign w:val="bottom"/>
          </w:tcPr>
          <w:p>
            <w:pPr>
              <w:spacing w:after="0"/>
              <w:rPr>
                <w:sz w:val="10"/>
                <w:szCs w:val="10"/>
                <w:color w:val="auto"/>
              </w:rPr>
            </w:pPr>
          </w:p>
        </w:tc>
        <w:tc>
          <w:tcPr>
            <w:tcW w:w="760" w:type="dxa"/>
            <w:vAlign w:val="bottom"/>
          </w:tcPr>
          <w:p>
            <w:pPr>
              <w:jc w:val="center"/>
              <w:ind w:right="51"/>
              <w:spacing w:after="0" w:line="121" w:lineRule="exact"/>
              <w:rPr>
                <w:sz w:val="20"/>
                <w:szCs w:val="20"/>
                <w:color w:val="auto"/>
              </w:rPr>
            </w:pPr>
            <w:r>
              <w:rPr>
                <w:rFonts w:ascii="Arial" w:cs="Arial" w:eastAsia="Arial" w:hAnsi="Arial"/>
                <w:sz w:val="13"/>
                <w:szCs w:val="13"/>
                <w:b w:val="1"/>
                <w:bCs w:val="1"/>
                <w:color w:val="auto"/>
                <w:w w:val="90"/>
              </w:rPr>
              <w:t>Fair Value</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89"/>
              </w:rPr>
              <w:t>Available-for-</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93"/>
              </w:rPr>
              <w:t>Fair Value</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Sale</w:t>
            </w:r>
          </w:p>
        </w:tc>
        <w:tc>
          <w:tcPr>
            <w:tcW w:w="120" w:type="dxa"/>
            <w:vAlign w:val="bottom"/>
          </w:tcPr>
          <w:p>
            <w:pPr>
              <w:spacing w:after="0"/>
              <w:rPr>
                <w:sz w:val="10"/>
                <w:szCs w:val="10"/>
                <w:color w:val="auto"/>
              </w:rPr>
            </w:pPr>
          </w:p>
        </w:tc>
        <w:tc>
          <w:tcPr>
            <w:tcW w:w="760" w:type="dxa"/>
            <w:vAlign w:val="bottom"/>
          </w:tcPr>
          <w:p>
            <w:pPr>
              <w:jc w:val="center"/>
              <w:ind w:right="71"/>
              <w:spacing w:after="0" w:line="122"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2"/>
              </w:rPr>
              <w:t>Sale</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Option</w:t>
            </w:r>
          </w:p>
        </w:tc>
        <w:tc>
          <w:tcPr>
            <w:tcW w:w="200" w:type="dxa"/>
            <w:vAlign w:val="bottom"/>
          </w:tcPr>
          <w:p>
            <w:pPr>
              <w:spacing w:after="0"/>
              <w:rPr>
                <w:sz w:val="10"/>
                <w:szCs w:val="10"/>
                <w:color w:val="auto"/>
              </w:rPr>
            </w:pPr>
          </w:p>
        </w:tc>
        <w:tc>
          <w:tcPr>
            <w:tcW w:w="68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5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line="175" w:lineRule="exact"/>
              <w:rPr>
                <w:sz w:val="20"/>
                <w:szCs w:val="20"/>
                <w:color w:val="auto"/>
              </w:rPr>
            </w:pPr>
            <w:r>
              <w:rPr>
                <w:rFonts w:ascii="Arial" w:cs="Arial" w:eastAsia="Arial" w:hAnsi="Arial"/>
                <w:sz w:val="13"/>
                <w:szCs w:val="13"/>
                <w:b w:val="1"/>
                <w:bCs w:val="1"/>
                <w:color w:val="auto"/>
                <w:w w:val="83"/>
              </w:rPr>
              <w:t xml:space="preserve">Securities </w:t>
            </w:r>
            <w:r>
              <w:rPr>
                <w:rFonts w:ascii="Arial" w:cs="Arial" w:eastAsia="Arial" w:hAnsi="Arial"/>
                <w:sz w:val="16"/>
                <w:szCs w:val="16"/>
                <w:b w:val="1"/>
                <w:bCs w:val="1"/>
                <w:color w:val="auto"/>
                <w:w w:val="83"/>
                <w:vertAlign w:val="superscript"/>
              </w:rPr>
              <w:t>2</w:t>
            </w:r>
          </w:p>
        </w:tc>
        <w:tc>
          <w:tcPr>
            <w:tcW w:w="120" w:type="dxa"/>
            <w:vAlign w:val="bottom"/>
          </w:tcPr>
          <w:p>
            <w:pPr>
              <w:spacing w:after="0"/>
              <w:rPr>
                <w:sz w:val="15"/>
                <w:szCs w:val="15"/>
                <w:color w:val="auto"/>
              </w:rPr>
            </w:pPr>
          </w:p>
        </w:tc>
        <w:tc>
          <w:tcPr>
            <w:tcW w:w="760" w:type="dxa"/>
            <w:vAlign w:val="bottom"/>
          </w:tcPr>
          <w:p>
            <w:pPr>
              <w:jc w:val="center"/>
              <w:ind w:right="51"/>
              <w:spacing w:after="0"/>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line="175" w:lineRule="exact"/>
              <w:rPr>
                <w:sz w:val="20"/>
                <w:szCs w:val="20"/>
                <w:color w:val="auto"/>
              </w:rPr>
            </w:pPr>
            <w:r>
              <w:rPr>
                <w:rFonts w:ascii="Arial" w:cs="Arial" w:eastAsia="Arial" w:hAnsi="Arial"/>
                <w:sz w:val="13"/>
                <w:szCs w:val="13"/>
                <w:b w:val="1"/>
                <w:bCs w:val="1"/>
                <w:color w:val="auto"/>
                <w:w w:val="83"/>
              </w:rPr>
              <w:t xml:space="preserve">Securities </w:t>
            </w:r>
            <w:r>
              <w:rPr>
                <w:rFonts w:ascii="Arial" w:cs="Arial" w:eastAsia="Arial" w:hAnsi="Arial"/>
                <w:sz w:val="16"/>
                <w:szCs w:val="16"/>
                <w:b w:val="1"/>
                <w:bCs w:val="1"/>
                <w:color w:val="auto"/>
                <w:w w:val="83"/>
                <w:vertAlign w:val="superscript"/>
              </w:rPr>
              <w:t>2</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Securities</w:t>
            </w: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Investment securities sold, at cost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(8,145)</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(8,433)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(4,151)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(8,659)</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(12,810)</w:t>
            </w:r>
          </w:p>
        </w:tc>
        <w:tc>
          <w:tcPr>
            <w:tcW w:w="0" w:type="dxa"/>
            <w:vAlign w:val="bottom"/>
          </w:tcPr>
          <w:p>
            <w:pPr>
              <w:spacing w:after="0"/>
              <w:rPr>
                <w:sz w:val="1"/>
                <w:szCs w:val="1"/>
                <w:color w:val="auto"/>
              </w:rPr>
            </w:pPr>
          </w:p>
        </w:tc>
      </w:tr>
      <w:tr>
        <w:trPr>
          <w:trHeight w:val="192"/>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9"/>
                <w:szCs w:val="9"/>
                <w:color w:val="auto"/>
              </w:rPr>
              <w:t>1</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7,223</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8,670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12,835</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2"/>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Six Months Ended June 30,</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80"/>
              <w:spacing w:after="0" w:line="121" w:lineRule="exact"/>
              <w:rPr>
                <w:sz w:val="20"/>
                <w:szCs w:val="20"/>
                <w:color w:val="auto"/>
              </w:rPr>
            </w:pPr>
            <w:r>
              <w:rPr>
                <w:rFonts w:ascii="Arial" w:cs="Arial" w:eastAsia="Arial" w:hAnsi="Arial"/>
                <w:sz w:val="13"/>
                <w:szCs w:val="13"/>
                <w:b w:val="1"/>
                <w:bCs w:val="1"/>
                <w:color w:val="auto"/>
                <w:w w:val="89"/>
              </w:rPr>
              <w:t>Available-for-</w:t>
            </w:r>
          </w:p>
        </w:tc>
        <w:tc>
          <w:tcPr>
            <w:tcW w:w="120" w:type="dxa"/>
            <w:vAlign w:val="bottom"/>
          </w:tcPr>
          <w:p>
            <w:pPr>
              <w:spacing w:after="0"/>
              <w:rPr>
                <w:sz w:val="10"/>
                <w:szCs w:val="10"/>
                <w:color w:val="auto"/>
              </w:rPr>
            </w:pPr>
          </w:p>
        </w:tc>
        <w:tc>
          <w:tcPr>
            <w:tcW w:w="760" w:type="dxa"/>
            <w:vAlign w:val="bottom"/>
          </w:tcPr>
          <w:p>
            <w:pPr>
              <w:jc w:val="center"/>
              <w:ind w:right="51"/>
              <w:spacing w:after="0" w:line="121" w:lineRule="exact"/>
              <w:rPr>
                <w:sz w:val="20"/>
                <w:szCs w:val="20"/>
                <w:color w:val="auto"/>
              </w:rPr>
            </w:pPr>
            <w:r>
              <w:rPr>
                <w:rFonts w:ascii="Arial" w:cs="Arial" w:eastAsia="Arial" w:hAnsi="Arial"/>
                <w:sz w:val="13"/>
                <w:szCs w:val="13"/>
                <w:b w:val="1"/>
                <w:bCs w:val="1"/>
                <w:color w:val="auto"/>
                <w:w w:val="90"/>
              </w:rPr>
              <w:t>Fair Value</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89"/>
              </w:rPr>
              <w:t>Available-for-</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93"/>
              </w:rPr>
              <w:t>Fair Value</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Sale</w:t>
            </w:r>
          </w:p>
        </w:tc>
        <w:tc>
          <w:tcPr>
            <w:tcW w:w="120" w:type="dxa"/>
            <w:vAlign w:val="bottom"/>
          </w:tcPr>
          <w:p>
            <w:pPr>
              <w:spacing w:after="0"/>
              <w:rPr>
                <w:sz w:val="10"/>
                <w:szCs w:val="10"/>
                <w:color w:val="auto"/>
              </w:rPr>
            </w:pPr>
          </w:p>
        </w:tc>
        <w:tc>
          <w:tcPr>
            <w:tcW w:w="760" w:type="dxa"/>
            <w:vAlign w:val="bottom"/>
          </w:tcPr>
          <w:p>
            <w:pPr>
              <w:jc w:val="center"/>
              <w:ind w:right="71"/>
              <w:spacing w:after="0" w:line="122"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2"/>
              </w:rPr>
              <w:t>Sale</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Option</w:t>
            </w:r>
          </w:p>
        </w:tc>
        <w:tc>
          <w:tcPr>
            <w:tcW w:w="200" w:type="dxa"/>
            <w:vAlign w:val="bottom"/>
          </w:tcPr>
          <w:p>
            <w:pPr>
              <w:spacing w:after="0"/>
              <w:rPr>
                <w:sz w:val="10"/>
                <w:szCs w:val="10"/>
                <w:color w:val="auto"/>
              </w:rPr>
            </w:pPr>
          </w:p>
        </w:tc>
        <w:tc>
          <w:tcPr>
            <w:tcW w:w="68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5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line="175" w:lineRule="exact"/>
              <w:rPr>
                <w:sz w:val="20"/>
                <w:szCs w:val="20"/>
                <w:color w:val="auto"/>
              </w:rPr>
            </w:pPr>
            <w:r>
              <w:rPr>
                <w:rFonts w:ascii="Arial" w:cs="Arial" w:eastAsia="Arial" w:hAnsi="Arial"/>
                <w:sz w:val="13"/>
                <w:szCs w:val="13"/>
                <w:b w:val="1"/>
                <w:bCs w:val="1"/>
                <w:color w:val="auto"/>
                <w:w w:val="83"/>
              </w:rPr>
              <w:t xml:space="preserve">Securities </w:t>
            </w:r>
            <w:r>
              <w:rPr>
                <w:rFonts w:ascii="Arial" w:cs="Arial" w:eastAsia="Arial" w:hAnsi="Arial"/>
                <w:sz w:val="16"/>
                <w:szCs w:val="16"/>
                <w:b w:val="1"/>
                <w:bCs w:val="1"/>
                <w:color w:val="auto"/>
                <w:w w:val="83"/>
                <w:vertAlign w:val="superscript"/>
              </w:rPr>
              <w:t>2</w:t>
            </w:r>
          </w:p>
        </w:tc>
        <w:tc>
          <w:tcPr>
            <w:tcW w:w="120" w:type="dxa"/>
            <w:vAlign w:val="bottom"/>
          </w:tcPr>
          <w:p>
            <w:pPr>
              <w:spacing w:after="0"/>
              <w:rPr>
                <w:sz w:val="15"/>
                <w:szCs w:val="15"/>
                <w:color w:val="auto"/>
              </w:rPr>
            </w:pPr>
          </w:p>
        </w:tc>
        <w:tc>
          <w:tcPr>
            <w:tcW w:w="760" w:type="dxa"/>
            <w:vAlign w:val="bottom"/>
          </w:tcPr>
          <w:p>
            <w:pPr>
              <w:jc w:val="center"/>
              <w:ind w:right="51"/>
              <w:spacing w:after="0"/>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line="175" w:lineRule="exact"/>
              <w:rPr>
                <w:sz w:val="20"/>
                <w:szCs w:val="20"/>
                <w:color w:val="auto"/>
              </w:rPr>
            </w:pPr>
            <w:r>
              <w:rPr>
                <w:rFonts w:ascii="Arial" w:cs="Arial" w:eastAsia="Arial" w:hAnsi="Arial"/>
                <w:sz w:val="13"/>
                <w:szCs w:val="13"/>
                <w:b w:val="1"/>
                <w:bCs w:val="1"/>
                <w:color w:val="auto"/>
                <w:w w:val="83"/>
              </w:rPr>
              <w:t xml:space="preserve">Securities </w:t>
            </w:r>
            <w:r>
              <w:rPr>
                <w:rFonts w:ascii="Arial" w:cs="Arial" w:eastAsia="Arial" w:hAnsi="Arial"/>
                <w:sz w:val="16"/>
                <w:szCs w:val="16"/>
                <w:b w:val="1"/>
                <w:bCs w:val="1"/>
                <w:color w:val="auto"/>
                <w:w w:val="83"/>
                <w:vertAlign w:val="superscript"/>
              </w:rPr>
              <w:t>2</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Securities</w:t>
            </w: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Investment securities sold, at cost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(15,457)</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(16,060)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(4,644)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(14,523)</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(19,167)</w:t>
            </w:r>
          </w:p>
        </w:tc>
        <w:tc>
          <w:tcPr>
            <w:tcW w:w="0" w:type="dxa"/>
            <w:vAlign w:val="bottom"/>
          </w:tcPr>
          <w:p>
            <w:pPr>
              <w:spacing w:after="0"/>
              <w:rPr>
                <w:sz w:val="1"/>
                <w:szCs w:val="1"/>
                <w:color w:val="auto"/>
              </w:rPr>
            </w:pPr>
          </w:p>
        </w:tc>
      </w:tr>
      <w:tr>
        <w:trPr>
          <w:trHeight w:val="192"/>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9"/>
                <w:szCs w:val="9"/>
                <w:color w:val="auto"/>
              </w:rPr>
              <w:t>1</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14,193</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14,772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14,503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19,179</w:t>
            </w:r>
          </w:p>
        </w:tc>
        <w:tc>
          <w:tcPr>
            <w:tcW w:w="0" w:type="dxa"/>
            <w:vAlign w:val="bottom"/>
          </w:tcPr>
          <w:p>
            <w:pPr>
              <w:spacing w:after="0"/>
              <w:rPr>
                <w:sz w:val="1"/>
                <w:szCs w:val="1"/>
                <w:color w:val="auto"/>
              </w:rPr>
            </w:pPr>
          </w:p>
        </w:tc>
      </w:tr>
      <w:tr>
        <w:trPr>
          <w:trHeight w:val="182"/>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4</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92"/>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(1,264)</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9 for a summary of changes in accumulated OCI.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Repurchase Agreements and Reverse Repurchase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June 30, 2022, we had met all margin call requirements. For additional information regarding our pledged assets, please refer to Note 6.</w:t>
      </w:r>
    </w:p>
    <w:p>
      <w:pPr>
        <w:spacing w:after="0" w:line="12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As of June 30, 2022 and December 31, 2021, we had $43.2 billion and $47.4 billion, respectively, of repurchase agreements outstanding used to fund our investment portfolio and temporary holdings of U.S. Treasury securities. The terms and conditions of our repurchase agreements are typically negotiated on a transaction-by-transaction basis. Our repurchase agreements with original maturities greater than one year may have floating interest rates based on an index plus or minus a fixed spread. The following table summarizes our borrowings under repurchase agreements by their remaining maturities as of June 30, 2022 and December 31, 2021 (dollars in millions):</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 2022</w:t>
            </w:r>
          </w:p>
        </w:tc>
        <w:tc>
          <w:tcPr>
            <w:tcW w:w="11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2021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Weighted</w:t>
            </w:r>
          </w:p>
        </w:tc>
        <w:tc>
          <w:tcPr>
            <w:tcW w:w="16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Weighted</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Average</w:t>
            </w:r>
          </w:p>
        </w:tc>
        <w:tc>
          <w:tcPr>
            <w:tcW w:w="16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Interest</w:t>
            </w:r>
          </w:p>
        </w:tc>
        <w:tc>
          <w:tcPr>
            <w:tcW w:w="160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Average Days</w:t>
            </w: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Interest</w:t>
            </w: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88"/>
        </w:trPr>
        <w:tc>
          <w:tcPr>
            <w:tcW w:w="24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11"/>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Arial" w:cs="Arial" w:eastAsia="Arial" w:hAnsi="Arial"/>
                <w:sz w:val="16"/>
                <w:szCs w:val="16"/>
                <w:color w:val="auto"/>
              </w:rPr>
              <w:t>≤ 1 month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26,620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1.38 %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23,747</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0.14 %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&gt; 1 to ≤ 3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10,223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14,781</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Arial" w:cs="Arial" w:eastAsia="Arial" w:hAnsi="Arial"/>
                <w:sz w:val="16"/>
                <w:szCs w:val="16"/>
                <w:color w:val="auto"/>
              </w:rPr>
              <w:t>&gt; 3 to ≤ 6 months</w:t>
            </w: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3,024</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0.90 %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145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4,576</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0.19 %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&gt; 6 to ≤ 9 months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3"/>
        </w:trPr>
        <w:tc>
          <w:tcPr>
            <w:tcW w:w="29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&gt; 9 to ≤ 12 months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1,432</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1.42 %</w:t>
            </w: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325</w:t>
            </w: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1,362</w:t>
            </w: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0.23 %</w:t>
            </w: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2"/>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Agency repo</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41,299</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46,911</w:t>
            </w:r>
          </w:p>
        </w:tc>
        <w:tc>
          <w:tcPr>
            <w:tcW w:w="1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 1 month</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1,854</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43,153</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1.26 %</w:t>
            </w:r>
          </w:p>
        </w:tc>
        <w:tc>
          <w:tcPr>
            <w:tcW w:w="140" w:type="dxa"/>
            <w:vAlign w:val="bottom"/>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w:t>
            </w:r>
          </w:p>
        </w:tc>
        <w:tc>
          <w:tcPr>
            <w:tcW w:w="4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47,381</w:t>
            </w:r>
          </w:p>
        </w:tc>
        <w:tc>
          <w:tcPr>
            <w:tcW w:w="1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0.15 %</w:t>
            </w:r>
          </w:p>
        </w:tc>
        <w:tc>
          <w:tcPr>
            <w:tcW w:w="140" w:type="dxa"/>
            <w:vAlign w:val="bottom"/>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As of June 30, 2022 and December 31, 2021, $6.8 billion and $0.8 billion, respectively, of our Agency repurchase agreements had an overnight maturity of one business day and none of our repurchase agreements were due on demand. As of June 30, 2022, we had $5.5 billion of forward commitments to enter into repurchase agreements with a weighted average forward start date of 1 day and a weighted average interest rate of 1.58%. As of December 31, 2021, we had $9.8 billion of forward commitments to enter into repurchase agreements, with a weighted average forward start date of 3 days and a weighted average interest rate of 0.08%. As of June 30, 2022 and December 31, 2021, 43% and 43%,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41% and 42% of our repurchase agreement funding outstanding as of June 30, 2022 and December 31, 2021,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2022 and December 31, 2021, we had $8.4 billion and $10.5 billion, respectively, of reverse repurchase agreements outstanding used primarily to borrow securities to cover short sales of U.S. Treasury securities, for which we had associated obligations to return borrowed securities at fair value of $8.3 billion and $9.7 billion, respectively. As of June 30, 2022 and December 31, 2021, $2.4 billion and $3.0 billion, respectively, of our reverse repurchase agreements were with the FICC sourced through BES.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and Other Hedging Instruments</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hedge a portion of our interest rate risk primarily utilizing interest rate swaps, interest rate swaptions, U.S. Treasury securities and U.S. Treasury futures contracts. We utilize TBA securities primarily as a means of investing in the Agency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securities market. For additional information regarding our derivative instruments and our overall risk management strategy, please refer to the discussion of derivative and other hedging instruments in Note 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summarizes fair value information about our derivative and other hedging instrument assets/(liabilities) as of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00" w:type="dxa"/>
            <w:vAlign w:val="bottom"/>
            <w:vMerge w:val="restart"/>
          </w:tcPr>
          <w:p>
            <w:pPr>
              <w:spacing w:after="0"/>
              <w:rPr>
                <w:sz w:val="14"/>
                <w:szCs w:val="14"/>
                <w:color w:val="auto"/>
              </w:rPr>
            </w:pPr>
          </w:p>
        </w:tc>
        <w:tc>
          <w:tcPr>
            <w:tcW w:w="420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60" w:type="dxa"/>
            <w:vAlign w:val="bottom"/>
          </w:tcPr>
          <w:p>
            <w:pPr>
              <w:jc w:val="right"/>
              <w:ind w:right="1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434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Swaptions</w:t>
            </w:r>
          </w:p>
        </w:tc>
        <w:tc>
          <w:tcPr>
            <w:tcW w:w="432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TBA and forward settling non-Agency securities</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U.S. Treasury futures - short</w:t>
            </w:r>
          </w:p>
        </w:tc>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derivative assets, at fair value</w:t>
            </w:r>
          </w:p>
        </w:tc>
        <w:tc>
          <w:tcPr>
            <w:tcW w:w="4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1</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and forward settling non-Agency securities</w:t>
            </w:r>
          </w:p>
        </w:tc>
        <w:tc>
          <w:tcPr>
            <w:tcW w:w="432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 short</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Credit default swaps </w:t>
            </w:r>
            <w:r>
              <w:rPr>
                <w:rFonts w:ascii="Arial" w:cs="Arial" w:eastAsia="Arial" w:hAnsi="Arial"/>
                <w:sz w:val="21"/>
                <w:szCs w:val="21"/>
                <w:color w:val="auto"/>
                <w:vertAlign w:val="superscript"/>
              </w:rPr>
              <w:t>1</w:t>
            </w:r>
          </w:p>
        </w:tc>
        <w:tc>
          <w:tcPr>
            <w:tcW w:w="432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44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derivative liabilities, at fair value</w:t>
            </w:r>
          </w:p>
        </w:tc>
        <w:tc>
          <w:tcPr>
            <w:tcW w:w="4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at fair value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166"/>
        </w:trPr>
        <w:tc>
          <w:tcPr>
            <w:tcW w:w="4440" w:type="dxa"/>
            <w:vAlign w:val="bottom"/>
            <w:gridSpan w:val="2"/>
            <w:vMerge w:val="restart"/>
          </w:tcPr>
          <w:p>
            <w:pPr>
              <w:ind w:left="20"/>
              <w:spacing w:after="0"/>
              <w:rPr>
                <w:sz w:val="20"/>
                <w:szCs w:val="20"/>
                <w:color w:val="auto"/>
              </w:rPr>
            </w:pPr>
            <w:r>
              <w:rPr>
                <w:rFonts w:ascii="Arial" w:cs="Arial" w:eastAsia="Arial" w:hAnsi="Arial"/>
                <w:sz w:val="16"/>
                <w:szCs w:val="16"/>
                <w:color w:val="auto"/>
              </w:rPr>
              <w:t>U.S. Treasury securities - short</w:t>
            </w:r>
          </w:p>
        </w:tc>
        <w:tc>
          <w:tcPr>
            <w:tcW w:w="43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Obligation to return securities borrowed under reverse</w:t>
            </w:r>
          </w:p>
        </w:tc>
        <w:tc>
          <w:tcPr>
            <w:tcW w:w="2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(8,265)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(9,697)</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gridSpan w:val="2"/>
            <w:vMerge w:val="continue"/>
          </w:tcPr>
          <w:p>
            <w:pPr>
              <w:spacing w:after="0"/>
              <w:rPr>
                <w:sz w:val="18"/>
                <w:szCs w:val="18"/>
                <w:color w:val="auto"/>
              </w:rPr>
            </w:pPr>
          </w:p>
        </w:tc>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repurchase agreements, at fair value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U.S. Treasury securities, net at fair value</w:t>
            </w:r>
          </w:p>
        </w:tc>
        <w:tc>
          <w:tcPr>
            <w:tcW w:w="4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3" w:lineRule="exact"/>
        <w:rPr>
          <w:sz w:val="20"/>
          <w:szCs w:val="20"/>
          <w:color w:val="auto"/>
        </w:rPr>
      </w:pPr>
    </w:p>
    <w:p>
      <w:pPr>
        <w:jc w:val="both"/>
        <w:ind w:left="660" w:hanging="328"/>
        <w:spacing w:after="0" w:line="257"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June 30, 2022 and December 31, 2021, the net fair value of our interest rate swaps excluding the recognition of variation margin settlements as a direct reduction of carrying value (see Note 2) was a net asset (liability) of $4.3 billion and $1.6 billion, respectively. As of June 30, 2022, the net fair value of our credit default swaps excluding the recognition of variation margin settlements was $39 thousand. We did not have credit default swaps outstanding as of December 31, 2021.</w:t>
      </w:r>
    </w:p>
    <w:p>
      <w:pPr>
        <w:spacing w:after="0" w:line="13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summarize certain characteristics of our derivative and other hedging instruments outstanding as of June 30, 2022 and December 31, 2021 (dollars in millions):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June 30, 2022</w:t>
            </w: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December 31, 2021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 Fixed / Receive Variable Interest</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Fixed Pay</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Receive</w:t>
            </w: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Fixed Pay</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Receive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Rate Swaps</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0.11%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1.52%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16,050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0.32%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1.51%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16,800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0.22%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0.06%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0.59%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0.29%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4,710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0.61%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1.51%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4,400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0.46%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0.05%</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8.5</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0.47%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1.51%</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12.7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0.47%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0.05%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13.2</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49,935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0.28%</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1.51%</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3.9</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51,225</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0.20%</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0.05%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4.0</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780" w:type="dxa"/>
            <w:vAlign w:val="bottom"/>
            <w:gridSpan w:val="2"/>
          </w:tcPr>
          <w:p>
            <w:pPr>
              <w:ind w:left="20"/>
              <w:spacing w:after="0"/>
              <w:rPr>
                <w:sz w:val="20"/>
                <w:szCs w:val="20"/>
                <w:color w:val="auto"/>
              </w:rPr>
            </w:pPr>
            <w:r>
              <w:rPr>
                <w:rFonts w:ascii="Arial" w:cs="Arial" w:eastAsia="Arial" w:hAnsi="Arial"/>
                <w:sz w:val="14"/>
                <w:szCs w:val="14"/>
                <w:b w:val="1"/>
                <w:bCs w:val="1"/>
                <w:color w:val="auto"/>
              </w:rPr>
              <w:t>Pay Fixed / Receive Variable Interest Rate Swaps by</w:t>
            </w:r>
          </w:p>
        </w:tc>
        <w:tc>
          <w:tcPr>
            <w:tcW w:w="1820" w:type="dxa"/>
            <w:vAlign w:val="bottom"/>
            <w:gridSpan w:val="2"/>
          </w:tcPr>
          <w:p>
            <w:pPr>
              <w:ind w:left="540"/>
              <w:spacing w:after="0"/>
              <w:rPr>
                <w:sz w:val="20"/>
                <w:szCs w:val="20"/>
                <w:color w:val="auto"/>
              </w:rPr>
            </w:pPr>
            <w:r>
              <w:rPr>
                <w:rFonts w:ascii="Arial" w:cs="Arial" w:eastAsia="Arial" w:hAnsi="Arial"/>
                <w:sz w:val="14"/>
                <w:szCs w:val="14"/>
                <w:b w:val="1"/>
                <w:bCs w:val="1"/>
                <w:color w:val="auto"/>
              </w:rPr>
              <w:t>June 30,</w:t>
            </w:r>
          </w:p>
        </w:tc>
        <w:tc>
          <w:tcPr>
            <w:tcW w:w="16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8"/>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Receive Index (% of Notional Amount)</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SOFR</w:t>
            </w:r>
          </w:p>
        </w:tc>
        <w:tc>
          <w:tcPr>
            <w:tcW w:w="1600" w:type="dxa"/>
            <w:vAlign w:val="bottom"/>
          </w:tcPr>
          <w:p>
            <w:pPr>
              <w:jc w:val="right"/>
              <w:spacing w:after="0"/>
              <w:rPr>
                <w:sz w:val="20"/>
                <w:szCs w:val="20"/>
                <w:color w:val="auto"/>
              </w:rPr>
            </w:pPr>
            <w:r>
              <w:rPr>
                <w:rFonts w:ascii="Arial" w:cs="Arial" w:eastAsia="Arial" w:hAnsi="Arial"/>
                <w:sz w:val="16"/>
                <w:szCs w:val="16"/>
                <w:color w:val="auto"/>
              </w:rPr>
              <w:t>81 %</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22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2"/>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Payer Swaptions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jc w:val="center"/>
              <w:ind w:left="621"/>
              <w:spacing w:after="0"/>
              <w:rPr>
                <w:sz w:val="20"/>
                <w:szCs w:val="20"/>
                <w:color w:val="auto"/>
              </w:rPr>
            </w:pPr>
            <w:r>
              <w:rPr>
                <w:rFonts w:ascii="Arial" w:cs="Arial" w:eastAsia="Arial" w:hAnsi="Arial"/>
                <w:sz w:val="14"/>
                <w:szCs w:val="14"/>
                <w:b w:val="1"/>
                <w:bCs w:val="1"/>
                <w:color w:val="auto"/>
                <w:w w:val="93"/>
              </w:rPr>
              <w:t>Underlying Payer Swap</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Average Fixed</w:t>
            </w:r>
          </w:p>
        </w:tc>
        <w:tc>
          <w:tcPr>
            <w:tcW w:w="900" w:type="dxa"/>
            <w:vAlign w:val="bottom"/>
            <w:tcBorders>
              <w:top w:val="single" w:sz="8" w:color="auto"/>
            </w:tcBorders>
            <w:vMerge w:val="restart"/>
          </w:tcPr>
          <w:p>
            <w:pPr>
              <w:jc w:val="center"/>
              <w:ind w:right="121"/>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Months to</w:t>
            </w:r>
          </w:p>
        </w:tc>
        <w:tc>
          <w:tcPr>
            <w:tcW w:w="20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400" w:type="dxa"/>
            <w:vAlign w:val="bottom"/>
            <w:gridSpan w:val="3"/>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 Option Expiration Date</w:t>
            </w:r>
          </w:p>
        </w:tc>
        <w:tc>
          <w:tcPr>
            <w:tcW w:w="16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Basis</w:t>
            </w:r>
          </w:p>
        </w:tc>
        <w:tc>
          <w:tcPr>
            <w:tcW w:w="16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Current Option</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Pay</w:t>
            </w:r>
          </w:p>
        </w:tc>
        <w:tc>
          <w:tcPr>
            <w:tcW w:w="90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88"/>
        </w:trPr>
        <w:tc>
          <w:tcPr>
            <w:tcW w:w="4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 xml:space="preserve">Expiration Date </w:t>
            </w:r>
            <w:r>
              <w:rPr>
                <w:rFonts w:ascii="Arial" w:cs="Arial" w:eastAsia="Arial" w:hAnsi="Arial"/>
                <w:sz w:val="9"/>
                <w:szCs w:val="9"/>
                <w:b w:val="1"/>
                <w:bCs w:val="1"/>
                <w:color w:val="auto"/>
                <w:w w:val="96"/>
              </w:rPr>
              <w:t>1</w:t>
            </w: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 xml:space="preserve">Rate </w:t>
            </w:r>
            <w:r>
              <w:rPr>
                <w:rFonts w:ascii="Arial" w:cs="Arial" w:eastAsia="Arial" w:hAnsi="Arial"/>
                <w:sz w:val="9"/>
                <w:szCs w:val="9"/>
                <w:b w:val="1"/>
                <w:bCs w:val="1"/>
                <w:color w:val="auto"/>
                <w:w w:val="96"/>
              </w:rPr>
              <w:t>2</w:t>
            </w: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1"/>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2.14%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01"/>
              <w:spacing w:after="0"/>
              <w:rPr>
                <w:sz w:val="20"/>
                <w:szCs w:val="20"/>
                <w:color w:val="auto"/>
              </w:rPr>
            </w:pPr>
            <w:r>
              <w:rPr>
                <w:rFonts w:ascii="Arial" w:cs="Arial" w:eastAsia="Arial" w:hAnsi="Arial"/>
                <w:sz w:val="16"/>
                <w:szCs w:val="16"/>
                <w:color w:val="auto"/>
                <w:w w:val="89"/>
              </w:rPr>
              <w:t>7.3</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&gt; 2 year ≤ 3 years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2.32%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6,800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89"/>
              </w:rPr>
              <w:t>9.4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3,800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1.81%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01"/>
              <w:spacing w:after="0"/>
              <w:rPr>
                <w:sz w:val="20"/>
                <w:szCs w:val="20"/>
                <w:color w:val="auto"/>
              </w:rPr>
            </w:pPr>
            <w:r>
              <w:rPr>
                <w:rFonts w:ascii="Arial" w:cs="Arial" w:eastAsia="Arial" w:hAnsi="Arial"/>
                <w:sz w:val="16"/>
                <w:szCs w:val="16"/>
                <w:color w:val="auto"/>
                <w:w w:val="89"/>
              </w:rPr>
              <w:t>8.5</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&gt; 2 year ≤ 3 years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4,050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2.35%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13,000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89"/>
              </w:rPr>
              <w:t>9.6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June 30, 2022 and December 31, 2021, ≤ 1 year notional amount includes $250 million and $700 million of Bermudan swaptions where the options may be exercised on predetermined dates up to their final exercise date, which is six months prior to the underlying swaps' maturity date.</w:t>
      </w:r>
    </w:p>
    <w:p>
      <w:pPr>
        <w:ind w:left="660" w:right="20" w:hanging="328"/>
        <w:spacing w:after="0" w:line="255"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June 30, 2022, 96% and 4% of the underlying swap receive rates were tied to SOFR and 3-Month LIBOR, respectively. As of December 31, December 31, 2021, 95% and 5% of the underlying swap receive rates were tied to SOFR and 3-Month LIBOR, respectively.</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Receiver Swaptions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jc w:val="center"/>
              <w:ind w:left="606"/>
              <w:spacing w:after="0"/>
              <w:rPr>
                <w:sz w:val="20"/>
                <w:szCs w:val="20"/>
                <w:color w:val="auto"/>
              </w:rPr>
            </w:pPr>
            <w:r>
              <w:rPr>
                <w:rFonts w:ascii="Arial" w:cs="Arial" w:eastAsia="Arial" w:hAnsi="Arial"/>
                <w:sz w:val="14"/>
                <w:szCs w:val="14"/>
                <w:b w:val="1"/>
                <w:bCs w:val="1"/>
                <w:color w:val="auto"/>
                <w:w w:val="93"/>
              </w:rPr>
              <w:t>Underlying Receiver Swap</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1"/>
              </w:rPr>
              <w:t>Average Fixed</w:t>
            </w:r>
          </w:p>
        </w:tc>
        <w:tc>
          <w:tcPr>
            <w:tcW w:w="860" w:type="dxa"/>
            <w:vAlign w:val="bottom"/>
            <w:tcBorders>
              <w:top w:val="single" w:sz="8" w:color="auto"/>
            </w:tcBorders>
            <w:vMerge w:val="restart"/>
          </w:tcPr>
          <w:p>
            <w:pPr>
              <w:jc w:val="center"/>
              <w:ind w:right="166"/>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Months to</w:t>
            </w:r>
          </w:p>
        </w:tc>
        <w:tc>
          <w:tcPr>
            <w:tcW w:w="20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440" w:type="dxa"/>
            <w:vAlign w:val="bottom"/>
            <w:gridSpan w:val="3"/>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 Option Expiration Date</w:t>
            </w:r>
          </w:p>
        </w:tc>
        <w:tc>
          <w:tcPr>
            <w:tcW w:w="16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Basis</w:t>
            </w:r>
          </w:p>
        </w:tc>
        <w:tc>
          <w:tcPr>
            <w:tcW w:w="16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Current Option</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40" w:type="dxa"/>
            <w:vAlign w:val="bottom"/>
            <w:gridSpan w:val="3"/>
          </w:tcPr>
          <w:p>
            <w:pPr>
              <w:jc w:val="center"/>
              <w:ind w:right="380"/>
              <w:spacing w:after="0" w:line="135" w:lineRule="exact"/>
              <w:rPr>
                <w:sz w:val="20"/>
                <w:szCs w:val="20"/>
                <w:color w:val="auto"/>
              </w:rPr>
            </w:pPr>
            <w:r>
              <w:rPr>
                <w:rFonts w:ascii="Arial" w:cs="Arial" w:eastAsia="Arial" w:hAnsi="Arial"/>
                <w:sz w:val="14"/>
                <w:szCs w:val="14"/>
                <w:b w:val="1"/>
                <w:bCs w:val="1"/>
                <w:color w:val="auto"/>
                <w:w w:val="86"/>
              </w:rPr>
              <w:t>Receive</w:t>
            </w:r>
          </w:p>
        </w:tc>
        <w:tc>
          <w:tcPr>
            <w:tcW w:w="860" w:type="dxa"/>
            <w:vAlign w:val="bottom"/>
          </w:tcPr>
          <w:p>
            <w:pPr>
              <w:jc w:val="center"/>
              <w:ind w:right="166"/>
              <w:spacing w:after="0" w:line="135"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88"/>
        </w:trPr>
        <w:tc>
          <w:tcPr>
            <w:tcW w:w="4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Expiration Date</w:t>
            </w: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Rate</w:t>
            </w:r>
          </w:p>
        </w:tc>
        <w:tc>
          <w:tcPr>
            <w:tcW w:w="860" w:type="dxa"/>
            <w:vAlign w:val="bottom"/>
          </w:tcPr>
          <w:p>
            <w:pPr>
              <w:jc w:val="center"/>
              <w:ind w:right="146"/>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1"/>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2.11%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46"/>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2021, we had no receiver swaptions outstanding.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U.S. Treasury Securities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Face Amount</w:t>
            </w:r>
          </w:p>
        </w:tc>
        <w:tc>
          <w:tcPr>
            <w:tcW w:w="140" w:type="dxa"/>
            <w:vAlign w:val="bottom"/>
          </w:tcPr>
          <w:p>
            <w:pPr>
              <w:spacing w:after="0"/>
              <w:rPr>
                <w:sz w:val="11"/>
                <w:szCs w:val="11"/>
                <w:color w:val="auto"/>
              </w:rPr>
            </w:pPr>
          </w:p>
        </w:tc>
        <w:tc>
          <w:tcPr>
            <w:tcW w:w="104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8"/>
              </w:rPr>
              <w:t xml:space="preserve">Cost Basis </w:t>
            </w:r>
            <w:r>
              <w:rPr>
                <w:rFonts w:ascii="Arial" w:cs="Arial" w:eastAsia="Arial" w:hAnsi="Arial"/>
                <w:sz w:val="9"/>
                <w:szCs w:val="9"/>
                <w:b w:val="1"/>
                <w:bCs w:val="1"/>
                <w:color w:val="auto"/>
                <w:w w:val="98"/>
              </w:rPr>
              <w:t>1</w:t>
            </w:r>
          </w:p>
        </w:tc>
        <w:tc>
          <w:tcPr>
            <w:tcW w:w="1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Fair Value</w:t>
            </w:r>
          </w:p>
        </w:tc>
        <w:tc>
          <w:tcPr>
            <w:tcW w:w="14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22"/>
              <w:spacing w:after="0" w:line="135" w:lineRule="exact"/>
              <w:rPr>
                <w:sz w:val="20"/>
                <w:szCs w:val="20"/>
                <w:color w:val="auto"/>
              </w:rPr>
            </w:pPr>
            <w:r>
              <w:rPr>
                <w:rFonts w:ascii="Arial" w:cs="Arial" w:eastAsia="Arial" w:hAnsi="Arial"/>
                <w:sz w:val="14"/>
                <w:szCs w:val="14"/>
                <w:b w:val="1"/>
                <w:bCs w:val="1"/>
                <w:color w:val="auto"/>
                <w:w w:val="99"/>
              </w:rPr>
              <w:t>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3"/>
              </w:rPr>
              <w:t xml:space="preserve">Cost Basis </w:t>
            </w:r>
            <w:r>
              <w:rPr>
                <w:rFonts w:ascii="Arial" w:cs="Arial" w:eastAsia="Arial" w:hAnsi="Arial"/>
                <w:sz w:val="9"/>
                <w:szCs w:val="9"/>
                <w:b w:val="1"/>
                <w:bCs w:val="1"/>
                <w:color w:val="auto"/>
                <w:w w:val="93"/>
              </w:rPr>
              <w:t>1</w:t>
            </w:r>
          </w:p>
        </w:tc>
        <w:tc>
          <w:tcPr>
            <w:tcW w:w="1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3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9"/>
              </w:rPr>
              <w:t>Long/(Short)</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Long/(Short)</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 years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7 years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(1,206)</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 years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(7,727)</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Total U.S. Treasury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(7,341)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(7,234)</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(6,383)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(9,118)</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(9,117)</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(9,226)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jc w:val="both"/>
        <w:ind w:left="660" w:hanging="328"/>
        <w:spacing w:after="0" w:line="248"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June 30, 2022 and December 31, 2021, short U.S. Treasury securities totaling $(8.3) billion and $(9.7) billion, at fair value, respectively, had a weighted average yield of 1.70% and 1.56%, respectively. As of June 30, 2022 and December 31, 2021, long U.S. Treasury securities totaling $1.9 billion and $0.5 billion, at fair value, respectively, had a weighted average yield of 3.13% and 1.18%, respectively.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U.S. Treasury Futures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300"/>
              <w:spacing w:after="0" w:line="121"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80" w:type="dxa"/>
            <w:vAlign w:val="bottom"/>
          </w:tcPr>
          <w:p>
            <w:pPr>
              <w:spacing w:after="0"/>
              <w:rPr>
                <w:sz w:val="10"/>
                <w:szCs w:val="10"/>
                <w:color w:val="auto"/>
              </w:rPr>
            </w:pPr>
          </w:p>
        </w:tc>
        <w:tc>
          <w:tcPr>
            <w:tcW w:w="74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center"/>
              <w:ind w:right="52"/>
              <w:spacing w:after="0"/>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22"/>
        </w:trPr>
        <w:tc>
          <w:tcPr>
            <w:tcW w:w="2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Maturity</w:t>
            </w: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Basis</w:t>
            </w:r>
          </w:p>
        </w:tc>
        <w:tc>
          <w:tcPr>
            <w:tcW w:w="280" w:type="dxa"/>
            <w:vAlign w:val="bottom"/>
          </w:tcPr>
          <w:p>
            <w:pPr>
              <w:spacing w:after="0"/>
              <w:rPr>
                <w:sz w:val="15"/>
                <w:szCs w:val="15"/>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line="175" w:lineRule="exact"/>
              <w:rPr>
                <w:sz w:val="20"/>
                <w:szCs w:val="20"/>
                <w:color w:val="auto"/>
              </w:rPr>
            </w:pPr>
            <w:r>
              <w:rPr>
                <w:rFonts w:ascii="Arial" w:cs="Arial" w:eastAsia="Arial" w:hAnsi="Arial"/>
                <w:sz w:val="13"/>
                <w:szCs w:val="13"/>
                <w:b w:val="1"/>
                <w:bCs w:val="1"/>
                <w:color w:val="auto"/>
                <w:w w:val="85"/>
              </w:rPr>
              <w:t xml:space="preserve">Value </w:t>
            </w:r>
            <w:r>
              <w:rPr>
                <w:rFonts w:ascii="Arial" w:cs="Arial" w:eastAsia="Arial" w:hAnsi="Arial"/>
                <w:sz w:val="16"/>
                <w:szCs w:val="16"/>
                <w:b w:val="1"/>
                <w:bCs w:val="1"/>
                <w:color w:val="auto"/>
                <w:w w:val="85"/>
                <w:vertAlign w:val="superscript"/>
              </w:rPr>
              <w:t>1</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Basis</w:t>
            </w:r>
          </w:p>
        </w:tc>
        <w:tc>
          <w:tcPr>
            <w:tcW w:w="2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840" w:type="dxa"/>
            <w:vAlign w:val="bottom"/>
          </w:tcPr>
          <w:p>
            <w:pPr>
              <w:jc w:val="center"/>
              <w:ind w:right="32"/>
              <w:spacing w:after="0" w:line="175" w:lineRule="exact"/>
              <w:rPr>
                <w:sz w:val="20"/>
                <w:szCs w:val="20"/>
                <w:color w:val="auto"/>
              </w:rPr>
            </w:pPr>
            <w:r>
              <w:rPr>
                <w:rFonts w:ascii="Arial" w:cs="Arial" w:eastAsia="Arial" w:hAnsi="Arial"/>
                <w:sz w:val="13"/>
                <w:szCs w:val="13"/>
                <w:b w:val="1"/>
                <w:bCs w:val="1"/>
                <w:color w:val="auto"/>
                <w:w w:val="85"/>
              </w:rPr>
              <w:t xml:space="preserve">Value </w:t>
            </w:r>
            <w:r>
              <w:rPr>
                <w:rFonts w:ascii="Arial" w:cs="Arial" w:eastAsia="Arial" w:hAnsi="Arial"/>
                <w:sz w:val="16"/>
                <w:szCs w:val="16"/>
                <w:b w:val="1"/>
                <w:bCs w:val="1"/>
                <w:color w:val="auto"/>
                <w:w w:val="85"/>
                <w:vertAlign w:val="superscript"/>
              </w:rPr>
              <w:t>1</w:t>
            </w:r>
          </w:p>
        </w:tc>
        <w:tc>
          <w:tcPr>
            <w:tcW w:w="0" w:type="dxa"/>
            <w:vAlign w:val="bottom"/>
          </w:tcPr>
          <w:p>
            <w:pPr>
              <w:spacing w:after="0"/>
              <w:rPr>
                <w:sz w:val="1"/>
                <w:szCs w:val="1"/>
                <w:color w:val="auto"/>
              </w:rPr>
            </w:pPr>
          </w:p>
        </w:tc>
      </w:tr>
      <w:tr>
        <w:trPr>
          <w:trHeight w:val="183"/>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5 years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(1,204)</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center"/>
              <w:ind w:left="472"/>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6"/>
        </w:trPr>
        <w:tc>
          <w:tcPr>
            <w:tcW w:w="2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10 years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left="452"/>
              <w:spacing w:after="0"/>
              <w:rPr>
                <w:sz w:val="20"/>
                <w:szCs w:val="20"/>
                <w:color w:val="auto"/>
              </w:rPr>
            </w:pPr>
            <w:r>
              <w:rPr>
                <w:rFonts w:ascii="Arial" w:cs="Arial" w:eastAsia="Arial" w:hAnsi="Arial"/>
                <w:sz w:val="14"/>
                <w:szCs w:val="14"/>
                <w:color w:val="auto"/>
                <w:w w:val="96"/>
              </w:rPr>
              <w:t>(15)</w:t>
            </w:r>
          </w:p>
        </w:tc>
        <w:tc>
          <w:tcPr>
            <w:tcW w:w="0" w:type="dxa"/>
            <w:vAlign w:val="bottom"/>
          </w:tcPr>
          <w:p>
            <w:pPr>
              <w:spacing w:after="0"/>
              <w:rPr>
                <w:sz w:val="1"/>
                <w:szCs w:val="1"/>
                <w:color w:val="auto"/>
              </w:rPr>
            </w:pPr>
          </w:p>
        </w:tc>
      </w:tr>
      <w:tr>
        <w:trPr>
          <w:trHeight w:val="211"/>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U.S. Treasury futures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center"/>
              <w:ind w:left="452"/>
              <w:spacing w:after="0"/>
              <w:rPr>
                <w:sz w:val="20"/>
                <w:szCs w:val="20"/>
                <w:color w:val="auto"/>
              </w:rPr>
            </w:pPr>
            <w:r>
              <w:rPr>
                <w:rFonts w:ascii="Arial" w:cs="Arial" w:eastAsia="Arial" w:hAnsi="Arial"/>
                <w:sz w:val="14"/>
                <w:szCs w:val="14"/>
                <w:color w:val="auto"/>
                <w:w w:val="96"/>
              </w:rPr>
              <w:t>(15)</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7" w:name="page18"/>
    <w:bookmarkEnd w:id="17"/>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80" w:type="dxa"/>
            <w:vAlign w:val="bottom"/>
          </w:tcPr>
          <w:p>
            <w:pPr>
              <w:spacing w:after="0"/>
              <w:rPr>
                <w:sz w:val="10"/>
                <w:szCs w:val="10"/>
                <w:color w:val="auto"/>
              </w:rPr>
            </w:pPr>
          </w:p>
        </w:tc>
        <w:tc>
          <w:tcPr>
            <w:tcW w:w="74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1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89"/>
              </w:rPr>
              <w:t>Net Carrying</w:t>
            </w:r>
          </w:p>
        </w:tc>
        <w:tc>
          <w:tcPr>
            <w:tcW w:w="0" w:type="dxa"/>
            <w:vAlign w:val="bottom"/>
          </w:tcPr>
          <w:p>
            <w:pPr>
              <w:spacing w:after="0"/>
              <w:rPr>
                <w:sz w:val="1"/>
                <w:szCs w:val="1"/>
                <w:color w:val="auto"/>
              </w:rPr>
            </w:pPr>
          </w:p>
        </w:tc>
      </w:tr>
      <w:tr>
        <w:trPr>
          <w:trHeight w:val="121"/>
        </w:trPr>
        <w:tc>
          <w:tcPr>
            <w:tcW w:w="2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xml:space="preserve">TBA Securities by Coupon </w:t>
            </w:r>
            <w:r>
              <w:rPr>
                <w:rFonts w:ascii="Arial" w:cs="Arial" w:eastAsia="Arial" w:hAnsi="Arial"/>
                <w:sz w:val="16"/>
                <w:szCs w:val="16"/>
                <w:b w:val="1"/>
                <w:bCs w:val="1"/>
                <w:color w:val="auto"/>
                <w:vertAlign w:val="superscript"/>
              </w:rPr>
              <w:t>2</w:t>
            </w:r>
          </w:p>
        </w:tc>
        <w:tc>
          <w:tcPr>
            <w:tcW w:w="14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Basis</w:t>
            </w:r>
          </w:p>
        </w:tc>
        <w:tc>
          <w:tcPr>
            <w:tcW w:w="280" w:type="dxa"/>
            <w:vAlign w:val="bottom"/>
          </w:tcPr>
          <w:p>
            <w:pPr>
              <w:spacing w:after="0"/>
              <w:rPr>
                <w:sz w:val="15"/>
                <w:szCs w:val="15"/>
                <w:color w:val="auto"/>
              </w:rPr>
            </w:pPr>
          </w:p>
        </w:tc>
        <w:tc>
          <w:tcPr>
            <w:tcW w:w="7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000" w:type="dxa"/>
            <w:vAlign w:val="bottom"/>
            <w:gridSpan w:val="2"/>
          </w:tcPr>
          <w:p>
            <w:pPr>
              <w:ind w:left="180"/>
              <w:spacing w:after="0" w:line="175"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16"/>
                <w:szCs w:val="16"/>
                <w:b w:val="1"/>
                <w:bCs w:val="1"/>
                <w:color w:val="auto"/>
                <w:vertAlign w:val="superscript"/>
              </w:rPr>
              <w:t>1</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Basis</w:t>
            </w:r>
          </w:p>
        </w:tc>
        <w:tc>
          <w:tcPr>
            <w:tcW w:w="2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840" w:type="dxa"/>
            <w:vAlign w:val="bottom"/>
          </w:tcPr>
          <w:p>
            <w:pPr>
              <w:jc w:val="right"/>
              <w:ind w:right="209"/>
              <w:spacing w:after="0" w:line="175"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83"/>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15-Year TBA securities:</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00" w:type="dxa"/>
            <w:vAlign w:val="bottom"/>
            <w:gridSpan w:val="2"/>
          </w:tcPr>
          <w:p>
            <w:pPr>
              <w:ind w:left="180"/>
              <w:spacing w:after="0"/>
              <w:rPr>
                <w:sz w:val="20"/>
                <w:szCs w:val="20"/>
                <w:color w:val="auto"/>
              </w:rPr>
            </w:pPr>
            <w:r>
              <w:rPr>
                <w:rFonts w:ascii="Arial" w:cs="Arial" w:eastAsia="Arial" w:hAnsi="Arial"/>
                <w:sz w:val="14"/>
                <w:szCs w:val="14"/>
                <w:color w:val="auto"/>
              </w:rPr>
              <w:t>≤ 2.0%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2,039</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2,056</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2,059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15-Year TBA securities</w:t>
            </w: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2,056</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2,059</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2"/>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30-Year TBA securities:</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00" w:type="dxa"/>
            <w:vAlign w:val="bottom"/>
            <w:gridSpan w:val="2"/>
          </w:tcPr>
          <w:p>
            <w:pPr>
              <w:ind w:left="180"/>
              <w:spacing w:after="0"/>
              <w:rPr>
                <w:sz w:val="20"/>
                <w:szCs w:val="20"/>
                <w:color w:val="auto"/>
              </w:rPr>
            </w:pPr>
            <w:r>
              <w:rPr>
                <w:rFonts w:ascii="Arial" w:cs="Arial" w:eastAsia="Arial" w:hAnsi="Arial"/>
                <w:sz w:val="14"/>
                <w:szCs w:val="14"/>
                <w:color w:val="auto"/>
              </w:rPr>
              <w:t>≤ 2.0%</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ind w:left="620"/>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6"/>
        </w:trPr>
        <w:tc>
          <w:tcPr>
            <w:tcW w:w="2380" w:type="dxa"/>
            <w:vAlign w:val="bottom"/>
          </w:tcPr>
          <w:p>
            <w:pPr>
              <w:ind w:left="1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380" w:type="dxa"/>
            <w:vAlign w:val="bottom"/>
          </w:tcPr>
          <w:p>
            <w:pPr>
              <w:ind w:left="1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2,797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4.5%</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12,581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30-Year TBA securities, net</w:t>
            </w: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15,822</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15,897</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15,789</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24,634</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25,128</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25,081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11"/>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TBA securities,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15,927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15,893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26,673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27,184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27,140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Table excludes forward settling non-Agency securities totaling $0.4 billion fair value and $0.2 million net carrying value as of December 31, 2021.</w:t>
      </w:r>
    </w:p>
    <w:p>
      <w:pPr>
        <w:spacing w:after="0" w:line="223" w:lineRule="exact"/>
        <w:rPr>
          <w:sz w:val="20"/>
          <w:szCs w:val="20"/>
          <w:color w:val="auto"/>
        </w:rPr>
      </w:pPr>
    </w:p>
    <w:p>
      <w:pPr>
        <w:jc w:val="both"/>
        <w:ind w:firstLine="445"/>
        <w:spacing w:after="0" w:line="242" w:lineRule="auto"/>
        <w:rPr>
          <w:sz w:val="20"/>
          <w:szCs w:val="20"/>
          <w:color w:val="auto"/>
        </w:rPr>
      </w:pPr>
      <w:r>
        <w:rPr>
          <w:rFonts w:ascii="Arial" w:cs="Arial" w:eastAsia="Arial" w:hAnsi="Arial"/>
          <w:sz w:val="17"/>
          <w:szCs w:val="17"/>
          <w:color w:val="auto"/>
        </w:rPr>
        <w:t>As of June 30, 2022, we had $215 million notional value of centrally cleared credit default swaps ("CDS") outstanding that reference the Markit CDX Investment Grade Index, maturing in June 2027. Under the terms of our CDS, we pay fixed periodic payments equal to 1% of the notional value and we are entitled to receive payments for qualified credit events. As of June 30, 2022, the CDS had an amortized cost basis of $(3) million, a market value of $39 thousand, and a carrying value of zero dollars net of variation margin settlements posted to us. Pursuant to rules governing central clearing activities, we recognize variation margin settlements as a direct reduction of the carrying value of the CDS asset or liability.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the three and six months ended June 30, 2022 and 2021 (in millions):</w:t>
      </w:r>
    </w:p>
    <w:tbl>
      <w:tblPr>
        <w:tblLayout w:type="fixed"/>
        <w:tblInd w:w="0" w:type="dxa"/>
        <w:tblCellMar>
          <w:top w:w="0" w:type="dxa"/>
          <w:left w:w="0" w:type="dxa"/>
          <w:bottom w:w="0" w:type="dxa"/>
          <w:right w:w="0" w:type="dxa"/>
        </w:tblCellMar>
      </w:tblPr>
      <w:tr>
        <w:trPr>
          <w:trHeight w:val="144"/>
        </w:trPr>
        <w:tc>
          <w:tcPr>
            <w:tcW w:w="3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w w:val="90"/>
              </w:rPr>
              <w:t>Settlement,</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5"/>
              </w:rPr>
              <w:t>on Derivative</w:t>
            </w: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w w:val="99"/>
              </w:rPr>
              <w:t>Beginning</w:t>
            </w:r>
          </w:p>
        </w:tc>
        <w:tc>
          <w:tcPr>
            <w:tcW w:w="1240" w:type="dxa"/>
            <w:vAlign w:val="bottom"/>
          </w:tcPr>
          <w:p>
            <w:pPr>
              <w:spacing w:after="0"/>
              <w:rPr>
                <w:sz w:val="11"/>
                <w:szCs w:val="11"/>
                <w:color w:val="auto"/>
              </w:rPr>
            </w:pPr>
          </w:p>
        </w:tc>
        <w:tc>
          <w:tcPr>
            <w:tcW w:w="120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w w:val="95"/>
              </w:rPr>
              <w:t>Termination,</w:t>
            </w:r>
          </w:p>
        </w:tc>
        <w:tc>
          <w:tcPr>
            <w:tcW w:w="300" w:type="dxa"/>
            <w:vAlign w:val="bottom"/>
          </w:tcPr>
          <w:p>
            <w:pPr>
              <w:spacing w:after="0"/>
              <w:rPr>
                <w:sz w:val="11"/>
                <w:szCs w:val="11"/>
                <w:color w:val="auto"/>
              </w:rPr>
            </w:pPr>
          </w:p>
        </w:tc>
        <w:tc>
          <w:tcPr>
            <w:tcW w:w="1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1"/>
                <w:szCs w:val="11"/>
                <w:color w:val="auto"/>
              </w:rPr>
            </w:pPr>
          </w:p>
        </w:tc>
        <w:tc>
          <w:tcPr>
            <w:tcW w:w="120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35"/>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9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2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Additions</w:t>
            </w:r>
          </w:p>
        </w:tc>
        <w:tc>
          <w:tcPr>
            <w:tcW w:w="120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w w:val="97"/>
              </w:rPr>
              <w:t>Expiration or</w:t>
            </w:r>
          </w:p>
        </w:tc>
        <w:tc>
          <w:tcPr>
            <w:tcW w:w="3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2"/>
              </w:rPr>
              <w:t>Other Securities,</w:t>
            </w:r>
          </w:p>
        </w:tc>
        <w:tc>
          <w:tcPr>
            <w:tcW w:w="0" w:type="dxa"/>
            <w:vAlign w:val="bottom"/>
          </w:tcPr>
          <w:p>
            <w:pPr>
              <w:spacing w:after="0"/>
              <w:rPr>
                <w:sz w:val="1"/>
                <w:szCs w:val="1"/>
                <w:color w:val="auto"/>
              </w:rPr>
            </w:pPr>
          </w:p>
        </w:tc>
      </w:tr>
      <w:tr>
        <w:trPr>
          <w:trHeight w:val="189"/>
        </w:trPr>
        <w:tc>
          <w:tcPr>
            <w:tcW w:w="3880" w:type="dxa"/>
            <w:vAlign w:val="bottom"/>
            <w:vMerge w:val="continue"/>
          </w:tcPr>
          <w:p>
            <w:pPr>
              <w:spacing w:after="0"/>
              <w:rPr>
                <w:sz w:val="16"/>
                <w:szCs w:val="16"/>
                <w:color w:val="auto"/>
              </w:rPr>
            </w:pPr>
          </w:p>
        </w:tc>
        <w:tc>
          <w:tcPr>
            <w:tcW w:w="2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Notional Amount</w:t>
            </w:r>
          </w:p>
        </w:tc>
        <w:tc>
          <w:tcPr>
            <w:tcW w:w="1240" w:type="dxa"/>
            <w:vAlign w:val="bottom"/>
            <w:vMerge w:val="continue"/>
          </w:tcPr>
          <w:p>
            <w:pPr>
              <w:spacing w:after="0"/>
              <w:rPr>
                <w:sz w:val="16"/>
                <w:szCs w:val="16"/>
                <w:color w:val="auto"/>
              </w:rPr>
            </w:pPr>
          </w:p>
        </w:tc>
        <w:tc>
          <w:tcPr>
            <w:tcW w:w="1200" w:type="dxa"/>
            <w:vAlign w:val="bottom"/>
          </w:tcPr>
          <w:p>
            <w:pPr>
              <w:jc w:val="center"/>
              <w:ind w:right="2"/>
              <w:spacing w:after="0"/>
              <w:rPr>
                <w:sz w:val="20"/>
                <w:szCs w:val="20"/>
                <w:color w:val="auto"/>
              </w:rPr>
            </w:pPr>
            <w:r>
              <w:rPr>
                <w:rFonts w:ascii="Arial" w:cs="Arial" w:eastAsia="Arial" w:hAnsi="Arial"/>
                <w:sz w:val="14"/>
                <w:szCs w:val="14"/>
                <w:b w:val="1"/>
                <w:bCs w:val="1"/>
                <w:color w:val="auto"/>
                <w:w w:val="90"/>
              </w:rPr>
              <w:t>Exercise</w:t>
            </w: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Notional Amount</w:t>
            </w:r>
          </w:p>
        </w:tc>
        <w:tc>
          <w:tcPr>
            <w:tcW w:w="120" w:type="dxa"/>
            <w:vAlign w:val="bottom"/>
          </w:tcPr>
          <w:p>
            <w:pPr>
              <w:spacing w:after="0"/>
              <w:rPr>
                <w:sz w:val="16"/>
                <w:szCs w:val="16"/>
                <w:color w:val="auto"/>
              </w:rPr>
            </w:pPr>
          </w:p>
        </w:tc>
        <w:tc>
          <w:tcPr>
            <w:tcW w:w="1200" w:type="dxa"/>
            <w:vAlign w:val="bottom"/>
          </w:tcPr>
          <w:p>
            <w:pPr>
              <w:jc w:val="center"/>
              <w:ind w:right="62"/>
              <w:spacing w:after="0" w:line="189" w:lineRule="exact"/>
              <w:rPr>
                <w:sz w:val="20"/>
                <w:szCs w:val="20"/>
                <w:color w:val="auto"/>
              </w:rPr>
            </w:pPr>
            <w:r>
              <w:rPr>
                <w:rFonts w:ascii="Arial" w:cs="Arial" w:eastAsia="Arial" w:hAnsi="Arial"/>
                <w:sz w:val="14"/>
                <w:szCs w:val="14"/>
                <w:b w:val="1"/>
                <w:bCs w:val="1"/>
                <w:color w:val="auto"/>
                <w:w w:val="90"/>
              </w:rPr>
              <w:t xml:space="preserve">Net </w:t>
            </w:r>
            <w:r>
              <w:rPr>
                <w:rFonts w:ascii="Arial" w:cs="Arial" w:eastAsia="Arial" w:hAnsi="Arial"/>
                <w:sz w:val="18"/>
                <w:szCs w:val="18"/>
                <w:b w:val="1"/>
                <w:bCs w:val="1"/>
                <w:color w:val="auto"/>
                <w:w w:val="90"/>
                <w:vertAlign w:val="superscript"/>
              </w:rPr>
              <w:t>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2022:</w:t>
            </w: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TBA securities, net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19,607</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72,203</w:t>
            </w:r>
          </w:p>
        </w:tc>
        <w:tc>
          <w:tcPr>
            <w:tcW w:w="1200" w:type="dxa"/>
            <w:vAlign w:val="bottom"/>
          </w:tcPr>
          <w:p>
            <w:pPr>
              <w:jc w:val="right"/>
              <w:spacing w:after="0"/>
              <w:rPr>
                <w:sz w:val="20"/>
                <w:szCs w:val="20"/>
                <w:color w:val="auto"/>
              </w:rPr>
            </w:pPr>
            <w:r>
              <w:rPr>
                <w:rFonts w:ascii="Arial" w:cs="Arial" w:eastAsia="Arial" w:hAnsi="Arial"/>
                <w:sz w:val="16"/>
                <w:szCs w:val="16"/>
                <w:color w:val="auto"/>
              </w:rPr>
              <w:t>(75,883)</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15,927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51,125</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570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49,935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Credit default swaps - CDX IG - buy protection</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(2,610)</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2,395</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10,250</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250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6,800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Receiver swaptions</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(150)</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(10,862)</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(2,775)</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4,394</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(9,243)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U.S. Treasury securities - long position</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703</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3,325</w:t>
            </w:r>
          </w:p>
        </w:tc>
        <w:tc>
          <w:tcPr>
            <w:tcW w:w="1200" w:type="dxa"/>
            <w:vAlign w:val="bottom"/>
          </w:tcPr>
          <w:p>
            <w:pPr>
              <w:jc w:val="right"/>
              <w:spacing w:after="0"/>
              <w:rPr>
                <w:sz w:val="20"/>
                <w:szCs w:val="20"/>
                <w:color w:val="auto"/>
              </w:rPr>
            </w:pPr>
            <w:r>
              <w:rPr>
                <w:rFonts w:ascii="Arial" w:cs="Arial" w:eastAsia="Arial" w:hAnsi="Arial"/>
                <w:sz w:val="16"/>
                <w:szCs w:val="16"/>
                <w:color w:val="auto"/>
              </w:rPr>
              <w:t>(2,126)</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1,902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(5,385)</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(8,355)</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5,635</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(8,105)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226"/>
        </w:trPr>
        <w:tc>
          <w:tcPr>
            <w:tcW w:w="38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3"/>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Three months ended June 30, 2021:</w:t>
            </w: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24,518</w:t>
            </w: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94,248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(92,199)</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26,567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Interest rate swaps - payer</w:t>
            </w: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49,725</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49,725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13,150</w:t>
            </w: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11,450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(15,527)</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(585)</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5,219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(10,893)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1,336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100" w:type="dxa"/>
            <w:vAlign w:val="bottom"/>
            <w:tcBorders>
              <w:bottom w:val="single" w:sz="8" w:color="CCEEFF"/>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279"/>
              <w:spacing w:after="0"/>
              <w:rPr>
                <w:sz w:val="20"/>
                <w:szCs w:val="20"/>
                <w:color w:val="auto"/>
              </w:rPr>
            </w:pPr>
            <w:r>
              <w:rPr>
                <w:rFonts w:ascii="Arial" w:cs="Arial" w:eastAsia="Arial" w:hAnsi="Arial"/>
                <w:sz w:val="16"/>
                <w:szCs w:val="16"/>
                <w:color w:val="auto"/>
              </w:rPr>
              <w:t>(1,000)</w:t>
            </w:r>
          </w:p>
        </w:tc>
        <w:tc>
          <w:tcPr>
            <w:tcW w:w="1240" w:type="dxa"/>
            <w:vAlign w:val="bottom"/>
            <w:tcBorders>
              <w:bottom w:val="single" w:sz="8" w:color="CCEEFF"/>
            </w:tcBorders>
          </w:tcPr>
          <w:p>
            <w:pPr>
              <w:jc w:val="right"/>
              <w:ind w:right="239"/>
              <w:spacing w:after="0"/>
              <w:rPr>
                <w:sz w:val="20"/>
                <w:szCs w:val="20"/>
                <w:color w:val="auto"/>
              </w:rPr>
            </w:pPr>
            <w:r>
              <w:rPr>
                <w:rFonts w:ascii="Arial" w:cs="Arial" w:eastAsia="Arial" w:hAnsi="Arial"/>
                <w:sz w:val="16"/>
                <w:szCs w:val="16"/>
                <w:color w:val="auto"/>
              </w:rPr>
              <w:t>(2,000)</w:t>
            </w:r>
          </w:p>
        </w:tc>
        <w:tc>
          <w:tcPr>
            <w:tcW w:w="10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1,500</w:t>
            </w:r>
          </w:p>
        </w:tc>
        <w:tc>
          <w:tcPr>
            <w:tcW w:w="420" w:type="dxa"/>
            <w:vAlign w:val="bottom"/>
            <w:tcBorders>
              <w:bottom w:val="single" w:sz="8" w:color="CCEEFF"/>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right w:val="single" w:sz="8" w:color="auto"/>
            </w:tcBorders>
          </w:tcPr>
          <w:p>
            <w:pPr>
              <w:jc w:val="right"/>
              <w:ind w:right="59"/>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1"/>
        </w:trPr>
        <w:tc>
          <w:tcPr>
            <w:tcW w:w="38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Six months ended June 30, 2022:</w:t>
            </w:r>
          </w:p>
        </w:tc>
        <w:tc>
          <w:tcPr>
            <w:tcW w:w="1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26,673</w:t>
            </w: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150,837</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(161,583)</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15,927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Forward settling non-Agency securities</w:t>
            </w: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450</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 payer</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51,225</w:t>
            </w: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2,970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(4,260)</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49,935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Credit default swaps - CDX IG - buy protection</w:t>
            </w: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(5,470)</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5,255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13,000</w:t>
            </w: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1,750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(7,950)</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6,800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Receiver swaptions</w:t>
            </w: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(150)</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(9,590)</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(6,908)</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7,255</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(9,243)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U.S. Treasury securities - long position</w:t>
            </w: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472</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5,576</w:t>
            </w:r>
          </w:p>
        </w:tc>
        <w:tc>
          <w:tcPr>
            <w:tcW w:w="1040" w:type="dxa"/>
            <w:vAlign w:val="bottom"/>
          </w:tcPr>
          <w:p>
            <w:pPr>
              <w:jc w:val="right"/>
              <w:spacing w:after="0"/>
              <w:rPr>
                <w:sz w:val="20"/>
                <w:szCs w:val="20"/>
                <w:color w:val="auto"/>
              </w:rPr>
            </w:pPr>
            <w:r>
              <w:rPr>
                <w:rFonts w:ascii="Arial" w:cs="Arial" w:eastAsia="Arial" w:hAnsi="Arial"/>
                <w:sz w:val="16"/>
                <w:szCs w:val="16"/>
                <w:color w:val="auto"/>
              </w:rPr>
              <w:t>(4,146)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1,902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(1,500)</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(15,225)</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8,620</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(8,105)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49"/>
        </w:trPr>
        <w:tc>
          <w:tcPr>
            <w:tcW w:w="3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3,020</w:t>
            </w:r>
          </w:p>
        </w:tc>
        <w:tc>
          <w:tcPr>
            <w:tcW w:w="0" w:type="dxa"/>
            <w:vAlign w:val="bottom"/>
          </w:tcPr>
          <w:p>
            <w:pPr>
              <w:spacing w:after="0"/>
              <w:rPr>
                <w:sz w:val="1"/>
                <w:szCs w:val="1"/>
                <w:color w:val="auto"/>
              </w:rPr>
            </w:pPr>
          </w:p>
        </w:tc>
      </w:tr>
      <w:tr>
        <w:trPr>
          <w:trHeight w:val="227"/>
        </w:trPr>
        <w:tc>
          <w:tcPr>
            <w:tcW w:w="38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Six months ended June 30, 2021:</w:t>
            </w: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30,364</w:t>
            </w: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187,584</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(191,381)</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26,567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Interest rate swaps - payer</w:t>
            </w: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43,225</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7,000</w:t>
            </w:r>
          </w:p>
        </w:tc>
        <w:tc>
          <w:tcPr>
            <w:tcW w:w="1040" w:type="dxa"/>
            <w:vAlign w:val="bottom"/>
          </w:tcPr>
          <w:p>
            <w:pPr>
              <w:jc w:val="right"/>
              <w:spacing w:after="0"/>
              <w:rPr>
                <w:sz w:val="20"/>
                <w:szCs w:val="20"/>
                <w:color w:val="auto"/>
              </w:rPr>
            </w:pPr>
            <w:r>
              <w:rPr>
                <w:rFonts w:ascii="Arial" w:cs="Arial" w:eastAsia="Arial" w:hAnsi="Arial"/>
                <w:sz w:val="16"/>
                <w:szCs w:val="16"/>
                <w:color w:val="auto"/>
              </w:rPr>
              <w:t>(500)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49,725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10,400</w:t>
            </w: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4,250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11,450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(11,287)</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(7,846)</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8,240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(10,893)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2,651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100" w:type="dxa"/>
            <w:vAlign w:val="bottom"/>
            <w:tcBorders>
              <w:bottom w:val="single" w:sz="8" w:color="CCEEFF"/>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279"/>
              <w:spacing w:after="0"/>
              <w:rPr>
                <w:sz w:val="20"/>
                <w:szCs w:val="20"/>
                <w:color w:val="auto"/>
              </w:rPr>
            </w:pPr>
            <w:r>
              <w:rPr>
                <w:rFonts w:ascii="Arial" w:cs="Arial" w:eastAsia="Arial" w:hAnsi="Arial"/>
                <w:sz w:val="16"/>
                <w:szCs w:val="16"/>
                <w:color w:val="auto"/>
              </w:rPr>
              <w:t>(1,000)</w:t>
            </w:r>
          </w:p>
        </w:tc>
        <w:tc>
          <w:tcPr>
            <w:tcW w:w="1240" w:type="dxa"/>
            <w:vAlign w:val="bottom"/>
            <w:tcBorders>
              <w:bottom w:val="single" w:sz="8" w:color="CCEEFF"/>
            </w:tcBorders>
          </w:tcPr>
          <w:p>
            <w:pPr>
              <w:jc w:val="right"/>
              <w:ind w:right="239"/>
              <w:spacing w:after="0"/>
              <w:rPr>
                <w:sz w:val="20"/>
                <w:szCs w:val="20"/>
                <w:color w:val="auto"/>
              </w:rPr>
            </w:pPr>
            <w:r>
              <w:rPr>
                <w:rFonts w:ascii="Arial" w:cs="Arial" w:eastAsia="Arial" w:hAnsi="Arial"/>
                <w:sz w:val="16"/>
                <w:szCs w:val="16"/>
                <w:color w:val="auto"/>
              </w:rPr>
              <w:t>(3,000)</w:t>
            </w:r>
          </w:p>
        </w:tc>
        <w:tc>
          <w:tcPr>
            <w:tcW w:w="10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2,500</w:t>
            </w:r>
          </w:p>
        </w:tc>
        <w:tc>
          <w:tcPr>
            <w:tcW w:w="420" w:type="dxa"/>
            <w:vAlign w:val="bottom"/>
            <w:tcBorders>
              <w:bottom w:val="single" w:sz="8" w:color="CCEEFF"/>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right w:val="single" w:sz="8" w:color="auto"/>
            </w:tcBorders>
          </w:tcPr>
          <w:p>
            <w:pPr>
              <w:jc w:val="right"/>
              <w:ind w:right="59"/>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4"/>
        </w:trPr>
        <w:tc>
          <w:tcPr>
            <w:tcW w:w="38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55"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Amounts exclude other miscellaneous gains and losses recognized in gain (loss) on derivative instruments and other securities, net in our consolidated statements of comprehensive income.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Pledged Assets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9" w:name="page20"/>
    <w:bookmarkEnd w:id="19"/>
    <w:p>
      <w:pPr>
        <w:jc w:val="both"/>
        <w:spacing w:after="0" w:line="279" w:lineRule="auto"/>
        <w:rPr>
          <w:sz w:val="20"/>
          <w:szCs w:val="20"/>
          <w:color w:val="auto"/>
        </w:rPr>
      </w:pPr>
      <w:r>
        <w:rPr>
          <w:rFonts w:ascii="Arial" w:cs="Arial" w:eastAsia="Arial" w:hAnsi="Arial"/>
          <w:sz w:val="17"/>
          <w:szCs w:val="17"/>
          <w:color w:val="auto"/>
        </w:rPr>
        <w:t>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2022, our maximum amount at risk with any counterparty related to our repurchase agreements, excluding the Fixed Income Clearing Corporation, was less than 3% of our tangible stockholders' equity (or the excess/shortfall of the value of collateral pledged/received over our repurchase agreement liabilities/reverse repurchase agreement receivables). As of June 30, 2022, approximately 10% of our tangible stockholder's equity was at risk with the Fixed Income Clearing Corporation.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8"/>
          <w:szCs w:val="18"/>
          <w:color w:val="auto"/>
        </w:rPr>
        <w:t>The following tables summarize our assets pledged as collateral under our funding, derivative and brokerage and clearing agreements by type, including securities pledged related to securities sold but not yet settled, as of June 30, 2022 and December 31, 2021 (in millions):</w:t>
      </w: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center"/>
              <w:ind w:right="1320"/>
              <w:spacing w:after="0"/>
              <w:rPr>
                <w:sz w:val="20"/>
                <w:szCs w:val="20"/>
                <w:color w:val="auto"/>
              </w:rPr>
            </w:pPr>
            <w:r>
              <w:rPr>
                <w:rFonts w:ascii="Arial" w:cs="Arial" w:eastAsia="Arial" w:hAnsi="Arial"/>
                <w:sz w:val="14"/>
                <w:szCs w:val="14"/>
                <w:b w:val="1"/>
                <w:bCs w:val="1"/>
                <w:color w:val="auto"/>
                <w:w w:val="92"/>
              </w:rPr>
              <w:t>June 30, 2022</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w w:val="91"/>
              </w:rPr>
              <w:t>Debt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18"/>
                <w:szCs w:val="18"/>
                <w:b w:val="1"/>
                <w:bCs w:val="1"/>
                <w:color w:val="auto"/>
                <w:vertAlign w:val="superscript"/>
              </w:rPr>
              <w:t>1</w:t>
            </w:r>
          </w:p>
        </w:tc>
        <w:tc>
          <w:tcPr>
            <w:tcW w:w="1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Repurchase</w:t>
            </w:r>
            <w:r>
              <w:rPr>
                <w:rFonts w:ascii="Arial" w:cs="Arial" w:eastAsia="Arial" w:hAnsi="Arial"/>
                <w:sz w:val="18"/>
                <w:szCs w:val="18"/>
                <w:b w:val="1"/>
                <w:bCs w:val="1"/>
                <w:color w:val="auto"/>
                <w:w w:val="96"/>
                <w:vertAlign w:val="subscript"/>
              </w:rPr>
              <w:t>2</w:t>
            </w:r>
            <w:r>
              <w:rPr>
                <w:rFonts w:ascii="Arial" w:cs="Arial" w:eastAsia="Arial" w:hAnsi="Arial"/>
                <w:sz w:val="14"/>
                <w:szCs w:val="14"/>
                <w:b w:val="1"/>
                <w:bCs w:val="1"/>
                <w:color w:val="auto"/>
                <w:w w:val="96"/>
              </w:rPr>
              <w:t>Agreements</w:t>
            </w:r>
          </w:p>
        </w:tc>
        <w:tc>
          <w:tcPr>
            <w:tcW w:w="120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580" w:type="dxa"/>
            <w:vAlign w:val="bottom"/>
            <w:gridSpan w:val="2"/>
            <w:vMerge w:val="continue"/>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1200" w:type="dxa"/>
            <w:vAlign w:val="bottom"/>
          </w:tcPr>
          <w:p>
            <w:pPr>
              <w:jc w:val="center"/>
              <w:ind w:left="328"/>
              <w:spacing w:after="0"/>
              <w:rPr>
                <w:sz w:val="20"/>
                <w:szCs w:val="20"/>
                <w:color w:val="auto"/>
              </w:rPr>
            </w:pPr>
            <w:r>
              <w:rPr>
                <w:rFonts w:ascii="Arial" w:cs="Arial" w:eastAsia="Arial" w:hAnsi="Arial"/>
                <w:sz w:val="14"/>
                <w:szCs w:val="14"/>
                <w:b w:val="1"/>
                <w:bCs w:val="1"/>
                <w:color w:val="auto"/>
              </w:rPr>
              <w:t>VIEs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200"/>
              <w:spacing w:after="0" w:line="189" w:lineRule="exact"/>
              <w:rPr>
                <w:sz w:val="20"/>
                <w:szCs w:val="20"/>
                <w:color w:val="auto"/>
              </w:rPr>
            </w:pPr>
            <w:r>
              <w:rPr>
                <w:rFonts w:ascii="Arial" w:cs="Arial" w:eastAsia="Arial" w:hAnsi="Arial"/>
                <w:sz w:val="14"/>
                <w:szCs w:val="14"/>
                <w:b w:val="1"/>
                <w:bCs w:val="1"/>
                <w:color w:val="auto"/>
                <w:w w:val="93"/>
              </w:rPr>
              <w:t xml:space="preserve">and Other </w:t>
            </w:r>
            <w:r>
              <w:rPr>
                <w:rFonts w:ascii="Arial" w:cs="Arial" w:eastAsia="Arial" w:hAnsi="Arial"/>
                <w:sz w:val="18"/>
                <w:szCs w:val="18"/>
                <w:b w:val="1"/>
                <w:bCs w:val="1"/>
                <w:color w:val="auto"/>
                <w:w w:val="93"/>
                <w:vertAlign w:val="superscript"/>
              </w:rPr>
              <w:t>3</w:t>
            </w: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41,690</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ind w:right="1048"/>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384</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42,241</w:t>
            </w:r>
          </w:p>
        </w:tc>
        <w:tc>
          <w:tcPr>
            <w:tcW w:w="0" w:type="dxa"/>
            <w:vAlign w:val="bottom"/>
          </w:tcPr>
          <w:p>
            <w:pPr>
              <w:spacing w:after="0"/>
              <w:rPr>
                <w:sz w:val="1"/>
                <w:szCs w:val="1"/>
                <w:color w:val="auto"/>
              </w:rPr>
            </w:pPr>
          </w:p>
        </w:tc>
      </w:tr>
      <w:tr>
        <w:trPr>
          <w:trHeight w:val="186"/>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CRT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192"/>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Non-Agency - fair value</w:t>
            </w: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86"/>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92"/>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interest on pledged securities</w:t>
            </w: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6"/>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Restricted cash</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211"/>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45,278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1048"/>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46,995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1"/>
              </w:rPr>
              <w:t>December 31, 2021</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w w:val="91"/>
              </w:rPr>
              <w:t>Debt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18"/>
                <w:szCs w:val="18"/>
                <w:b w:val="1"/>
                <w:bCs w:val="1"/>
                <w:color w:val="auto"/>
                <w:vertAlign w:val="superscript"/>
              </w:rPr>
              <w:t>1</w:t>
            </w:r>
          </w:p>
        </w:tc>
        <w:tc>
          <w:tcPr>
            <w:tcW w:w="1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Repurchase</w:t>
            </w:r>
            <w:r>
              <w:rPr>
                <w:rFonts w:ascii="Arial" w:cs="Arial" w:eastAsia="Arial" w:hAnsi="Arial"/>
                <w:sz w:val="18"/>
                <w:szCs w:val="18"/>
                <w:b w:val="1"/>
                <w:bCs w:val="1"/>
                <w:color w:val="auto"/>
                <w:w w:val="96"/>
                <w:vertAlign w:val="subscript"/>
              </w:rPr>
              <w:t>2</w:t>
            </w:r>
            <w:r>
              <w:rPr>
                <w:rFonts w:ascii="Arial" w:cs="Arial" w:eastAsia="Arial" w:hAnsi="Arial"/>
                <w:sz w:val="14"/>
                <w:szCs w:val="14"/>
                <w:b w:val="1"/>
                <w:bCs w:val="1"/>
                <w:color w:val="auto"/>
                <w:w w:val="96"/>
              </w:rPr>
              <w:t>Agreements</w:t>
            </w:r>
          </w:p>
        </w:tc>
        <w:tc>
          <w:tcPr>
            <w:tcW w:w="120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580" w:type="dxa"/>
            <w:vAlign w:val="bottom"/>
            <w:gridSpan w:val="2"/>
            <w:vMerge w:val="continue"/>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1200" w:type="dxa"/>
            <w:vAlign w:val="bottom"/>
          </w:tcPr>
          <w:p>
            <w:pPr>
              <w:jc w:val="center"/>
              <w:ind w:left="328"/>
              <w:spacing w:after="0"/>
              <w:rPr>
                <w:sz w:val="20"/>
                <w:szCs w:val="20"/>
                <w:color w:val="auto"/>
              </w:rPr>
            </w:pPr>
            <w:r>
              <w:rPr>
                <w:rFonts w:ascii="Arial" w:cs="Arial" w:eastAsia="Arial" w:hAnsi="Arial"/>
                <w:sz w:val="14"/>
                <w:szCs w:val="14"/>
                <w:b w:val="1"/>
                <w:bCs w:val="1"/>
                <w:color w:val="auto"/>
              </w:rPr>
              <w:t>VIEs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200"/>
              <w:spacing w:after="0" w:line="189" w:lineRule="exact"/>
              <w:rPr>
                <w:sz w:val="20"/>
                <w:szCs w:val="20"/>
                <w:color w:val="auto"/>
              </w:rPr>
            </w:pPr>
            <w:r>
              <w:rPr>
                <w:rFonts w:ascii="Arial" w:cs="Arial" w:eastAsia="Arial" w:hAnsi="Arial"/>
                <w:sz w:val="14"/>
                <w:szCs w:val="14"/>
                <w:b w:val="1"/>
                <w:bCs w:val="1"/>
                <w:color w:val="auto"/>
                <w:w w:val="93"/>
              </w:rPr>
              <w:t xml:space="preserve">and Other </w:t>
            </w:r>
            <w:r>
              <w:rPr>
                <w:rFonts w:ascii="Arial" w:cs="Arial" w:eastAsia="Arial" w:hAnsi="Arial"/>
                <w:sz w:val="18"/>
                <w:szCs w:val="18"/>
                <w:b w:val="1"/>
                <w:bCs w:val="1"/>
                <w:color w:val="auto"/>
                <w:w w:val="93"/>
                <w:vertAlign w:val="superscript"/>
              </w:rPr>
              <w:t>3</w:t>
            </w: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46,943</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ind w:right="1048"/>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739</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47,890</w:t>
            </w:r>
          </w:p>
        </w:tc>
        <w:tc>
          <w:tcPr>
            <w:tcW w:w="0" w:type="dxa"/>
            <w:vAlign w:val="bottom"/>
          </w:tcPr>
          <w:p>
            <w:pPr>
              <w:spacing w:after="0"/>
              <w:rPr>
                <w:sz w:val="1"/>
                <w:szCs w:val="1"/>
                <w:color w:val="auto"/>
              </w:rPr>
            </w:pPr>
          </w:p>
        </w:tc>
      </w:tr>
      <w:tr>
        <w:trPr>
          <w:trHeight w:val="186"/>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CRT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92"/>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Non-Agency - fair value</w:t>
            </w: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86"/>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1,084</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192"/>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interest on pledged securities</w:t>
            </w: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6"/>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Restricted cash</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211"/>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49,240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1048"/>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50,910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repledged assets received as collateral from counterparties and securities sold but not yet settled.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$60 million and $81 million of retained interests in our consolidated VIEs pledged as collateral under repurchase agreements as of June 30, 2022 and December 31, 2021, respectively.</w:t>
      </w: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deposits under brokerage and clearing agreements.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0" w:name="page21"/>
    <w:bookmarkEnd w:id="20"/>
    <w:p>
      <w:pPr>
        <w:jc w:val="both"/>
        <w:ind w:firstLine="445"/>
        <w:spacing w:after="0" w:line="263"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by the remaining maturity of our borrowings, including securities pledged related to sold but not yet settled securities, as of June 30, 2022 and December 31, 2021 (in millions). For the corresponding borrowings associated with the following amounts and the interest rates thereon, refer to Note 4</w:t>
      </w:r>
      <w:r>
        <w:rPr>
          <w:rFonts w:ascii="Arial" w:cs="Arial" w:eastAsia="Arial" w:hAnsi="Arial"/>
          <w:sz w:val="18"/>
          <w:szCs w:val="18"/>
          <w:i w:val="1"/>
          <w:iCs w:val="1"/>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35"/>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4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 of</w:t>
            </w: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Cost of</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Interest on</w:t>
            </w:r>
          </w:p>
        </w:tc>
        <w:tc>
          <w:tcPr>
            <w:tcW w:w="160" w:type="dxa"/>
            <w:vAlign w:val="bottom"/>
          </w:tcPr>
          <w:p>
            <w:pPr>
              <w:spacing w:after="0"/>
              <w:rPr>
                <w:sz w:val="11"/>
                <w:szCs w:val="11"/>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9"/>
              </w:rPr>
              <w:t>Fair Value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Cost of</w:t>
            </w:r>
          </w:p>
        </w:tc>
        <w:tc>
          <w:tcPr>
            <w:tcW w:w="14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35"/>
        </w:trPr>
        <w:tc>
          <w:tcPr>
            <w:tcW w:w="3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Pledged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Pledged</w:t>
            </w: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Pledged</w:t>
            </w:r>
          </w:p>
        </w:tc>
        <w:tc>
          <w:tcPr>
            <w:tcW w:w="14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18"/>
                <w:szCs w:val="18"/>
                <w:b w:val="1"/>
                <w:bCs w:val="1"/>
                <w:color w:val="auto"/>
                <w:vertAlign w:val="superscript"/>
              </w:rPr>
              <w:t>1,2</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Pledged Securities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90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83"/>
        </w:trPr>
        <w:tc>
          <w:tcPr>
            <w:tcW w:w="38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 30 days</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29,010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31,194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24,548</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24,075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6"/>
        </w:trPr>
        <w:tc>
          <w:tcPr>
            <w:tcW w:w="3920" w:type="dxa"/>
            <w:vAlign w:val="bottom"/>
            <w:gridSpan w:val="2"/>
          </w:tcPr>
          <w:p>
            <w:pPr>
              <w:ind w:left="100"/>
              <w:spacing w:after="0"/>
              <w:rPr>
                <w:sz w:val="20"/>
                <w:szCs w:val="20"/>
                <w:color w:val="auto"/>
              </w:rPr>
            </w:pPr>
            <w:r>
              <w:rPr>
                <w:rFonts w:ascii="Arial" w:cs="Arial" w:eastAsia="Arial" w:hAnsi="Arial"/>
                <w:sz w:val="14"/>
                <w:szCs w:val="14"/>
                <w:color w:val="auto"/>
              </w:rPr>
              <w:t>&gt; 30 and ≤ 60 days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4,357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7,869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60 and ≤ 90 days</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39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&gt; 90 days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5,574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9,073</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1"/>
        </w:trPr>
        <w:tc>
          <w:tcPr>
            <w:tcW w:w="3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48,235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48,496</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47,752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80" w:hanging="328"/>
        <w:spacing w:after="0" w:line="241"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$60 million and $81 million of retained interests in our consolidated VIEs pledged as collateral under repurchase agreements as of June 30, 2022 and December 31, 2021, respectively.</w:t>
      </w:r>
    </w:p>
    <w:p>
      <w:pPr>
        <w:ind w:left="660" w:hanging="328"/>
        <w:spacing w:after="0"/>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Excludes $0.1 billion and $0.6 billion of repledged U.S. Treasury securities received as collateral from counterparties as of June 30, 2022 and December 31, 2021,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ind w:firstLine="405"/>
        <w:spacing w:after="0" w:line="269" w:lineRule="auto"/>
        <w:rPr>
          <w:sz w:val="20"/>
          <w:szCs w:val="20"/>
          <w:color w:val="auto"/>
        </w:rPr>
      </w:pPr>
      <w:r>
        <w:rPr>
          <w:rFonts w:ascii="Arial" w:cs="Arial" w:eastAsia="Arial" w:hAnsi="Arial"/>
          <w:sz w:val="18"/>
          <w:szCs w:val="18"/>
          <w:color w:val="auto"/>
        </w:rPr>
        <w:t>As of June 30, 2022 and December 31, 2021, we had assets pledged to us from counterparties as collateral under our reverse repurchase and derivative agreements summarized in the tables below (in millions).</w:t>
      </w: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June 30, 2022</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 Pledged to AGNC</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Agreements</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Agreements</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U.S. Treasury securities - fair value</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8,650</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3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8,657</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10,420</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10,431</w:t>
            </w:r>
          </w:p>
        </w:tc>
        <w:tc>
          <w:tcPr>
            <w:tcW w:w="0" w:type="dxa"/>
            <w:vAlign w:val="bottom"/>
          </w:tcPr>
          <w:p>
            <w:pPr>
              <w:spacing w:after="0"/>
              <w:rPr>
                <w:sz w:val="1"/>
                <w:szCs w:val="1"/>
                <w:color w:val="auto"/>
              </w:rPr>
            </w:pPr>
          </w:p>
        </w:tc>
      </w:tr>
      <w:tr>
        <w:trPr>
          <w:trHeight w:val="135"/>
        </w:trPr>
        <w:tc>
          <w:tcPr>
            <w:tcW w:w="2160" w:type="dxa"/>
            <w:vAlign w:val="bottom"/>
            <w:shd w:val="clear" w:color="auto" w:fill="CCEEFF"/>
          </w:tcPr>
          <w:p>
            <w:pPr>
              <w:ind w:left="180"/>
              <w:spacing w:after="0"/>
              <w:rPr>
                <w:sz w:val="20"/>
                <w:szCs w:val="20"/>
                <w:color w:val="auto"/>
              </w:rPr>
            </w:pPr>
            <w:r>
              <w:rPr>
                <w:rFonts w:ascii="Arial" w:cs="Arial" w:eastAsia="Arial" w:hAnsi="Arial"/>
                <w:sz w:val="9"/>
                <w:szCs w:val="9"/>
                <w:b w:val="1"/>
                <w:bCs w:val="1"/>
                <w:color w:val="auto"/>
              </w:rPr>
              <w:t>1</w:t>
            </w:r>
          </w:p>
        </w:tc>
        <w:tc>
          <w:tcPr>
            <w:tcW w:w="1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Cash</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11"/>
        </w:trPr>
        <w:tc>
          <w:tcPr>
            <w:tcW w:w="2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3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10,741</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June 30, 2022 and December 31, 2021, amounts include $8.3 billion and $9.7 billion, respectively, of U.S. Treasury securities received from counterparties that were used to cover short sales of U.S. Treasury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June 30, 2022 and December 31, 2021 (in millions):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w w:val="91"/>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Gross Amounts Not Offset</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tcPr>
          <w:p>
            <w:pPr>
              <w:jc w:val="center"/>
              <w:ind w:left="728"/>
              <w:spacing w:after="0" w:line="135" w:lineRule="exact"/>
              <w:rPr>
                <w:sz w:val="20"/>
                <w:szCs w:val="20"/>
                <w:color w:val="auto"/>
              </w:rPr>
            </w:pPr>
            <w:r>
              <w:rPr>
                <w:rFonts w:ascii="Arial" w:cs="Arial" w:eastAsia="Arial" w:hAnsi="Arial"/>
                <w:sz w:val="14"/>
                <w:szCs w:val="14"/>
                <w:b w:val="1"/>
                <w:bCs w:val="1"/>
                <w:color w:val="auto"/>
                <w:w w:val="96"/>
              </w:rPr>
              <w:t>in the</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Pr>
          <w:p>
            <w:pPr>
              <w:spacing w:after="0"/>
              <w:rPr>
                <w:sz w:val="16"/>
                <w:szCs w:val="16"/>
                <w:color w:val="auto"/>
              </w:rPr>
            </w:pPr>
          </w:p>
        </w:tc>
        <w:tc>
          <w:tcPr>
            <w:tcW w:w="2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Consolidated Balance Sheets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Amounts</w:t>
            </w:r>
          </w:p>
        </w:tc>
        <w:tc>
          <w:tcPr>
            <w:tcW w:w="106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96"/>
              </w:rPr>
              <w:t>Gross Amounts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tcPr>
          <w:p>
            <w:pPr>
              <w:jc w:val="center"/>
              <w:ind w:right="100"/>
              <w:spacing w:after="0" w:line="115" w:lineRule="exact"/>
              <w:rPr>
                <w:sz w:val="20"/>
                <w:szCs w:val="20"/>
                <w:color w:val="auto"/>
              </w:rPr>
            </w:pPr>
            <w:r>
              <w:rPr>
                <w:rFonts w:ascii="Arial" w:cs="Arial" w:eastAsia="Arial" w:hAnsi="Arial"/>
                <w:sz w:val="13"/>
                <w:szCs w:val="13"/>
                <w:b w:val="1"/>
                <w:bCs w:val="1"/>
                <w:color w:val="auto"/>
                <w:w w:val="93"/>
              </w:rPr>
              <w:t>Assets Presented</w:t>
            </w: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in the</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Financial</w:t>
            </w:r>
          </w:p>
        </w:tc>
        <w:tc>
          <w:tcPr>
            <w:tcW w:w="18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Collateral</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of Recognized</w:t>
            </w:r>
          </w:p>
        </w:tc>
        <w:tc>
          <w:tcPr>
            <w:tcW w:w="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Balance Sheets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060" w:type="dxa"/>
            <w:vAlign w:val="bottom"/>
            <w:gridSpan w:val="2"/>
          </w:tcPr>
          <w:p>
            <w:pPr>
              <w:ind w:left="60"/>
              <w:spacing w:after="0" w:line="189" w:lineRule="exact"/>
              <w:rPr>
                <w:sz w:val="20"/>
                <w:szCs w:val="20"/>
                <w:color w:val="auto"/>
              </w:rPr>
            </w:pPr>
            <w:r>
              <w:rPr>
                <w:rFonts w:ascii="Arial" w:cs="Arial" w:eastAsia="Arial" w:hAnsi="Arial"/>
                <w:sz w:val="14"/>
                <w:szCs w:val="14"/>
                <w:b w:val="1"/>
                <w:bCs w:val="1"/>
                <w:color w:val="auto"/>
              </w:rPr>
              <w:t xml:space="preserve">Received </w:t>
            </w:r>
            <w:r>
              <w:rPr>
                <w:rFonts w:ascii="Arial" w:cs="Arial" w:eastAsia="Arial" w:hAnsi="Arial"/>
                <w:sz w:val="18"/>
                <w:szCs w:val="18"/>
                <w:b w:val="1"/>
                <w:bCs w:val="1"/>
                <w:color w:val="auto"/>
                <w:vertAlign w:val="superscript"/>
              </w:rPr>
              <w:t>2</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18"/>
                <w:szCs w:val="18"/>
                <w:color w:val="auto"/>
                <w:vertAlign w:val="superscript"/>
              </w:rPr>
              <w:t>1</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TBA and forward settling non-Agency securities, at fair value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Receivable under reverse repurchase agreements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8,438</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18"/>
                <w:szCs w:val="18"/>
                <w:color w:val="auto"/>
                <w:vertAlign w:val="superscript"/>
              </w:rPr>
              <w:t>1</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TBA securities, at fair value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Receivable under reverse repurchase agreements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10,475</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10,475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1"/>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10,792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10,792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Offsetting of Financial and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23495</wp:posOffset>
            </wp:positionV>
            <wp:extent cx="45516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516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June 30, 2022</w:t>
      </w:r>
    </w:p>
    <w:p>
      <w:pPr>
        <w:spacing w:after="0" w:line="27" w:lineRule="exact"/>
        <w:rPr>
          <w:sz w:val="20"/>
          <w:szCs w:val="20"/>
          <w:color w:val="auto"/>
        </w:rPr>
      </w:pPr>
    </w:p>
    <w:p>
      <w:pPr>
        <w:ind w:left="200"/>
        <w:spacing w:after="0" w:line="249" w:lineRule="auto"/>
        <w:rPr>
          <w:sz w:val="20"/>
          <w:szCs w:val="20"/>
          <w:color w:val="auto"/>
        </w:rPr>
      </w:pPr>
      <w:r>
        <w:rPr>
          <w:rFonts w:ascii="Arial" w:cs="Arial" w:eastAsia="Arial" w:hAnsi="Arial"/>
          <w:sz w:val="14"/>
          <w:szCs w:val="14"/>
          <w:color w:val="auto"/>
        </w:rPr>
        <w:t xml:space="preserve">TBA and forward settling non-Agency securities, at fair value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Repurchase agreements</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Total</w:t>
      </w:r>
    </w:p>
    <w:p>
      <w:pPr>
        <w:spacing w:after="0" w:line="24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December 31, 2021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Repurchase agreements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Total</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Gross Amounts Not Offset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left="748"/>
              <w:spacing w:after="0" w:line="135"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20" w:type="dxa"/>
            <w:vAlign w:val="bottom"/>
          </w:tcPr>
          <w:p>
            <w:pPr>
              <w:spacing w:after="0"/>
              <w:rPr>
                <w:sz w:val="16"/>
                <w:szCs w:val="16"/>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Consolidated Balance Sheets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Amounts</w:t>
            </w:r>
          </w:p>
        </w:tc>
        <w:tc>
          <w:tcPr>
            <w:tcW w:w="100" w:type="dxa"/>
            <w:vAlign w:val="bottom"/>
          </w:tcPr>
          <w:p>
            <w:pPr>
              <w:spacing w:after="0"/>
              <w:rPr>
                <w:sz w:val="10"/>
                <w:szCs w:val="10"/>
                <w:color w:val="auto"/>
              </w:rPr>
            </w:pPr>
          </w:p>
        </w:tc>
        <w:tc>
          <w:tcPr>
            <w:tcW w:w="120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98"/>
              </w:rPr>
              <w:t>Gross Amounts</w:t>
            </w: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99"/>
              </w:rPr>
              <w:t>Liabilities</w:t>
            </w: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2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Financial</w:t>
            </w:r>
          </w:p>
        </w:tc>
        <w:tc>
          <w:tcPr>
            <w:tcW w:w="22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Collateral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of Recognized</w:t>
            </w:r>
          </w:p>
        </w:tc>
        <w:tc>
          <w:tcPr>
            <w:tcW w:w="10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line="189" w:lineRule="exact"/>
              <w:rPr>
                <w:sz w:val="20"/>
                <w:szCs w:val="20"/>
                <w:color w:val="auto"/>
              </w:rPr>
            </w:pPr>
            <w:r>
              <w:rPr>
                <w:rFonts w:ascii="Arial" w:cs="Arial" w:eastAsia="Arial" w:hAnsi="Arial"/>
                <w:sz w:val="14"/>
                <w:szCs w:val="14"/>
                <w:b w:val="1"/>
                <w:bCs w:val="1"/>
                <w:color w:val="auto"/>
                <w:w w:val="95"/>
              </w:rPr>
              <w:t xml:space="preserve">Pledged </w:t>
            </w:r>
            <w:r>
              <w:rPr>
                <w:rFonts w:ascii="Arial" w:cs="Arial" w:eastAsia="Arial" w:hAnsi="Arial"/>
                <w:sz w:val="18"/>
                <w:szCs w:val="18"/>
                <w:b w:val="1"/>
                <w:bCs w:val="1"/>
                <w:color w:val="auto"/>
                <w:w w:val="95"/>
                <w:vertAlign w:val="superscript"/>
              </w:rPr>
              <w:t>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43,153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43,153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(7,347)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(35,806)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43,357</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43,357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(7,443)</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(35,914)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4"/>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47,381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47,381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(6,087)</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(41,294)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47,452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47,452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(6,114)</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(41,338)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-805180</wp:posOffset>
            </wp:positionV>
            <wp:extent cx="707199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-539115</wp:posOffset>
            </wp:positionV>
            <wp:extent cx="707199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-281940</wp:posOffset>
            </wp:positionV>
            <wp:extent cx="707199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-1053465</wp:posOffset>
            </wp:positionV>
            <wp:extent cx="707199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3840" w:space="200"/>
            <w:col w:w="7200"/>
          </w:cols>
          <w:pgMar w:left="320" w:top="1089" w:right="339" w:bottom="1440" w:gutter="0" w:footer="0" w:header="0"/>
          <w:type w:val="continuous"/>
        </w:sectPr>
      </w:pPr>
    </w:p>
    <w:p>
      <w:pPr>
        <w:ind w:left="660" w:right="160" w:hanging="328"/>
        <w:spacing w:after="0" w:line="241"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ind w:left="660" w:right="400" w:hanging="328"/>
        <w:spacing w:after="0" w:line="255"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provides a summary of our assets and liabilities that are measured at fair value on a recurring basis, as of June 30, 2022 and December 31, 2021, based on their categorization within the valuation hierarchy (in millions). There were no transfers between valuation hierarchy levels during the periods presented in our accompanying consolidated statements of comprehensive income.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June 30, 2022</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6"/>
                <w:szCs w:val="16"/>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0"/>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60" w:type="dxa"/>
            <w:vAlign w:val="bottom"/>
          </w:tcPr>
          <w:p>
            <w:pPr>
              <w:ind w:left="180"/>
              <w:spacing w:after="0"/>
              <w:rPr>
                <w:sz w:val="20"/>
                <w:szCs w:val="20"/>
                <w:color w:val="auto"/>
              </w:rPr>
            </w:pPr>
            <w:r>
              <w:rPr>
                <w:rFonts w:ascii="Arial" w:cs="Arial" w:eastAsia="Arial" w:hAnsi="Arial"/>
                <w:sz w:val="14"/>
                <w:szCs w:val="14"/>
                <w:color w:val="auto"/>
              </w:rPr>
              <w:t>Agency securities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43,459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52,396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securities transferred to consolidated VIEs</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60" w:type="dxa"/>
            <w:vAlign w:val="bottom"/>
          </w:tcPr>
          <w:p>
            <w:pPr>
              <w:ind w:left="180"/>
              <w:spacing w:after="0"/>
              <w:rPr>
                <w:sz w:val="20"/>
                <w:szCs w:val="20"/>
                <w:color w:val="auto"/>
              </w:rPr>
            </w:pPr>
            <w:r>
              <w:rPr>
                <w:rFonts w:ascii="Arial" w:cs="Arial" w:eastAsia="Arial" w:hAnsi="Arial"/>
                <w:sz w:val="14"/>
                <w:szCs w:val="14"/>
                <w:color w:val="auto"/>
              </w:rPr>
              <w:t>Credit risk transfer securities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Non-Agency securities</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60" w:type="dxa"/>
            <w:vAlign w:val="bottom"/>
          </w:tcPr>
          <w:p>
            <w:pPr>
              <w:ind w:left="180"/>
              <w:spacing w:after="0"/>
              <w:rPr>
                <w:sz w:val="20"/>
                <w:szCs w:val="20"/>
                <w:color w:val="auto"/>
              </w:rPr>
            </w:pPr>
            <w:r>
              <w:rPr>
                <w:rFonts w:ascii="Arial" w:cs="Arial" w:eastAsia="Arial" w:hAnsi="Arial"/>
                <w:sz w:val="14"/>
                <w:szCs w:val="14"/>
                <w:color w:val="auto"/>
              </w:rPr>
              <w:t>U.S. Treasury securities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180"/>
              <w:spacing w:after="0" w:line="193" w:lineRule="exact"/>
              <w:rPr>
                <w:sz w:val="20"/>
                <w:szCs w:val="20"/>
                <w:color w:val="auto"/>
              </w:rPr>
            </w:pPr>
            <w:r>
              <w:rPr>
                <w:rFonts w:ascii="Arial" w:cs="Arial" w:eastAsia="Arial" w:hAnsi="Arial"/>
                <w:sz w:val="14"/>
                <w:szCs w:val="14"/>
                <w:color w:val="auto"/>
              </w:rPr>
              <w:t xml:space="preserve">Interest rate swaps </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60" w:type="dxa"/>
            <w:vAlign w:val="bottom"/>
          </w:tcPr>
          <w:p>
            <w:pPr>
              <w:ind w:left="180"/>
              <w:spacing w:after="0"/>
              <w:rPr>
                <w:sz w:val="20"/>
                <w:szCs w:val="20"/>
                <w:color w:val="auto"/>
              </w:rPr>
            </w:pPr>
            <w:r>
              <w:rPr>
                <w:rFonts w:ascii="Arial" w:cs="Arial" w:eastAsia="Arial" w:hAnsi="Arial"/>
                <w:sz w:val="14"/>
                <w:szCs w:val="14"/>
                <w:color w:val="auto"/>
              </w:rPr>
              <w:t>Swaptions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TBA and forward settling securities</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60" w:type="dxa"/>
            <w:vAlign w:val="bottom"/>
          </w:tcPr>
          <w:p>
            <w:pPr>
              <w:ind w:left="180"/>
              <w:spacing w:after="0"/>
              <w:rPr>
                <w:sz w:val="20"/>
                <w:szCs w:val="20"/>
                <w:color w:val="auto"/>
              </w:rPr>
            </w:pPr>
            <w:r>
              <w:rPr>
                <w:rFonts w:ascii="Arial" w:cs="Arial" w:eastAsia="Arial" w:hAnsi="Arial"/>
                <w:sz w:val="14"/>
                <w:szCs w:val="14"/>
                <w:color w:val="auto"/>
              </w:rPr>
              <w:t>U.S. Treasury futures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54,738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of consolidated VIEs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4660" w:type="dxa"/>
            <w:vAlign w:val="bottom"/>
          </w:tcPr>
          <w:p>
            <w:pPr>
              <w:ind w:left="180"/>
              <w:spacing w:after="0" w:line="135" w:lineRule="exact"/>
              <w:rPr>
                <w:sz w:val="20"/>
                <w:szCs w:val="20"/>
                <w:color w:val="auto"/>
              </w:rPr>
            </w:pPr>
            <w:r>
              <w:rPr>
                <w:rFonts w:ascii="Arial" w:cs="Arial" w:eastAsia="Arial" w:hAnsi="Arial"/>
                <w:sz w:val="14"/>
                <w:szCs w:val="14"/>
                <w:color w:val="auto"/>
              </w:rPr>
              <w:t>Obligation to return U.S. Treasury securities borrowed under reverse</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8,265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0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9,697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0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60" w:type="dxa"/>
            <w:vAlign w:val="bottom"/>
          </w:tcPr>
          <w:p>
            <w:pPr>
              <w:ind w:left="180"/>
              <w:spacing w:after="0"/>
              <w:rPr>
                <w:sz w:val="20"/>
                <w:szCs w:val="20"/>
                <w:color w:val="auto"/>
              </w:rPr>
            </w:pPr>
            <w:r>
              <w:rPr>
                <w:rFonts w:ascii="Arial" w:cs="Arial" w:eastAsia="Arial" w:hAnsi="Arial"/>
                <w:sz w:val="14"/>
                <w:szCs w:val="14"/>
                <w:color w:val="auto"/>
              </w:rPr>
              <w:t>repurchase agreements</w:t>
            </w: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180"/>
              <w:spacing w:after="0" w:line="193" w:lineRule="exact"/>
              <w:rPr>
                <w:sz w:val="20"/>
                <w:szCs w:val="20"/>
                <w:color w:val="auto"/>
              </w:rPr>
            </w:pPr>
            <w:r>
              <w:rPr>
                <w:rFonts w:ascii="Arial" w:cs="Arial" w:eastAsia="Arial" w:hAnsi="Arial"/>
                <w:sz w:val="14"/>
                <w:szCs w:val="14"/>
                <w:color w:val="auto"/>
              </w:rPr>
              <w:t xml:space="preserve">Interest rate swaps </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line="189" w:lineRule="exact"/>
              <w:rPr>
                <w:sz w:val="20"/>
                <w:szCs w:val="20"/>
                <w:color w:val="auto"/>
              </w:rPr>
            </w:pPr>
            <w:r>
              <w:rPr>
                <w:rFonts w:ascii="Arial" w:cs="Arial" w:eastAsia="Arial" w:hAnsi="Arial"/>
                <w:sz w:val="14"/>
                <w:szCs w:val="14"/>
                <w:color w:val="auto"/>
              </w:rPr>
              <w:t xml:space="preserve">Credit default swaps </w:t>
            </w:r>
            <w:r>
              <w:rPr>
                <w:rFonts w:ascii="Arial" w:cs="Arial" w:eastAsia="Arial" w:hAnsi="Arial"/>
                <w:sz w:val="18"/>
                <w:szCs w:val="18"/>
                <w:color w:val="auto"/>
                <w:vertAlign w:val="superscript"/>
              </w:rPr>
              <w:t>1</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TBA and forward settling securities</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60" w:type="dxa"/>
            <w:vAlign w:val="bottom"/>
          </w:tcPr>
          <w:p>
            <w:pPr>
              <w:ind w:left="180"/>
              <w:spacing w:after="0"/>
              <w:rPr>
                <w:sz w:val="20"/>
                <w:szCs w:val="20"/>
                <w:color w:val="auto"/>
              </w:rPr>
            </w:pPr>
            <w:r>
              <w:rPr>
                <w:rFonts w:ascii="Arial" w:cs="Arial" w:eastAsia="Arial" w:hAnsi="Arial"/>
                <w:sz w:val="14"/>
                <w:szCs w:val="14"/>
                <w:color w:val="auto"/>
              </w:rPr>
              <w:t>U.S. Treasury futures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3" w:lineRule="exact"/>
        <w:rPr>
          <w:sz w:val="20"/>
          <w:szCs w:val="20"/>
          <w:color w:val="auto"/>
        </w:rPr>
      </w:pPr>
    </w:p>
    <w:p>
      <w:pPr>
        <w:jc w:val="both"/>
        <w:ind w:left="660" w:hanging="328"/>
        <w:spacing w:after="0" w:line="252"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June 30, 2022 and December 31, 2021, the net fair value of our interest rate swaps excluding the recognition of variation margin settlements as a direct reduction of carrying value was a net asset (liability) of $4.3 billion and $1.6 billion, respectively, based on "Level 2" inputs. As of June 30, 2022, the net fair value of our credit default swaps excluding the recognition of variation margin settlements was $39 thousand based on "Level 2" inputs. We did not have credit default swaps outstanding as of December 31, 2021. See Notes 2 and 5 for additional details.</w:t>
      </w:r>
    </w:p>
    <w:p>
      <w:pPr>
        <w:spacing w:after="0" w:line="28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Excluded from the table above are financial instruments presented in our consolidated financial statements at cost. The fair value of our repurchase agreements approximated cost as of June 30, 2022 and December 31, 2021, as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Net Income (Loss) Per Common Share</w:t>
      </w:r>
    </w:p>
    <w:p>
      <w:pPr>
        <w:spacing w:after="0" w:line="25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00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6"/>
                <w:szCs w:val="16"/>
                <w:color w:val="auto"/>
              </w:rPr>
            </w:pPr>
          </w:p>
        </w:tc>
        <w:tc>
          <w:tcPr>
            <w:tcW w:w="18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87"/>
        </w:trPr>
        <w:tc>
          <w:tcPr>
            <w:tcW w:w="73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r>
      <w:tr>
        <w:trPr>
          <w:trHeight w:val="184"/>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issued and outstanding</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528.7</w:t>
            </w:r>
          </w:p>
        </w:tc>
      </w:tr>
      <w:tr>
        <w:trPr>
          <w:trHeight w:val="186"/>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fully vested restricted stock units outstanding</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86"/>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530.1</w:t>
            </w:r>
          </w:p>
        </w:tc>
      </w:tr>
      <w:tr>
        <w:trPr>
          <w:trHeight w:val="186"/>
        </w:trPr>
        <w:tc>
          <w:tcPr>
            <w:tcW w:w="7320" w:type="dxa"/>
            <w:vAlign w:val="bottom"/>
          </w:tcPr>
          <w:p>
            <w:pPr>
              <w:ind w:left="20"/>
              <w:spacing w:after="0"/>
              <w:rPr>
                <w:sz w:val="20"/>
                <w:szCs w:val="20"/>
                <w:color w:val="auto"/>
              </w:rPr>
            </w:pPr>
            <w:r>
              <w:rPr>
                <w:rFonts w:ascii="Arial" w:cs="Arial" w:eastAsia="Arial" w:hAnsi="Arial"/>
                <w:sz w:val="14"/>
                <w:szCs w:val="14"/>
                <w:color w:val="auto"/>
              </w:rPr>
              <w:t>Weighted average number of dilutive unvested restricted stock units outstanding</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11"/>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20" w:type="dxa"/>
            <w:vAlign w:val="bottom"/>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20" w:type="dxa"/>
            <w:vAlign w:val="bottom"/>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(0.83)</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0.97</w:t>
            </w:r>
          </w:p>
        </w:tc>
      </w:tr>
      <w:tr>
        <w:trPr>
          <w:trHeight w:val="21"/>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and six months ended June 30, 2022, 0.9 million and 1.1 million, respectively, and for the three months ended June 30, 2021 1.7 million of potentially dilutive unvested time and performance based RSUs outstanding were excluded from the computation of diluted net income (loss) per common share because to do so would have been anti-dilutive for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are authorized to designate and issue up to 10.0 million shares of preferred stock in one or more classes or series. As of June 30, 2022 and December 31, 2021, 13,800, 10,350, 16,100 and 23,000 shares of preferred stock were designated as 7.00% Series C Fixed-to-Floating Rate Cumulative Redeemable Preferred Stock, 6.875% Series D Fixed-to-Floating Rate Cumulative Redeemable Preferred Stock, 6.50% Series E Fixed-to-Floating Rate Cumulative Redeemable Preferred Stock and 6.125% Series F Fixed-to-Floating Rate Cumulative Redeemable Preferred Stock, respectively, (referred to as "Series C, D, E and F Preferred Stock", respectively). As of June 30, 2022 and December 31, 2021, 13,000, 9,400, 16,100 and 23,000 shares of Series C, D, E and F Preferred Stock, respectively, were issued and outstanding. Each share of preferred stock is represented by 1,000 depositary shares. Each share of preferred stock has a liquidation preference of $25,000 per share ($25 per depositary share).</w:t>
      </w:r>
    </w:p>
    <w:p>
      <w:pPr>
        <w:spacing w:after="0" w:line="12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includes a summary of preferred stock depositary shares issued and outstanding as of June 30, 2022 (dollars and shares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Depositary</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Fixed-to-Floating</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Fixed-to-Floating Rate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center"/>
              <w:ind w:right="30"/>
              <w:spacing w:after="0"/>
              <w:rPr>
                <w:sz w:val="20"/>
                <w:szCs w:val="20"/>
                <w:color w:val="auto"/>
              </w:rPr>
            </w:pPr>
            <w:r>
              <w:rPr>
                <w:rFonts w:ascii="Arial" w:cs="Arial" w:eastAsia="Arial" w:hAnsi="Arial"/>
                <w:sz w:val="14"/>
                <w:szCs w:val="14"/>
                <w:b w:val="1"/>
                <w:bCs w:val="1"/>
                <w:color w:val="auto"/>
                <w:w w:val="89"/>
              </w:rPr>
              <w:t>Aggregate</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Optional</w:t>
            </w:r>
          </w:p>
        </w:tc>
        <w:tc>
          <w:tcPr>
            <w:tcW w:w="122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3"/>
              </w:rPr>
              <w:t>Issuance</w:t>
            </w:r>
          </w:p>
        </w:tc>
        <w:tc>
          <w:tcPr>
            <w:tcW w:w="11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Issued</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Fixed</w:t>
            </w:r>
          </w:p>
        </w:tc>
        <w:tc>
          <w:tcPr>
            <w:tcW w:w="1160" w:type="dxa"/>
            <w:vAlign w:val="bottom"/>
            <w:gridSpan w:val="2"/>
            <w:vMerge w:val="continue"/>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Rate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Floating</w:t>
            </w:r>
          </w:p>
        </w:tc>
        <w:tc>
          <w:tcPr>
            <w:tcW w:w="0" w:type="dxa"/>
            <w:vAlign w:val="bottom"/>
          </w:tcPr>
          <w:p>
            <w:pPr>
              <w:spacing w:after="0"/>
              <w:rPr>
                <w:sz w:val="1"/>
                <w:szCs w:val="1"/>
                <w:color w:val="auto"/>
              </w:rPr>
            </w:pPr>
          </w:p>
        </w:tc>
      </w:tr>
      <w:tr>
        <w:trPr>
          <w:trHeight w:val="135"/>
        </w:trPr>
        <w:tc>
          <w:tcPr>
            <w:tcW w:w="20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Cumulative Redeemable</w:t>
            </w:r>
          </w:p>
        </w:tc>
        <w:tc>
          <w:tcPr>
            <w:tcW w:w="1180" w:type="dxa"/>
            <w:vAlign w:val="bottom"/>
            <w:gridSpan w:val="2"/>
            <w:vMerge w:val="continue"/>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0"/>
              <w:spacing w:after="0" w:line="135" w:lineRule="exact"/>
              <w:rPr>
                <w:sz w:val="20"/>
                <w:szCs w:val="20"/>
                <w:color w:val="auto"/>
              </w:rPr>
            </w:pPr>
            <w:r>
              <w:rPr>
                <w:rFonts w:ascii="Arial" w:cs="Arial" w:eastAsia="Arial" w:hAnsi="Arial"/>
                <w:sz w:val="14"/>
                <w:szCs w:val="14"/>
                <w:b w:val="1"/>
                <w:bCs w:val="1"/>
                <w:color w:val="auto"/>
                <w:w w:val="92"/>
              </w:rPr>
              <w:t>Liquidation</w:t>
            </w:r>
          </w:p>
        </w:tc>
        <w:tc>
          <w:tcPr>
            <w:tcW w:w="1120" w:type="dxa"/>
            <w:vAlign w:val="bottom"/>
            <w:gridSpan w:val="2"/>
            <w:vMerge w:val="continue"/>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Redemption</w:t>
            </w: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Conversion</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b w:val="1"/>
                <w:bCs w:val="1"/>
                <w:color w:val="auto"/>
              </w:rPr>
              <w:t xml:space="preserve">Preferred Stock </w:t>
            </w:r>
            <w:r>
              <w:rPr>
                <w:rFonts w:ascii="Arial" w:cs="Arial" w:eastAsia="Arial" w:hAnsi="Arial"/>
                <w:sz w:val="18"/>
                <w:szCs w:val="18"/>
                <w:b w:val="1"/>
                <w:bCs w:val="1"/>
                <w:color w:val="auto"/>
                <w:vertAlign w:val="superscript"/>
              </w:rPr>
              <w:t>1</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88"/>
              </w:rPr>
              <w:t>Preference</w:t>
            </w:r>
          </w:p>
        </w:tc>
        <w:tc>
          <w:tcPr>
            <w:tcW w:w="1020" w:type="dxa"/>
            <w:vAlign w:val="bottom"/>
            <w:tcBorders>
              <w:bottom w:val="single" w:sz="8" w:color="auto"/>
            </w:tcBorders>
          </w:tcPr>
          <w:p>
            <w:pPr>
              <w:jc w:val="center"/>
              <w:ind w:left="70"/>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 xml:space="preserve">Date </w:t>
            </w:r>
            <w:r>
              <w:rPr>
                <w:rFonts w:ascii="Arial" w:cs="Arial" w:eastAsia="Arial" w:hAnsi="Arial"/>
                <w:sz w:val="18"/>
                <w:szCs w:val="18"/>
                <w:b w:val="1"/>
                <w:bCs w:val="1"/>
                <w:color w:val="auto"/>
                <w:w w:val="87"/>
                <w:vertAlign w:val="superscript"/>
              </w:rPr>
              <w:t>2</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Annual Rate</w:t>
            </w:r>
          </w:p>
        </w:tc>
        <w:tc>
          <w:tcPr>
            <w:tcW w:w="0" w:type="dxa"/>
            <w:vAlign w:val="bottom"/>
          </w:tcPr>
          <w:p>
            <w:pPr>
              <w:spacing w:after="0"/>
              <w:rPr>
                <w:sz w:val="1"/>
                <w:szCs w:val="1"/>
                <w:color w:val="auto"/>
              </w:rPr>
            </w:pPr>
          </w:p>
        </w:tc>
      </w:tr>
      <w:tr>
        <w:trPr>
          <w:trHeight w:val="128"/>
        </w:trPr>
        <w:tc>
          <w:tcPr>
            <w:tcW w:w="20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Series C</w:t>
            </w:r>
          </w:p>
        </w:tc>
        <w:tc>
          <w:tcPr>
            <w:tcW w:w="11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August 22, 2017</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20" w:type="dxa"/>
            <w:vAlign w:val="bottom"/>
            <w:vMerge w:val="restart"/>
            <w:shd w:val="clear" w:color="auto" w:fill="CCEEFF"/>
          </w:tcPr>
          <w:p>
            <w:pPr>
              <w:jc w:val="center"/>
              <w:ind w:left="70"/>
              <w:spacing w:after="0"/>
              <w:rPr>
                <w:sz w:val="20"/>
                <w:szCs w:val="20"/>
                <w:color w:val="auto"/>
              </w:rPr>
            </w:pPr>
            <w:r>
              <w:rPr>
                <w:rFonts w:ascii="Arial" w:cs="Arial" w:eastAsia="Arial" w:hAnsi="Arial"/>
                <w:sz w:val="14"/>
                <w:szCs w:val="14"/>
                <w:color w:val="auto"/>
                <w:w w:val="92"/>
              </w:rPr>
              <w:t>7.000%</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October 15, 2022</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8"/>
              </w:rPr>
              <w:t>October 15, 2022</w:t>
            </w:r>
          </w:p>
        </w:tc>
        <w:tc>
          <w:tcPr>
            <w:tcW w:w="122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5.111%</w:t>
            </w:r>
          </w:p>
        </w:tc>
        <w:tc>
          <w:tcPr>
            <w:tcW w:w="0" w:type="dxa"/>
            <w:vAlign w:val="bottom"/>
          </w:tcPr>
          <w:p>
            <w:pPr>
              <w:spacing w:after="0"/>
              <w:rPr>
                <w:sz w:val="1"/>
                <w:szCs w:val="1"/>
                <w:color w:val="auto"/>
              </w:rPr>
            </w:pPr>
          </w:p>
        </w:tc>
      </w:tr>
      <w:tr>
        <w:trPr>
          <w:trHeight w:val="80"/>
        </w:trPr>
        <w:tc>
          <w:tcPr>
            <w:tcW w:w="1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140"/>
              <w:spacing w:after="0"/>
              <w:rPr>
                <w:sz w:val="20"/>
                <w:szCs w:val="20"/>
                <w:color w:val="auto"/>
              </w:rPr>
            </w:pPr>
            <w:r>
              <w:rPr>
                <w:rFonts w:ascii="Arial" w:cs="Arial" w:eastAsia="Arial" w:hAnsi="Arial"/>
                <w:sz w:val="14"/>
                <w:szCs w:val="14"/>
                <w:color w:val="auto"/>
              </w:rPr>
              <w:t>Series D</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March 6, 2019</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235</w:t>
            </w:r>
          </w:p>
        </w:tc>
        <w:tc>
          <w:tcPr>
            <w:tcW w:w="1020" w:type="dxa"/>
            <w:vAlign w:val="bottom"/>
            <w:vMerge w:val="restart"/>
          </w:tcPr>
          <w:p>
            <w:pPr>
              <w:jc w:val="center"/>
              <w:ind w:left="70"/>
              <w:spacing w:after="0"/>
              <w:rPr>
                <w:sz w:val="20"/>
                <w:szCs w:val="20"/>
                <w:color w:val="auto"/>
              </w:rPr>
            </w:pPr>
            <w:r>
              <w:rPr>
                <w:rFonts w:ascii="Arial" w:cs="Arial" w:eastAsia="Arial" w:hAnsi="Arial"/>
                <w:sz w:val="14"/>
                <w:szCs w:val="14"/>
                <w:color w:val="auto"/>
                <w:w w:val="92"/>
              </w:rPr>
              <w:t>6.875%</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April 15, 2024</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4"/>
              </w:rPr>
              <w:t>April 15, 2024</w:t>
            </w:r>
          </w:p>
        </w:tc>
        <w:tc>
          <w:tcPr>
            <w:tcW w:w="1220" w:type="dxa"/>
            <w:vAlign w:val="bottom"/>
          </w:tcPr>
          <w:p>
            <w:pPr>
              <w:jc w:val="center"/>
              <w:spacing w:after="0" w:line="135"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8"/>
              </w:rPr>
              <w:t>4.332%</w:t>
            </w:r>
          </w:p>
        </w:tc>
        <w:tc>
          <w:tcPr>
            <w:tcW w:w="0" w:type="dxa"/>
            <w:vAlign w:val="bottom"/>
          </w:tcPr>
          <w:p>
            <w:pPr>
              <w:spacing w:after="0"/>
              <w:rPr>
                <w:sz w:val="1"/>
                <w:szCs w:val="1"/>
                <w:color w:val="auto"/>
              </w:rPr>
            </w:pPr>
          </w:p>
        </w:tc>
      </w:tr>
      <w:tr>
        <w:trPr>
          <w:trHeight w:val="74"/>
        </w:trPr>
        <w:tc>
          <w:tcPr>
            <w:tcW w:w="1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Series E</w:t>
            </w:r>
          </w:p>
        </w:tc>
        <w:tc>
          <w:tcPr>
            <w:tcW w:w="11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9"/>
              </w:rPr>
              <w:t>October 3, 2019</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20" w:type="dxa"/>
            <w:vAlign w:val="bottom"/>
            <w:vMerge w:val="restart"/>
            <w:shd w:val="clear" w:color="auto" w:fill="CCEEFF"/>
          </w:tcPr>
          <w:p>
            <w:pPr>
              <w:jc w:val="center"/>
              <w:ind w:left="70"/>
              <w:spacing w:after="0"/>
              <w:rPr>
                <w:sz w:val="20"/>
                <w:szCs w:val="20"/>
                <w:color w:val="auto"/>
              </w:rPr>
            </w:pPr>
            <w:r>
              <w:rPr>
                <w:rFonts w:ascii="Arial" w:cs="Arial" w:eastAsia="Arial" w:hAnsi="Arial"/>
                <w:sz w:val="14"/>
                <w:szCs w:val="14"/>
                <w:color w:val="auto"/>
                <w:w w:val="92"/>
              </w:rPr>
              <w:t>6.500%</w:t>
            </w: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October 15, 2024</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8"/>
              </w:rPr>
              <w:t>October 15, 2024</w:t>
            </w:r>
          </w:p>
        </w:tc>
        <w:tc>
          <w:tcPr>
            <w:tcW w:w="122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4.993%</w:t>
            </w:r>
          </w:p>
        </w:tc>
        <w:tc>
          <w:tcPr>
            <w:tcW w:w="0" w:type="dxa"/>
            <w:vAlign w:val="bottom"/>
          </w:tcPr>
          <w:p>
            <w:pPr>
              <w:spacing w:after="0"/>
              <w:rPr>
                <w:sz w:val="1"/>
                <w:szCs w:val="1"/>
                <w:color w:val="auto"/>
              </w:rPr>
            </w:pPr>
          </w:p>
        </w:tc>
      </w:tr>
      <w:tr>
        <w:trPr>
          <w:trHeight w:val="80"/>
        </w:trPr>
        <w:tc>
          <w:tcPr>
            <w:tcW w:w="1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140"/>
              <w:spacing w:after="0"/>
              <w:rPr>
                <w:sz w:val="20"/>
                <w:szCs w:val="20"/>
                <w:color w:val="auto"/>
              </w:rPr>
            </w:pPr>
            <w:r>
              <w:rPr>
                <w:rFonts w:ascii="Arial" w:cs="Arial" w:eastAsia="Arial" w:hAnsi="Arial"/>
                <w:sz w:val="14"/>
                <w:szCs w:val="14"/>
                <w:color w:val="auto"/>
              </w:rPr>
              <w:t>Series F</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9"/>
              </w:rPr>
              <w:t>February 11, 2020</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575</w:t>
            </w:r>
          </w:p>
        </w:tc>
        <w:tc>
          <w:tcPr>
            <w:tcW w:w="1020" w:type="dxa"/>
            <w:vAlign w:val="bottom"/>
            <w:vMerge w:val="restart"/>
          </w:tcPr>
          <w:p>
            <w:pPr>
              <w:jc w:val="center"/>
              <w:ind w:left="70"/>
              <w:spacing w:after="0"/>
              <w:rPr>
                <w:sz w:val="20"/>
                <w:szCs w:val="20"/>
                <w:color w:val="auto"/>
              </w:rPr>
            </w:pPr>
            <w:r>
              <w:rPr>
                <w:rFonts w:ascii="Arial" w:cs="Arial" w:eastAsia="Arial" w:hAnsi="Arial"/>
                <w:sz w:val="14"/>
                <w:szCs w:val="14"/>
                <w:color w:val="auto"/>
                <w:w w:val="92"/>
              </w:rPr>
              <w:t>6.125%</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April 15, 2025</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4"/>
              </w:rPr>
              <w:t>April 15, 2025</w:t>
            </w:r>
          </w:p>
        </w:tc>
        <w:tc>
          <w:tcPr>
            <w:tcW w:w="1220" w:type="dxa"/>
            <w:vAlign w:val="bottom"/>
          </w:tcPr>
          <w:p>
            <w:pPr>
              <w:jc w:val="center"/>
              <w:spacing w:after="0" w:line="135"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8"/>
              </w:rPr>
              <w:t>4.697%</w:t>
            </w:r>
          </w:p>
        </w:tc>
        <w:tc>
          <w:tcPr>
            <w:tcW w:w="0" w:type="dxa"/>
            <w:vAlign w:val="bottom"/>
          </w:tcPr>
          <w:p>
            <w:pPr>
              <w:spacing w:after="0"/>
              <w:rPr>
                <w:sz w:val="1"/>
                <w:szCs w:val="1"/>
                <w:color w:val="auto"/>
              </w:rPr>
            </w:pPr>
          </w:p>
        </w:tc>
      </w:tr>
      <w:tr>
        <w:trPr>
          <w:trHeight w:val="74"/>
        </w:trPr>
        <w:tc>
          <w:tcPr>
            <w:tcW w:w="19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Fixed-to-floating rate redeemable preferred stock accrue dividends at an annual fixed rate of the $25.00 liquidation preference per depositary share from the issuance date up to, but not including, the fixed-to-floating rate conversion date; thereafter, dividends will accrue on a floating rate basis equal to 3-month LIBOR plus a fixed spread.</w:t>
      </w:r>
    </w:p>
    <w:p>
      <w:pPr>
        <w:ind w:left="660" w:hanging="328"/>
        <w:spacing w:after="0"/>
        <w:tabs>
          <w:tab w:leader="none" w:pos="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Shares may be redeemed prior to our optional redemption date under certain circumstances intended to preserve our qualification as a REIT for U.S federal income tax purposes.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During the three and six months ended June 30, 2022, we sold 4.1 million shares of our common stock under the sales agreements for proceeds of $50 million, or $12.19 per common share, net of offering costs. As of June 30, 2022, shares of our common stock with an aggregate offering price of $1.20 billion remained authorized for issuance under this program through June 11, 2024.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authorized by our Board of Directors to repurchase shares of our common stock in open market or through privately negotiated transactions or pursuant to a trading plan that may be adopted in accordance with Rule 10b5-1 of the Securities Exchange Act of 1934, as amended (the "Exchange Act"). During the three and six months ended June 30, 2022, we repurchased 4.7 million shares, or $51 million, of our common stock for an average repurchase price of $10.78 per common share, inclusive of transaction costs. As of June 30, 2022, shares of our common stock with an aggregate repurchase price of $907 million remained authorized for repurchase through December 31,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changes to accumulated OCI for the three and six months ended June 30, 2022 and 2021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6"/>
                <w:szCs w:val="16"/>
                <w:color w:val="auto"/>
              </w:rPr>
            </w:pPr>
          </w:p>
        </w:tc>
        <w:tc>
          <w:tcPr>
            <w:tcW w:w="18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88"/>
        </w:trPr>
        <w:tc>
          <w:tcPr>
            <w:tcW w:w="73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Beginning Balance</w:t>
            </w:r>
          </w:p>
        </w:tc>
        <w:tc>
          <w:tcPr>
            <w:tcW w:w="100" w:type="dxa"/>
            <w:vAlign w:val="bottom"/>
          </w:tcPr>
          <w:p>
            <w:pPr>
              <w:spacing w:after="0"/>
              <w:rPr>
                <w:sz w:val="15"/>
                <w:szCs w:val="15"/>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90"/>
        </w:trPr>
        <w:tc>
          <w:tcPr>
            <w:tcW w:w="7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OCI before reclassifications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4"/>
                <w:szCs w:val="14"/>
                <w:color w:val="auto"/>
                <w:w w:val="96"/>
              </w:rPr>
              <w:t>(63)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35"/>
        </w:trPr>
        <w:tc>
          <w:tcPr>
            <w:tcW w:w="7340" w:type="dxa"/>
            <w:vAlign w:val="bottom"/>
            <w:gridSpan w:val="2"/>
          </w:tcPr>
          <w:p>
            <w:pPr>
              <w:ind w:left="180"/>
              <w:spacing w:after="0" w:line="135" w:lineRule="exact"/>
              <w:rPr>
                <w:sz w:val="20"/>
                <w:szCs w:val="20"/>
                <w:color w:val="auto"/>
              </w:rPr>
            </w:pPr>
            <w:r>
              <w:rPr>
                <w:rFonts w:ascii="Arial" w:cs="Arial" w:eastAsia="Arial" w:hAnsi="Arial"/>
                <w:sz w:val="14"/>
                <w:szCs w:val="14"/>
                <w:color w:val="auto"/>
                <w:w w:val="98"/>
              </w:rPr>
              <w:t>Net loss amounts for available-for-sale securities reclassified from accumulated OCI to realized gain (loss) on sale of</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ind w:left="440"/>
              <w:spacing w:after="0"/>
              <w:rPr>
                <w:sz w:val="20"/>
                <w:szCs w:val="20"/>
                <w:color w:val="auto"/>
              </w:rPr>
            </w:pPr>
            <w:r>
              <w:rPr>
                <w:rFonts w:ascii="Arial" w:cs="Arial" w:eastAsia="Arial" w:hAnsi="Arial"/>
                <w:sz w:val="14"/>
                <w:szCs w:val="14"/>
                <w:color w:val="auto"/>
                <w:w w:val="96"/>
              </w:rPr>
              <w:t>(14)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6"/>
        </w:trPr>
        <w:tc>
          <w:tcPr>
            <w:tcW w:w="7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investment securities, net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405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June 30, 2022. Our MD&amp;A is presented in the following sections:</w:t>
      </w:r>
    </w:p>
    <w:p>
      <w:pPr>
        <w:spacing w:after="0" w:line="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other assets related to the housing, mortgage or real estate markets that are not guaranteed by a GSE or U.S. Government agency.</w:t>
      </w:r>
    </w:p>
    <w:p>
      <w:pPr>
        <w:spacing w:after="0" w:line="1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internally managed with the principal objective of providing our stockholders with favorable long-term returns on a risk-adjusted basis through attractive monthly dividends. We generate income from the interest earned on our investments, net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8"/>
          <w:szCs w:val="18"/>
          <w:color w:val="auto"/>
        </w:rPr>
        <w:t>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Financial markets have been under significant pressure since the start of the year as a result of the Federal Reserve’s intent to pursue a more aggressive path of monetary policy tightening. Elevated inflation and the expectation of materially higher short-term rates increased the probability of a recession and drove significant interest rate volatility. This challenging monetary policy and macro-economic environment led to broad-based financial market weakness. As a result, the S&amp;P 500 Index posted its worst first-half year performance in over 50 years, while the Bloomberg Aggregate Bond Index, representing more than $25 trillion in bonds, also experienced its deepest decline on record.</w:t>
      </w:r>
    </w:p>
    <w:p>
      <w:pPr>
        <w:spacing w:after="0" w:line="13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Agency RMBS performed largely in line with the broader fixed income market. Concerns associated with the Federal Reserve’s balance sheet normalization drove Agency RMBS spreads significantly wider relative to interest rate swap and U.S. Treasury hedges. This mortgage spread widening was the primary driver of AGNC’s economic loss on tangible net book value per common share of -10.1% for the second quarter and -22.9% for the first half of the year, which consists of dividends declared per common share and the decline in our tangible net book value.</w:t>
      </w:r>
    </w:p>
    <w:p>
      <w:pPr>
        <w:spacing w:after="0" w:line="11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As a result of these challenging market conditions, we maintained a defensive position during the first half of the year. AGNC’s at-risk leverage has remained below our historical operating levels, ending the second quarter at 7.4x tangible stockholders’ equity, down from 7.7x as of December 31, 2021. We also operated with very low interest rate exposure, as evidenced by our significant hedge ratio, which totaled 126% of the outstanding balance of our Agency repurchase agreements, net TBA position and other debt as of June 30, 2022, an increase from 101% as of December 31, 2021. Thus, as of June 30, 2022, our duration gap, which is a measure of the difference between the interest rate sensitivity of our assets and liabilities, inclusive of our interest rate hedges, was 0.4 years, compared to 0.1 years as of December 31, 2021, despite materially higher benchmark interest rates.</w:t>
      </w:r>
    </w:p>
    <w:p>
      <w:pPr>
        <w:spacing w:after="0" w:line="11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As of June 30, 2022, our unencumbered assets totaled $4.4 billion, or 58% of tangible equity, consisting of $3.9 billion of unencumbered cash and Agency RMBS and $0.5 billion of unencumbered credit assets. This compares to unencumbered assets of $6.5 billion, or 67% of tangible equity, as of December 31, 2021, consisting of $5.8 billion of unencumbered cash and Agency RMBS and $0.7 billion of unencumbered credit assets. The decline in our unencumbered assets both on an absolute basis and as a percentage of our tangible equity reflects the additional initial margin cost of maintaining our elevated interest rate hedge position and the material repricing of Agency RMBS assets.</w:t>
      </w:r>
    </w:p>
    <w:p>
      <w:pPr>
        <w:spacing w:after="0" w:line="12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Despite our defensive positioning, our annualized net interest spread and TBA dollar roll income, excluding "catch-up" premium amortization, increased to 2.70% for the second quarter, from 2.19% for the first quarter, averaging 2.43% for the first half of the year. Thus, although we operated with a smaller asset base, net spread and dollar roll income per diluted common share, excluding "catch-up" premium amortization, increased to $0.83 for the second quarter, from $0.72 for the first quarter. This improvement was largely due to exceptionally strong TBA dollar roll performance, higher asset yields as we shifted the portfolio up in coupon and stable funding costs, net of our interest rate hedges. Although dollar roll performance has moderated following the end of the second quarter, our net spread and dollar roll income should continue to be well protected against the effects of higher short-term interest rates as a result of our significant hedge portfolio.</w:t>
      </w:r>
    </w:p>
    <w:p>
      <w:pPr>
        <w:spacing w:after="0" w:line="14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Looking ahead, the longer-term outlook for Agency RMBS has improved substantially. Although spreads could widen further and volatility may persist over the near-term, positive developments in the supply and demand outlook for Agency RMBS suggest that this period of weakness in the Agency RMBS market may be nearing its end. Although the Federal Reserve has begun to reduce its portfolio organically, this runoff is expected to occur at a slower pace than previously anticipated as a result of higher mortgage rates and reduced prepayments. Lower net supply expectations combined with the stock effect of the Federal Reserve holding a significant portion of the outstanding Agency RMBS market should provide a supportive backdrop for Agency RMBS. At current valuation levels, Agency RMBS appear extremely attractive on an absolute and relative basis. As volatility stabilizes, we believe AGNC is well-positioned to increase leverage to take advantage of this stronger risk-adjusted return environment.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jc w:val="both"/>
        <w:ind w:firstLine="405"/>
        <w:spacing w:after="0" w:line="286" w:lineRule="auto"/>
        <w:rPr>
          <w:sz w:val="20"/>
          <w:szCs w:val="20"/>
          <w:color w:val="auto"/>
        </w:rPr>
      </w:pPr>
      <w:r>
        <w:rPr>
          <w:rFonts w:ascii="Arial" w:cs="Arial" w:eastAsia="Arial" w:hAnsi="Arial"/>
          <w:sz w:val="17"/>
          <w:szCs w:val="17"/>
          <w:color w:val="auto"/>
        </w:rPr>
        <w:t xml:space="preserve">For information regarding non-GAAP financial measures, including reconciliations to the most comparable GAAP measure please refer to Results of Operations included in this MD&amp;A below. For further discussion regarding the sensitivity of our tangible net book value to changes in interest rates and mortgage spreads, please refer to Item 3.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xml:space="preserve"> in this form 10-Q.</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benchmark interest rates and prices of generic fixed rate Agency RMBS as of each date presented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Sept. 30,</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Dec. 31,</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 31,</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w:t>
            </w: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June 30, 2022</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 2022</w:t>
            </w:r>
          </w:p>
        </w:tc>
        <w:tc>
          <w:tcPr>
            <w:tcW w:w="0" w:type="dxa"/>
            <w:vAlign w:val="bottom"/>
          </w:tcPr>
          <w:p>
            <w:pPr>
              <w:spacing w:after="0"/>
              <w:rPr>
                <w:sz w:val="1"/>
                <w:szCs w:val="1"/>
                <w:color w:val="auto"/>
              </w:rPr>
            </w:pPr>
          </w:p>
        </w:tc>
      </w:tr>
      <w:tr>
        <w:trPr>
          <w:trHeight w:val="135"/>
        </w:trPr>
        <w:tc>
          <w:tcPr>
            <w:tcW w:w="41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18"/>
                <w:szCs w:val="18"/>
                <w:b w:val="1"/>
                <w:bCs w:val="1"/>
                <w:color w:val="auto"/>
                <w:vertAlign w:val="superscript"/>
              </w:rPr>
              <w:t>1</w:t>
            </w:r>
          </w:p>
        </w:tc>
        <w:tc>
          <w:tcPr>
            <w:tcW w:w="92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32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76"/>
              </w:rPr>
              <w:t>vs</w:t>
            </w:r>
          </w:p>
        </w:tc>
        <w:tc>
          <w:tcPr>
            <w:tcW w:w="520" w:type="dxa"/>
            <w:vAlign w:val="bottom"/>
          </w:tcPr>
          <w:p>
            <w:pPr>
              <w:spacing w:after="0"/>
              <w:rPr>
                <w:sz w:val="11"/>
                <w:szCs w:val="11"/>
                <w:color w:val="auto"/>
              </w:rPr>
            </w:pPr>
          </w:p>
        </w:tc>
        <w:tc>
          <w:tcPr>
            <w:tcW w:w="640" w:type="dxa"/>
            <w:vAlign w:val="bottom"/>
          </w:tcPr>
          <w:p>
            <w:pPr>
              <w:jc w:val="center"/>
              <w:ind w:right="448"/>
              <w:spacing w:after="0" w:line="135"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89"/>
        </w:trPr>
        <w:tc>
          <w:tcPr>
            <w:tcW w:w="4100" w:type="dxa"/>
            <w:vAlign w:val="bottom"/>
            <w:gridSpan w:val="2"/>
            <w:vMerge w:val="continue"/>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6"/>
                <w:szCs w:val="16"/>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Mar. 31, 2022</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 31, 2021</w:t>
            </w:r>
          </w:p>
        </w:tc>
        <w:tc>
          <w:tcPr>
            <w:tcW w:w="0" w:type="dxa"/>
            <w:vAlign w:val="bottom"/>
          </w:tcPr>
          <w:p>
            <w:pPr>
              <w:spacing w:after="0"/>
              <w:rPr>
                <w:sz w:val="1"/>
                <w:szCs w:val="1"/>
                <w:color w:val="auto"/>
              </w:rPr>
            </w:pPr>
          </w:p>
        </w:tc>
      </w:tr>
      <w:tr>
        <w:trPr>
          <w:trHeight w:val="183"/>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Target Federal Funds Rate:</w:t>
            </w: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Target Federal Funds Rate - Upper Band</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0.50%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1.75%</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+125</w:t>
            </w: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+150</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SOFR:</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SOFR Rate</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0.05%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0.05%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0.05%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1.50%</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+121</w:t>
            </w: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+145</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SOFR Interest Rate Swap Rate:</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2-Year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0.19%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0.74%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2.28%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2.99%</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w:t>
            </w: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+225</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5-Year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0.75%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1.12%</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2.79%</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10-Year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1.19%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1.26%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1.32%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2.13%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2.81%</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+68</w:t>
            </w: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+149</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30-Year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1.52%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1.46%</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1.97%</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2.66%</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8"/>
        </w:trPr>
        <w:tc>
          <w:tcPr>
            <w:tcW w:w="4100" w:type="dxa"/>
            <w:vAlign w:val="bottom"/>
            <w:gridSpan w:val="2"/>
          </w:tcPr>
          <w:p>
            <w:pPr>
              <w:ind w:left="20"/>
              <w:spacing w:after="0"/>
              <w:rPr>
                <w:sz w:val="20"/>
                <w:szCs w:val="20"/>
                <w:color w:val="auto"/>
              </w:rPr>
            </w:pPr>
            <w:r>
              <w:rPr>
                <w:rFonts w:ascii="Arial" w:cs="Arial" w:eastAsia="Arial" w:hAnsi="Arial"/>
                <w:sz w:val="14"/>
                <w:szCs w:val="14"/>
                <w:b w:val="1"/>
                <w:bCs w:val="1"/>
                <w:color w:val="auto"/>
              </w:rPr>
              <w:t>U.S. Treasury Security Rate: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0.25%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0.73%</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2.34%</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2.96%</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5-Year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0.89%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0.97%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1.26%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2.46%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3.04%</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w:t>
            </w: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+178</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10-Year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1.47%</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1.51%</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2.34%</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3.02%</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30-Year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2.09%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2.05%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1.90%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2.45%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3.19%</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w:t>
            </w: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+129</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30-Year Fixed Rate Agency Price:</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40" w:type="dxa"/>
            <w:vAlign w:val="bottom"/>
          </w:tcPr>
          <w:p>
            <w:pPr>
              <w:ind w:left="180"/>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$101.09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$100.21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$99.79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$92.84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$86.96</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-$5.88</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-$12.83</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$103.48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$103.04</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$102.12</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$95.45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$90.09</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-$5.36</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-$12.03</w:t>
            </w:r>
          </w:p>
        </w:tc>
        <w:tc>
          <w:tcPr>
            <w:tcW w:w="0" w:type="dxa"/>
            <w:vAlign w:val="bottom"/>
          </w:tcPr>
          <w:p>
            <w:pPr>
              <w:spacing w:after="0"/>
              <w:rPr>
                <w:sz w:val="1"/>
                <w:szCs w:val="1"/>
                <w:color w:val="auto"/>
              </w:rPr>
            </w:pPr>
          </w:p>
        </w:tc>
      </w:tr>
      <w:tr>
        <w:trPr>
          <w:trHeight w:val="186"/>
        </w:trPr>
        <w:tc>
          <w:tcPr>
            <w:tcW w:w="3940" w:type="dxa"/>
            <w:vAlign w:val="bottom"/>
          </w:tcPr>
          <w:p>
            <w:pPr>
              <w:ind w:left="180"/>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$104.27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$104.61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$103.68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$97.86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$93.27</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-$4.59</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-$10.41</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$105.28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$105.80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$105.32</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$100.21</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$96.29</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-$3.92</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-$9.03</w:t>
            </w:r>
          </w:p>
        </w:tc>
        <w:tc>
          <w:tcPr>
            <w:tcW w:w="0" w:type="dxa"/>
            <w:vAlign w:val="bottom"/>
          </w:tcPr>
          <w:p>
            <w:pPr>
              <w:spacing w:after="0"/>
              <w:rPr>
                <w:sz w:val="1"/>
                <w:szCs w:val="1"/>
                <w:color w:val="auto"/>
              </w:rPr>
            </w:pPr>
          </w:p>
        </w:tc>
      </w:tr>
      <w:tr>
        <w:trPr>
          <w:trHeight w:val="186"/>
        </w:trPr>
        <w:tc>
          <w:tcPr>
            <w:tcW w:w="3940" w:type="dxa"/>
            <w:vAlign w:val="bottom"/>
          </w:tcPr>
          <w:p>
            <w:pPr>
              <w:ind w:left="180"/>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$106.53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$107.13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$106.44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$102.10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$98.74</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-$3.36</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-$7.70</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$107.66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$108.13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$107.19</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$103.73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$100.51</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-$3.22</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-$6.68</w:t>
            </w:r>
          </w:p>
        </w:tc>
        <w:tc>
          <w:tcPr>
            <w:tcW w:w="0" w:type="dxa"/>
            <w:vAlign w:val="bottom"/>
          </w:tcPr>
          <w:p>
            <w:pPr>
              <w:spacing w:after="0"/>
              <w:rPr>
                <w:sz w:val="1"/>
                <w:szCs w:val="1"/>
                <w:color w:val="auto"/>
              </w:rPr>
            </w:pPr>
          </w:p>
        </w:tc>
      </w:tr>
      <w:tr>
        <w:trPr>
          <w:trHeight w:val="188"/>
        </w:trPr>
        <w:tc>
          <w:tcPr>
            <w:tcW w:w="4100" w:type="dxa"/>
            <w:vAlign w:val="bottom"/>
            <w:gridSpan w:val="2"/>
          </w:tcPr>
          <w:p>
            <w:pPr>
              <w:ind w:left="20"/>
              <w:spacing w:after="0"/>
              <w:rPr>
                <w:sz w:val="20"/>
                <w:szCs w:val="20"/>
                <w:color w:val="auto"/>
              </w:rPr>
            </w:pPr>
            <w:r>
              <w:rPr>
                <w:rFonts w:ascii="Arial" w:cs="Arial" w:eastAsia="Arial" w:hAnsi="Arial"/>
                <w:sz w:val="14"/>
                <w:szCs w:val="14"/>
                <w:b w:val="1"/>
                <w:bCs w:val="1"/>
                <w:color w:val="auto"/>
              </w:rPr>
              <w:t>15-Year Fixed Rate Agency Price: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$101.23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$100.95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$100.33</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$94.81</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$91.16</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-$3.65</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-$9.17</w:t>
            </w:r>
          </w:p>
        </w:tc>
        <w:tc>
          <w:tcPr>
            <w:tcW w:w="0" w:type="dxa"/>
            <w:vAlign w:val="bottom"/>
          </w:tcPr>
          <w:p>
            <w:pPr>
              <w:spacing w:after="0"/>
              <w:rPr>
                <w:sz w:val="1"/>
                <w:szCs w:val="1"/>
                <w:color w:val="auto"/>
              </w:rPr>
            </w:pPr>
          </w:p>
        </w:tc>
      </w:tr>
      <w:tr>
        <w:trPr>
          <w:trHeight w:val="186"/>
        </w:trPr>
        <w:tc>
          <w:tcPr>
            <w:tcW w:w="3940" w:type="dxa"/>
            <w:vAlign w:val="bottom"/>
          </w:tcPr>
          <w:p>
            <w:pPr>
              <w:ind w:left="180"/>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$103.19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$102.96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$102.45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$97.11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$93.52</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-$3.59</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-$8.93</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$104.29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$104.16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$103.45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$98.83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$95.70</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-$3.13</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-$7.75</w:t>
            </w:r>
          </w:p>
        </w:tc>
        <w:tc>
          <w:tcPr>
            <w:tcW w:w="0" w:type="dxa"/>
            <w:vAlign w:val="bottom"/>
          </w:tcPr>
          <w:p>
            <w:pPr>
              <w:spacing w:after="0"/>
              <w:rPr>
                <w:sz w:val="1"/>
                <w:szCs w:val="1"/>
                <w:color w:val="auto"/>
              </w:rPr>
            </w:pPr>
          </w:p>
        </w:tc>
      </w:tr>
      <w:tr>
        <w:trPr>
          <w:trHeight w:val="186"/>
        </w:trPr>
        <w:tc>
          <w:tcPr>
            <w:tcW w:w="3940" w:type="dxa"/>
            <w:vAlign w:val="bottom"/>
          </w:tcPr>
          <w:p>
            <w:pPr>
              <w:ind w:left="180"/>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$105.05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$105.14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$104.59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$100.70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$97.82</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-$2.88</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-$6.77</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$106.83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$106.56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$105.52</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$101.97</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$99.52</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-$2.45</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-$6.00</w:t>
            </w:r>
          </w:p>
        </w:tc>
        <w:tc>
          <w:tcPr>
            <w:tcW w:w="0" w:type="dxa"/>
            <w:vAlign w:val="bottom"/>
          </w:tcPr>
          <w:p>
            <w:pPr>
              <w:spacing w:after="0"/>
              <w:rPr>
                <w:sz w:val="1"/>
                <w:szCs w:val="1"/>
                <w:color w:val="auto"/>
              </w:rPr>
            </w:pPr>
          </w:p>
        </w:tc>
      </w:tr>
      <w:tr>
        <w:trPr>
          <w:trHeight w:val="182"/>
        </w:trPr>
        <w:tc>
          <w:tcPr>
            <w:tcW w:w="3940" w:type="dxa"/>
            <w:vAlign w:val="bottom"/>
          </w:tcPr>
          <w:p>
            <w:pPr>
              <w:ind w:left="180"/>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$106.19</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$106.06</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$105.47</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$102.50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$100.95</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-$1.55</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-$4.52</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 w:lineRule="exact"/>
        <w:rPr>
          <w:sz w:val="20"/>
          <w:szCs w:val="20"/>
          <w:color w:val="auto"/>
        </w:rPr>
      </w:pPr>
    </w:p>
    <w:p>
      <w:pPr>
        <w:ind w:left="660" w:hanging="328"/>
        <w:spacing w:after="0" w:line="257"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in the table above were obtained from Barclays. Interest rates were obtained from Bloomberg.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color w:val="auto"/>
        </w:rPr>
        <w:t>The following table summarizes mortgage and credit spreads as of each date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Sept. 30,</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Dec. 31,</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 31,</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w:t>
            </w: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June 30, 2022</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 2022</w:t>
            </w:r>
          </w:p>
        </w:tc>
        <w:tc>
          <w:tcPr>
            <w:tcW w:w="0" w:type="dxa"/>
            <w:vAlign w:val="bottom"/>
          </w:tcPr>
          <w:p>
            <w:pPr>
              <w:spacing w:after="0"/>
              <w:rPr>
                <w:sz w:val="1"/>
                <w:szCs w:val="1"/>
                <w:color w:val="auto"/>
              </w:rPr>
            </w:pPr>
          </w:p>
        </w:tc>
      </w:tr>
      <w:tr>
        <w:trPr>
          <w:trHeight w:val="135"/>
        </w:trPr>
        <w:tc>
          <w:tcPr>
            <w:tcW w:w="410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Mortgage Rate/Credit Spread</w:t>
            </w:r>
          </w:p>
        </w:tc>
        <w:tc>
          <w:tcPr>
            <w:tcW w:w="92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76"/>
              </w:rPr>
              <w:t>vs</w:t>
            </w:r>
          </w:p>
        </w:tc>
        <w:tc>
          <w:tcPr>
            <w:tcW w:w="520" w:type="dxa"/>
            <w:vAlign w:val="bottom"/>
          </w:tcPr>
          <w:p>
            <w:pPr>
              <w:spacing w:after="0"/>
              <w:rPr>
                <w:sz w:val="11"/>
                <w:szCs w:val="11"/>
                <w:color w:val="auto"/>
              </w:rPr>
            </w:pPr>
          </w:p>
        </w:tc>
        <w:tc>
          <w:tcPr>
            <w:tcW w:w="640" w:type="dxa"/>
            <w:vAlign w:val="bottom"/>
          </w:tcPr>
          <w:p>
            <w:pPr>
              <w:jc w:val="center"/>
              <w:ind w:right="448"/>
              <w:spacing w:after="0" w:line="135"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88"/>
        </w:trPr>
        <w:tc>
          <w:tcPr>
            <w:tcW w:w="4100" w:type="dxa"/>
            <w:vAlign w:val="bottom"/>
            <w:gridSpan w:val="2"/>
            <w:vMerge w:val="continue"/>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6"/>
                <w:szCs w:val="16"/>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Mar. 31, 2022</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 31, 2021</w:t>
            </w:r>
          </w:p>
        </w:tc>
        <w:tc>
          <w:tcPr>
            <w:tcW w:w="0" w:type="dxa"/>
            <w:vAlign w:val="bottom"/>
          </w:tcPr>
          <w:p>
            <w:pPr>
              <w:spacing w:after="0"/>
              <w:rPr>
                <w:sz w:val="1"/>
                <w:szCs w:val="1"/>
                <w:color w:val="auto"/>
              </w:rPr>
            </w:pPr>
          </w:p>
        </w:tc>
      </w:tr>
      <w:tr>
        <w:trPr>
          <w:trHeight w:val="184"/>
        </w:trPr>
        <w:tc>
          <w:tcPr>
            <w:tcW w:w="3940" w:type="dxa"/>
            <w:vAlign w:val="bottom"/>
            <w:tcBorders>
              <w:top w:val="single" w:sz="8" w:color="auto"/>
            </w:tcBorders>
            <w:shd w:val="clear" w:color="auto" w:fill="CCEEFF"/>
          </w:tcPr>
          <w:p>
            <w:pPr>
              <w:ind w:left="20"/>
              <w:spacing w:after="0" w:line="184" w:lineRule="exact"/>
              <w:rPr>
                <w:sz w:val="20"/>
                <w:szCs w:val="20"/>
                <w:color w:val="auto"/>
              </w:rPr>
            </w:pPr>
            <w:r>
              <w:rPr>
                <w:rFonts w:ascii="Arial" w:cs="Arial" w:eastAsia="Arial" w:hAnsi="Arial"/>
                <w:sz w:val="14"/>
                <w:szCs w:val="14"/>
                <w:b w:val="1"/>
                <w:bCs w:val="1"/>
                <w:color w:val="auto"/>
              </w:rPr>
              <w:t xml:space="preserve">Mortgage Rate: </w:t>
            </w:r>
            <w:r>
              <w:rPr>
                <w:rFonts w:ascii="Arial" w:cs="Arial" w:eastAsia="Arial" w:hAnsi="Arial"/>
                <w:sz w:val="18"/>
                <w:szCs w:val="18"/>
                <w:b w:val="1"/>
                <w:bCs w:val="1"/>
                <w:color w:val="auto"/>
                <w:vertAlign w:val="superscript"/>
              </w:rPr>
              <w:t>1</w:t>
            </w: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ind w:left="180"/>
              <w:spacing w:after="0" w:line="135" w:lineRule="exact"/>
              <w:rPr>
                <w:sz w:val="20"/>
                <w:szCs w:val="20"/>
                <w:color w:val="auto"/>
              </w:rPr>
            </w:pPr>
            <w:r>
              <w:rPr>
                <w:rFonts w:ascii="Arial" w:cs="Arial" w:eastAsia="Arial" w:hAnsi="Arial"/>
                <w:sz w:val="14"/>
                <w:szCs w:val="14"/>
                <w:color w:val="auto"/>
                <w:w w:val="99"/>
              </w:rPr>
              <w:t>30-Year Agency Current Coupon Yield to 5-Year U.S. Treasury</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89"/>
              </w:rPr>
              <w:t>94</w:t>
            </w:r>
          </w:p>
        </w:tc>
        <w:tc>
          <w:tcPr>
            <w:tcW w:w="16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4"/>
              </w:rPr>
              <w:t>100</w:t>
            </w:r>
          </w:p>
        </w:tc>
        <w:tc>
          <w:tcPr>
            <w:tcW w:w="16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89"/>
              </w:rPr>
              <w:t>81</w:t>
            </w:r>
          </w:p>
        </w:tc>
        <w:tc>
          <w:tcPr>
            <w:tcW w:w="16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4"/>
              </w:rPr>
              <w:t>103</w:t>
            </w:r>
          </w:p>
        </w:tc>
        <w:tc>
          <w:tcPr>
            <w:tcW w:w="16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4"/>
              </w:rPr>
              <w:t>134</w:t>
            </w:r>
          </w:p>
        </w:tc>
        <w:tc>
          <w:tcPr>
            <w:tcW w:w="160" w:type="dxa"/>
            <w:vAlign w:val="bottom"/>
          </w:tcPr>
          <w:p>
            <w:pPr>
              <w:spacing w:after="0"/>
              <w:rPr>
                <w:sz w:val="11"/>
                <w:szCs w:val="1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2"/>
              </w:rPr>
              <w:t>+31</w:t>
            </w:r>
          </w:p>
        </w:tc>
        <w:tc>
          <w:tcPr>
            <w:tcW w:w="160" w:type="dxa"/>
            <w:vAlign w:val="bottom"/>
          </w:tcPr>
          <w:p>
            <w:pPr>
              <w:spacing w:after="0"/>
              <w:rPr>
                <w:sz w:val="11"/>
                <w:szCs w:val="1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Spread</w:t>
            </w: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30-Year Agency Current Coupon Yield</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1.83%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1.97%</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2.07%</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3.49%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4.38%</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30-Year Mortgage Rate</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3.13%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3.18%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3.27%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4.90%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5.83%</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+93</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+256</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b w:val="1"/>
                <w:bCs w:val="1"/>
                <w:color w:val="auto"/>
              </w:rPr>
              <w:t xml:space="preserve">Credit Spread (in bps): </w:t>
            </w:r>
            <w:r>
              <w:rPr>
                <w:rFonts w:ascii="Arial" w:cs="Arial" w:eastAsia="Arial" w:hAnsi="Arial"/>
                <w:sz w:val="18"/>
                <w:szCs w:val="18"/>
                <w:b w:val="1"/>
                <w:bCs w:val="1"/>
                <w:color w:val="auto"/>
                <w:vertAlign w:val="superscript"/>
              </w:rPr>
              <w:t>2</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CRT M2</w:t>
            </w: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165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166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175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385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540</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4"/>
              </w:rPr>
              <w:t>+155</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+365</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CMBS AAA</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68</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+26</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2"/>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CDX IG</w:t>
            </w:r>
          </w:p>
        </w:tc>
        <w:tc>
          <w:tcPr>
            <w:tcW w:w="760" w:type="dxa"/>
            <w:vAlign w:val="bottom"/>
          </w:tcPr>
          <w:p>
            <w:pPr>
              <w:jc w:val="center"/>
              <w:spacing w:after="0"/>
              <w:rPr>
                <w:sz w:val="20"/>
                <w:szCs w:val="20"/>
                <w:color w:val="auto"/>
              </w:rPr>
            </w:pPr>
            <w:r>
              <w:rPr>
                <w:rFonts w:ascii="Arial" w:cs="Arial" w:eastAsia="Arial" w:hAnsi="Arial"/>
                <w:sz w:val="14"/>
                <w:szCs w:val="14"/>
                <w:color w:val="auto"/>
                <w:w w:val="89"/>
              </w:rPr>
              <w:t>48</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53</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9"/>
              </w:rPr>
              <w:t>67</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101</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+34</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5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30-Year Current Coupon Yield represents yield on new production Agency RMBS. 30-Year Current Coupon Yield and 30-Year Mortgage Rate are sourced from Bloomberg.</w:t>
      </w:r>
    </w:p>
    <w:p>
      <w:pPr>
        <w:spacing w:after="0" w:line="24" w:lineRule="exact"/>
        <w:rPr>
          <w:rFonts w:ascii="Arial" w:cs="Arial" w:eastAsia="Arial" w:hAnsi="Arial"/>
          <w:sz w:val="13"/>
          <w:szCs w:val="13"/>
          <w:color w:val="auto"/>
        </w:rPr>
      </w:pPr>
    </w:p>
    <w:p>
      <w:pPr>
        <w:ind w:left="660" w:hanging="328"/>
        <w:spacing w:after="0" w:line="255"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CRT and CMBS spreads are averages of JP Morgan, Bank of America and Wells Fargo. CRT spreads are discount margins. CMBS spreads are spreads to the swap curve. CDX spreads are sourced from JP Morgan.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June 30, 2022 and December 31, 2021, our investment portfolio totaled $61.3 billion and $82.0 billion, respectively, consisting of: $45.4 billion and $54.4 billion investment securities, at fair value, respectively; $15.9 billion and $27.1 billion net TBA securities, at fair value, respectively; and, as of December 31, 2021, $0.4 billion forward settling non-Agency securities, at fair value. The following table is a summary of our investment portfolio as of June 30, 2022 and December 31, 2021 (dollars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June 30, 2022</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 2021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Portfolio (Includes TBAs)</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6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Coupon</w:t>
            </w: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Coupon</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Fixed rate Agency RMBS and TBA securities:</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20" w:type="dxa"/>
            <w:vAlign w:val="bottom"/>
            <w:gridSpan w:val="2"/>
          </w:tcPr>
          <w:p>
            <w:pPr>
              <w:ind w:left="140"/>
              <w:spacing w:after="0"/>
              <w:rPr>
                <w:sz w:val="20"/>
                <w:szCs w:val="20"/>
                <w:color w:val="auto"/>
              </w:rPr>
            </w:pPr>
            <w:r>
              <w:rPr>
                <w:rFonts w:ascii="Arial" w:cs="Arial" w:eastAsia="Arial" w:hAnsi="Arial"/>
                <w:sz w:val="14"/>
                <w:szCs w:val="14"/>
                <w:color w:val="auto"/>
              </w:rPr>
              <w:t>≤ 15-year:</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 15-year RMBS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9"/>
        </w:trPr>
        <w:tc>
          <w:tcPr>
            <w:tcW w:w="3520" w:type="dxa"/>
            <w:vAlign w:val="bottom"/>
            <w:gridSpan w:val="2"/>
          </w:tcPr>
          <w:p>
            <w:pPr>
              <w:ind w:left="260"/>
              <w:spacing w:after="0" w:line="189" w:lineRule="exact"/>
              <w:rPr>
                <w:sz w:val="20"/>
                <w:szCs w:val="20"/>
                <w:color w:val="auto"/>
              </w:rPr>
            </w:pPr>
            <w:r>
              <w:rPr>
                <w:rFonts w:ascii="Arial" w:cs="Arial" w:eastAsia="Arial" w:hAnsi="Arial"/>
                <w:sz w:val="14"/>
                <w:szCs w:val="14"/>
                <w:color w:val="auto"/>
              </w:rPr>
              <w:t xml:space="preserve">15-year TBA securities, net </w:t>
            </w:r>
            <w:r>
              <w:rPr>
                <w:rFonts w:ascii="Arial" w:cs="Arial" w:eastAsia="Arial" w:hAnsi="Arial"/>
                <w:sz w:val="18"/>
                <w:szCs w:val="18"/>
                <w:color w:val="auto"/>
                <w:vertAlign w:val="superscript"/>
              </w:rPr>
              <w:t>1</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3.50 %</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2,059</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1.71 %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3"/>
        </w:trPr>
        <w:tc>
          <w:tcPr>
            <w:tcW w:w="352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 15-year</w:t>
            </w: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1,947</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3.27 %</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4,626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4,711</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2.57 %</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6"/>
        </w:trPr>
        <w:tc>
          <w:tcPr>
            <w:tcW w:w="3520" w:type="dxa"/>
            <w:vAlign w:val="bottom"/>
            <w:gridSpan w:val="2"/>
          </w:tcPr>
          <w:p>
            <w:pPr>
              <w:ind w:left="100"/>
              <w:spacing w:after="0"/>
              <w:rPr>
                <w:sz w:val="20"/>
                <w:szCs w:val="20"/>
                <w:color w:val="auto"/>
              </w:rPr>
            </w:pPr>
            <w:r>
              <w:rPr>
                <w:rFonts w:ascii="Arial" w:cs="Arial" w:eastAsia="Arial" w:hAnsi="Arial"/>
                <w:sz w:val="14"/>
                <w:szCs w:val="14"/>
                <w:color w:val="auto"/>
              </w:rPr>
              <w:t>20-year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1,613</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2.50 %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1,942</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30-year:</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20" w:type="dxa"/>
            <w:vAlign w:val="bottom"/>
            <w:gridSpan w:val="2"/>
          </w:tcPr>
          <w:p>
            <w:pPr>
              <w:ind w:left="260"/>
              <w:spacing w:after="0"/>
              <w:rPr>
                <w:sz w:val="20"/>
                <w:szCs w:val="20"/>
                <w:color w:val="auto"/>
              </w:rPr>
            </w:pPr>
            <w:r>
              <w:rPr>
                <w:rFonts w:ascii="Arial" w:cs="Arial" w:eastAsia="Arial" w:hAnsi="Arial"/>
                <w:sz w:val="14"/>
                <w:szCs w:val="14"/>
                <w:color w:val="auto"/>
              </w:rPr>
              <w:t>30-year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43,031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39,926</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47,028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47,695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3.04 %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60"/>
              <w:spacing w:after="0" w:line="193" w:lineRule="exact"/>
              <w:rPr>
                <w:sz w:val="20"/>
                <w:szCs w:val="20"/>
                <w:color w:val="auto"/>
              </w:rPr>
            </w:pPr>
            <w:r>
              <w:rPr>
                <w:rFonts w:ascii="Arial" w:cs="Arial" w:eastAsia="Arial" w:hAnsi="Arial"/>
                <w:sz w:val="14"/>
                <w:szCs w:val="14"/>
                <w:color w:val="auto"/>
              </w:rPr>
              <w:t xml:space="preserve">30-year TBA securities, net </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15,897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15,789</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25,128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25,081</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179"/>
        </w:trPr>
        <w:tc>
          <w:tcPr>
            <w:tcW w:w="35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30-year</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58,928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55,715</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3.62 %</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91 %</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72,156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72,776</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2.87 %</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186"/>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fixed rate Agency RMBS and TBA securities</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62,738</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59,275</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78,730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79,429</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0" w:type="dxa"/>
            <w:vAlign w:val="bottom"/>
          </w:tcPr>
          <w:p>
            <w:pPr>
              <w:spacing w:after="0"/>
              <w:rPr>
                <w:sz w:val="1"/>
                <w:szCs w:val="1"/>
                <w:color w:val="auto"/>
              </w:rPr>
            </w:pPr>
          </w:p>
        </w:tc>
      </w:tr>
      <w:tr>
        <w:trPr>
          <w:trHeight w:val="179"/>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Adjustable rate Agency RMBS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2.12 %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2.23 %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CMO Agency RMBS: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20" w:type="dxa"/>
            <w:vAlign w:val="bottom"/>
            <w:gridSpan w:val="2"/>
          </w:tcPr>
          <w:p>
            <w:pPr>
              <w:ind w:left="260"/>
              <w:spacing w:after="0"/>
              <w:rPr>
                <w:sz w:val="20"/>
                <w:szCs w:val="20"/>
                <w:color w:val="auto"/>
              </w:rPr>
            </w:pPr>
            <w:r>
              <w:rPr>
                <w:rFonts w:ascii="Arial" w:cs="Arial" w:eastAsia="Arial" w:hAnsi="Arial"/>
                <w:sz w:val="14"/>
                <w:szCs w:val="14"/>
                <w:color w:val="auto"/>
              </w:rPr>
              <w:t>CMO</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3.13 %</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Interest-only strips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4.35 %</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3520" w:type="dxa"/>
            <w:vAlign w:val="bottom"/>
            <w:gridSpan w:val="2"/>
          </w:tcPr>
          <w:p>
            <w:pPr>
              <w:ind w:left="260"/>
              <w:spacing w:after="0"/>
              <w:rPr>
                <w:sz w:val="20"/>
                <w:szCs w:val="20"/>
                <w:color w:val="auto"/>
              </w:rPr>
            </w:pPr>
            <w:r>
              <w:rPr>
                <w:rFonts w:ascii="Arial" w:cs="Arial" w:eastAsia="Arial" w:hAnsi="Arial"/>
                <w:sz w:val="14"/>
                <w:szCs w:val="14"/>
                <w:color w:val="auto"/>
              </w:rPr>
              <w:t>Principal-only strips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CMO Agency RMBS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3.44 %</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4.08 %</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79"/>
        </w:trPr>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Agency RMBS and TBA securities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62,986</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59,519</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3.58 %</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97 %</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79,027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79,744</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2.85 %</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98 %</w:t>
            </w:r>
          </w:p>
        </w:tc>
        <w:tc>
          <w:tcPr>
            <w:tcW w:w="0" w:type="dxa"/>
            <w:vAlign w:val="bottom"/>
          </w:tcPr>
          <w:p>
            <w:pPr>
              <w:spacing w:after="0"/>
              <w:rPr>
                <w:sz w:val="1"/>
                <w:szCs w:val="1"/>
                <w:color w:val="auto"/>
              </w:rPr>
            </w:pPr>
          </w:p>
        </w:tc>
      </w:tr>
      <w:tr>
        <w:trPr>
          <w:trHeight w:val="186"/>
        </w:trPr>
        <w:tc>
          <w:tcPr>
            <w:tcW w:w="352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4"/>
                <w:szCs w:val="14"/>
                <w:color w:val="auto"/>
              </w:rPr>
              <w:t xml:space="preserve">Non-Agency RMBS </w:t>
            </w:r>
            <w:r>
              <w:rPr>
                <w:rFonts w:ascii="Arial" w:cs="Arial" w:eastAsia="Arial" w:hAnsi="Arial"/>
                <w:sz w:val="18"/>
                <w:szCs w:val="18"/>
                <w:color w:val="auto"/>
                <w:vertAlign w:val="superscript"/>
              </w:rPr>
              <w:t>2</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CMBS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3.60 %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9"/>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CRT</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Total investment portfolio</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64,863</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61,294</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3.60 %</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81,250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81,999</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2.85 %</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TBA securities are presented net of long and short positions. For further details of our TBA securities refer to Note 5 of our Consolidated Financial Statements in this Form 10-Q.</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$0.4 billion of forward settling non-Agency securities as of December 31, 2021.</w:t>
      </w:r>
    </w:p>
    <w:p>
      <w:pPr>
        <w:spacing w:after="0" w:line="15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and forward settling securities are recorded as derivative instruments in our accompanying consolidated financial statements, and our TBA dollar roll transactions represent a form of off-balance sheet financing. As of June 30, 2022 and December 31, 2021, our TBA position and forward settling securities had a net carrying value of $(108) million and $(44) million, respectively, reported in derivative assets/(liabilities) on our accompanying consolidated balance sheets. The net carrying value represents the difference between the fair value of the underlying security in the TBA contract or forward purchase agreement and the price to be paid or received for the underlying security.</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2022 and December 31, 2021, the weighted average yield on our investment securities (excluding TBA and forward settling securities) was 2.85% and 2.43%,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9" w:name="page30"/>
    <w:bookmarkEnd w:id="29"/>
    <w:p>
      <w:pPr>
        <w:ind w:firstLine="445"/>
        <w:spacing w:after="0" w:line="277" w:lineRule="auto"/>
        <w:rPr>
          <w:sz w:val="20"/>
          <w:szCs w:val="20"/>
          <w:color w:val="auto"/>
        </w:rPr>
      </w:pPr>
      <w:r>
        <w:rPr>
          <w:rFonts w:ascii="Arial" w:cs="Arial" w:eastAsia="Arial" w:hAnsi="Arial"/>
          <w:sz w:val="18"/>
          <w:szCs w:val="18"/>
          <w:color w:val="auto"/>
        </w:rPr>
        <w:t>The following tables summarize certain characteristics of our fixed rate Agency RMBS portfolio, inclusive of TBA securities, as of June 30, 2022 and December 31, 2021 (dollars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June 30, 2022</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Excludes Net TBA Position</w:t>
            </w: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 Rate Agency RMBS and TBA</w:t>
            </w:r>
          </w:p>
        </w:tc>
        <w:tc>
          <w:tcPr>
            <w:tcW w:w="80" w:type="dxa"/>
            <w:vAlign w:val="bottom"/>
          </w:tcPr>
          <w:p>
            <w:pPr>
              <w:spacing w:after="0"/>
              <w:rPr>
                <w:sz w:val="15"/>
                <w:szCs w:val="15"/>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w w:val="89"/>
              </w:rPr>
              <w:t>Specified Pool</w:t>
            </w:r>
          </w:p>
        </w:tc>
        <w:tc>
          <w:tcPr>
            <w:tcW w:w="22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18"/>
                <w:szCs w:val="18"/>
                <w:b w:val="1"/>
                <w:bCs w:val="1"/>
                <w:color w:val="auto"/>
                <w:vertAlign w:val="superscript"/>
              </w:rPr>
              <w:t>2</w:t>
            </w:r>
          </w:p>
        </w:tc>
        <w:tc>
          <w:tcPr>
            <w:tcW w:w="140" w:type="dxa"/>
            <w:vAlign w:val="bottom"/>
          </w:tcPr>
          <w:p>
            <w:pPr>
              <w:spacing w:after="0"/>
              <w:rPr>
                <w:sz w:val="15"/>
                <w:szCs w:val="15"/>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18"/>
                <w:szCs w:val="18"/>
                <w:b w:val="1"/>
                <w:bCs w:val="1"/>
                <w:color w:val="auto"/>
                <w:vertAlign w:val="superscript"/>
              </w:rPr>
              <w:t>3</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 (Months)</w:t>
            </w:r>
          </w:p>
        </w:tc>
        <w:tc>
          <w:tcPr>
            <w:tcW w:w="90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Projected</w:t>
            </w:r>
          </w:p>
        </w:tc>
        <w:tc>
          <w:tcPr>
            <w:tcW w:w="0" w:type="dxa"/>
            <w:vAlign w:val="bottom"/>
          </w:tcPr>
          <w:p>
            <w:pPr>
              <w:spacing w:after="0"/>
              <w:rPr>
                <w:sz w:val="1"/>
                <w:szCs w:val="1"/>
                <w:color w:val="auto"/>
              </w:rPr>
            </w:pPr>
          </w:p>
        </w:tc>
      </w:tr>
      <w:tr>
        <w:trPr>
          <w:trHeight w:val="189"/>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3"/>
            <w:vMerge w:val="continue"/>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 xml:space="preserve"> 1</w:t>
            </w:r>
          </w:p>
        </w:tc>
        <w:tc>
          <w:tcPr>
            <w:tcW w:w="2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Cost Basis</w:t>
            </w: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0" w:type="dxa"/>
            <w:vAlign w:val="bottom"/>
          </w:tcPr>
          <w:p>
            <w:pPr>
              <w:ind w:left="260"/>
              <w:spacing w:after="0"/>
              <w:rPr>
                <w:sz w:val="20"/>
                <w:szCs w:val="20"/>
                <w:color w:val="auto"/>
              </w:rPr>
            </w:pPr>
            <w:r>
              <w:rPr>
                <w:rFonts w:ascii="Arial" w:cs="Arial" w:eastAsia="Arial" w:hAnsi="Arial"/>
                <w:sz w:val="14"/>
                <w:szCs w:val="14"/>
                <w:b w:val="1"/>
                <w:bCs w:val="1"/>
                <w:color w:val="auto"/>
              </w:rPr>
              <w:t>CPR</w:t>
            </w:r>
          </w:p>
        </w:tc>
        <w:tc>
          <w:tcPr>
            <w:tcW w:w="300" w:type="dxa"/>
            <w:vAlign w:val="bottom"/>
          </w:tcPr>
          <w:p>
            <w:pPr>
              <w:jc w:val="right"/>
              <w:ind w:right="237"/>
              <w:spacing w:after="0"/>
              <w:rPr>
                <w:sz w:val="20"/>
                <w:szCs w:val="20"/>
                <w:color w:val="auto"/>
              </w:rPr>
            </w:pPr>
            <w:r>
              <w:rPr>
                <w:rFonts w:ascii="Arial" w:cs="Arial" w:eastAsia="Arial" w:hAnsi="Arial"/>
                <w:sz w:val="5"/>
                <w:szCs w:val="5"/>
                <w:b w:val="1"/>
                <w:bCs w:val="1"/>
                <w:color w:val="auto"/>
                <w:w w:val="70"/>
              </w:rPr>
              <w:t>3</w:t>
            </w:r>
          </w:p>
        </w:tc>
        <w:tc>
          <w:tcPr>
            <w:tcW w:w="0" w:type="dxa"/>
            <w:vAlign w:val="bottom"/>
          </w:tcPr>
          <w:p>
            <w:pPr>
              <w:spacing w:after="0"/>
              <w:rPr>
                <w:sz w:val="1"/>
                <w:szCs w:val="1"/>
                <w:color w:val="auto"/>
              </w:rPr>
            </w:pPr>
          </w:p>
        </w:tc>
      </w:tr>
      <w:tr>
        <w:trPr>
          <w:trHeight w:val="183"/>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Fixed rate</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260"/>
              <w:spacing w:after="0"/>
              <w:rPr>
                <w:sz w:val="20"/>
                <w:szCs w:val="20"/>
                <w:color w:val="auto"/>
              </w:rPr>
            </w:pPr>
            <w:r>
              <w:rPr>
                <w:rFonts w:ascii="Arial" w:cs="Arial" w:eastAsia="Arial" w:hAnsi="Arial"/>
                <w:sz w:val="14"/>
                <w:szCs w:val="14"/>
                <w:color w:val="auto"/>
              </w:rPr>
              <w:t>≤ 15-year:</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2.69%</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88"/>
              </w:rPr>
              <w:t>8%</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105.5%</w:t>
            </w:r>
          </w:p>
        </w:tc>
        <w:tc>
          <w:tcPr>
            <w:tcW w:w="120" w:type="dxa"/>
            <w:vAlign w:val="bottom"/>
          </w:tcPr>
          <w:p>
            <w:pPr>
              <w:spacing w:after="0"/>
              <w:rPr>
                <w:sz w:val="16"/>
                <w:szCs w:val="16"/>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3.02%</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32</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101.6%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3.55%</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12%</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84%</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102.1%</w:t>
            </w:r>
          </w:p>
        </w:tc>
        <w:tc>
          <w:tcPr>
            <w:tcW w:w="120" w:type="dxa"/>
            <w:vAlign w:val="bottom"/>
          </w:tcPr>
          <w:p>
            <w:pPr>
              <w:spacing w:after="0"/>
              <w:rPr>
                <w:sz w:val="16"/>
                <w:szCs w:val="16"/>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4.02%</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51</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4.60%</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360"/>
              <w:spacing w:after="0"/>
              <w:rPr>
                <w:sz w:val="20"/>
                <w:szCs w:val="20"/>
                <w:color w:val="auto"/>
              </w:rPr>
            </w:pPr>
            <w:r>
              <w:rPr>
                <w:rFonts w:ascii="Arial" w:cs="Arial" w:eastAsia="Arial" w:hAnsi="Arial"/>
                <w:sz w:val="14"/>
                <w:szCs w:val="14"/>
                <w:color w:val="auto"/>
              </w:rPr>
              <w:t>≥ 4.5%</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97%</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102.7%</w:t>
            </w:r>
          </w:p>
        </w:tc>
        <w:tc>
          <w:tcPr>
            <w:tcW w:w="120" w:type="dxa"/>
            <w:vAlign w:val="bottom"/>
          </w:tcPr>
          <w:p>
            <w:pPr>
              <w:spacing w:after="0"/>
              <w:rPr>
                <w:sz w:val="16"/>
                <w:szCs w:val="16"/>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5.01%</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139</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 15-year</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1,947</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93%</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102.7%</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3.81%</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2.46%</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20-year: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2.86%</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88"/>
              </w:rPr>
              <w:t>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105.0%</w:t>
            </w:r>
          </w:p>
        </w:tc>
        <w:tc>
          <w:tcPr>
            <w:tcW w:w="120" w:type="dxa"/>
            <w:vAlign w:val="bottom"/>
          </w:tcPr>
          <w:p>
            <w:pPr>
              <w:spacing w:after="0"/>
              <w:rPr>
                <w:sz w:val="16"/>
                <w:szCs w:val="16"/>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3.27%</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24</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88"/>
              </w:rPr>
              <w:t>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103.8%</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3.78%</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88"/>
              </w:rPr>
              <w:t>9%</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81%</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101.9%</w:t>
            </w:r>
          </w:p>
        </w:tc>
        <w:tc>
          <w:tcPr>
            <w:tcW w:w="120" w:type="dxa"/>
            <w:vAlign w:val="bottom"/>
          </w:tcPr>
          <w:p>
            <w:pPr>
              <w:spacing w:after="0"/>
              <w:rPr>
                <w:sz w:val="16"/>
                <w:szCs w:val="16"/>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107</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4.0%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4.74%</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12%</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20-year:</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1,739</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1,801</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1,613</w:t>
            </w:r>
          </w:p>
        </w:tc>
        <w:tc>
          <w:tcPr>
            <w:tcW w:w="1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20%</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103.6%</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3.27%</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1.88%</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34</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88"/>
              </w:rPr>
              <w:t>7%</w:t>
            </w:r>
          </w:p>
        </w:tc>
        <w:tc>
          <w:tcPr>
            <w:tcW w:w="3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30-year:</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5,380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5%</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100.5%</w:t>
            </w:r>
          </w:p>
        </w:tc>
        <w:tc>
          <w:tcPr>
            <w:tcW w:w="120" w:type="dxa"/>
            <w:vAlign w:val="bottom"/>
          </w:tcPr>
          <w:p>
            <w:pPr>
              <w:spacing w:after="0"/>
              <w:rPr>
                <w:sz w:val="16"/>
                <w:szCs w:val="16"/>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2.83%</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88"/>
              </w:rPr>
              <w:t>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103.7%</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3.15%</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88"/>
              </w:rPr>
              <w:t>6%</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5,744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51%</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100.0%</w:t>
            </w:r>
          </w:p>
        </w:tc>
        <w:tc>
          <w:tcPr>
            <w:tcW w:w="120" w:type="dxa"/>
            <w:vAlign w:val="bottom"/>
          </w:tcPr>
          <w:p>
            <w:pPr>
              <w:spacing w:after="0"/>
              <w:rPr>
                <w:sz w:val="16"/>
                <w:szCs w:val="16"/>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3.60%</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88"/>
              </w:rPr>
              <w:t>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76%</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102.9%</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4.06%</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88"/>
              </w:rPr>
              <w:t>7%</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12,252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11,660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68%</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105.7%</w:t>
            </w:r>
          </w:p>
        </w:tc>
        <w:tc>
          <w:tcPr>
            <w:tcW w:w="120" w:type="dxa"/>
            <w:vAlign w:val="bottom"/>
          </w:tcPr>
          <w:p>
            <w:pPr>
              <w:spacing w:after="0"/>
              <w:rPr>
                <w:sz w:val="16"/>
                <w:szCs w:val="16"/>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4.51%</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88"/>
              </w:rPr>
              <w:t>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4.5%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26%</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106.8%</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5.08%</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88"/>
              </w:rPr>
              <w:t>9%</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30-year</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57,457</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58,928</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55,715</w:t>
            </w:r>
          </w:p>
        </w:tc>
        <w:tc>
          <w:tcPr>
            <w:tcW w:w="1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50%</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103.4%</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3.92%</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2.79%</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88"/>
              </w:rPr>
              <w:t>7%</w:t>
            </w:r>
          </w:p>
        </w:tc>
        <w:tc>
          <w:tcPr>
            <w:tcW w:w="3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fixed rate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61,157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62,738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59,275</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103.3%</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3.89%</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2.75%</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88"/>
              </w:rPr>
              <w:t>7%</w:t>
            </w:r>
          </w:p>
        </w:tc>
        <w:tc>
          <w:tcPr>
            <w:tcW w:w="3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jc w:val="both"/>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June 30, 2022, lower balance specified pools had a weighted average original loan balance of $123,000 and $129,000 for 15-year and 30-year securities, respectively, and HARP pools had a weighted average original LTV of 128% and 138% for 15-year and 30-year securities,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2021</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Excludes Net TBA Position</w:t>
            </w: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38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Fixed Rate Agency RMBS and TBA</w:t>
            </w:r>
          </w:p>
        </w:tc>
        <w:tc>
          <w:tcPr>
            <w:tcW w:w="8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Amortized</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ind w:left="20"/>
              <w:spacing w:after="0" w:line="122" w:lineRule="exact"/>
              <w:rPr>
                <w:sz w:val="20"/>
                <w:szCs w:val="20"/>
                <w:color w:val="auto"/>
              </w:rPr>
            </w:pPr>
            <w:r>
              <w:rPr>
                <w:rFonts w:ascii="Arial" w:cs="Arial" w:eastAsia="Arial" w:hAnsi="Arial"/>
                <w:sz w:val="14"/>
                <w:szCs w:val="14"/>
                <w:b w:val="1"/>
                <w:bCs w:val="1"/>
                <w:color w:val="auto"/>
                <w:w w:val="89"/>
              </w:rPr>
              <w:t>Specified Pool</w:t>
            </w:r>
          </w:p>
        </w:tc>
        <w:tc>
          <w:tcPr>
            <w:tcW w:w="220" w:type="dxa"/>
            <w:vAlign w:val="bottom"/>
          </w:tcPr>
          <w:p>
            <w:pPr>
              <w:spacing w:after="0"/>
              <w:rPr>
                <w:sz w:val="10"/>
                <w:szCs w:val="10"/>
                <w:color w:val="auto"/>
              </w:rPr>
            </w:pPr>
          </w:p>
        </w:tc>
        <w:tc>
          <w:tcPr>
            <w:tcW w:w="1160" w:type="dxa"/>
            <w:vAlign w:val="bottom"/>
            <w:gridSpan w:val="2"/>
          </w:tcPr>
          <w:p>
            <w:pPr>
              <w:ind w:left="180"/>
              <w:spacing w:after="0" w:line="122" w:lineRule="exact"/>
              <w:rPr>
                <w:sz w:val="20"/>
                <w:szCs w:val="20"/>
                <w:color w:val="auto"/>
              </w:rPr>
            </w:pPr>
            <w:r>
              <w:rPr>
                <w:rFonts w:ascii="Arial" w:cs="Arial" w:eastAsia="Arial" w:hAnsi="Arial"/>
                <w:sz w:val="14"/>
                <w:szCs w:val="14"/>
                <w:b w:val="1"/>
                <w:bCs w:val="1"/>
                <w:color w:val="auto"/>
              </w:rPr>
              <w:t>Amortized</w:t>
            </w: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18"/>
                <w:szCs w:val="18"/>
                <w:b w:val="1"/>
                <w:bCs w:val="1"/>
                <w:color w:val="auto"/>
                <w:vertAlign w:val="superscript"/>
              </w:rPr>
              <w:t>2</w:t>
            </w:r>
          </w:p>
        </w:tc>
        <w:tc>
          <w:tcPr>
            <w:tcW w:w="14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18"/>
                <w:szCs w:val="18"/>
                <w:b w:val="1"/>
                <w:bCs w:val="1"/>
                <w:color w:val="auto"/>
                <w:vertAlign w:val="superscript"/>
              </w:rPr>
              <w:t>3</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 (Months)</w:t>
            </w:r>
          </w:p>
        </w:tc>
        <w:tc>
          <w:tcPr>
            <w:tcW w:w="900" w:type="dxa"/>
            <w:vAlign w:val="bottom"/>
            <w:gridSpan w:val="2"/>
          </w:tcPr>
          <w:p>
            <w:pPr>
              <w:jc w:val="right"/>
              <w:ind w:right="137"/>
              <w:spacing w:after="0" w:line="122" w:lineRule="exact"/>
              <w:rPr>
                <w:sz w:val="20"/>
                <w:szCs w:val="20"/>
                <w:color w:val="auto"/>
              </w:rPr>
            </w:pPr>
            <w:r>
              <w:rPr>
                <w:rFonts w:ascii="Arial" w:cs="Arial" w:eastAsia="Arial" w:hAnsi="Arial"/>
                <w:sz w:val="14"/>
                <w:szCs w:val="14"/>
                <w:b w:val="1"/>
                <w:bCs w:val="1"/>
                <w:color w:val="auto"/>
              </w:rPr>
              <w:t>Projected</w:t>
            </w:r>
          </w:p>
        </w:tc>
        <w:tc>
          <w:tcPr>
            <w:tcW w:w="0" w:type="dxa"/>
            <w:vAlign w:val="bottom"/>
          </w:tcPr>
          <w:p>
            <w:pPr>
              <w:spacing w:after="0"/>
              <w:rPr>
                <w:sz w:val="1"/>
                <w:szCs w:val="1"/>
                <w:color w:val="auto"/>
              </w:rPr>
            </w:pPr>
          </w:p>
        </w:tc>
      </w:tr>
      <w:tr>
        <w:trPr>
          <w:trHeight w:val="189"/>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3"/>
            <w:vMerge w:val="continue"/>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8"/>
                <w:szCs w:val="18"/>
                <w:b w:val="1"/>
                <w:bCs w:val="1"/>
                <w:color w:val="auto"/>
                <w:w w:val="95"/>
                <w:vertAlign w:val="superscript"/>
              </w:rPr>
              <w:t>1</w:t>
            </w:r>
          </w:p>
        </w:tc>
        <w:tc>
          <w:tcPr>
            <w:tcW w:w="2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 Basis</w:t>
            </w: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0" w:type="dxa"/>
            <w:vAlign w:val="bottom"/>
          </w:tcPr>
          <w:p>
            <w:pPr>
              <w:ind w:left="260"/>
              <w:spacing w:after="0"/>
              <w:rPr>
                <w:sz w:val="20"/>
                <w:szCs w:val="20"/>
                <w:color w:val="auto"/>
              </w:rPr>
            </w:pPr>
            <w:r>
              <w:rPr>
                <w:rFonts w:ascii="Arial" w:cs="Arial" w:eastAsia="Arial" w:hAnsi="Arial"/>
                <w:sz w:val="14"/>
                <w:szCs w:val="14"/>
                <w:b w:val="1"/>
                <w:bCs w:val="1"/>
                <w:color w:val="auto"/>
              </w:rPr>
              <w:t>CPR</w:t>
            </w:r>
          </w:p>
        </w:tc>
        <w:tc>
          <w:tcPr>
            <w:tcW w:w="300" w:type="dxa"/>
            <w:vAlign w:val="bottom"/>
          </w:tcPr>
          <w:p>
            <w:pPr>
              <w:jc w:val="right"/>
              <w:ind w:right="237"/>
              <w:spacing w:after="0"/>
              <w:rPr>
                <w:sz w:val="20"/>
                <w:szCs w:val="20"/>
                <w:color w:val="auto"/>
              </w:rPr>
            </w:pPr>
            <w:r>
              <w:rPr>
                <w:rFonts w:ascii="Arial" w:cs="Arial" w:eastAsia="Arial" w:hAnsi="Arial"/>
                <w:sz w:val="5"/>
                <w:szCs w:val="5"/>
                <w:b w:val="1"/>
                <w:bCs w:val="1"/>
                <w:color w:val="auto"/>
                <w:w w:val="70"/>
              </w:rPr>
              <w:t>3</w:t>
            </w:r>
          </w:p>
        </w:tc>
        <w:tc>
          <w:tcPr>
            <w:tcW w:w="0" w:type="dxa"/>
            <w:vAlign w:val="bottom"/>
          </w:tcPr>
          <w:p>
            <w:pPr>
              <w:spacing w:after="0"/>
              <w:rPr>
                <w:sz w:val="1"/>
                <w:szCs w:val="1"/>
                <w:color w:val="auto"/>
              </w:rPr>
            </w:pPr>
          </w:p>
        </w:tc>
      </w:tr>
      <w:tr>
        <w:trPr>
          <w:trHeight w:val="183"/>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Fixed rate</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 15-year:</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w:t>
            </w: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8"/>
              </w:rPr>
              <w:t>—%</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934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6%</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102.9%</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2.68%</w:t>
            </w:r>
          </w:p>
        </w:tc>
        <w:tc>
          <w:tcPr>
            <w:tcW w:w="86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1.29%</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105.4%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3.03%</w:t>
            </w:r>
          </w:p>
        </w:tc>
        <w:tc>
          <w:tcPr>
            <w:tcW w:w="8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0"/>
              </w:rPr>
              <w:t>1.16%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101.5%</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3.55%</w:t>
            </w:r>
          </w:p>
        </w:tc>
        <w:tc>
          <w:tcPr>
            <w:tcW w:w="86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2.46%</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4.03%</w:t>
            </w:r>
          </w:p>
        </w:tc>
        <w:tc>
          <w:tcPr>
            <w:tcW w:w="8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0"/>
              </w:rPr>
              <w:t>2.73%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360"/>
              <w:spacing w:after="0"/>
              <w:rPr>
                <w:sz w:val="20"/>
                <w:szCs w:val="20"/>
                <w:color w:val="auto"/>
              </w:rPr>
            </w:pPr>
            <w:r>
              <w:rPr>
                <w:rFonts w:ascii="Arial" w:cs="Arial" w:eastAsia="Arial" w:hAnsi="Arial"/>
                <w:sz w:val="14"/>
                <w:szCs w:val="14"/>
                <w:color w:val="auto"/>
              </w:rPr>
              <w:t>≥ 4.0%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102.9%</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4.61%</w:t>
            </w:r>
          </w:p>
        </w:tc>
        <w:tc>
          <w:tcPr>
            <w:tcW w:w="86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2.88%</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 15-year</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4,711</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55%</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102.5%</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3.82%</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2.44%</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380" w:type="dxa"/>
            <w:vAlign w:val="bottom"/>
            <w:gridSpan w:val="2"/>
          </w:tcPr>
          <w:p>
            <w:pPr>
              <w:ind w:left="180"/>
              <w:spacing w:after="0"/>
              <w:rPr>
                <w:sz w:val="20"/>
                <w:szCs w:val="20"/>
                <w:color w:val="auto"/>
              </w:rPr>
            </w:pPr>
            <w:r>
              <w:rPr>
                <w:rFonts w:ascii="Arial" w:cs="Arial" w:eastAsia="Arial" w:hAnsi="Arial"/>
                <w:sz w:val="14"/>
                <w:szCs w:val="14"/>
                <w:color w:val="auto"/>
              </w:rPr>
              <w:t>20-year: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2.0%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2.86%</w:t>
            </w:r>
          </w:p>
        </w:tc>
        <w:tc>
          <w:tcPr>
            <w:tcW w:w="8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0"/>
              </w:rPr>
              <w:t>1.42%</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10%</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104.4%</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3.28%</w:t>
            </w:r>
          </w:p>
        </w:tc>
        <w:tc>
          <w:tcPr>
            <w:tcW w:w="86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1.48%</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18</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3.78%</w:t>
            </w:r>
          </w:p>
        </w:tc>
        <w:tc>
          <w:tcPr>
            <w:tcW w:w="8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0"/>
              </w:rPr>
              <w:t>2.16%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14%</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81%</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101.8%</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4.05%</w:t>
            </w:r>
          </w:p>
        </w:tc>
        <w:tc>
          <w:tcPr>
            <w:tcW w:w="86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2.95%</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101</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4.0%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4.74%</w:t>
            </w:r>
          </w:p>
        </w:tc>
        <w:tc>
          <w:tcPr>
            <w:tcW w:w="8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0"/>
              </w:rPr>
              <w:t>3.08%</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20-year:</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1,884</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1,942</w:t>
            </w:r>
          </w:p>
        </w:tc>
        <w:tc>
          <w:tcPr>
            <w:tcW w:w="1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21%</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103.3%</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3.29%</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1.77%</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2"/>
              </w:rPr>
              <w:t>12%</w:t>
            </w:r>
          </w:p>
        </w:tc>
        <w:tc>
          <w:tcPr>
            <w:tcW w:w="3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30-year:</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360"/>
              <w:spacing w:after="0"/>
              <w:rPr>
                <w:sz w:val="20"/>
                <w:szCs w:val="20"/>
                <w:color w:val="auto"/>
              </w:rPr>
            </w:pPr>
            <w:r>
              <w:rPr>
                <w:rFonts w:ascii="Arial" w:cs="Arial" w:eastAsia="Arial" w:hAnsi="Arial"/>
                <w:sz w:val="14"/>
                <w:szCs w:val="14"/>
                <w:color w:val="auto"/>
              </w:rPr>
              <w:t>≤ 2.0%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15,581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3%</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100.5%</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2.86%</w:t>
            </w:r>
          </w:p>
        </w:tc>
        <w:tc>
          <w:tcPr>
            <w:tcW w:w="86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1.92%</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88"/>
              </w:rPr>
              <w:t>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28,182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22%</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3.16%</w:t>
            </w:r>
          </w:p>
        </w:tc>
        <w:tc>
          <w:tcPr>
            <w:tcW w:w="8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0"/>
              </w:rPr>
              <w:t>1.96%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88"/>
              </w:rPr>
              <w:t>7%</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5,234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16%</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102.8%</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3.61%</w:t>
            </w:r>
          </w:p>
        </w:tc>
        <w:tc>
          <w:tcPr>
            <w:tcW w:w="86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2.52%</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86%</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4.05%</w:t>
            </w:r>
          </w:p>
        </w:tc>
        <w:tc>
          <w:tcPr>
            <w:tcW w:w="8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0"/>
              </w:rPr>
              <w:t>2.59%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12%</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9,495</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105.2%</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4.51%</w:t>
            </w:r>
          </w:p>
        </w:tc>
        <w:tc>
          <w:tcPr>
            <w:tcW w:w="86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2.81%</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65</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4.5%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106.0%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5.02%</w:t>
            </w:r>
          </w:p>
        </w:tc>
        <w:tc>
          <w:tcPr>
            <w:tcW w:w="8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0"/>
              </w:rPr>
              <w:t>3.06%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30-year</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70,059</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72,156</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72,776</w:t>
            </w:r>
          </w:p>
        </w:tc>
        <w:tc>
          <w:tcPr>
            <w:tcW w:w="1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40%</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103.5%</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3.71%</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2.36%</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fixed rate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76,490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79,429</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41%</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103.5%</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3.70%</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2.34%</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60" w:lineRule="auto"/>
        <w:tabs>
          <w:tab w:leader="none" w:pos="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See Note 1 of preceding table for specified pool composition. As of December 31, 2021, lower balance specified pools had a weighted average original loan balance of $119,000 and $117,000 for 15-year and 30-year securities, respectively, and HARP pools had a weighted average original LTV of 127% and 138% for 15-year and 30-year securities, respectively.</w:t>
      </w: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2021.</w:t>
      </w:r>
    </w:p>
    <w:p>
      <w:pPr>
        <w:spacing w:after="0" w:line="15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additional details regarding our CRT and non-Agency securities, including credit ratings, as of June 30, 2022 and December 31, 2021, please refer to Note 3 of our Consolidated Financial Statements in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3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expense/(benefit) and interest rate swap periodic cost/(income). "Net spread and dollar roll income, excluding "catch-up" premium amortization" includes (i) the components of economic interest income and economic interest expense and other interest and dividend income (referred to as "adjusted net interest and dollar roll income"), less (ii) total operating expenses (GAAP measure).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jc w:val="both"/>
        <w:ind w:firstLine="486"/>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3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that we are required to distribute to maintain our REIT qualification status.</w:t>
      </w:r>
    </w:p>
    <w:p>
      <w:pPr>
        <w:spacing w:after="0" w:line="11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Data</w:t>
      </w:r>
    </w:p>
    <w:p>
      <w:pPr>
        <w:spacing w:after="0" w:line="239" w:lineRule="exact"/>
        <w:rPr>
          <w:sz w:val="20"/>
          <w:szCs w:val="20"/>
          <w:color w:val="auto"/>
        </w:rPr>
      </w:pPr>
    </w:p>
    <w:p>
      <w:pPr>
        <w:jc w:val="both"/>
        <w:ind w:right="180" w:firstLine="445"/>
        <w:spacing w:after="0" w:line="250"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June 30, 2022 and December 31, 2021 and condensed consolidated statements of comprehensive income and key statistics for the three and six months ended June 30, 2022 and 2021 (in millions, except per share amounts):</w:t>
      </w:r>
    </w:p>
    <w:p>
      <w:pPr>
        <w:spacing w:after="0" w:line="2" w:lineRule="exact"/>
        <w:rPr>
          <w:sz w:val="20"/>
          <w:szCs w:val="20"/>
          <w:color w:val="auto"/>
        </w:rPr>
      </w:pPr>
    </w:p>
    <w:tbl>
      <w:tblPr>
        <w:tblLayout w:type="fixed"/>
        <w:tblInd w:w="78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6"/>
                <w:szCs w:val="16"/>
                <w:color w:val="auto"/>
              </w:rPr>
            </w:pPr>
          </w:p>
        </w:tc>
        <w:tc>
          <w:tcPr>
            <w:tcW w:w="1220" w:type="dxa"/>
            <w:vAlign w:val="bottom"/>
          </w:tcPr>
          <w:p>
            <w:pPr>
              <w:jc w:val="right"/>
              <w:ind w:right="221"/>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Data</w:t>
            </w:r>
          </w:p>
        </w:tc>
        <w:tc>
          <w:tcPr>
            <w:tcW w:w="2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213"/>
        </w:trPr>
        <w:tc>
          <w:tcPr>
            <w:tcW w:w="48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(Unaudited)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securities, at fair value</w:t>
            </w:r>
          </w:p>
        </w:tc>
        <w:tc>
          <w:tcPr>
            <w:tcW w:w="2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54,421</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61,240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68,149</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agreements and other debt</w:t>
            </w:r>
          </w:p>
        </w:tc>
        <w:tc>
          <w:tcPr>
            <w:tcW w:w="2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47,507</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53,200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57,858</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10,291</w:t>
            </w:r>
          </w:p>
        </w:tc>
      </w:tr>
      <w:tr>
        <w:trPr>
          <w:trHeight w:val="216"/>
        </w:trPr>
        <w:tc>
          <w:tcPr>
            <w:tcW w:w="4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1"/>
                <w:szCs w:val="21"/>
                <w:color w:val="auto"/>
                <w:vertAlign w:val="superscript"/>
              </w:rPr>
              <w:t>1</w:t>
            </w: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16.76</w:t>
            </w:r>
          </w:p>
        </w:tc>
      </w:tr>
      <w:tr>
        <w:trPr>
          <w:trHeight w:val="216"/>
        </w:trPr>
        <w:tc>
          <w:tcPr>
            <w:tcW w:w="4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1"/>
                <w:szCs w:val="21"/>
                <w:color w:val="auto"/>
                <w:vertAlign w:val="superscript"/>
              </w:rPr>
              <w:t>2</w:t>
            </w:r>
          </w:p>
        </w:tc>
        <w:tc>
          <w:tcPr>
            <w:tcW w:w="2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15.75</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2" w:name="page33"/>
    <w:bookmarkEnd w:id="32"/>
    <w:tbl>
      <w:tblPr>
        <w:tblLayout w:type="fixed"/>
        <w:tblInd w:w="2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186"/>
        </w:trPr>
        <w:tc>
          <w:tcPr>
            <w:tcW w:w="6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Pr>
          <w:p>
            <w:pPr>
              <w:spacing w:after="0"/>
              <w:rPr>
                <w:sz w:val="16"/>
                <w:szCs w:val="16"/>
                <w:color w:val="auto"/>
              </w:rPr>
            </w:pPr>
          </w:p>
        </w:tc>
        <w:tc>
          <w:tcPr>
            <w:tcW w:w="1520" w:type="dxa"/>
            <w:vAlign w:val="bottom"/>
          </w:tcPr>
          <w:p>
            <w:pPr>
              <w:jc w:val="center"/>
              <w:ind w:right="728"/>
              <w:spacing w:after="0"/>
              <w:rPr>
                <w:sz w:val="20"/>
                <w:szCs w:val="20"/>
                <w:color w:val="auto"/>
              </w:rPr>
            </w:pPr>
            <w:r>
              <w:rPr>
                <w:rFonts w:ascii="Arial" w:cs="Arial" w:eastAsia="Arial" w:hAnsi="Arial"/>
                <w:sz w:val="14"/>
                <w:szCs w:val="14"/>
                <w:b w:val="1"/>
                <w:bCs w:val="1"/>
                <w:color w:val="auto"/>
                <w:w w:val="92"/>
              </w:rPr>
              <w:t>June 30,</w:t>
            </w:r>
          </w:p>
        </w:tc>
      </w:tr>
      <w:tr>
        <w:trPr>
          <w:trHeight w:val="183"/>
        </w:trPr>
        <w:tc>
          <w:tcPr>
            <w:tcW w:w="6500" w:type="dxa"/>
            <w:vAlign w:val="bottom"/>
          </w:tcPr>
          <w:p>
            <w:pPr>
              <w:spacing w:after="0"/>
              <w:rPr>
                <w:sz w:val="20"/>
                <w:szCs w:val="20"/>
                <w:color w:val="auto"/>
              </w:rPr>
            </w:pPr>
            <w:r>
              <w:rPr>
                <w:rFonts w:ascii="Arial" w:cs="Arial" w:eastAsia="Arial" w:hAnsi="Arial"/>
                <w:sz w:val="14"/>
                <w:szCs w:val="14"/>
                <w:b w:val="1"/>
                <w:bCs w:val="1"/>
                <w:color w:val="auto"/>
              </w:rPr>
              <w:t>Statement of Comprehensive Income Data (Unaudited)</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150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152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w:t>
            </w:r>
          </w:p>
        </w:tc>
      </w:tr>
      <w:tr>
        <w:trPr>
          <w:trHeight w:val="213"/>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10"/>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w:t>
            </w:r>
          </w:p>
        </w:tc>
      </w:tr>
      <w:tr>
        <w:trPr>
          <w:trHeight w:val="209"/>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Other gain (loss), net</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(1,807)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0"/>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3"/>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09"/>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2"/>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4"/>
        </w:trPr>
        <w:tc>
          <w:tcPr>
            <w:tcW w:w="6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6"/>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526.6</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530.1</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5"/>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3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(0.87)</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(0.83)</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0.97</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5"/>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 per common share - basic</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(0.97)</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5"/>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 per common share - 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Dividends declared per common share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0.72</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0.72</w:t>
            </w:r>
          </w:p>
        </w:tc>
      </w:tr>
      <w:tr>
        <w:trPr>
          <w:trHeight w:val="21"/>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6"/>
                <w:szCs w:val="16"/>
                <w:color w:val="auto"/>
              </w:rPr>
            </w:pPr>
          </w:p>
        </w:tc>
      </w:tr>
      <w:tr>
        <w:trPr>
          <w:trHeight w:val="184"/>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Other Data (Unaudited) *</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r>
      <w:tr>
        <w:trPr>
          <w:trHeight w:val="211"/>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investment securities - at par</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55,246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50,601</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55,944</w:t>
            </w: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4"/>
                <w:szCs w:val="14"/>
                <w:color w:val="auto"/>
              </w:rPr>
              <w:t>Average investment securities - at cost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51,089</w:t>
            </w:r>
          </w:p>
        </w:tc>
        <w:tc>
          <w:tcPr>
            <w:tcW w:w="6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57,420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52,264</w:t>
            </w:r>
          </w:p>
        </w:tc>
        <w:tc>
          <w:tcPr>
            <w:tcW w:w="6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58,073</w:t>
            </w: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net TBA dollar roll position - at cost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19,653</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28,082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21,618</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30,041</w:t>
            </w: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4"/>
                <w:szCs w:val="14"/>
                <w:color w:val="auto"/>
              </w:rPr>
              <w:t>Average total assets -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65,274</w:t>
            </w:r>
          </w:p>
        </w:tc>
        <w:tc>
          <w:tcPr>
            <w:tcW w:w="6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77,502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66,197</w:t>
            </w:r>
          </w:p>
        </w:tc>
        <w:tc>
          <w:tcPr>
            <w:tcW w:w="6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78,345</w:t>
            </w: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Average repurchase agreements and other debt outstanding </w:t>
            </w:r>
            <w:r>
              <w:rPr>
                <w:rFonts w:ascii="Arial" w:cs="Arial" w:eastAsia="Arial" w:hAnsi="Arial"/>
                <w:sz w:val="18"/>
                <w:szCs w:val="18"/>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42,997</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52,374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44,774</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53,482</w:t>
            </w:r>
          </w:p>
        </w:tc>
      </w:tr>
      <w:tr>
        <w:trPr>
          <w:trHeight w:val="216"/>
        </w:trPr>
        <w:tc>
          <w:tcPr>
            <w:tcW w:w="6140" w:type="dxa"/>
            <w:vAlign w:val="bottom"/>
            <w:gridSpan w:val="2"/>
          </w:tcPr>
          <w:p>
            <w:pPr>
              <w:ind w:left="2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18"/>
                <w:szCs w:val="18"/>
                <w:color w:val="auto"/>
                <w:vertAlign w:val="superscript"/>
              </w:rPr>
              <w:t>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8,525</w:t>
            </w:r>
          </w:p>
        </w:tc>
        <w:tc>
          <w:tcPr>
            <w:tcW w:w="6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11,103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9,051</w:t>
            </w:r>
          </w:p>
        </w:tc>
        <w:tc>
          <w:tcPr>
            <w:tcW w:w="6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11,185</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18"/>
                <w:szCs w:val="18"/>
                <w:color w:val="auto"/>
                <w:vertAlign w:val="superscript"/>
              </w:rPr>
              <w:t>5</w:t>
            </w:r>
          </w:p>
        </w:tc>
        <w:tc>
          <w:tcPr>
            <w:tcW w:w="20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7.8:1</w:t>
            </w:r>
          </w:p>
        </w:tc>
        <w:tc>
          <w:tcPr>
            <w:tcW w:w="12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7.6:1</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7.8:1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r>
      <w:tr>
        <w:trPr>
          <w:trHeight w:val="216"/>
        </w:trPr>
        <w:tc>
          <w:tcPr>
            <w:tcW w:w="5700" w:type="dxa"/>
            <w:vAlign w:val="bottom"/>
          </w:tcPr>
          <w:p>
            <w:pPr>
              <w:ind w:left="2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18"/>
                <w:szCs w:val="18"/>
                <w:color w:val="auto"/>
                <w:vertAlign w:val="superscript"/>
              </w:rPr>
              <w:t>6</w:t>
            </w:r>
          </w:p>
        </w:tc>
        <w:tc>
          <w:tcPr>
            <w:tcW w:w="2020" w:type="dxa"/>
            <w:vAlign w:val="bottom"/>
          </w:tcPr>
          <w:p>
            <w:pPr>
              <w:jc w:val="right"/>
              <w:ind w:right="339"/>
              <w:spacing w:after="0"/>
              <w:rPr>
                <w:sz w:val="20"/>
                <w:szCs w:val="20"/>
                <w:color w:val="auto"/>
              </w:rPr>
            </w:pPr>
            <w:r>
              <w:rPr>
                <w:rFonts w:ascii="Arial" w:cs="Arial" w:eastAsia="Arial" w:hAnsi="Arial"/>
                <w:sz w:val="16"/>
                <w:szCs w:val="16"/>
                <w:color w:val="auto"/>
              </w:rPr>
              <w:t>7.4:1</w:t>
            </w:r>
          </w:p>
        </w:tc>
        <w:tc>
          <w:tcPr>
            <w:tcW w:w="1280" w:type="dxa"/>
            <w:vAlign w:val="bottom"/>
          </w:tcPr>
          <w:p>
            <w:pPr>
              <w:jc w:val="right"/>
              <w:ind w:right="319"/>
              <w:spacing w:after="0"/>
              <w:rPr>
                <w:sz w:val="20"/>
                <w:szCs w:val="20"/>
                <w:color w:val="auto"/>
              </w:rPr>
            </w:pPr>
            <w:r>
              <w:rPr>
                <w:rFonts w:ascii="Arial" w:cs="Arial" w:eastAsia="Arial" w:hAnsi="Arial"/>
                <w:sz w:val="16"/>
                <w:szCs w:val="16"/>
                <w:color w:val="auto"/>
              </w:rPr>
              <w:t>7.9:1</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7.4:1</w:t>
            </w:r>
          </w:p>
        </w:tc>
        <w:tc>
          <w:tcPr>
            <w:tcW w:w="900" w:type="dxa"/>
            <w:vAlign w:val="bottom"/>
          </w:tcPr>
          <w:p>
            <w:pPr>
              <w:jc w:val="right"/>
              <w:spacing w:after="0"/>
              <w:rPr>
                <w:sz w:val="20"/>
                <w:szCs w:val="20"/>
                <w:color w:val="auto"/>
              </w:rPr>
            </w:pPr>
            <w:r>
              <w:rPr>
                <w:rFonts w:ascii="Arial" w:cs="Arial" w:eastAsia="Arial" w:hAnsi="Arial"/>
                <w:sz w:val="16"/>
                <w:szCs w:val="16"/>
                <w:color w:val="auto"/>
              </w:rPr>
              <w:t>7.9:1</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Economic return on tangible common equity - unannualized </w:t>
            </w:r>
            <w:r>
              <w:rPr>
                <w:rFonts w:ascii="Arial" w:cs="Arial" w:eastAsia="Arial" w:hAnsi="Arial"/>
                <w:sz w:val="18"/>
                <w:szCs w:val="18"/>
                <w:color w:val="auto"/>
                <w:vertAlign w:val="superscript"/>
              </w:rPr>
              <w:t>7</w:t>
            </w:r>
          </w:p>
        </w:tc>
        <w:tc>
          <w:tcPr>
            <w:tcW w:w="20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(10.1)%</w:t>
            </w:r>
          </w:p>
        </w:tc>
        <w:tc>
          <w:tcPr>
            <w:tcW w:w="12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(5.5)%</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(22.9)%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3"/>
        </w:trPr>
        <w:tc>
          <w:tcPr>
            <w:tcW w:w="5700" w:type="dxa"/>
            <w:vAlign w:val="bottom"/>
          </w:tcPr>
          <w:p>
            <w:pPr>
              <w:ind w:left="20"/>
              <w:spacing w:after="0"/>
              <w:rPr>
                <w:sz w:val="20"/>
                <w:szCs w:val="20"/>
                <w:color w:val="auto"/>
              </w:rPr>
            </w:pPr>
            <w:r>
              <w:rPr>
                <w:rFonts w:ascii="Arial" w:cs="Arial" w:eastAsia="Arial" w:hAnsi="Arial"/>
                <w:sz w:val="14"/>
                <w:szCs w:val="14"/>
                <w:color w:val="auto"/>
              </w:rPr>
              <w:t>Expenses % of average total assets - annualized</w:t>
            </w:r>
          </w:p>
        </w:tc>
        <w:tc>
          <w:tcPr>
            <w:tcW w:w="2020" w:type="dxa"/>
            <w:vAlign w:val="bottom"/>
          </w:tcPr>
          <w:p>
            <w:pPr>
              <w:jc w:val="right"/>
              <w:ind w:right="339"/>
              <w:spacing w:after="0"/>
              <w:rPr>
                <w:sz w:val="20"/>
                <w:szCs w:val="20"/>
                <w:color w:val="auto"/>
              </w:rPr>
            </w:pPr>
            <w:r>
              <w:rPr>
                <w:rFonts w:ascii="Arial" w:cs="Arial" w:eastAsia="Arial" w:hAnsi="Arial"/>
                <w:sz w:val="16"/>
                <w:szCs w:val="16"/>
                <w:color w:val="auto"/>
              </w:rPr>
              <w:t>0.12 %</w:t>
            </w:r>
          </w:p>
        </w:tc>
        <w:tc>
          <w:tcPr>
            <w:tcW w:w="1280" w:type="dxa"/>
            <w:vAlign w:val="bottom"/>
          </w:tcPr>
          <w:p>
            <w:pPr>
              <w:jc w:val="right"/>
              <w:ind w:right="319"/>
              <w:spacing w:after="0"/>
              <w:rPr>
                <w:sz w:val="20"/>
                <w:szCs w:val="20"/>
                <w:color w:val="auto"/>
              </w:rPr>
            </w:pPr>
            <w:r>
              <w:rPr>
                <w:rFonts w:ascii="Arial" w:cs="Arial" w:eastAsia="Arial" w:hAnsi="Arial"/>
                <w:sz w:val="16"/>
                <w:szCs w:val="16"/>
                <w:color w:val="auto"/>
              </w:rPr>
              <w:t>0.11 %</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0.12 %</w:t>
            </w:r>
          </w:p>
        </w:tc>
        <w:tc>
          <w:tcPr>
            <w:tcW w:w="900" w:type="dxa"/>
            <w:vAlign w:val="bottom"/>
          </w:tcPr>
          <w:p>
            <w:pPr>
              <w:jc w:val="right"/>
              <w:spacing w:after="0"/>
              <w:rPr>
                <w:sz w:val="20"/>
                <w:szCs w:val="20"/>
                <w:color w:val="auto"/>
              </w:rPr>
            </w:pPr>
            <w:r>
              <w:rPr>
                <w:rFonts w:ascii="Arial" w:cs="Arial" w:eastAsia="Arial" w:hAnsi="Arial"/>
                <w:sz w:val="16"/>
                <w:szCs w:val="16"/>
                <w:color w:val="auto"/>
              </w:rPr>
              <w:t>0.12 %</w:t>
            </w: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 % of average assets, including average net TBA position - annualized</w:t>
            </w:r>
          </w:p>
        </w:tc>
        <w:tc>
          <w:tcPr>
            <w:tcW w:w="20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0.09 %</w:t>
            </w:r>
          </w:p>
        </w:tc>
        <w:tc>
          <w:tcPr>
            <w:tcW w:w="12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0.08 %</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0.09 %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0.08 %</w:t>
            </w: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color w:val="auto"/>
              </w:rPr>
              <w:t>Expenses % of average stockholders' equity - annualized</w:t>
            </w:r>
          </w:p>
        </w:tc>
        <w:tc>
          <w:tcPr>
            <w:tcW w:w="2020" w:type="dxa"/>
            <w:vAlign w:val="bottom"/>
          </w:tcPr>
          <w:p>
            <w:pPr>
              <w:jc w:val="right"/>
              <w:ind w:right="339"/>
              <w:spacing w:after="0"/>
              <w:rPr>
                <w:sz w:val="20"/>
                <w:szCs w:val="20"/>
                <w:color w:val="auto"/>
              </w:rPr>
            </w:pPr>
            <w:r>
              <w:rPr>
                <w:rFonts w:ascii="Arial" w:cs="Arial" w:eastAsia="Arial" w:hAnsi="Arial"/>
                <w:sz w:val="16"/>
                <w:szCs w:val="16"/>
                <w:color w:val="auto"/>
              </w:rPr>
              <w:t>0.94 %</w:t>
            </w:r>
          </w:p>
        </w:tc>
        <w:tc>
          <w:tcPr>
            <w:tcW w:w="1280" w:type="dxa"/>
            <w:vAlign w:val="bottom"/>
          </w:tcPr>
          <w:p>
            <w:pPr>
              <w:jc w:val="right"/>
              <w:ind w:right="319"/>
              <w:spacing w:after="0"/>
              <w:rPr>
                <w:sz w:val="20"/>
                <w:szCs w:val="20"/>
                <w:color w:val="auto"/>
              </w:rPr>
            </w:pPr>
            <w:r>
              <w:rPr>
                <w:rFonts w:ascii="Arial" w:cs="Arial" w:eastAsia="Arial" w:hAnsi="Arial"/>
                <w:sz w:val="16"/>
                <w:szCs w:val="16"/>
                <w:color w:val="auto"/>
              </w:rPr>
              <w:t>0.79 %</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0.91 %</w:t>
            </w:r>
          </w:p>
        </w:tc>
        <w:tc>
          <w:tcPr>
            <w:tcW w:w="900" w:type="dxa"/>
            <w:vAlign w:val="bottom"/>
          </w:tcPr>
          <w:p>
            <w:pPr>
              <w:jc w:val="right"/>
              <w:spacing w:after="0"/>
              <w:rPr>
                <w:sz w:val="20"/>
                <w:szCs w:val="20"/>
                <w:color w:val="auto"/>
              </w:rPr>
            </w:pPr>
            <w:r>
              <w:rPr>
                <w:rFonts w:ascii="Arial" w:cs="Arial" w:eastAsia="Arial" w:hAnsi="Arial"/>
                <w:sz w:val="16"/>
                <w:szCs w:val="16"/>
                <w:color w:val="auto"/>
              </w:rPr>
              <w:t>0.82 %</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w:t>
      </w:r>
    </w:p>
    <w:p>
      <w:pPr>
        <w:spacing w:after="0" w:line="1" w:lineRule="exact"/>
        <w:rPr>
          <w:sz w:val="20"/>
          <w:szCs w:val="20"/>
          <w:color w:val="auto"/>
        </w:rPr>
      </w:pPr>
    </w:p>
    <w:p>
      <w:pPr>
        <w:ind w:left="66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Net book value per common share is calculated as total stockholders' equity, less preferred stock liquidation preference, divided by number of common shares outstanding as of period end.</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 excludes U.S. Treasury repurchase agreements and TBA contracts. Other debt includes debt of consolidated VIEs.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stockholders' equity calculated as average month-ended stockholders' equity during the period.</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spacing w:after="0" w:line="1" w:lineRule="exact"/>
        <w:rPr>
          <w:rFonts w:ascii="Arial" w:cs="Arial" w:eastAsia="Arial" w:hAnsi="Arial"/>
          <w:sz w:val="14"/>
          <w:szCs w:val="14"/>
          <w:color w:val="auto"/>
        </w:rPr>
      </w:pPr>
    </w:p>
    <w:p>
      <w:pPr>
        <w:ind w:left="660" w:hanging="328"/>
        <w:spacing w:after="0" w:line="293" w:lineRule="auto"/>
        <w:tabs>
          <w:tab w:leader="none" w:pos="6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3" w:name="page34"/>
    <w:bookmarkEnd w:id="33"/>
    <w:p>
      <w:pPr>
        <w:ind w:left="660" w:right="20" w:hanging="328"/>
        <w:spacing w:after="0" w:line="273"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following table summarizes our economic interest income (a non-GAAP measure) for the three and six months ended June 30, 2022 and 2021,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w w:val="93"/>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3"/>
              </w:rPr>
              <w:t>Six Months Ended June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Yield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67"/>
        </w:trPr>
        <w:tc>
          <w:tcPr>
            <w:tcW w:w="39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Cash/coupon 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3.34 %</w:t>
            </w:r>
          </w:p>
        </w:tc>
        <w:tc>
          <w:tcPr>
            <w:tcW w:w="0" w:type="dxa"/>
            <w:vAlign w:val="bottom"/>
          </w:tcPr>
          <w:p>
            <w:pPr>
              <w:spacing w:after="0"/>
              <w:rPr>
                <w:sz w:val="1"/>
                <w:szCs w:val="1"/>
                <w:color w:val="auto"/>
              </w:rPr>
            </w:pPr>
          </w:p>
        </w:tc>
      </w:tr>
      <w:tr>
        <w:trPr>
          <w:trHeight w:val="186"/>
        </w:trPr>
        <w:tc>
          <w:tcPr>
            <w:tcW w:w="3940" w:type="dxa"/>
            <w:vAlign w:val="bottom"/>
          </w:tcPr>
          <w:p>
            <w:pPr>
              <w:ind w:left="100"/>
              <w:spacing w:after="0"/>
              <w:rPr>
                <w:sz w:val="20"/>
                <w:szCs w:val="20"/>
                <w:color w:val="auto"/>
              </w:rPr>
            </w:pPr>
            <w:r>
              <w:rPr>
                <w:rFonts w:ascii="Arial" w:cs="Arial" w:eastAsia="Arial" w:hAnsi="Arial"/>
                <w:sz w:val="14"/>
                <w:szCs w:val="14"/>
                <w:color w:val="auto"/>
              </w:rPr>
              <w:t>Net premium amortization benefit (cost)</w:t>
            </w:r>
          </w:p>
        </w:tc>
        <w:tc>
          <w:tcPr>
            <w:tcW w:w="140" w:type="dxa"/>
            <w:vAlign w:val="bottom"/>
          </w:tcPr>
          <w:p>
            <w:pPr>
              <w:spacing w:after="0"/>
              <w:rPr>
                <w:sz w:val="16"/>
                <w:szCs w:val="16"/>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86"/>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395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3.09 %</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249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1.73 %</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870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3.33 %</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806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2.78 %</w:t>
            </w:r>
          </w:p>
        </w:tc>
        <w:tc>
          <w:tcPr>
            <w:tcW w:w="0" w:type="dxa"/>
            <w:vAlign w:val="bottom"/>
          </w:tcPr>
          <w:p>
            <w:pPr>
              <w:spacing w:after="0"/>
              <w:rPr>
                <w:sz w:val="1"/>
                <w:szCs w:val="1"/>
                <w:color w:val="auto"/>
              </w:rPr>
            </w:pPr>
          </w:p>
        </w:tc>
      </w:tr>
      <w:tr>
        <w:trPr>
          <w:trHeight w:val="135"/>
        </w:trPr>
        <w:tc>
          <w:tcPr>
            <w:tcW w:w="3940" w:type="dxa"/>
            <w:vAlign w:val="bottom"/>
          </w:tcPr>
          <w:p>
            <w:pPr>
              <w:ind w:left="100"/>
              <w:spacing w:after="0" w:line="135" w:lineRule="exact"/>
              <w:rPr>
                <w:sz w:val="20"/>
                <w:szCs w:val="20"/>
                <w:color w:val="auto"/>
              </w:rPr>
            </w:pPr>
            <w:r>
              <w:rPr>
                <w:rFonts w:ascii="Arial" w:cs="Arial" w:eastAsia="Arial" w:hAnsi="Arial"/>
                <w:sz w:val="14"/>
                <w:szCs w:val="14"/>
                <w:color w:val="auto"/>
              </w:rPr>
              <w:t>Estimated "catch-up" premium amortization cost (benefit) due</w:t>
            </w:r>
          </w:p>
        </w:tc>
        <w:tc>
          <w:tcPr>
            <w:tcW w:w="140" w:type="dxa"/>
            <w:vAlign w:val="bottom"/>
          </w:tcPr>
          <w:p>
            <w:pPr>
              <w:spacing w:after="0"/>
              <w:rPr>
                <w:sz w:val="11"/>
                <w:szCs w:val="11"/>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(0.51)%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0.50 %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(0.86)%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186"/>
        </w:trPr>
        <w:tc>
          <w:tcPr>
            <w:tcW w:w="39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to change in CPR forecast</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2.29 %</w:t>
            </w:r>
          </w:p>
        </w:tc>
        <w:tc>
          <w:tcPr>
            <w:tcW w:w="0" w:type="dxa"/>
            <w:vAlign w:val="bottom"/>
          </w:tcPr>
          <w:p>
            <w:pPr>
              <w:spacing w:after="0"/>
              <w:rPr>
                <w:sz w:val="1"/>
                <w:szCs w:val="1"/>
                <w:color w:val="auto"/>
              </w:rPr>
            </w:pPr>
          </w:p>
        </w:tc>
      </w:tr>
      <w:tr>
        <w:trPr>
          <w:trHeight w:val="189"/>
        </w:trPr>
        <w:tc>
          <w:tcPr>
            <w:tcW w:w="394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18"/>
                <w:szCs w:val="18"/>
                <w:color w:val="auto"/>
                <w:vertAlign w:val="superscript"/>
              </w:rPr>
              <w:t>1,2</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3.66 %</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1.98 %</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2.80 %</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1.69 %</w:t>
            </w:r>
          </w:p>
        </w:tc>
        <w:tc>
          <w:tcPr>
            <w:tcW w:w="0" w:type="dxa"/>
            <w:vAlign w:val="bottom"/>
          </w:tcPr>
          <w:p>
            <w:pPr>
              <w:spacing w:after="0"/>
              <w:rPr>
                <w:sz w:val="1"/>
                <w:szCs w:val="1"/>
                <w:color w:val="auto"/>
              </w:rPr>
            </w:pPr>
          </w:p>
        </w:tc>
      </w:tr>
      <w:tr>
        <w:trPr>
          <w:trHeight w:val="115"/>
        </w:trPr>
        <w:tc>
          <w:tcPr>
            <w:tcW w:w="394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Economic interest income, excluding "catch-up" amortization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2.88 %</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2.15 %</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948</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2.57 %</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919</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2.08 %</w:t>
            </w:r>
          </w:p>
        </w:tc>
        <w:tc>
          <w:tcPr>
            <w:tcW w:w="0" w:type="dxa"/>
            <w:vAlign w:val="bottom"/>
          </w:tcPr>
          <w:p>
            <w:pPr>
              <w:spacing w:after="0"/>
              <w:rPr>
                <w:sz w:val="1"/>
                <w:szCs w:val="1"/>
                <w:color w:val="auto"/>
              </w:rPr>
            </w:pPr>
          </w:p>
        </w:tc>
      </w:tr>
      <w:tr>
        <w:trPr>
          <w:trHeight w:val="182"/>
        </w:trPr>
        <w:tc>
          <w:tcPr>
            <w:tcW w:w="3940" w:type="dxa"/>
            <w:vAlign w:val="bottom"/>
            <w:tcBorders>
              <w:bottom w:val="single" w:sz="8" w:color="CCEEFF"/>
            </w:tcBorders>
            <w:shd w:val="clear" w:color="auto" w:fill="CCEEFF"/>
          </w:tcPr>
          <w:p>
            <w:pPr>
              <w:ind w:left="20"/>
              <w:spacing w:after="0" w:line="162" w:lineRule="exact"/>
              <w:rPr>
                <w:sz w:val="20"/>
                <w:szCs w:val="20"/>
                <w:color w:val="auto"/>
              </w:rPr>
            </w:pPr>
            <w:r>
              <w:rPr>
                <w:rFonts w:ascii="Arial" w:cs="Arial" w:eastAsia="Arial" w:hAnsi="Arial"/>
                <w:sz w:val="14"/>
                <w:szCs w:val="14"/>
                <w:color w:val="auto"/>
              </w:rPr>
              <w:t xml:space="preserve">(non-GAAP measure) </w:t>
            </w:r>
            <w:r>
              <w:rPr>
                <w:rFonts w:ascii="Arial" w:cs="Arial" w:eastAsia="Arial" w:hAnsi="Arial"/>
                <w:sz w:val="18"/>
                <w:szCs w:val="18"/>
                <w:color w:val="auto"/>
                <w:vertAlign w:val="superscript"/>
              </w:rPr>
              <w:t>3</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8"/>
              </w:rPr>
              <w:t>Weighted average actual portfolio CPR for investment securities</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held during the period</w:t>
            </w: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Arial" w:cs="Arial" w:eastAsia="Arial" w:hAnsi="Arial"/>
                <w:sz w:val="14"/>
                <w:szCs w:val="14"/>
                <w:color w:val="auto"/>
              </w:rPr>
              <w:t>Weighted average projected CPR for the remaining life of</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7.2 %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11.6 %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7.2 %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11.6 %</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investment securities held as of period end</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30-year fixed rate mortgage rate as of period end </w:t>
            </w:r>
            <w:r>
              <w:rPr>
                <w:rFonts w:ascii="Arial" w:cs="Arial" w:eastAsia="Arial" w:hAnsi="Arial"/>
                <w:sz w:val="18"/>
                <w:szCs w:val="18"/>
                <w:color w:val="auto"/>
                <w:vertAlign w:val="superscript"/>
              </w:rPr>
              <w:t>4</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940" w:type="dxa"/>
            <w:vAlign w:val="bottom"/>
          </w:tcPr>
          <w:p>
            <w:pPr>
              <w:ind w:left="20"/>
              <w:spacing w:after="0"/>
              <w:rPr>
                <w:sz w:val="20"/>
                <w:szCs w:val="20"/>
                <w:color w:val="auto"/>
              </w:rPr>
            </w:pPr>
            <w:r>
              <w:rPr>
                <w:rFonts w:ascii="Arial" w:cs="Arial" w:eastAsia="Arial" w:hAnsi="Arial"/>
                <w:sz w:val="14"/>
                <w:szCs w:val="14"/>
                <w:color w:val="auto"/>
              </w:rPr>
              <w:t xml:space="preserve">10-year U.S. Treasury rate as of period end </w:t>
            </w:r>
            <w:r>
              <w:rPr>
                <w:rFonts w:ascii="Arial" w:cs="Arial" w:eastAsia="Arial" w:hAnsi="Arial"/>
                <w:sz w:val="18"/>
                <w:szCs w:val="18"/>
                <w:color w:val="auto"/>
                <w:vertAlign w:val="superscript"/>
              </w:rPr>
              <w:t>4</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3.02 %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3.02 %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TBA dollar roll income and (ii) estimated TBA implied funding cost (see </w:t>
      </w:r>
      <w:r>
        <w:rPr>
          <w:rFonts w:ascii="Arial" w:cs="Arial" w:eastAsia="Arial" w:hAnsi="Arial"/>
          <w:sz w:val="14"/>
          <w:szCs w:val="14"/>
          <w:i w:val="1"/>
          <w:iCs w:val="1"/>
          <w:color w:val="auto"/>
        </w:rPr>
        <w:t>Economic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 and Aggregate Cost of Funds </w:t>
      </w:r>
      <w:r>
        <w:rPr>
          <w:rFonts w:ascii="Arial" w:cs="Arial" w:eastAsia="Arial" w:hAnsi="Arial"/>
          <w:sz w:val="14"/>
          <w:szCs w:val="14"/>
          <w:color w:val="auto"/>
        </w:rPr>
        <w:t>below). TBA dollar roll income represents the price differential, or "price drop," between the TBA price for current month settlement versus the</w:t>
      </w:r>
      <w:r>
        <w:rPr>
          <w:rFonts w:ascii="Arial" w:cs="Arial" w:eastAsia="Arial" w:hAnsi="Arial"/>
          <w:sz w:val="14"/>
          <w:szCs w:val="14"/>
          <w:i w:val="1"/>
          <w:iCs w:val="1"/>
          <w:color w:val="auto"/>
        </w:rPr>
        <w:t xml:space="preserve"> </w:t>
      </w:r>
      <w:r>
        <w:rPr>
          <w:rFonts w:ascii="Arial" w:cs="Arial" w:eastAsia="Arial" w:hAnsi="Arial"/>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Source: Bloomberg</w:t>
      </w:r>
    </w:p>
    <w:p>
      <w:pPr>
        <w:spacing w:after="0" w:line="15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principal elements impacting our economic interest income are the size of our average investment portfolio and the yield on our securities. The following table includes a summary of the estimated impact of each of these elements on our economic interest income for the three and six months ended June 30, 2022 compared to the prior year period (in millions):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Periods ended June 30, 2022 vs. June 30,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2680" w:type="dxa"/>
            <w:vAlign w:val="bottom"/>
            <w:tcBorders>
              <w:top w:val="single" w:sz="8" w:color="auto"/>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Due to Change in Average</w:t>
            </w:r>
          </w:p>
        </w:tc>
        <w:tc>
          <w:tcPr>
            <w:tcW w:w="0" w:type="dxa"/>
            <w:vAlign w:val="bottom"/>
          </w:tcPr>
          <w:p>
            <w:pPr>
              <w:spacing w:after="0"/>
              <w:rPr>
                <w:sz w:val="1"/>
                <w:szCs w:val="1"/>
                <w:color w:val="auto"/>
              </w:rPr>
            </w:pPr>
          </w:p>
        </w:tc>
      </w:tr>
      <w:tr>
        <w:trPr>
          <w:trHeight w:val="131"/>
        </w:trPr>
        <w:tc>
          <w:tcPr>
            <w:tcW w:w="6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2"/>
              </w:rPr>
              <w:t>Total Increase /</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7"/>
              </w:rPr>
              <w:t>Portfolio</w:t>
            </w:r>
          </w:p>
        </w:tc>
        <w:tc>
          <w:tcPr>
            <w:tcW w:w="320" w:type="dxa"/>
            <w:vAlign w:val="bottom"/>
          </w:tcPr>
          <w:p>
            <w:pPr>
              <w:spacing w:after="0"/>
              <w:rPr>
                <w:sz w:val="11"/>
                <w:szCs w:val="11"/>
                <w:color w:val="auto"/>
              </w:rPr>
            </w:pPr>
          </w:p>
        </w:tc>
        <w:tc>
          <w:tcPr>
            <w:tcW w:w="1120" w:type="dxa"/>
            <w:vAlign w:val="bottom"/>
          </w:tcPr>
          <w:p>
            <w:pPr>
              <w:jc w:val="right"/>
              <w:ind w:right="488"/>
              <w:spacing w:after="0" w:line="131" w:lineRule="exact"/>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88"/>
        </w:trPr>
        <w:tc>
          <w:tcPr>
            <w:tcW w:w="6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Size</w:t>
            </w: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84"/>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center"/>
              <w:ind w:left="788"/>
              <w:spacing w:after="0"/>
              <w:rPr>
                <w:sz w:val="20"/>
                <w:szCs w:val="20"/>
                <w:color w:val="auto"/>
              </w:rPr>
            </w:pPr>
            <w:r>
              <w:rPr>
                <w:rFonts w:ascii="Arial" w:cs="Arial" w:eastAsia="Arial" w:hAnsi="Arial"/>
                <w:sz w:val="14"/>
                <w:szCs w:val="14"/>
                <w:color w:val="auto"/>
                <w:w w:val="96"/>
              </w:rPr>
              <w:t>(27)</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6"/>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left="70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6"/>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ind w:left="788"/>
              <w:spacing w:after="0"/>
              <w:rPr>
                <w:sz w:val="20"/>
                <w:szCs w:val="20"/>
                <w:color w:val="auto"/>
              </w:rPr>
            </w:pPr>
            <w:r>
              <w:rPr>
                <w:rFonts w:ascii="Arial" w:cs="Arial" w:eastAsia="Arial" w:hAnsi="Arial"/>
                <w:sz w:val="14"/>
                <w:szCs w:val="14"/>
                <w:color w:val="auto"/>
                <w:w w:val="96"/>
              </w:rPr>
              <w:t>(27)</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6"/>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TBA dollar roll income - implied interest income</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left="788"/>
              <w:spacing w:after="0"/>
              <w:rPr>
                <w:sz w:val="20"/>
                <w:szCs w:val="20"/>
                <w:color w:val="auto"/>
              </w:rPr>
            </w:pPr>
            <w:r>
              <w:rPr>
                <w:rFonts w:ascii="Arial" w:cs="Arial" w:eastAsia="Arial" w:hAnsi="Arial"/>
                <w:sz w:val="14"/>
                <w:szCs w:val="14"/>
                <w:color w:val="auto"/>
                <w:w w:val="96"/>
              </w:rPr>
              <w:t>(42)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11"/>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center"/>
              <w:ind w:left="788"/>
              <w:spacing w:after="0"/>
              <w:rPr>
                <w:sz w:val="20"/>
                <w:szCs w:val="20"/>
                <w:color w:val="auto"/>
              </w:rPr>
            </w:pPr>
            <w:r>
              <w:rPr>
                <w:rFonts w:ascii="Arial" w:cs="Arial" w:eastAsia="Arial" w:hAnsi="Arial"/>
                <w:sz w:val="14"/>
                <w:szCs w:val="14"/>
                <w:color w:val="auto"/>
                <w:w w:val="96"/>
              </w:rPr>
              <w:t>(69)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Due to Change in Average</w:t>
            </w:r>
          </w:p>
        </w:tc>
        <w:tc>
          <w:tcPr>
            <w:tcW w:w="0" w:type="dxa"/>
            <w:vAlign w:val="bottom"/>
          </w:tcPr>
          <w:p>
            <w:pPr>
              <w:spacing w:after="0"/>
              <w:rPr>
                <w:sz w:val="1"/>
                <w:szCs w:val="1"/>
                <w:color w:val="auto"/>
              </w:rPr>
            </w:pPr>
          </w:p>
        </w:tc>
      </w:tr>
      <w:tr>
        <w:trPr>
          <w:trHeight w:val="135"/>
        </w:trPr>
        <w:tc>
          <w:tcPr>
            <w:tcW w:w="6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Total Increase /</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7"/>
              </w:rPr>
              <w:t>Portfolio</w:t>
            </w:r>
          </w:p>
        </w:tc>
        <w:tc>
          <w:tcPr>
            <w:tcW w:w="320" w:type="dxa"/>
            <w:vAlign w:val="bottom"/>
          </w:tcPr>
          <w:p>
            <w:pPr>
              <w:spacing w:after="0"/>
              <w:rPr>
                <w:sz w:val="11"/>
                <w:szCs w:val="11"/>
                <w:color w:val="auto"/>
              </w:rPr>
            </w:pPr>
          </w:p>
        </w:tc>
        <w:tc>
          <w:tcPr>
            <w:tcW w:w="1120" w:type="dxa"/>
            <w:vAlign w:val="bottom"/>
          </w:tcPr>
          <w:p>
            <w:pPr>
              <w:jc w:val="right"/>
              <w:ind w:right="488"/>
              <w:spacing w:after="0" w:line="135" w:lineRule="exact"/>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88"/>
        </w:trPr>
        <w:tc>
          <w:tcPr>
            <w:tcW w:w="6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Size</w:t>
            </w: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84"/>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center"/>
              <w:ind w:left="928"/>
              <w:spacing w:after="0"/>
              <w:rPr>
                <w:sz w:val="20"/>
                <w:szCs w:val="20"/>
                <w:color w:val="auto"/>
              </w:rPr>
            </w:pPr>
            <w:r>
              <w:rPr>
                <w:rFonts w:ascii="Arial" w:cs="Arial" w:eastAsia="Arial" w:hAnsi="Arial"/>
                <w:sz w:val="14"/>
                <w:szCs w:val="14"/>
                <w:color w:val="auto"/>
                <w:w w:val="89"/>
              </w:rPr>
              <w:t>64</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86"/>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60" w:type="dxa"/>
            <w:vAlign w:val="bottom"/>
          </w:tcPr>
          <w:p>
            <w:pPr>
              <w:spacing w:after="0"/>
              <w:rPr>
                <w:sz w:val="16"/>
                <w:szCs w:val="16"/>
                <w:color w:val="auto"/>
              </w:rPr>
            </w:pPr>
          </w:p>
        </w:tc>
        <w:tc>
          <w:tcPr>
            <w:tcW w:w="1260" w:type="dxa"/>
            <w:vAlign w:val="bottom"/>
          </w:tcPr>
          <w:p>
            <w:pPr>
              <w:jc w:val="center"/>
              <w:ind w:left="908"/>
              <w:spacing w:after="0"/>
              <w:rPr>
                <w:sz w:val="20"/>
                <w:szCs w:val="20"/>
                <w:color w:val="auto"/>
              </w:rPr>
            </w:pPr>
            <w:r>
              <w:rPr>
                <w:rFonts w:ascii="Arial" w:cs="Arial" w:eastAsia="Arial" w:hAnsi="Arial"/>
                <w:sz w:val="14"/>
                <w:szCs w:val="14"/>
                <w:color w:val="auto"/>
                <w:w w:val="96"/>
              </w:rPr>
              <w:t>(83)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6"/>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ind w:left="908"/>
              <w:spacing w:after="0"/>
              <w:rPr>
                <w:sz w:val="20"/>
                <w:szCs w:val="20"/>
                <w:color w:val="auto"/>
              </w:rPr>
            </w:pPr>
            <w:r>
              <w:rPr>
                <w:rFonts w:ascii="Arial" w:cs="Arial" w:eastAsia="Arial" w:hAnsi="Arial"/>
                <w:sz w:val="14"/>
                <w:szCs w:val="14"/>
                <w:color w:val="auto"/>
                <w:w w:val="96"/>
              </w:rPr>
              <w:t>(19)</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6"/>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TBA dollar roll income - implied interest income</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928"/>
              <w:spacing w:after="0"/>
              <w:rPr>
                <w:sz w:val="20"/>
                <w:szCs w:val="20"/>
                <w:color w:val="auto"/>
              </w:rPr>
            </w:pPr>
            <w:r>
              <w:rPr>
                <w:rFonts w:ascii="Arial" w:cs="Arial" w:eastAsia="Arial" w:hAnsi="Arial"/>
                <w:sz w:val="14"/>
                <w:szCs w:val="14"/>
                <w:color w:val="auto"/>
                <w:w w:val="89"/>
              </w:rPr>
              <w:t>48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11"/>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center"/>
              <w:ind w:left="928"/>
              <w:spacing w:after="0"/>
              <w:rPr>
                <w:sz w:val="20"/>
                <w:szCs w:val="20"/>
                <w:color w:val="auto"/>
              </w:rPr>
            </w:pPr>
            <w:r>
              <w:rPr>
                <w:rFonts w:ascii="Arial" w:cs="Arial" w:eastAsia="Arial" w:hAnsi="Arial"/>
                <w:sz w:val="14"/>
                <w:szCs w:val="14"/>
                <w:color w:val="auto"/>
                <w:w w:val="89"/>
              </w:rPr>
              <w:t>29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average investment portfolio, inclusive of TBAs (at cost), decreased 17% and 16% for the three and six months ended June 30, 2022, respectively, compared to the prior year period, due to a decline in stockholders' equity. The average yield on our investment portfolio, including TBA implied asset yields and excluding "catch-up" premium amortization, increased 73 and 49 basis points, respectively, due to changes in asset composition and slower CPR projections.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7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95"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for further discussion of TBA securities and dollar roll transactions). Repurchase agreements used to fund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83"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6"/>
          </w:tcPr>
          <w:p>
            <w:pPr>
              <w:jc w:val="center"/>
              <w:ind w:left="470"/>
              <w:spacing w:after="0"/>
              <w:rPr>
                <w:sz w:val="20"/>
                <w:szCs w:val="20"/>
                <w:color w:val="auto"/>
              </w:rPr>
            </w:pPr>
            <w:r>
              <w:rPr>
                <w:rFonts w:ascii="Arial" w:cs="Arial" w:eastAsia="Arial" w:hAnsi="Arial"/>
                <w:sz w:val="13"/>
                <w:szCs w:val="13"/>
                <w:b w:val="1"/>
                <w:bCs w:val="1"/>
                <w:color w:val="auto"/>
                <w:w w:val="84"/>
              </w:rPr>
              <w:t>Repurchase Agreements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4"/>
          </w:tcPr>
          <w:p>
            <w:pPr>
              <w:jc w:val="right"/>
              <w:ind w:right="390"/>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Tangible Net Book</w:t>
            </w: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rPr>
              <w:t xml:space="preserve">and Other Debt </w:t>
            </w:r>
            <w:r>
              <w:rPr>
                <w:rFonts w:ascii="Arial" w:cs="Arial" w:eastAsia="Arial" w:hAnsi="Arial"/>
                <w:sz w:val="14"/>
                <w:szCs w:val="14"/>
                <w:b w:val="1"/>
                <w:bCs w:val="1"/>
                <w:color w:val="auto"/>
                <w:vertAlign w:val="superscript"/>
              </w:rPr>
              <w:t>1</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4"/>
          </w:tcPr>
          <w:p>
            <w:pPr>
              <w:jc w:val="right"/>
              <w:ind w:right="470"/>
              <w:spacing w:after="0" w:line="122" w:lineRule="exact"/>
              <w:rPr>
                <w:sz w:val="20"/>
                <w:szCs w:val="20"/>
                <w:color w:val="auto"/>
              </w:rPr>
            </w:pPr>
            <w:r>
              <w:rPr>
                <w:rFonts w:ascii="Arial" w:cs="Arial" w:eastAsia="Arial" w:hAnsi="Arial"/>
                <w:sz w:val="11"/>
                <w:szCs w:val="11"/>
                <w:b w:val="1"/>
                <w:bCs w:val="1"/>
                <w:color w:val="auto"/>
              </w:rPr>
              <w:t xml:space="preserve">Long/(Short) </w:t>
            </w:r>
            <w:r>
              <w:rPr>
                <w:rFonts w:ascii="Arial" w:cs="Arial" w:eastAsia="Arial" w:hAnsi="Arial"/>
                <w:sz w:val="14"/>
                <w:szCs w:val="14"/>
                <w:b w:val="1"/>
                <w:bCs w:val="1"/>
                <w:color w:val="auto"/>
                <w:vertAlign w:val="superscript"/>
              </w:rPr>
              <w:t>2</w:t>
            </w: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restart"/>
          </w:tcPr>
          <w:p>
            <w:pPr>
              <w:jc w:val="center"/>
              <w:ind w:right="120"/>
              <w:spacing w:after="0" w:line="108" w:lineRule="exact"/>
              <w:rPr>
                <w:sz w:val="20"/>
                <w:szCs w:val="20"/>
                <w:color w:val="auto"/>
              </w:rPr>
            </w:pPr>
            <w:r>
              <w:rPr>
                <w:rFonts w:ascii="Arial" w:cs="Arial" w:eastAsia="Arial" w:hAnsi="Arial"/>
                <w:sz w:val="12"/>
                <w:szCs w:val="12"/>
                <w:b w:val="1"/>
                <w:bCs w:val="1"/>
                <w:color w:val="auto"/>
                <w:w w:val="94"/>
              </w:rPr>
              <w:t>Average Tangible Net</w:t>
            </w:r>
          </w:p>
        </w:tc>
        <w:tc>
          <w:tcPr>
            <w:tcW w:w="130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9"/>
              </w:rPr>
              <w:t>Value "At Risk"</w:t>
            </w:r>
          </w:p>
        </w:tc>
        <w:tc>
          <w:tcPr>
            <w:tcW w:w="0" w:type="dxa"/>
            <w:vAlign w:val="bottom"/>
          </w:tcPr>
          <w:p>
            <w:pPr>
              <w:spacing w:after="0"/>
              <w:rPr>
                <w:sz w:val="1"/>
                <w:szCs w:val="1"/>
                <w:color w:val="auto"/>
              </w:rPr>
            </w:pPr>
          </w:p>
        </w:tc>
      </w:tr>
      <w:tr>
        <w:trPr>
          <w:trHeight w:val="34"/>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0"/>
              </w:rPr>
              <w:t>Average Daily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3"/>
              </w:rPr>
              <w:t>Maximum</w:t>
            </w: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6"/>
              </w:rPr>
              <w:t>Ending</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8"/>
              </w:rPr>
              <w:t>Average Daily</w:t>
            </w:r>
          </w:p>
        </w:tc>
        <w:tc>
          <w:tcPr>
            <w:tcW w:w="160" w:type="dxa"/>
            <w:vAlign w:val="bottom"/>
          </w:tcPr>
          <w:p>
            <w:pPr>
              <w:spacing w:after="0"/>
              <w:rPr>
                <w:sz w:val="10"/>
                <w:szCs w:val="10"/>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w w:val="99"/>
              </w:rPr>
              <w:t>Ending</w:t>
            </w: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Book Value</w:t>
            </w: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121"/>
        </w:trPr>
        <w:tc>
          <w:tcPr>
            <w:tcW w:w="3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"At Risk" Leverage</w:t>
            </w: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176"/>
        </w:trPr>
        <w:tc>
          <w:tcPr>
            <w:tcW w:w="3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3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5"/>
                <w:szCs w:val="15"/>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3"/>
              </w:rPr>
              <w:t>Daily Amount</w:t>
            </w:r>
          </w:p>
        </w:tc>
        <w:tc>
          <w:tcPr>
            <w:tcW w:w="16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5"/>
                <w:szCs w:val="15"/>
                <w:color w:val="auto"/>
              </w:rPr>
            </w:pPr>
          </w:p>
        </w:tc>
        <w:tc>
          <w:tcPr>
            <w:tcW w:w="720" w:type="dxa"/>
            <w:vAlign w:val="bottom"/>
          </w:tcPr>
          <w:p>
            <w:pPr>
              <w:jc w:val="right"/>
              <w:ind w:right="15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5"/>
                <w:szCs w:val="15"/>
                <w:color w:val="auto"/>
              </w:rPr>
            </w:pPr>
          </w:p>
        </w:tc>
        <w:tc>
          <w:tcPr>
            <w:tcW w:w="1400" w:type="dxa"/>
            <w:vAlign w:val="bottom"/>
            <w:gridSpan w:val="2"/>
          </w:tcPr>
          <w:p>
            <w:pPr>
              <w:jc w:val="center"/>
              <w:ind w:right="120"/>
              <w:spacing w:after="0" w:line="175" w:lineRule="exact"/>
              <w:rPr>
                <w:sz w:val="20"/>
                <w:szCs w:val="20"/>
                <w:color w:val="auto"/>
              </w:rPr>
            </w:pPr>
            <w:r>
              <w:rPr>
                <w:rFonts w:ascii="Arial" w:cs="Arial" w:eastAsia="Arial" w:hAnsi="Arial"/>
                <w:sz w:val="13"/>
                <w:szCs w:val="13"/>
                <w:b w:val="1"/>
                <w:bCs w:val="1"/>
                <w:color w:val="auto"/>
                <w:w w:val="88"/>
              </w:rPr>
              <w:t xml:space="preserve">during the Period </w:t>
            </w:r>
            <w:r>
              <w:rPr>
                <w:rFonts w:ascii="Arial" w:cs="Arial" w:eastAsia="Arial" w:hAnsi="Arial"/>
                <w:sz w:val="16"/>
                <w:szCs w:val="16"/>
                <w:b w:val="1"/>
                <w:bCs w:val="1"/>
                <w:color w:val="auto"/>
                <w:w w:val="88"/>
                <w:vertAlign w:val="superscript"/>
              </w:rPr>
              <w:t>3</w:t>
            </w:r>
          </w:p>
        </w:tc>
        <w:tc>
          <w:tcPr>
            <w:tcW w:w="130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86"/>
              </w:rPr>
              <w:t xml:space="preserve">Period End </w:t>
            </w:r>
            <w:r>
              <w:rPr>
                <w:rFonts w:ascii="Arial" w:cs="Arial" w:eastAsia="Arial" w:hAnsi="Arial"/>
                <w:sz w:val="16"/>
                <w:szCs w:val="16"/>
                <w:b w:val="1"/>
                <w:bCs w:val="1"/>
                <w:color w:val="auto"/>
                <w:w w:val="86"/>
                <w:vertAlign w:val="superscript"/>
              </w:rPr>
              <w:t>4</w:t>
            </w:r>
          </w:p>
        </w:tc>
        <w:tc>
          <w:tcPr>
            <w:tcW w:w="0" w:type="dxa"/>
            <w:vAlign w:val="bottom"/>
          </w:tcPr>
          <w:p>
            <w:pPr>
              <w:spacing w:after="0"/>
              <w:rPr>
                <w:sz w:val="1"/>
                <w:szCs w:val="1"/>
                <w:color w:val="auto"/>
              </w:rPr>
            </w:pPr>
          </w:p>
        </w:tc>
      </w:tr>
      <w:tr>
        <w:trPr>
          <w:trHeight w:val="183"/>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June 30, 2022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42,997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44,243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41,406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19,653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16,001</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7.8:1</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7.4:1</w:t>
            </w:r>
          </w:p>
        </w:tc>
        <w:tc>
          <w:tcPr>
            <w:tcW w:w="0" w:type="dxa"/>
            <w:vAlign w:val="bottom"/>
          </w:tcPr>
          <w:p>
            <w:pPr>
              <w:spacing w:after="0"/>
              <w:rPr>
                <w:sz w:val="1"/>
                <w:szCs w:val="1"/>
                <w:color w:val="auto"/>
              </w:rPr>
            </w:pPr>
          </w:p>
        </w:tc>
      </w:tr>
      <w:tr>
        <w:trPr>
          <w:trHeight w:val="186"/>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March 31, 2022</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46,570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47,940</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44,150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23,605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20,152</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7.8:1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7.5:1</w:t>
            </w:r>
          </w:p>
        </w:tc>
        <w:tc>
          <w:tcPr>
            <w:tcW w:w="0" w:type="dxa"/>
            <w:vAlign w:val="bottom"/>
          </w:tcPr>
          <w:p>
            <w:pPr>
              <w:spacing w:after="0"/>
              <w:rPr>
                <w:sz w:val="1"/>
                <w:szCs w:val="1"/>
                <w:color w:val="auto"/>
              </w:rPr>
            </w:pPr>
          </w:p>
        </w:tc>
      </w:tr>
      <w:tr>
        <w:trPr>
          <w:trHeight w:val="19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31, 2021</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48,524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47,037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29,014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27,622</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7.6:1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7.7:1</w:t>
            </w:r>
          </w:p>
        </w:tc>
        <w:tc>
          <w:tcPr>
            <w:tcW w:w="0" w:type="dxa"/>
            <w:vAlign w:val="bottom"/>
          </w:tcPr>
          <w:p>
            <w:pPr>
              <w:spacing w:after="0"/>
              <w:rPr>
                <w:sz w:val="1"/>
                <w:szCs w:val="1"/>
                <w:color w:val="auto"/>
              </w:rPr>
            </w:pPr>
          </w:p>
        </w:tc>
      </w:tr>
      <w:tr>
        <w:trPr>
          <w:trHeight w:val="186"/>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September 30, 2021</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45,847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49,021</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45,723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30,312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28,912</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7.5:1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7.5:1</w:t>
            </w:r>
          </w:p>
        </w:tc>
        <w:tc>
          <w:tcPr>
            <w:tcW w:w="0" w:type="dxa"/>
            <w:vAlign w:val="bottom"/>
          </w:tcPr>
          <w:p>
            <w:pPr>
              <w:spacing w:after="0"/>
              <w:rPr>
                <w:sz w:val="1"/>
                <w:szCs w:val="1"/>
                <w:color w:val="auto"/>
              </w:rPr>
            </w:pPr>
          </w:p>
        </w:tc>
      </w:tr>
      <w:tr>
        <w:trPr>
          <w:trHeight w:val="19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2021</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60,186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48,488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28,082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27,611</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7.6:1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7.9:1</w:t>
            </w:r>
          </w:p>
        </w:tc>
        <w:tc>
          <w:tcPr>
            <w:tcW w:w="0" w:type="dxa"/>
            <w:vAlign w:val="bottom"/>
          </w:tcPr>
          <w:p>
            <w:pPr>
              <w:spacing w:after="0"/>
              <w:rPr>
                <w:sz w:val="1"/>
                <w:szCs w:val="1"/>
                <w:color w:val="auto"/>
              </w:rPr>
            </w:pPr>
          </w:p>
        </w:tc>
      </w:tr>
      <w:tr>
        <w:trPr>
          <w:trHeight w:val="182"/>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March 31, 2021</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54,602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57,153</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55,221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32,022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25,355</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8.0:1</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7.7:1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 Includes forward settling non-Agency securities.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spacing w:after="0" w:line="1" w:lineRule="exact"/>
        <w:rPr>
          <w:rFonts w:ascii="Arial" w:cs="Arial" w:eastAsia="Arial" w:hAnsi="Arial"/>
          <w:sz w:val="14"/>
          <w:szCs w:val="14"/>
          <w:color w:val="auto"/>
        </w:rPr>
      </w:pPr>
    </w:p>
    <w:p>
      <w:pPr>
        <w:jc w:val="both"/>
        <w:ind w:left="660" w:hanging="328"/>
        <w:spacing w:after="0" w:line="248"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71" w:lineRule="exact"/>
        <w:rPr>
          <w:sz w:val="20"/>
          <w:szCs w:val="20"/>
          <w:color w:val="auto"/>
        </w:rPr>
      </w:pPr>
    </w:p>
    <w:p>
      <w:pPr>
        <w:jc w:val="both"/>
        <w:ind w:firstLine="405"/>
        <w:spacing w:after="0" w:line="278" w:lineRule="auto"/>
        <w:rPr>
          <w:sz w:val="20"/>
          <w:szCs w:val="20"/>
          <w:color w:val="auto"/>
        </w:rPr>
      </w:pPr>
      <w:r>
        <w:rPr>
          <w:rFonts w:ascii="Arial" w:cs="Arial" w:eastAsia="Arial" w:hAnsi="Arial"/>
          <w:sz w:val="17"/>
          <w:szCs w:val="17"/>
          <w:color w:val="auto"/>
        </w:rPr>
        <w:t>The following table summarizes our economic interest expense and aggregate cost of funds (non-GAAP measures) for the three and six months ended June 30, 2022 and 2021 (dollars in millions), which includes the combination of interest expense on Agency repurchase agreements and other debt (GAAP measure), implied financing cost (benefit) of our TBA securities and interest rate swap periodic cost (benefit):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95"/>
              </w:rPr>
              <w:t>Three Months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w w:val="95"/>
              </w:rPr>
              <w:t>Six Months Ended June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9"/>
              </w:rPr>
              <w:t xml:space="preserve">Economic Interest Expense and Aggregate Cost of Funds </w:t>
            </w:r>
            <w:r>
              <w:rPr>
                <w:rFonts w:ascii="Arial" w:cs="Arial" w:eastAsia="Arial" w:hAnsi="Arial"/>
                <w:sz w:val="18"/>
                <w:szCs w:val="18"/>
                <w:b w:val="1"/>
                <w:bCs w:val="1"/>
                <w:color w:val="auto"/>
                <w:w w:val="99"/>
                <w:vertAlign w:val="superscript"/>
              </w:rPr>
              <w:t>1</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1"/>
                <w:szCs w:val="11"/>
                <w:color w:val="auto"/>
              </w:rPr>
            </w:pPr>
          </w:p>
        </w:tc>
        <w:tc>
          <w:tcPr>
            <w:tcW w:w="840" w:type="dxa"/>
            <w:vAlign w:val="bottom"/>
          </w:tcPr>
          <w:p>
            <w:pPr>
              <w:jc w:val="right"/>
              <w:ind w:right="128"/>
              <w:spacing w:after="0" w:line="130" w:lineRule="exact"/>
              <w:rPr>
                <w:sz w:val="20"/>
                <w:szCs w:val="20"/>
                <w:color w:val="auto"/>
              </w:rPr>
            </w:pPr>
            <w:r>
              <w:rPr>
                <w:rFonts w:ascii="Arial" w:cs="Arial" w:eastAsia="Arial" w:hAnsi="Arial"/>
                <w:sz w:val="14"/>
                <w:szCs w:val="14"/>
                <w:b w:val="1"/>
                <w:bCs w:val="1"/>
                <w:color w:val="auto"/>
              </w:rPr>
              <w:t>Cost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660" w:type="dxa"/>
            <w:vAlign w:val="bottom"/>
          </w:tcPr>
          <w:p>
            <w:pPr>
              <w:jc w:val="right"/>
              <w:ind w:right="128"/>
              <w:spacing w:after="0" w:line="130" w:lineRule="exact"/>
              <w:rPr>
                <w:sz w:val="20"/>
                <w:szCs w:val="20"/>
                <w:color w:val="auto"/>
              </w:rPr>
            </w:pPr>
            <w:r>
              <w:rPr>
                <w:rFonts w:ascii="Arial" w:cs="Arial" w:eastAsia="Arial" w:hAnsi="Arial"/>
                <w:sz w:val="14"/>
                <w:szCs w:val="14"/>
                <w:b w:val="1"/>
                <w:bCs w:val="1"/>
                <w:color w:val="auto"/>
                <w:w w:val="91"/>
              </w:rPr>
              <w:t>Cost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1"/>
                <w:szCs w:val="11"/>
                <w:color w:val="auto"/>
              </w:rPr>
            </w:pPr>
          </w:p>
        </w:tc>
        <w:tc>
          <w:tcPr>
            <w:tcW w:w="880" w:type="dxa"/>
            <w:vAlign w:val="bottom"/>
          </w:tcPr>
          <w:p>
            <w:pPr>
              <w:jc w:val="right"/>
              <w:ind w:right="148"/>
              <w:spacing w:after="0" w:line="130" w:lineRule="exact"/>
              <w:rPr>
                <w:sz w:val="20"/>
                <w:szCs w:val="20"/>
                <w:color w:val="auto"/>
              </w:rPr>
            </w:pPr>
            <w:r>
              <w:rPr>
                <w:rFonts w:ascii="Arial" w:cs="Arial" w:eastAsia="Arial" w:hAnsi="Arial"/>
                <w:sz w:val="14"/>
                <w:szCs w:val="14"/>
                <w:b w:val="1"/>
                <w:bCs w:val="1"/>
                <w:color w:val="auto"/>
              </w:rPr>
              <w:t>Cost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700" w:type="dxa"/>
            <w:vAlign w:val="bottom"/>
          </w:tcPr>
          <w:p>
            <w:pPr>
              <w:jc w:val="right"/>
              <w:ind w:right="148"/>
              <w:spacing w:after="0" w:line="130" w:lineRule="exact"/>
              <w:rPr>
                <w:sz w:val="20"/>
                <w:szCs w:val="20"/>
                <w:color w:val="auto"/>
              </w:rPr>
            </w:pPr>
            <w:r>
              <w:rPr>
                <w:rFonts w:ascii="Arial" w:cs="Arial" w:eastAsia="Arial" w:hAnsi="Arial"/>
                <w:sz w:val="14"/>
                <w:szCs w:val="14"/>
                <w:b w:val="1"/>
                <w:bCs w:val="1"/>
                <w:color w:val="auto"/>
                <w:w w:val="95"/>
              </w:rPr>
              <w:t>Cost of</w:t>
            </w:r>
          </w:p>
        </w:tc>
        <w:tc>
          <w:tcPr>
            <w:tcW w:w="0" w:type="dxa"/>
            <w:vAlign w:val="bottom"/>
          </w:tcPr>
          <w:p>
            <w:pPr>
              <w:spacing w:after="0"/>
              <w:rPr>
                <w:sz w:val="1"/>
                <w:szCs w:val="1"/>
                <w:color w:val="auto"/>
              </w:rPr>
            </w:pPr>
          </w:p>
        </w:tc>
      </w:tr>
      <w:tr>
        <w:trPr>
          <w:trHeight w:val="189"/>
        </w:trPr>
        <w:tc>
          <w:tcPr>
            <w:tcW w:w="3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Funds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Funds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Funds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Funds</w:t>
            </w:r>
          </w:p>
        </w:tc>
        <w:tc>
          <w:tcPr>
            <w:tcW w:w="0" w:type="dxa"/>
            <w:vAlign w:val="bottom"/>
          </w:tcPr>
          <w:p>
            <w:pPr>
              <w:spacing w:after="0"/>
              <w:rPr>
                <w:sz w:val="1"/>
                <w:szCs w:val="1"/>
                <w:color w:val="auto"/>
              </w:rPr>
            </w:pPr>
          </w:p>
        </w:tc>
      </w:tr>
      <w:tr>
        <w:trPr>
          <w:trHeight w:val="128"/>
        </w:trPr>
        <w:tc>
          <w:tcPr>
            <w:tcW w:w="39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w w:val="96"/>
              </w:rPr>
              <w:t>Repurchase agreement and other debt - interest expense (GAAP</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0.74 %</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0.13 %</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0.48 %</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center"/>
              <w:ind w:left="30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0.17 %</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measure)</w:t>
            </w: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 xml:space="preserve">TBA dollar roll income - implied interest expense (benefit) </w:t>
            </w:r>
            <w:r>
              <w:rPr>
                <w:rFonts w:ascii="Arial" w:cs="Arial" w:eastAsia="Arial" w:hAnsi="Arial"/>
                <w:sz w:val="18"/>
                <w:szCs w:val="18"/>
                <w:color w:val="auto"/>
                <w:vertAlign w:val="superscript"/>
              </w:rPr>
              <w:t>2,3</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w w:val="96"/>
              </w:rPr>
              <w:t>(61)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15"/>
        </w:trPr>
        <w:tc>
          <w:tcPr>
            <w:tcW w:w="4060" w:type="dxa"/>
            <w:vAlign w:val="bottom"/>
            <w:gridSpan w:val="2"/>
            <w:shd w:val="clear" w:color="auto" w:fill="CCEEFF"/>
          </w:tcPr>
          <w:p>
            <w:pPr>
              <w:ind w:left="180"/>
              <w:spacing w:after="0" w:line="115" w:lineRule="exact"/>
              <w:rPr>
                <w:sz w:val="20"/>
                <w:szCs w:val="20"/>
                <w:color w:val="auto"/>
              </w:rPr>
            </w:pPr>
            <w:r>
              <w:rPr>
                <w:rFonts w:ascii="Arial" w:cs="Arial" w:eastAsia="Arial" w:hAnsi="Arial"/>
                <w:sz w:val="13"/>
                <w:szCs w:val="13"/>
                <w:color w:val="auto"/>
              </w:rPr>
              <w:t>Economic interest expense - before interest rate swap periodic</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0.49 %</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0.23 %</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center"/>
              <w:ind w:left="268"/>
              <w:spacing w:after="0"/>
              <w:rPr>
                <w:sz w:val="20"/>
                <w:szCs w:val="20"/>
                <w:color w:val="auto"/>
              </w:rPr>
            </w:pPr>
            <w:r>
              <w:rPr>
                <w:rFonts w:ascii="Arial" w:cs="Arial" w:eastAsia="Arial" w:hAnsi="Arial"/>
                <w:sz w:val="14"/>
                <w:szCs w:val="14"/>
                <w:color w:val="auto"/>
                <w:w w:val="96"/>
              </w:rPr>
              <w:t>(15)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4"/>
                <w:szCs w:val="14"/>
                <w:color w:val="auto"/>
              </w:rPr>
              <w:t xml:space="preserve">cost (income), net </w:t>
            </w:r>
            <w:r>
              <w:rPr>
                <w:rFonts w:ascii="Arial" w:cs="Arial" w:eastAsia="Arial" w:hAnsi="Arial"/>
                <w:sz w:val="18"/>
                <w:szCs w:val="18"/>
                <w:color w:val="auto"/>
                <w:vertAlign w:val="superscript"/>
              </w:rPr>
              <w:t>4</w:t>
            </w: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Interest rate swap periodic cost (income), net </w:t>
            </w:r>
            <w:r>
              <w:rPr>
                <w:rFonts w:ascii="Arial" w:cs="Arial" w:eastAsia="Arial" w:hAnsi="Arial"/>
                <w:sz w:val="18"/>
                <w:szCs w:val="18"/>
                <w:color w:val="auto"/>
                <w:vertAlign w:val="superscript"/>
              </w:rPr>
              <w:t>2,5</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0.09 %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left="30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0.07 %</w:t>
            </w:r>
          </w:p>
        </w:tc>
        <w:tc>
          <w:tcPr>
            <w:tcW w:w="0" w:type="dxa"/>
            <w:vAlign w:val="bottom"/>
          </w:tcPr>
          <w:p>
            <w:pPr>
              <w:spacing w:after="0"/>
              <w:rPr>
                <w:sz w:val="1"/>
                <w:szCs w:val="1"/>
                <w:color w:val="auto"/>
              </w:rPr>
            </w:pPr>
          </w:p>
        </w:tc>
      </w:tr>
      <w:tr>
        <w:trPr>
          <w:trHeight w:val="208"/>
        </w:trPr>
        <w:tc>
          <w:tcPr>
            <w:tcW w:w="40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economic interest expense (non-GAAP measure)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0.18 %</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0.14 %</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center"/>
              <w:ind w:left="308"/>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Interest rate swap periodic income/cost is measured as a percent of average mortgage borrowings outstanding for the period.</w:t>
      </w:r>
    </w:p>
    <w:p>
      <w:pPr>
        <w:spacing w:after="0" w:line="236" w:lineRule="exact"/>
        <w:rPr>
          <w:sz w:val="20"/>
          <w:szCs w:val="20"/>
          <w:color w:val="auto"/>
        </w:rPr>
      </w:pPr>
    </w:p>
    <w:p>
      <w:pPr>
        <w:jc w:val="both"/>
        <w:ind w:right="20" w:firstLine="445"/>
        <w:spacing w:after="0" w:line="259" w:lineRule="auto"/>
        <w:rPr>
          <w:sz w:val="20"/>
          <w:szCs w:val="20"/>
          <w:color w:val="auto"/>
        </w:rPr>
      </w:pPr>
      <w:r>
        <w:rPr>
          <w:rFonts w:ascii="Arial" w:cs="Arial" w:eastAsia="Arial" w:hAnsi="Arial"/>
          <w:sz w:val="18"/>
          <w:szCs w:val="18"/>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the three and six months ended June 30, 2022 compared to the prior year period (in millions):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67036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June 30, 2022 vs. June 30, 2021</w:t>
      </w:r>
    </w:p>
    <w:p>
      <w:pPr>
        <w:spacing w:after="0" w:line="2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740" w:type="dxa"/>
            <w:vAlign w:val="bottom"/>
            <w:tcBorders>
              <w:top w:val="single" w:sz="8" w:color="auto"/>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Due to Change in Average</w:t>
            </w:r>
          </w:p>
        </w:tc>
        <w:tc>
          <w:tcPr>
            <w:tcW w:w="0" w:type="dxa"/>
            <w:vAlign w:val="bottom"/>
          </w:tcPr>
          <w:p>
            <w:pPr>
              <w:spacing w:after="0"/>
              <w:rPr>
                <w:sz w:val="1"/>
                <w:szCs w:val="1"/>
                <w:color w:val="auto"/>
              </w:rPr>
            </w:pPr>
          </w:p>
        </w:tc>
      </w:tr>
      <w:tr>
        <w:trPr>
          <w:trHeight w:val="131"/>
        </w:trPr>
        <w:tc>
          <w:tcPr>
            <w:tcW w:w="6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2"/>
              </w:rPr>
              <w:t>Borrowing / Swap</w:t>
            </w:r>
          </w:p>
        </w:tc>
        <w:tc>
          <w:tcPr>
            <w:tcW w:w="120" w:type="dxa"/>
            <w:vAlign w:val="bottom"/>
          </w:tcPr>
          <w:p>
            <w:pPr>
              <w:spacing w:after="0"/>
              <w:rPr>
                <w:sz w:val="11"/>
                <w:szCs w:val="11"/>
                <w:color w:val="auto"/>
              </w:rPr>
            </w:pPr>
          </w:p>
        </w:tc>
        <w:tc>
          <w:tcPr>
            <w:tcW w:w="1260" w:type="dxa"/>
            <w:vAlign w:val="bottom"/>
          </w:tcPr>
          <w:p>
            <w:pPr>
              <w:jc w:val="center"/>
              <w:ind w:right="48"/>
              <w:spacing w:after="0" w:line="131" w:lineRule="exact"/>
              <w:rPr>
                <w:sz w:val="20"/>
                <w:szCs w:val="20"/>
                <w:color w:val="auto"/>
              </w:rPr>
            </w:pPr>
            <w:r>
              <w:rPr>
                <w:rFonts w:ascii="Arial" w:cs="Arial" w:eastAsia="Arial" w:hAnsi="Arial"/>
                <w:sz w:val="14"/>
                <w:szCs w:val="14"/>
                <w:b w:val="1"/>
                <w:bCs w:val="1"/>
                <w:color w:val="auto"/>
                <w:w w:val="92"/>
              </w:rPr>
              <w:t>Borrowing / Swap</w:t>
            </w:r>
          </w:p>
        </w:tc>
        <w:tc>
          <w:tcPr>
            <w:tcW w:w="0" w:type="dxa"/>
            <w:vAlign w:val="bottom"/>
          </w:tcPr>
          <w:p>
            <w:pPr>
              <w:spacing w:after="0"/>
              <w:rPr>
                <w:sz w:val="1"/>
                <w:szCs w:val="1"/>
                <w:color w:val="auto"/>
              </w:rPr>
            </w:pPr>
          </w:p>
        </w:tc>
      </w:tr>
      <w:tr>
        <w:trPr>
          <w:trHeight w:val="188"/>
        </w:trPr>
        <w:tc>
          <w:tcPr>
            <w:tcW w:w="6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6"/>
                <w:szCs w:val="16"/>
                <w:color w:val="auto"/>
              </w:rPr>
            </w:pP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84"/>
        </w:trPr>
        <w:tc>
          <w:tcPr>
            <w:tcW w:w="6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center"/>
              <w:ind w:left="868"/>
              <w:spacing w:after="0"/>
              <w:rPr>
                <w:sz w:val="20"/>
                <w:szCs w:val="20"/>
                <w:color w:val="auto"/>
              </w:rPr>
            </w:pPr>
            <w:r>
              <w:rPr>
                <w:rFonts w:ascii="Arial" w:cs="Arial" w:eastAsia="Arial" w:hAnsi="Arial"/>
                <w:sz w:val="14"/>
                <w:szCs w:val="14"/>
                <w:color w:val="auto"/>
                <w:w w:val="89"/>
              </w:rPr>
              <w:t>63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center"/>
              <w:ind w:left="928"/>
              <w:spacing w:after="0"/>
              <w:rPr>
                <w:sz w:val="20"/>
                <w:szCs w:val="20"/>
                <w:color w:val="auto"/>
              </w:rPr>
            </w:pPr>
            <w:r>
              <w:rPr>
                <w:rFonts w:ascii="Arial" w:cs="Arial" w:eastAsia="Arial" w:hAnsi="Arial"/>
                <w:sz w:val="14"/>
                <w:szCs w:val="14"/>
                <w:color w:val="auto"/>
                <w:w w:val="89"/>
              </w:rPr>
              <w:t>66</w:t>
            </w:r>
          </w:p>
        </w:tc>
        <w:tc>
          <w:tcPr>
            <w:tcW w:w="0" w:type="dxa"/>
            <w:vAlign w:val="bottom"/>
          </w:tcPr>
          <w:p>
            <w:pPr>
              <w:spacing w:after="0"/>
              <w:rPr>
                <w:sz w:val="1"/>
                <w:szCs w:val="1"/>
                <w:color w:val="auto"/>
              </w:rPr>
            </w:pPr>
          </w:p>
        </w:tc>
      </w:tr>
      <w:tr>
        <w:trPr>
          <w:trHeight w:val="186"/>
        </w:trPr>
        <w:tc>
          <w:tcPr>
            <w:tcW w:w="6220" w:type="dxa"/>
            <w:vAlign w:val="bottom"/>
            <w:gridSpan w:val="2"/>
          </w:tcPr>
          <w:p>
            <w:pPr>
              <w:ind w:left="20"/>
              <w:spacing w:after="0"/>
              <w:rPr>
                <w:sz w:val="20"/>
                <w:szCs w:val="20"/>
                <w:color w:val="auto"/>
              </w:rPr>
            </w:pPr>
            <w:r>
              <w:rPr>
                <w:rFonts w:ascii="Arial" w:cs="Arial" w:eastAsia="Arial" w:hAnsi="Arial"/>
                <w:sz w:val="14"/>
                <w:szCs w:val="14"/>
                <w:color w:val="auto"/>
              </w:rPr>
              <w:t>TBA dollar roll income - implied interest benefit/expense</w:t>
            </w:r>
          </w:p>
        </w:tc>
        <w:tc>
          <w:tcPr>
            <w:tcW w:w="140" w:type="dxa"/>
            <w:vAlign w:val="bottom"/>
          </w:tcPr>
          <w:p>
            <w:pPr>
              <w:spacing w:after="0"/>
              <w:rPr>
                <w:sz w:val="16"/>
                <w:szCs w:val="16"/>
                <w:color w:val="auto"/>
              </w:rPr>
            </w:pPr>
          </w:p>
        </w:tc>
        <w:tc>
          <w:tcPr>
            <w:tcW w:w="1240" w:type="dxa"/>
            <w:vAlign w:val="bottom"/>
          </w:tcPr>
          <w:p>
            <w:pPr>
              <w:jc w:val="center"/>
              <w:ind w:left="868"/>
              <w:spacing w:after="0"/>
              <w:rPr>
                <w:sz w:val="20"/>
                <w:szCs w:val="20"/>
                <w:color w:val="auto"/>
              </w:rPr>
            </w:pPr>
            <w:r>
              <w:rPr>
                <w:rFonts w:ascii="Arial" w:cs="Arial" w:eastAsia="Arial" w:hAnsi="Arial"/>
                <w:sz w:val="14"/>
                <w:szCs w:val="14"/>
                <w:color w:val="auto"/>
                <w:w w:val="89"/>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left="928"/>
              <w:spacing w:after="0"/>
              <w:rPr>
                <w:sz w:val="20"/>
                <w:szCs w:val="20"/>
                <w:color w:val="auto"/>
              </w:rPr>
            </w:pPr>
            <w:r>
              <w:rPr>
                <w:rFonts w:ascii="Arial" w:cs="Arial" w:eastAsia="Arial" w:hAnsi="Arial"/>
                <w:sz w:val="14"/>
                <w:szCs w:val="14"/>
                <w:color w:val="auto"/>
                <w:w w:val="89"/>
              </w:rPr>
              <w:t>14</w:t>
            </w:r>
          </w:p>
        </w:tc>
        <w:tc>
          <w:tcPr>
            <w:tcW w:w="0" w:type="dxa"/>
            <w:vAlign w:val="bottom"/>
          </w:tcPr>
          <w:p>
            <w:pPr>
              <w:spacing w:after="0"/>
              <w:rPr>
                <w:sz w:val="1"/>
                <w:szCs w:val="1"/>
                <w:color w:val="auto"/>
              </w:rPr>
            </w:pPr>
          </w:p>
        </w:tc>
      </w:tr>
      <w:tr>
        <w:trPr>
          <w:trHeight w:val="189"/>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 periodic income/cost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center"/>
              <w:ind w:left="848"/>
              <w:spacing w:after="0"/>
              <w:rPr>
                <w:sz w:val="20"/>
                <w:szCs w:val="20"/>
                <w:color w:val="auto"/>
              </w:rPr>
            </w:pPr>
            <w:r>
              <w:rPr>
                <w:rFonts w:ascii="Arial" w:cs="Arial" w:eastAsia="Arial" w:hAnsi="Arial"/>
                <w:sz w:val="14"/>
                <w:szCs w:val="14"/>
                <w:color w:val="auto"/>
                <w:w w:val="96"/>
              </w:rPr>
              <w:t>(68)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center"/>
              <w:ind w:left="908"/>
              <w:spacing w:after="0"/>
              <w:rPr>
                <w:sz w:val="20"/>
                <w:szCs w:val="20"/>
                <w:color w:val="auto"/>
              </w:rPr>
            </w:pPr>
            <w:r>
              <w:rPr>
                <w:rFonts w:ascii="Arial" w:cs="Arial" w:eastAsia="Arial" w:hAnsi="Arial"/>
                <w:sz w:val="14"/>
                <w:szCs w:val="14"/>
                <w:color w:val="auto"/>
                <w:w w:val="96"/>
              </w:rPr>
              <w:t>(68)</w:t>
            </w:r>
          </w:p>
        </w:tc>
        <w:tc>
          <w:tcPr>
            <w:tcW w:w="0" w:type="dxa"/>
            <w:vAlign w:val="bottom"/>
          </w:tcPr>
          <w:p>
            <w:pPr>
              <w:spacing w:after="0"/>
              <w:rPr>
                <w:sz w:val="1"/>
                <w:szCs w:val="1"/>
                <w:color w:val="auto"/>
              </w:rPr>
            </w:pPr>
          </w:p>
        </w:tc>
      </w:tr>
      <w:tr>
        <w:trPr>
          <w:trHeight w:val="186"/>
        </w:trPr>
        <w:tc>
          <w:tcPr>
            <w:tcW w:w="6220" w:type="dxa"/>
            <w:vAlign w:val="bottom"/>
            <w:gridSpan w:val="2"/>
          </w:tcPr>
          <w:p>
            <w:pPr>
              <w:ind w:left="20"/>
              <w:spacing w:after="0"/>
              <w:rPr>
                <w:sz w:val="20"/>
                <w:szCs w:val="20"/>
                <w:color w:val="auto"/>
              </w:rPr>
            </w:pPr>
            <w:r>
              <w:rPr>
                <w:rFonts w:ascii="Arial" w:cs="Arial" w:eastAsia="Arial" w:hAnsi="Arial"/>
                <w:sz w:val="14"/>
                <w:szCs w:val="14"/>
                <w:color w:val="auto"/>
              </w:rPr>
              <w:t>Total change in economic interest benefit/expense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center"/>
              <w:ind w:left="868"/>
              <w:spacing w:after="0"/>
              <w:rPr>
                <w:sz w:val="20"/>
                <w:szCs w:val="20"/>
                <w:color w:val="auto"/>
              </w:rPr>
            </w:pPr>
            <w:r>
              <w:rPr>
                <w:rFonts w:ascii="Arial" w:cs="Arial" w:eastAsia="Arial" w:hAnsi="Arial"/>
                <w:sz w:val="14"/>
                <w:szCs w:val="14"/>
                <w:color w:val="auto"/>
                <w:w w:val="89"/>
              </w:rPr>
              <w:t>16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center"/>
              <w:ind w:left="928"/>
              <w:spacing w:after="0"/>
              <w:rPr>
                <w:sz w:val="20"/>
                <w:szCs w:val="20"/>
                <w:color w:val="auto"/>
              </w:rPr>
            </w:pPr>
            <w:r>
              <w:rPr>
                <w:rFonts w:ascii="Arial" w:cs="Arial" w:eastAsia="Arial" w:hAnsi="Arial"/>
                <w:sz w:val="14"/>
                <w:szCs w:val="14"/>
                <w:color w:val="auto"/>
                <w:w w:val="89"/>
              </w:rPr>
              <w:t>12</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8660"/>
        <w:spacing w:after="0"/>
        <w:rPr>
          <w:sz w:val="20"/>
          <w:szCs w:val="20"/>
          <w:color w:val="auto"/>
        </w:rPr>
      </w:pPr>
      <w:r>
        <w:rPr>
          <w:rFonts w:ascii="Arial" w:cs="Arial" w:eastAsia="Arial" w:hAnsi="Arial"/>
          <w:sz w:val="14"/>
          <w:szCs w:val="14"/>
          <w:b w:val="1"/>
          <w:bCs w:val="1"/>
          <w:color w:val="auto"/>
        </w:rPr>
        <w:t>Due to Change in Average</w:t>
      </w:r>
    </w:p>
    <w:p>
      <w:pPr>
        <w:spacing w:after="0" w:line="16" w:lineRule="exact"/>
        <w:rPr>
          <w:sz w:val="20"/>
          <w:szCs w:val="20"/>
          <w:color w:val="auto"/>
        </w:rPr>
      </w:pPr>
    </w:p>
    <w:tbl>
      <w:tblPr>
        <w:tblLayout w:type="fixed"/>
        <w:tblInd w:w="340" w:type="dxa"/>
        <w:tblCellMar>
          <w:top w:w="0" w:type="dxa"/>
          <w:left w:w="0" w:type="dxa"/>
          <w:bottom w:w="0" w:type="dxa"/>
          <w:right w:w="0" w:type="dxa"/>
        </w:tblCellMar>
      </w:tblPr>
      <w:tr>
        <w:trPr>
          <w:trHeight w:val="140"/>
        </w:trPr>
        <w:tc>
          <w:tcPr>
            <w:tcW w:w="62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gridSpan w:val="2"/>
            <w:shd w:val="clear" w:color="auto" w:fill="CCEEFF"/>
          </w:tcPr>
          <w:p>
            <w:pPr>
              <w:jc w:val="center"/>
              <w:ind w:right="240"/>
              <w:spacing w:after="0" w:line="141"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gridSpan w:val="2"/>
            <w:shd w:val="clear" w:color="auto" w:fill="CCEEFF"/>
          </w:tcPr>
          <w:p>
            <w:pPr>
              <w:jc w:val="center"/>
              <w:ind w:right="220"/>
              <w:spacing w:after="0" w:line="141" w:lineRule="exact"/>
              <w:rPr>
                <w:sz w:val="20"/>
                <w:szCs w:val="20"/>
                <w:color w:val="auto"/>
              </w:rPr>
            </w:pPr>
            <w:r>
              <w:rPr>
                <w:rFonts w:ascii="Arial" w:cs="Arial" w:eastAsia="Arial" w:hAnsi="Arial"/>
                <w:sz w:val="14"/>
                <w:szCs w:val="14"/>
                <w:b w:val="1"/>
                <w:bCs w:val="1"/>
                <w:color w:val="auto"/>
                <w:w w:val="92"/>
              </w:rPr>
              <w:t>Borrowing / Swap</w:t>
            </w:r>
          </w:p>
        </w:tc>
        <w:tc>
          <w:tcPr>
            <w:tcW w:w="1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center"/>
              <w:ind w:right="48"/>
              <w:spacing w:after="0" w:line="141" w:lineRule="exact"/>
              <w:rPr>
                <w:sz w:val="20"/>
                <w:szCs w:val="20"/>
                <w:color w:val="auto"/>
              </w:rPr>
            </w:pPr>
            <w:r>
              <w:rPr>
                <w:rFonts w:ascii="Arial" w:cs="Arial" w:eastAsia="Arial" w:hAnsi="Arial"/>
                <w:sz w:val="14"/>
                <w:szCs w:val="14"/>
                <w:b w:val="1"/>
                <w:bCs w:val="1"/>
                <w:color w:val="auto"/>
                <w:w w:val="92"/>
              </w:rPr>
              <w:t>Borrowing / Swap</w:t>
            </w:r>
          </w:p>
        </w:tc>
        <w:tc>
          <w:tcPr>
            <w:tcW w:w="0" w:type="dxa"/>
            <w:vAlign w:val="bottom"/>
          </w:tcPr>
          <w:p>
            <w:pPr>
              <w:spacing w:after="0"/>
              <w:rPr>
                <w:sz w:val="1"/>
                <w:szCs w:val="1"/>
                <w:color w:val="auto"/>
              </w:rPr>
            </w:pPr>
          </w:p>
        </w:tc>
      </w:tr>
      <w:tr>
        <w:trPr>
          <w:trHeight w:val="189"/>
        </w:trPr>
        <w:tc>
          <w:tcPr>
            <w:tcW w:w="62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center"/>
              <w:ind w:right="28"/>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79"/>
        </w:trPr>
        <w:tc>
          <w:tcPr>
            <w:tcW w:w="6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center"/>
              <w:ind w:left="868"/>
              <w:spacing w:after="0"/>
              <w:rPr>
                <w:sz w:val="20"/>
                <w:szCs w:val="20"/>
                <w:color w:val="auto"/>
              </w:rPr>
            </w:pPr>
            <w:r>
              <w:rPr>
                <w:rFonts w:ascii="Arial" w:cs="Arial" w:eastAsia="Arial" w:hAnsi="Arial"/>
                <w:sz w:val="14"/>
                <w:szCs w:val="14"/>
                <w:color w:val="auto"/>
                <w:w w:val="89"/>
              </w:rPr>
              <w:t>61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center"/>
              <w:ind w:left="928"/>
              <w:spacing w:after="0"/>
              <w:rPr>
                <w:sz w:val="20"/>
                <w:szCs w:val="20"/>
                <w:color w:val="auto"/>
              </w:rPr>
            </w:pPr>
            <w:r>
              <w:rPr>
                <w:rFonts w:ascii="Arial" w:cs="Arial" w:eastAsia="Arial" w:hAnsi="Arial"/>
                <w:sz w:val="14"/>
                <w:szCs w:val="14"/>
                <w:color w:val="auto"/>
                <w:w w:val="89"/>
              </w:rPr>
              <w:t>68</w:t>
            </w:r>
          </w:p>
        </w:tc>
        <w:tc>
          <w:tcPr>
            <w:tcW w:w="0" w:type="dxa"/>
            <w:vAlign w:val="bottom"/>
          </w:tcPr>
          <w:p>
            <w:pPr>
              <w:spacing w:after="0"/>
              <w:rPr>
                <w:sz w:val="1"/>
                <w:szCs w:val="1"/>
                <w:color w:val="auto"/>
              </w:rPr>
            </w:pPr>
          </w:p>
        </w:tc>
      </w:tr>
      <w:tr>
        <w:trPr>
          <w:trHeight w:val="192"/>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benefit/expense</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center"/>
              <w:ind w:left="868"/>
              <w:spacing w:after="0"/>
              <w:rPr>
                <w:sz w:val="20"/>
                <w:szCs w:val="20"/>
                <w:color w:val="auto"/>
              </w:rPr>
            </w:pPr>
            <w:r>
              <w:rPr>
                <w:rFonts w:ascii="Arial" w:cs="Arial" w:eastAsia="Arial" w:hAnsi="Arial"/>
                <w:sz w:val="14"/>
                <w:szCs w:val="14"/>
                <w:color w:val="auto"/>
                <w:w w:val="89"/>
              </w:rPr>
              <w:t>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center"/>
              <w:ind w:left="928"/>
              <w:spacing w:after="0"/>
              <w:rPr>
                <w:sz w:val="20"/>
                <w:szCs w:val="20"/>
                <w:color w:val="auto"/>
              </w:rPr>
            </w:pPr>
            <w:r>
              <w:rPr>
                <w:rFonts w:ascii="Arial" w:cs="Arial" w:eastAsia="Arial" w:hAnsi="Arial"/>
                <w:sz w:val="14"/>
                <w:szCs w:val="14"/>
                <w:color w:val="auto"/>
                <w:w w:val="89"/>
              </w:rPr>
              <w:t>13</w:t>
            </w:r>
          </w:p>
        </w:tc>
        <w:tc>
          <w:tcPr>
            <w:tcW w:w="0" w:type="dxa"/>
            <w:vAlign w:val="bottom"/>
          </w:tcPr>
          <w:p>
            <w:pPr>
              <w:spacing w:after="0"/>
              <w:rPr>
                <w:sz w:val="1"/>
                <w:szCs w:val="1"/>
                <w:color w:val="auto"/>
              </w:rPr>
            </w:pPr>
          </w:p>
        </w:tc>
      </w:tr>
      <w:tr>
        <w:trPr>
          <w:trHeight w:val="186"/>
        </w:trPr>
        <w:tc>
          <w:tcPr>
            <w:tcW w:w="6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rate swap periodic income/cost</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848"/>
              <w:spacing w:after="0"/>
              <w:rPr>
                <w:sz w:val="20"/>
                <w:szCs w:val="20"/>
                <w:color w:val="auto"/>
              </w:rPr>
            </w:pPr>
            <w:r>
              <w:rPr>
                <w:rFonts w:ascii="Arial" w:cs="Arial" w:eastAsia="Arial" w:hAnsi="Arial"/>
                <w:sz w:val="14"/>
                <w:szCs w:val="14"/>
                <w:color w:val="auto"/>
                <w:w w:val="96"/>
              </w:rPr>
              <w:t>(62)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908"/>
              <w:spacing w:after="0"/>
              <w:rPr>
                <w:sz w:val="20"/>
                <w:szCs w:val="20"/>
                <w:color w:val="auto"/>
              </w:rPr>
            </w:pPr>
            <w:r>
              <w:rPr>
                <w:rFonts w:ascii="Arial" w:cs="Arial" w:eastAsia="Arial" w:hAnsi="Arial"/>
                <w:sz w:val="14"/>
                <w:szCs w:val="14"/>
                <w:color w:val="auto"/>
                <w:w w:val="96"/>
              </w:rPr>
              <w:t>(64)</w:t>
            </w:r>
          </w:p>
        </w:tc>
        <w:tc>
          <w:tcPr>
            <w:tcW w:w="0" w:type="dxa"/>
            <w:vAlign w:val="bottom"/>
          </w:tcPr>
          <w:p>
            <w:pPr>
              <w:spacing w:after="0"/>
              <w:rPr>
                <w:sz w:val="1"/>
                <w:szCs w:val="1"/>
                <w:color w:val="auto"/>
              </w:rPr>
            </w:pPr>
          </w:p>
        </w:tc>
      </w:tr>
      <w:tr>
        <w:trPr>
          <w:trHeight w:val="211"/>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benefit/expense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center"/>
              <w:ind w:left="868"/>
              <w:spacing w:after="0"/>
              <w:rPr>
                <w:sz w:val="20"/>
                <w:szCs w:val="20"/>
                <w:color w:val="auto"/>
              </w:rPr>
            </w:pPr>
            <w:r>
              <w:rPr>
                <w:rFonts w:ascii="Arial" w:cs="Arial" w:eastAsia="Arial" w:hAnsi="Arial"/>
                <w:sz w:val="14"/>
                <w:szCs w:val="14"/>
                <w:color w:val="auto"/>
                <w:w w:val="89"/>
              </w:rPr>
              <w:t>29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center"/>
              <w:ind w:left="928"/>
              <w:spacing w:after="0"/>
              <w:rPr>
                <w:sz w:val="20"/>
                <w:szCs w:val="20"/>
                <w:color w:val="auto"/>
              </w:rPr>
            </w:pPr>
            <w:r>
              <w:rPr>
                <w:rFonts w:ascii="Arial" w:cs="Arial" w:eastAsia="Arial" w:hAnsi="Arial"/>
                <w:sz w:val="14"/>
                <w:szCs w:val="14"/>
                <w:color w:val="auto"/>
                <w:w w:val="89"/>
              </w:rPr>
              <w:t>17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average mortgage borrowings, inclusive of TBAs, decreased 22% and 21% for the three and six months ended June 30, 2022, respectively, compared to the prior year period, due to a decline in stockholders' equity and smaller asset base. The average interest rate on our mortgage borrowings for the three and six months ended June 30, 2022 increased 52 and 27 basis points, respectively, due to higher short-term rates. The decrease in our interest rate swap periodic cost for the three and six months ended June 30, 2022 was primarily a function of higher receive rates. The following is a summary of our average interest rate swaps outstanding and the related average swap pay and receive rates for the three and six months ended June 30, 2022 and 2021 (dollars in millions). Amounts exclude forward starting swaps not yet in effect.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56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Average Ratio of Interest Rate Swaps (Excluding Forward Starting Swaps) to Mortgage Borrowings</w:t>
            </w:r>
          </w:p>
        </w:tc>
        <w:tc>
          <w:tcPr>
            <w:tcW w:w="240" w:type="dxa"/>
            <w:vAlign w:val="bottom"/>
          </w:tcPr>
          <w:p>
            <w:pPr>
              <w:spacing w:after="0"/>
              <w:rPr>
                <w:sz w:val="10"/>
                <w:szCs w:val="10"/>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8"/>
        </w:trPr>
        <w:tc>
          <w:tcPr>
            <w:tcW w:w="6560" w:type="dxa"/>
            <w:vAlign w:val="bottom"/>
            <w:gridSpan w:val="2"/>
          </w:tcPr>
          <w:p>
            <w:pPr>
              <w:ind w:left="20"/>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Agency repo and other debt outstanding</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42,997</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52,374</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44,774</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53,482</w:t>
            </w:r>
          </w:p>
        </w:tc>
        <w:tc>
          <w:tcPr>
            <w:tcW w:w="0" w:type="dxa"/>
            <w:vAlign w:val="bottom"/>
          </w:tcPr>
          <w:p>
            <w:pPr>
              <w:spacing w:after="0"/>
              <w:rPr>
                <w:sz w:val="1"/>
                <w:szCs w:val="1"/>
                <w:color w:val="auto"/>
              </w:rPr>
            </w:pPr>
          </w:p>
        </w:tc>
      </w:tr>
      <w:tr>
        <w:trPr>
          <w:trHeight w:val="186"/>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dollar roll position outstanding - at cost</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19,653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28,082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21,618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30,041</w:t>
            </w:r>
          </w:p>
        </w:tc>
        <w:tc>
          <w:tcPr>
            <w:tcW w:w="0" w:type="dxa"/>
            <w:vAlign w:val="bottom"/>
          </w:tcPr>
          <w:p>
            <w:pPr>
              <w:spacing w:after="0"/>
              <w:rPr>
                <w:sz w:val="1"/>
                <w:szCs w:val="1"/>
                <w:color w:val="auto"/>
              </w:rPr>
            </w:pPr>
          </w:p>
        </w:tc>
      </w:tr>
      <w:tr>
        <w:trPr>
          <w:trHeight w:val="18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 outstanding</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62,650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80,456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66,392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83,523</w:t>
            </w:r>
          </w:p>
        </w:tc>
        <w:tc>
          <w:tcPr>
            <w:tcW w:w="0" w:type="dxa"/>
            <w:vAlign w:val="bottom"/>
          </w:tcPr>
          <w:p>
            <w:pPr>
              <w:spacing w:after="0"/>
              <w:rPr>
                <w:sz w:val="1"/>
                <w:szCs w:val="1"/>
                <w:color w:val="auto"/>
              </w:rPr>
            </w:pPr>
          </w:p>
        </w:tc>
      </w:tr>
      <w:tr>
        <w:trPr>
          <w:trHeight w:val="182"/>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Average notional amount of interest rate swaps outstanding (excluding forward starting swaps)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49,800</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49,725</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51,164</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47,480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57 %</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9"/>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interest rate swap pay-fixed rate (excluding forward starting swaps)</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0.27 %</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0.18 %</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0.25 %</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0.17 %</w:t>
            </w:r>
          </w:p>
        </w:tc>
      </w:tr>
      <w:tr>
        <w:trPr>
          <w:trHeight w:val="18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Average interest rate swap receive-floating rate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(0.66)%</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(0.37)%</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r>
      <w:tr>
        <w:trPr>
          <w:trHeight w:val="211"/>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Average interest rate swap net pay/(receive) rate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0.15 %</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0.13 %</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 the three and six months ended June 30, 2022, we had an average forward starting swap balance of $34 million and $46 million, respectively, and for the three and six months ended June 30, 2021, an average forward starting swap balance of zero and $141 million, respectively. Forward starting interest rate swaps do not impact our economic interest expense and aggregate cost of funds until they commence accruing net interest settlements on their forward start dates.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Spread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spread (including the impact of TBA dollar roll income, interest rate swaps and excluding "catch-up" premium amortization) for the three and six months ended June 30, 2022 and 2021:</w:t>
      </w:r>
    </w:p>
    <w:p>
      <w:pPr>
        <w:spacing w:after="0" w:line="13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86"/>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vMerge w:val="continue"/>
          </w:tcPr>
          <w:p>
            <w:pPr>
              <w:spacing w:after="0"/>
              <w:rPr>
                <w:sz w:val="16"/>
                <w:szCs w:val="16"/>
                <w:color w:val="auto"/>
              </w:rPr>
            </w:pPr>
          </w:p>
        </w:tc>
        <w:tc>
          <w:tcPr>
            <w:tcW w:w="150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and TBA Securities - Net Interest Spread</w:t>
            </w:r>
          </w:p>
        </w:tc>
        <w:tc>
          <w:tcPr>
            <w:tcW w:w="10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10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4"/>
        </w:trPr>
        <w:tc>
          <w:tcPr>
            <w:tcW w:w="6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asset yield, excluding "catch-up" premium amortization</w:t>
            </w: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2.88 %</w:t>
            </w: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2.15 %</w:t>
            </w: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2.57 %</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2.08 %</w:t>
            </w:r>
          </w:p>
        </w:tc>
        <w:tc>
          <w:tcPr>
            <w:tcW w:w="0" w:type="dxa"/>
            <w:vAlign w:val="bottom"/>
          </w:tcPr>
          <w:p>
            <w:pPr>
              <w:spacing w:after="0"/>
              <w:rPr>
                <w:sz w:val="1"/>
                <w:szCs w:val="1"/>
                <w:color w:val="auto"/>
              </w:rPr>
            </w:pPr>
          </w:p>
        </w:tc>
      </w:tr>
      <w:tr>
        <w:trPr>
          <w:trHeight w:val="186"/>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aggregate cost of funds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11"/>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2.70 %</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2.09 %</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2.43 %</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2.05 %</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the three and six months ended June 30, 2022 and 2021 (dollars in millions):</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4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9"/>
              </w:rPr>
              <w:t>Three Months Ended June 30,</w:t>
            </w:r>
          </w:p>
        </w:tc>
        <w:tc>
          <w:tcPr>
            <w:tcW w:w="200" w:type="dxa"/>
            <w:vAlign w:val="bottom"/>
          </w:tcPr>
          <w:p>
            <w:pPr>
              <w:spacing w:after="0"/>
              <w:rPr>
                <w:sz w:val="14"/>
                <w:szCs w:val="14"/>
                <w:color w:val="auto"/>
              </w:rPr>
            </w:pPr>
          </w:p>
        </w:tc>
        <w:tc>
          <w:tcPr>
            <w:tcW w:w="188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2040" w:type="dxa"/>
            <w:vAlign w:val="bottom"/>
            <w:gridSpan w:val="6"/>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4"/>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 (GAAP measure)</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89"/>
        </w:trPr>
        <w:tc>
          <w:tcPr>
            <w:tcW w:w="6980" w:type="dxa"/>
            <w:vAlign w:val="bottom"/>
          </w:tcPr>
          <w:p>
            <w:pPr>
              <w:ind w:left="140"/>
              <w:spacing w:after="0" w:line="189" w:lineRule="exact"/>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18"/>
                <w:szCs w:val="18"/>
                <w:color w:val="auto"/>
                <w:vertAlign w:val="superscript"/>
              </w:rPr>
              <w:t>1</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89"/>
        </w:trPr>
        <w:tc>
          <w:tcPr>
            <w:tcW w:w="698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Interest rate swap periodic cost (income), net </w:t>
            </w:r>
            <w:r>
              <w:rPr>
                <w:rFonts w:ascii="Arial" w:cs="Arial" w:eastAsia="Arial" w:hAnsi="Arial"/>
                <w:sz w:val="18"/>
                <w:szCs w:val="18"/>
                <w:color w:val="auto"/>
                <w:vertAlign w:val="superscript"/>
              </w:rPr>
              <w:t>1</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79"/>
        </w:trPr>
        <w:tc>
          <w:tcPr>
            <w:tcW w:w="6980" w:type="dxa"/>
            <w:vAlign w:val="bottom"/>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1,128</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192"/>
        </w:trPr>
        <w:tc>
          <w:tcPr>
            <w:tcW w:w="6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expense</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9"/>
        </w:trPr>
        <w:tc>
          <w:tcPr>
            <w:tcW w:w="6980" w:type="dxa"/>
            <w:vAlign w:val="bottom"/>
          </w:tcPr>
          <w:p>
            <w:pPr>
              <w:ind w:left="20"/>
              <w:spacing w:after="0"/>
              <w:rPr>
                <w:sz w:val="20"/>
                <w:szCs w:val="20"/>
                <w:color w:val="auto"/>
              </w:rPr>
            </w:pPr>
            <w:r>
              <w:rPr>
                <w:rFonts w:ascii="Arial" w:cs="Arial" w:eastAsia="Arial" w:hAnsi="Arial"/>
                <w:sz w:val="14"/>
                <w:szCs w:val="14"/>
                <w:color w:val="auto"/>
              </w:rPr>
              <w:t>Net spread and dollar roll income</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1,087</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999</w:t>
            </w:r>
          </w:p>
        </w:tc>
        <w:tc>
          <w:tcPr>
            <w:tcW w:w="0" w:type="dxa"/>
            <w:vAlign w:val="bottom"/>
          </w:tcPr>
          <w:p>
            <w:pPr>
              <w:spacing w:after="0"/>
              <w:rPr>
                <w:sz w:val="1"/>
                <w:szCs w:val="1"/>
                <w:color w:val="auto"/>
              </w:rPr>
            </w:pPr>
          </w:p>
        </w:tc>
      </w:tr>
      <w:tr>
        <w:trPr>
          <w:trHeight w:val="192"/>
        </w:trPr>
        <w:tc>
          <w:tcPr>
            <w:tcW w:w="6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 on preferred stock</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9"/>
        </w:trPr>
        <w:tc>
          <w:tcPr>
            <w:tcW w:w="6980" w:type="dxa"/>
            <w:vAlign w:val="bottom"/>
          </w:tcPr>
          <w:p>
            <w:pPr>
              <w:ind w:left="20"/>
              <w:spacing w:after="0"/>
              <w:rPr>
                <w:sz w:val="20"/>
                <w:szCs w:val="20"/>
                <w:color w:val="auto"/>
              </w:rPr>
            </w:pPr>
            <w:r>
              <w:rPr>
                <w:rFonts w:ascii="Arial" w:cs="Arial" w:eastAsia="Arial" w:hAnsi="Arial"/>
                <w:sz w:val="14"/>
                <w:szCs w:val="14"/>
                <w:color w:val="auto"/>
              </w:rPr>
              <w:t>Net spread and dollar roll income available to common stockholders (non-GAAP measure)</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1,037</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192"/>
        </w:trPr>
        <w:tc>
          <w:tcPr>
            <w:tcW w:w="6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Estimated "catch-up" premium amortization cost (benefit) due to change in CPR forecast</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15"/>
        </w:trPr>
        <w:tc>
          <w:tcPr>
            <w:tcW w:w="6980" w:type="dxa"/>
            <w:vAlign w:val="bottom"/>
          </w:tcPr>
          <w:p>
            <w:pPr>
              <w:ind w:left="20"/>
              <w:spacing w:after="0" w:line="115" w:lineRule="exact"/>
              <w:rPr>
                <w:sz w:val="20"/>
                <w:szCs w:val="20"/>
                <w:color w:val="auto"/>
              </w:rPr>
            </w:pPr>
            <w:r>
              <w:rPr>
                <w:rFonts w:ascii="Arial" w:cs="Arial" w:eastAsia="Arial" w:hAnsi="Arial"/>
                <w:sz w:val="13"/>
                <w:szCs w:val="13"/>
                <w:color w:val="auto"/>
              </w:rPr>
              <w:t>Net spread and dollar roll income, excluding "catch-up" premium amortization, available to common stockholders</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0"/>
                <w:szCs w:val="10"/>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10"/>
                <w:szCs w:val="10"/>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812</w:t>
            </w:r>
          </w:p>
        </w:tc>
        <w:tc>
          <w:tcPr>
            <w:tcW w:w="140" w:type="dxa"/>
            <w:vAlign w:val="bottom"/>
          </w:tcPr>
          <w:p>
            <w:pPr>
              <w:spacing w:after="0"/>
              <w:rPr>
                <w:sz w:val="10"/>
                <w:szCs w:val="10"/>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67"/>
        </w:trPr>
        <w:tc>
          <w:tcPr>
            <w:tcW w:w="6980" w:type="dxa"/>
            <w:vAlign w:val="bottom"/>
          </w:tcPr>
          <w:p>
            <w:pPr>
              <w:ind w:left="20"/>
              <w:spacing w:after="0"/>
              <w:rPr>
                <w:sz w:val="20"/>
                <w:szCs w:val="20"/>
                <w:color w:val="auto"/>
              </w:rPr>
            </w:pPr>
            <w:r>
              <w:rPr>
                <w:rFonts w:ascii="Arial" w:cs="Arial" w:eastAsia="Arial" w:hAnsi="Arial"/>
                <w:sz w:val="14"/>
                <w:szCs w:val="14"/>
                <w:color w:val="auto"/>
              </w:rPr>
              <w:t>(non-GAAP measure)</w:t>
            </w:r>
          </w:p>
        </w:tc>
        <w:tc>
          <w:tcPr>
            <w:tcW w:w="2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525.3</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530.1</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526.4</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531.9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80" w:type="dxa"/>
            <w:vAlign w:val="bottom"/>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0.62</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diluted</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80" w:type="dxa"/>
            <w:vAlign w:val="bottom"/>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basic</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0.76</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diluted</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Investment Securities, Net</w:t>
      </w:r>
    </w:p>
    <w:p>
      <w:pPr>
        <w:spacing w:after="0" w:line="17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is a summary of our net gain (loss) on investment securities for the three and six months ended June 30, 2022 and 2021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9"/>
              </w:rPr>
              <w:t>Three Months Ended June 30,</w:t>
            </w:r>
          </w:p>
        </w:tc>
        <w:tc>
          <w:tcPr>
            <w:tcW w:w="220" w:type="dxa"/>
            <w:vAlign w:val="bottom"/>
          </w:tcPr>
          <w:p>
            <w:pPr>
              <w:spacing w:after="0"/>
              <w:rPr>
                <w:sz w:val="14"/>
                <w:szCs w:val="14"/>
                <w:color w:val="auto"/>
              </w:rPr>
            </w:pPr>
          </w:p>
        </w:tc>
        <w:tc>
          <w:tcPr>
            <w:tcW w:w="196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6"/>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gridSpan w:val="2"/>
          </w:tcPr>
          <w:p>
            <w:pPr>
              <w:ind w:left="20"/>
              <w:spacing w:after="0" w:line="185" w:lineRule="exact"/>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18"/>
                <w:szCs w:val="18"/>
                <w:b w:val="1"/>
                <w:bCs w:val="1"/>
                <w:color w:val="auto"/>
                <w:vertAlign w:val="superscript"/>
              </w:rPr>
              <w:t>1</w:t>
            </w: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Gain (loss) on sale of investment securities, net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center"/>
              <w:ind w:left="388"/>
              <w:spacing w:after="0"/>
              <w:rPr>
                <w:sz w:val="20"/>
                <w:szCs w:val="20"/>
                <w:color w:val="auto"/>
              </w:rPr>
            </w:pPr>
            <w:r>
              <w:rPr>
                <w:rFonts w:ascii="Arial" w:cs="Arial" w:eastAsia="Arial" w:hAnsi="Arial"/>
                <w:sz w:val="14"/>
                <w:szCs w:val="14"/>
                <w:color w:val="auto"/>
                <w:w w:val="89"/>
              </w:rPr>
              <w:t>25</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70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Unrealized loss on investment securities measured at fair value through net income, net </w:t>
            </w:r>
            <w:r>
              <w:rPr>
                <w:rFonts w:ascii="Arial" w:cs="Arial" w:eastAsia="Arial" w:hAnsi="Arial"/>
                <w:sz w:val="18"/>
                <w:szCs w:val="18"/>
                <w:color w:val="auto"/>
                <w:vertAlign w:val="superscript"/>
              </w:rPr>
              <w:t>2</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center"/>
              <w:ind w:left="368"/>
              <w:spacing w:after="0"/>
              <w:rPr>
                <w:sz w:val="20"/>
                <w:szCs w:val="20"/>
                <w:color w:val="auto"/>
              </w:rPr>
            </w:pPr>
            <w:r>
              <w:rPr>
                <w:rFonts w:ascii="Arial" w:cs="Arial" w:eastAsia="Arial" w:hAnsi="Arial"/>
                <w:sz w:val="14"/>
                <w:szCs w:val="14"/>
                <w:color w:val="auto"/>
                <w:w w:val="96"/>
              </w:rPr>
              <w:t>(28)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18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loss on investment securities measured at fair value through other comprehensive income, net</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center"/>
              <w:ind w:left="368"/>
              <w:spacing w:after="0"/>
              <w:rPr>
                <w:sz w:val="20"/>
                <w:szCs w:val="20"/>
                <w:color w:val="auto"/>
              </w:rPr>
            </w:pPr>
            <w:r>
              <w:rPr>
                <w:rFonts w:ascii="Arial" w:cs="Arial" w:eastAsia="Arial" w:hAnsi="Arial"/>
                <w:sz w:val="14"/>
                <w:szCs w:val="14"/>
                <w:color w:val="auto"/>
                <w:w w:val="96"/>
              </w:rPr>
              <w:t>(77)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86"/>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Total loss on investment securities, net</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(2,178)</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w w:val="96"/>
              </w:rPr>
              <w:t>(80)</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Investment securities acquired after fiscal year 2016 are measured at fair value through net income (see Note 2 of our Consolidated Financial Statements in this Form 10-Q).</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is a summary of our gain (loss) on derivative instruments and other securities, net for the three and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and 2021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04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9"/>
              </w:rPr>
              <w:t>Three Months Ended June 30,</w:t>
            </w:r>
          </w:p>
        </w:tc>
        <w:tc>
          <w:tcPr>
            <w:tcW w:w="220" w:type="dxa"/>
            <w:vAlign w:val="bottom"/>
          </w:tcPr>
          <w:p>
            <w:pPr>
              <w:spacing w:after="0"/>
              <w:rPr>
                <w:sz w:val="14"/>
                <w:szCs w:val="14"/>
                <w:color w:val="auto"/>
              </w:rPr>
            </w:pPr>
          </w:p>
        </w:tc>
        <w:tc>
          <w:tcPr>
            <w:tcW w:w="18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7160" w:type="dxa"/>
            <w:vAlign w:val="bottom"/>
          </w:tcPr>
          <w:p>
            <w:pPr>
              <w:spacing w:after="0"/>
              <w:rPr>
                <w:sz w:val="16"/>
                <w:szCs w:val="16"/>
                <w:color w:val="auto"/>
              </w:rPr>
            </w:pPr>
          </w:p>
        </w:tc>
        <w:tc>
          <w:tcPr>
            <w:tcW w:w="2040" w:type="dxa"/>
            <w:vAlign w:val="bottom"/>
            <w:gridSpan w:val="6"/>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4"/>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securities, dollar roll income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86"/>
        </w:trPr>
        <w:tc>
          <w:tcPr>
            <w:tcW w:w="7160" w:type="dxa"/>
            <w:vAlign w:val="bottom"/>
          </w:tcPr>
          <w:p>
            <w:pPr>
              <w:ind w:left="20"/>
              <w:spacing w:after="0"/>
              <w:rPr>
                <w:sz w:val="20"/>
                <w:szCs w:val="20"/>
                <w:color w:val="auto"/>
              </w:rPr>
            </w:pPr>
            <w:r>
              <w:rPr>
                <w:rFonts w:ascii="Arial" w:cs="Arial" w:eastAsia="Arial" w:hAnsi="Arial"/>
                <w:sz w:val="14"/>
                <w:szCs w:val="14"/>
                <w:color w:val="auto"/>
              </w:rPr>
              <w:t>TBA securities, mark-to-market loss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(2,172)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9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 periodic cost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6"/>
        </w:trPr>
        <w:tc>
          <w:tcPr>
            <w:tcW w:w="7160" w:type="dxa"/>
            <w:vAlign w:val="bottom"/>
          </w:tcPr>
          <w:p>
            <w:pPr>
              <w:ind w:left="20"/>
              <w:spacing w:after="0"/>
              <w:rPr>
                <w:sz w:val="20"/>
                <w:szCs w:val="20"/>
                <w:color w:val="auto"/>
              </w:rPr>
            </w:pPr>
            <w:r>
              <w:rPr>
                <w:rFonts w:ascii="Arial" w:cs="Arial" w:eastAsia="Arial" w:hAnsi="Arial"/>
                <w:sz w:val="14"/>
                <w:szCs w:val="14"/>
                <w:color w:val="auto"/>
              </w:rPr>
              <w:t>Interest rate swaps, mark-to-market gain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2,740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755</w:t>
            </w:r>
          </w:p>
        </w:tc>
        <w:tc>
          <w:tcPr>
            <w:tcW w:w="0" w:type="dxa"/>
            <w:vAlign w:val="bottom"/>
          </w:tcPr>
          <w:p>
            <w:pPr>
              <w:spacing w:after="0"/>
              <w:rPr>
                <w:sz w:val="1"/>
                <w:szCs w:val="1"/>
                <w:color w:val="auto"/>
              </w:rPr>
            </w:pPr>
          </w:p>
        </w:tc>
      </w:tr>
      <w:tr>
        <w:trPr>
          <w:trHeight w:val="19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default swaps - CDX IG - buy protection</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160" w:type="dxa"/>
            <w:vAlign w:val="bottom"/>
          </w:tcPr>
          <w:p>
            <w:pPr>
              <w:ind w:left="20"/>
              <w:spacing w:after="0"/>
              <w:rPr>
                <w:sz w:val="20"/>
                <w:szCs w:val="20"/>
                <w:color w:val="auto"/>
              </w:rPr>
            </w:pPr>
            <w:r>
              <w:rPr>
                <w:rFonts w:ascii="Arial" w:cs="Arial" w:eastAsia="Arial" w:hAnsi="Arial"/>
                <w:sz w:val="14"/>
                <w:szCs w:val="14"/>
                <w:color w:val="auto"/>
              </w:rPr>
              <w:t>Payer swaptions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86"/>
        </w:trPr>
        <w:tc>
          <w:tcPr>
            <w:tcW w:w="7160" w:type="dxa"/>
            <w:vAlign w:val="bottom"/>
          </w:tcPr>
          <w:p>
            <w:pPr>
              <w:ind w:left="2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futures contracts - short position</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6"/>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11"/>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2 and 5 of our Consolidated Financial Statements in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Taxable Income (Loss)</w:t>
      </w:r>
    </w:p>
    <w:p>
      <w:pPr>
        <w:spacing w:after="0" w:line="171"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For the three months ended June 30, 2022 and 2021, we had estimated taxable income (loss) attributed to common stockholders of $22 million and $(158) million, respectively, or $0.04 and $(0.30) per diluted common share, respectively. For the six months ended June 30, 2022 and 2021, we had estimated taxable loss attributable to common stockholders of $(21) million and $(322) million, respectively, or $(0.04) and $(0.61) per diluted common share, respectively. Income determined under GAAP differs from income determined under U.S. federal income tax rules because of both temporary and permanent differences in income and expense recognition. The primary differences are (i) unrealized gains and losses on investment securities and derivative instruments marked-to-market in current income for GAAP purposes, but excluded from taxable income until realized, settled or amortized over the instrument's original term, (ii) timing differences, both temporary and potentially permanent, in the recognition of certain realized gains and losses and</w:t>
      </w:r>
    </w:p>
    <w:p>
      <w:pPr>
        <w:spacing w:after="0" w:line="2" w:lineRule="exact"/>
        <w:rPr>
          <w:sz w:val="20"/>
          <w:szCs w:val="20"/>
          <w:color w:val="auto"/>
        </w:rPr>
      </w:pPr>
    </w:p>
    <w:p>
      <w:pPr>
        <w:ind w:firstLine="8"/>
        <w:spacing w:after="0" w:line="290" w:lineRule="auto"/>
        <w:tabs>
          <w:tab w:leader="none" w:pos="3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color w:val="auto"/>
        </w:rPr>
        <w:t>reconciliation of our GAAP net income to our estimated taxable income (loss) for the three and six months ended June 30, 2022 and 2021 (dollars in millions, except per share amounts):</w:t>
      </w:r>
    </w:p>
    <w:p>
      <w:pPr>
        <w:spacing w:after="0" w:line="64"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174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6440" w:type="dxa"/>
            <w:vAlign w:val="bottom"/>
          </w:tcPr>
          <w:p>
            <w:pPr>
              <w:spacing w:after="0"/>
              <w:rPr>
                <w:sz w:val="16"/>
                <w:szCs w:val="16"/>
                <w:color w:val="auto"/>
              </w:rPr>
            </w:pPr>
          </w:p>
        </w:tc>
        <w:tc>
          <w:tcPr>
            <w:tcW w:w="2040" w:type="dxa"/>
            <w:vAlign w:val="bottom"/>
            <w:gridSpan w:val="6"/>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4"/>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186"/>
        </w:trPr>
        <w:tc>
          <w:tcPr>
            <w:tcW w:w="6440" w:type="dxa"/>
            <w:vAlign w:val="bottom"/>
          </w:tcPr>
          <w:p>
            <w:pPr>
              <w:ind w:left="20"/>
              <w:spacing w:after="0"/>
              <w:rPr>
                <w:sz w:val="20"/>
                <w:szCs w:val="20"/>
                <w:color w:val="auto"/>
              </w:rPr>
            </w:pPr>
            <w:r>
              <w:rPr>
                <w:rFonts w:ascii="Arial" w:cs="Arial" w:eastAsia="Arial" w:hAnsi="Arial"/>
                <w:sz w:val="14"/>
                <w:szCs w:val="14"/>
                <w:color w:val="auto"/>
              </w:rPr>
              <w:t>Book to tax differences: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Premium amortization, net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6"/>
        </w:trPr>
        <w:tc>
          <w:tcPr>
            <w:tcW w:w="6440" w:type="dxa"/>
            <w:vAlign w:val="bottom"/>
          </w:tcPr>
          <w:p>
            <w:pPr>
              <w:ind w:left="140"/>
              <w:spacing w:after="0"/>
              <w:rPr>
                <w:sz w:val="20"/>
                <w:szCs w:val="20"/>
                <w:color w:val="auto"/>
              </w:rPr>
            </w:pPr>
            <w:r>
              <w:rPr>
                <w:rFonts w:ascii="Arial" w:cs="Arial" w:eastAsia="Arial" w:hAnsi="Arial"/>
                <w:sz w:val="14"/>
                <w:szCs w:val="14"/>
                <w:color w:val="auto"/>
              </w:rPr>
              <w:t>Realized gain/loss, net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(3,575)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(1,451)</w:t>
            </w:r>
          </w:p>
        </w:tc>
        <w:tc>
          <w:tcPr>
            <w:tcW w:w="0" w:type="dxa"/>
            <w:vAlign w:val="bottom"/>
          </w:tcPr>
          <w:p>
            <w:pPr>
              <w:spacing w:after="0"/>
              <w:rPr>
                <w:sz w:val="1"/>
                <w:szCs w:val="1"/>
                <w:color w:val="auto"/>
              </w:rPr>
            </w:pPr>
          </w:p>
        </w:tc>
      </w:tr>
      <w:tr>
        <w:trPr>
          <w:trHeight w:val="192"/>
        </w:trPr>
        <w:tc>
          <w:tcPr>
            <w:tcW w:w="6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capital loss/(utilization of net capital loss carryforward)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6"/>
        </w:trPr>
        <w:tc>
          <w:tcPr>
            <w:tcW w:w="6440" w:type="dxa"/>
            <w:vAlign w:val="bottom"/>
          </w:tcPr>
          <w:p>
            <w:pPr>
              <w:ind w:left="140"/>
              <w:spacing w:after="0"/>
              <w:rPr>
                <w:sz w:val="20"/>
                <w:szCs w:val="20"/>
                <w:color w:val="auto"/>
              </w:rPr>
            </w:pPr>
            <w:r>
              <w:rPr>
                <w:rFonts w:ascii="Arial" w:cs="Arial" w:eastAsia="Arial" w:hAnsi="Arial"/>
                <w:sz w:val="14"/>
                <w:szCs w:val="14"/>
                <w:color w:val="auto"/>
              </w:rPr>
              <w:t>Unrealized loss, net</w:t>
            </w: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2,372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192"/>
        </w:trPr>
        <w:tc>
          <w:tcPr>
            <w:tcW w:w="6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9"/>
        </w:trPr>
        <w:tc>
          <w:tcPr>
            <w:tcW w:w="644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Total book to tax differences</w:t>
            </w: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456</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1,064</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186"/>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REIT taxable income (loss)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86"/>
        </w:trPr>
        <w:tc>
          <w:tcPr>
            <w:tcW w:w="6440" w:type="dxa"/>
            <w:vAlign w:val="bottom"/>
          </w:tcPr>
          <w:p>
            <w:pPr>
              <w:ind w:left="140"/>
              <w:spacing w:after="0"/>
              <w:rPr>
                <w:sz w:val="20"/>
                <w:szCs w:val="20"/>
                <w:color w:val="auto"/>
              </w:rPr>
            </w:pPr>
            <w:r>
              <w:rPr>
                <w:rFonts w:ascii="Arial" w:cs="Arial" w:eastAsia="Arial" w:hAnsi="Arial"/>
                <w:sz w:val="14"/>
                <w:szCs w:val="14"/>
                <w:color w:val="auto"/>
              </w:rPr>
              <w:t>REIT taxable income attributed to preferred stock</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REIT taxable income (loss) attributed to common stock</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 basic</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526.2</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526.6</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530.1</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 - diluted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527.1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tcPr>
          <w:p>
            <w:pPr>
              <w:ind w:left="20"/>
              <w:spacing w:after="0"/>
              <w:rPr>
                <w:sz w:val="20"/>
                <w:szCs w:val="20"/>
                <w:color w:val="auto"/>
              </w:rPr>
            </w:pPr>
            <w:r>
              <w:rPr>
                <w:rFonts w:ascii="Arial" w:cs="Arial" w:eastAsia="Arial" w:hAnsi="Arial"/>
                <w:sz w:val="14"/>
                <w:szCs w:val="14"/>
                <w:color w:val="auto"/>
              </w:rPr>
              <w:t>REIT taxable income (loss) per common share - basic</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(0.61)</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REIT taxable income (loss) per common share - diluted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net capital loss carryforward</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Increase (decrease) in net capital loss carryforward</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1,666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3"/>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net capital loss carryforward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2,534</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6"/>
        </w:trPr>
        <w:tc>
          <w:tcPr>
            <w:tcW w:w="6440" w:type="dxa"/>
            <w:vAlign w:val="bottom"/>
          </w:tcPr>
          <w:p>
            <w:pPr>
              <w:ind w:left="20"/>
              <w:spacing w:after="0"/>
              <w:rPr>
                <w:sz w:val="20"/>
                <w:szCs w:val="20"/>
                <w:color w:val="auto"/>
              </w:rPr>
            </w:pPr>
            <w:r>
              <w:rPr>
                <w:rFonts w:ascii="Arial" w:cs="Arial" w:eastAsia="Arial" w:hAnsi="Arial"/>
                <w:sz w:val="14"/>
                <w:szCs w:val="14"/>
                <w:color w:val="auto"/>
              </w:rPr>
              <w:t>Ending net capital loss carryforward per common share</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4.85</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our most recent Annual Report on Form 10-K and Item</w:t>
      </w:r>
    </w:p>
    <w:p>
      <w:pPr>
        <w:spacing w:after="0" w:line="4" w:lineRule="exact"/>
        <w:rPr>
          <w:sz w:val="20"/>
          <w:szCs w:val="20"/>
          <w:color w:val="auto"/>
        </w:rPr>
      </w:pPr>
    </w:p>
    <w:p>
      <w:pPr>
        <w:jc w:val="both"/>
        <w:ind w:firstLine="8"/>
        <w:spacing w:after="0" w:line="302"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Quantitative and Qualitative Disclosures of Market Risks </w:t>
      </w:r>
      <w:r>
        <w:rPr>
          <w:rFonts w:ascii="Arial" w:cs="Arial" w:eastAsia="Arial" w:hAnsi="Arial"/>
          <w:sz w:val="16"/>
          <w:szCs w:val="16"/>
          <w:color w:val="auto"/>
        </w:rPr>
        <w:t>in this Form 10-Q. In assessing our liquidity, we consider a number of factors, including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and Financing Sources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7.4x and 7.7x as of June 30, 2022 and December 31, 2021, respectively. The following table includes a summary of our mortgage borrowings outstanding as of June 30, 2022 and December 31, 2021 (dollars in millions). For additional details of our mortgage borrowings refer to Notes 2, 4 and 5 to our Consolidated Financial Statements in this Form 10-Q.</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8"/>
              </w:rPr>
              <w:t>June 30, 2022</w:t>
            </w:r>
          </w:p>
        </w:tc>
        <w:tc>
          <w:tcPr>
            <w:tcW w:w="3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0"/>
              </w:rPr>
              <w:t>December 31, 2021</w:t>
            </w:r>
          </w:p>
        </w:tc>
        <w:tc>
          <w:tcPr>
            <w:tcW w:w="720" w:type="dxa"/>
            <w:vAlign w:val="bottom"/>
            <w:tcBorders>
              <w:bottom w:val="single" w:sz="8" w:color="auto"/>
            </w:tcBorders>
          </w:tcPr>
          <w:p>
            <w:pPr>
              <w:spacing w:after="0"/>
              <w:rPr>
                <w:sz w:val="16"/>
                <w:szCs w:val="16"/>
                <w:color w:val="auto"/>
              </w:rPr>
            </w:pPr>
          </w:p>
        </w:tc>
      </w:tr>
      <w:tr>
        <w:trPr>
          <w:trHeight w:val="188"/>
        </w:trPr>
        <w:tc>
          <w:tcPr>
            <w:tcW w:w="5800" w:type="dxa"/>
            <w:vAlign w:val="bottom"/>
            <w:gridSpan w:val="2"/>
          </w:tcPr>
          <w:p>
            <w:pPr>
              <w:ind w:left="20"/>
              <w:spacing w:after="0"/>
              <w:rPr>
                <w:sz w:val="20"/>
                <w:szCs w:val="20"/>
                <w:color w:val="auto"/>
              </w:rPr>
            </w:pPr>
            <w:r>
              <w:rPr>
                <w:rFonts w:ascii="Arial" w:cs="Arial" w:eastAsia="Arial" w:hAnsi="Arial"/>
                <w:sz w:val="14"/>
                <w:szCs w:val="14"/>
                <w:b w:val="1"/>
                <w:bCs w:val="1"/>
                <w:color w:val="auto"/>
              </w:rPr>
              <w:t>Mortgage Borrowings</w:t>
            </w:r>
          </w:p>
        </w:tc>
        <w:tc>
          <w:tcPr>
            <w:tcW w:w="220" w:type="dxa"/>
            <w:vAlign w:val="bottom"/>
          </w:tcPr>
          <w:p>
            <w:pPr>
              <w:spacing w:after="0"/>
              <w:rPr>
                <w:sz w:val="16"/>
                <w:szCs w:val="16"/>
                <w:color w:val="auto"/>
              </w:rPr>
            </w:pPr>
          </w:p>
        </w:tc>
        <w:tc>
          <w:tcPr>
            <w:tcW w:w="158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r>
      <w:tr>
        <w:trPr>
          <w:trHeight w:val="184"/>
        </w:trPr>
        <w:tc>
          <w:tcPr>
            <w:tcW w:w="5680" w:type="dxa"/>
            <w:vAlign w:val="bottom"/>
            <w:tcBorders>
              <w:top w:val="single" w:sz="8" w:color="auto"/>
            </w:tcBorders>
            <w:shd w:val="clear" w:color="auto" w:fill="CCEEFF"/>
          </w:tcPr>
          <w:p>
            <w:pPr>
              <w:ind w:left="20"/>
              <w:spacing w:after="0" w:line="184" w:lineRule="exact"/>
              <w:rPr>
                <w:sz w:val="20"/>
                <w:szCs w:val="20"/>
                <w:color w:val="auto"/>
              </w:rPr>
            </w:pPr>
            <w:r>
              <w:rPr>
                <w:rFonts w:ascii="Arial" w:cs="Arial" w:eastAsia="Arial" w:hAnsi="Arial"/>
                <w:sz w:val="14"/>
                <w:szCs w:val="14"/>
                <w:color w:val="auto"/>
              </w:rPr>
              <w:t xml:space="preserve">Repurchase agreements </w:t>
            </w:r>
            <w:r>
              <w:rPr>
                <w:rFonts w:ascii="Arial" w:cs="Arial" w:eastAsia="Arial" w:hAnsi="Arial"/>
                <w:sz w:val="18"/>
                <w:szCs w:val="18"/>
                <w:color w:val="auto"/>
                <w:vertAlign w:val="superscript"/>
              </w:rPr>
              <w:t>1,2</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41,299</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46,911</w:t>
            </w: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63 %</w:t>
            </w:r>
          </w:p>
        </w:tc>
      </w:tr>
      <w:tr>
        <w:trPr>
          <w:trHeight w:val="186"/>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Debt of consolidated variable interest entities, at fair value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6"/>
        </w:trPr>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41,406</w:t>
            </w: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47,037</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63 %</w:t>
            </w:r>
          </w:p>
        </w:tc>
      </w:tr>
      <w:tr>
        <w:trPr>
          <w:trHeight w:val="186"/>
        </w:trPr>
        <w:tc>
          <w:tcPr>
            <w:tcW w:w="5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TBA and forward settling non-Agency securities, at cost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16,001</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28 %</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27,622</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r>
      <w:tr>
        <w:trPr>
          <w:trHeight w:val="211"/>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mortgage borrowings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57,407</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74,659</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of June 30, 2022 and December 31, 2021, 41% and 42%, respectively, of our repurchase agreements were funded through the Fixed Income Clearing Corporation's GCF Repo service.</w:t>
      </w: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exclude U.S. Treasury repurchase agreements.</w:t>
      </w:r>
    </w:p>
    <w:p>
      <w:pPr>
        <w:spacing w:after="0" w:line="15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staggered maturity profile and utilization of interest rate hedging strategies. We also use TBA dollar roll transactions as a means of synthetically financing Agency RMBS.</w:t>
      </w:r>
    </w:p>
    <w:p>
      <w:pPr>
        <w:spacing w:after="0" w:line="138"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terms and conditions of our repurchase agreements are determined on a transaction-by-transaction basis when each such borrowing is initiated or renewed and, in the case of GCF Repo, by the variable margin requirements calculated by the FICC, which acts as the central counterparty. The amount borrowed is generally equal to the fair value of the securities pledged, as determined by the lending counterparty, less an agreed-upon discount, referred to as a "haircut," which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2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Collateral Requirements and Unencumbered Assets</w:t>
      </w:r>
    </w:p>
    <w:p>
      <w:pPr>
        <w:spacing w:after="0" w:line="17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2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June 30, 2022, we had met all our margin requirements.</w:t>
      </w:r>
    </w:p>
    <w:p>
      <w:pPr>
        <w:spacing w:after="0" w:line="138"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June 30, 2022, 28% our portfolio consisted of TBA securities, which are not subject to monthly principal pay-downs. The remainder of our portfolio, primarily consisted of Agency RMBS, which had an average one-year CPR forecast of 5%.</w:t>
      </w:r>
    </w:p>
    <w:p>
      <w:pPr>
        <w:spacing w:after="0" w:line="131"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Collateral requirements under our derivative agreements are subject to our counterparties' assessment of their maximum risk of loss associated with the derivative instrument, referred to as the initial or minimum margin requirement, and may be adjusted based on changes in market volatility and other factors.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and, if applicable, by third-party brokerage agreements, which may establish margin levels in excess of the MBSD.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27"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Haircut levels and minimum margin requirements imposed by our counterparties reduce the amount of our unencumbered assets and limit the amount we can borrow against our investment securities. During the six months ended June 30, 2022, haircuts remained stable. As of June 30, 2022, the weighted average haircut on our repurchase agreements was approximately 4.0% of the value of our collateral, compared to 3.8% as of December 31, 2021.</w:t>
      </w:r>
    </w:p>
    <w:p>
      <w:pPr>
        <w:spacing w:after="0" w:line="9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To mitigate the risk of margins calls, we seek to maintain excess liquidity by holding unencumbered liquid assets that can be used to satisfy collateral requirements, collateralize additional borrowings or sold for cash. As of June 30, 2022, our unencumbered assets totaled $4.4 billion, or 58% of tangible equity, consisting of $3.9 billion of unencumbered cash and Agency RMBS and $0.5 billion of unencumbered credit assets. This compares to $6.5 billion of unencumbered assets, or 67% of tangible equity, as of December 31, 2021, consisting of $5.8 billion of unencumbered cash and Agency RMBS and $0.7 billion of unencumbered credit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Risk</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Collateral requirements imposed by counterparties subject us to the risk that the counterparty does not return pledged assets to us as and when required. We attempt to manage this risk by monitoring our collateral positions and limiting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counterparties to registered clearinghouses and major financial institutions with acceptable credit ratings. We also diversify our funding across multiple counterparties and by region.</w:t>
      </w:r>
    </w:p>
    <w:p>
      <w:pPr>
        <w:spacing w:after="0" w:line="116"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As of June 30, 2022, our maximum amount at risk (or the excess/shortfall of the value of collateral pledged/received over our repurchase agreement liabilities/reverse repurchase agreement receivables) with any of our repurchase agreement counterparties, excluding the FICC, was less than 3% of our tangible stockholders' equity, with our top five repo counterparties, excluding the FICC, representing approximately 6% of our tangible stockholders' equity. As of June 30, 2022, approximately 10% of our tangible stockholder's equity was at risk with the FICC. Excluding central clearing exchanges, as of June 30, 2022, our amount at risk with any counterparty to our derivative agreements was less than 1% of our stockholders' equity.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Agency RMBS securities are among the most liquid fixed income securities, and the TBA market is the second most liquid market (after the U.S. Treasury market). The vitality of these markets enables us to sell assets under most market conditions to generate liquidity through direct sales or delivery into TBA contracts, subject to "good delivery" provisions promulgated by the Securities Industry and Financial Markets Association ("SIFMA"). Under certain market conditions, however, we may be unable to realize the full "pay-up" value of our specified pool securities, which is the incremental value in excess of equivalent coupon generic Agency RMBS. We attempt to manage this risk by maintaining at least a minimum level of securities that trade at or near TBA values that in our estimation enhances our portfolio liquidity across a wide range of market conditions.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when the price of our common stock trades below our tangible net book value or issue preferred equity when its cost exceeds acceptable hurdle rates of return on our equity. There can be no assurance that we will be able to raise additional equity capital at any particular time or on any particular terms. Furthermore, when the trading price of our common stock is less than our estimate of our current tangible net book value per common share, among other conditions, we may repurchase shares of our common stock. Please refer to Note 9 of our Consolidated Financial Statements in this Form 10-Q for further details regarding our recent equity capital transactions, if 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June 30, 2022,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June 30, 2022, we had not guaranteed obligations of unconsolidated entities or entered into a commitment or intent to provide funding to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3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Forward 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41" w:lineRule="exact"/>
        <w:rPr>
          <w:sz w:val="20"/>
          <w:szCs w:val="20"/>
          <w:color w:val="auto"/>
        </w:rPr>
      </w:pPr>
    </w:p>
    <w:p>
      <w:pPr>
        <w:ind w:left="660" w:hanging="247"/>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U.S. monetary policy or interest rates, including actions taken by the Federal Reserve to normalize monetary policy, to terminate its purchases of Agency RMBS and to reduce the size of its U.S. Treasury and Agency RMBS bond portfolio;</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yield curve;</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mortgage prepayment rates on the loans underlying our Agency RMBS;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and terms of financing;</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market value of our assets, including from changes in net interest spreads, and changes in market liquidity or depth;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3" w:name="page44"/>
    <w:bookmarkEnd w:id="43"/>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risk mitigation strategies;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conditions in the market for Agency RMBS and other mortgage securities;</w:t>
      </w:r>
    </w:p>
    <w:p>
      <w:pPr>
        <w:spacing w:after="0" w:line="63"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the COVID-19 pandemic and of measures taken in response to the COVID-19 pandemic by various governmental authorities, businesses and other third parties;</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actions by the federal, state, or local governments to stabilize the economy, the housing sector or financial markets;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to laws, regulations, rules or policies that affect U.S. housing finance activity, the GSE's or the markets for Agency RMBS</w:t>
      </w:r>
    </w:p>
    <w:p>
      <w:pPr>
        <w:spacing w:after="0" w:line="63"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legislative or regulatory changes that affect our status as a REIT, our exemption from the Investment Company Act of 1940 or the mortgage markets in which we participate; and</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risks discussed under the heading “Risk Factors” herein and in our Annual Report on Form 10-K.</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our most recent Annual Report on Form 10-K and this document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We caution readers not to place undue reliance on our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3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2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3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tangible net book value per common share as of June 30, 2022 and December 31, 2021 should interest rates go up or down by 25, 50 and 75 basis points, assuming instantaneous parallel shifts in the yield curve and including the impact of both duration and convexity. All values in the table below are measured 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4" w:name="page45"/>
    <w:bookmarkEnd w:id="44"/>
    <w:p>
      <w:pPr>
        <w:jc w:val="both"/>
        <w:ind w:right="20"/>
        <w:spacing w:after="0" w:line="277" w:lineRule="auto"/>
        <w:rPr>
          <w:sz w:val="20"/>
          <w:szCs w:val="20"/>
          <w:color w:val="auto"/>
        </w:rPr>
      </w:pPr>
      <w:r>
        <w:rPr>
          <w:rFonts w:ascii="Arial" w:cs="Arial" w:eastAsia="Arial" w:hAnsi="Arial"/>
          <w:sz w:val="18"/>
          <w:szCs w:val="18"/>
          <w:color w:val="auto"/>
        </w:rPr>
        <w:t>percentage changes from the base interest rate scenario. The base interest rate scenario assumes interest rates and prepayment projections as of June 30, 2022 and December 31, 2021.</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18"/>
          <w:szCs w:val="18"/>
          <w:b w:val="1"/>
          <w:bCs w:val="1"/>
          <w:color w:val="auto"/>
          <w:vertAlign w:val="superscript"/>
        </w:rPr>
        <w:t>1,2</w:t>
      </w:r>
    </w:p>
    <w:tbl>
      <w:tblPr>
        <w:tblLayout w:type="fixed"/>
        <w:tblInd w:w="1240" w:type="dxa"/>
        <w:tblCellMar>
          <w:top w:w="0" w:type="dxa"/>
          <w:left w:w="0" w:type="dxa"/>
          <w:bottom w:w="0" w:type="dxa"/>
          <w:right w:w="0" w:type="dxa"/>
        </w:tblCellMar>
      </w:tblPr>
      <w:tr>
        <w:trPr>
          <w:trHeight w:val="183"/>
        </w:trPr>
        <w:tc>
          <w:tcPr>
            <w:tcW w:w="29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June 30, 2022</w:t>
            </w:r>
          </w:p>
        </w:tc>
        <w:tc>
          <w:tcPr>
            <w:tcW w:w="2780" w:type="dxa"/>
            <w:vAlign w:val="bottom"/>
            <w:tcBorders>
              <w:top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28"/>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160" w:type="dxa"/>
            <w:vAlign w:val="bottom"/>
          </w:tcPr>
          <w:p>
            <w:pPr>
              <w:spacing w:after="0"/>
              <w:rPr>
                <w:sz w:val="11"/>
                <w:szCs w:val="11"/>
                <w:color w:val="auto"/>
              </w:rPr>
            </w:pPr>
          </w:p>
        </w:tc>
        <w:tc>
          <w:tcPr>
            <w:tcW w:w="14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Estimated Change in</w:t>
            </w:r>
          </w:p>
        </w:tc>
        <w:tc>
          <w:tcPr>
            <w:tcW w:w="1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1420" w:type="dxa"/>
            <w:vAlign w:val="bottom"/>
            <w:gridSpan w:val="2"/>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35"/>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in Portfolio Market</w:t>
            </w:r>
          </w:p>
        </w:tc>
        <w:tc>
          <w:tcPr>
            <w:tcW w:w="14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Portfolio Market</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0" w:type="dxa"/>
            <w:vAlign w:val="bottom"/>
          </w:tcPr>
          <w:p>
            <w:pPr>
              <w:spacing w:after="0"/>
              <w:rPr>
                <w:sz w:val="1"/>
                <w:szCs w:val="1"/>
                <w:color w:val="auto"/>
              </w:rPr>
            </w:pPr>
          </w:p>
        </w:tc>
      </w:tr>
      <w:tr>
        <w:trPr>
          <w:trHeight w:val="188"/>
        </w:trPr>
        <w:tc>
          <w:tcPr>
            <w:tcW w:w="310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84"/>
        </w:trPr>
        <w:tc>
          <w:tcPr>
            <w:tcW w:w="2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-75 Basis Points</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+0.1%</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+1.1%</w:t>
            </w:r>
          </w:p>
        </w:tc>
        <w:tc>
          <w:tcPr>
            <w:tcW w:w="16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-0.6%</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-6.4%</w:t>
            </w:r>
          </w:p>
        </w:tc>
        <w:tc>
          <w:tcPr>
            <w:tcW w:w="0" w:type="dxa"/>
            <w:vAlign w:val="bottom"/>
          </w:tcPr>
          <w:p>
            <w:pPr>
              <w:spacing w:after="0"/>
              <w:rPr>
                <w:sz w:val="1"/>
                <w:szCs w:val="1"/>
                <w:color w:val="auto"/>
              </w:rPr>
            </w:pPr>
          </w:p>
        </w:tc>
      </w:tr>
      <w:tr>
        <w:trPr>
          <w:trHeight w:val="18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+0.1%</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+1.2%</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-0.2%</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8"/>
              </w:rPr>
              <w:t>-2.3%</w:t>
            </w:r>
          </w:p>
        </w:tc>
        <w:tc>
          <w:tcPr>
            <w:tcW w:w="0" w:type="dxa"/>
            <w:vAlign w:val="bottom"/>
          </w:tcPr>
          <w:p>
            <w:pPr>
              <w:spacing w:after="0"/>
              <w:rPr>
                <w:sz w:val="1"/>
                <w:szCs w:val="1"/>
                <w:color w:val="auto"/>
              </w:rPr>
            </w:pPr>
          </w:p>
        </w:tc>
      </w:tr>
      <w:tr>
        <w:trPr>
          <w:trHeight w:val="192"/>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0.1%</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+0.8%</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0.0%</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-0.3%</w:t>
            </w:r>
          </w:p>
        </w:tc>
        <w:tc>
          <w:tcPr>
            <w:tcW w:w="0" w:type="dxa"/>
            <w:vAlign w:val="bottom"/>
          </w:tcPr>
          <w:p>
            <w:pPr>
              <w:spacing w:after="0"/>
              <w:rPr>
                <w:sz w:val="1"/>
                <w:szCs w:val="1"/>
                <w:color w:val="auto"/>
              </w:rPr>
            </w:pPr>
          </w:p>
        </w:tc>
      </w:tr>
      <w:tr>
        <w:trPr>
          <w:trHeight w:val="18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-0.1%</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-0.1%</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8"/>
              </w:rPr>
              <w:t>-1.3%</w:t>
            </w:r>
          </w:p>
        </w:tc>
        <w:tc>
          <w:tcPr>
            <w:tcW w:w="0" w:type="dxa"/>
            <w:vAlign w:val="bottom"/>
          </w:tcPr>
          <w:p>
            <w:pPr>
              <w:spacing w:after="0"/>
              <w:rPr>
                <w:sz w:val="1"/>
                <w:szCs w:val="1"/>
                <w:color w:val="auto"/>
              </w:rPr>
            </w:pPr>
          </w:p>
        </w:tc>
      </w:tr>
      <w:tr>
        <w:trPr>
          <w:trHeight w:val="192"/>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-0.3%</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-2.7%</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-3.8%</w:t>
            </w:r>
          </w:p>
        </w:tc>
        <w:tc>
          <w:tcPr>
            <w:tcW w:w="0" w:type="dxa"/>
            <w:vAlign w:val="bottom"/>
          </w:tcPr>
          <w:p>
            <w:pPr>
              <w:spacing w:after="0"/>
              <w:rPr>
                <w:sz w:val="1"/>
                <w:szCs w:val="1"/>
                <w:color w:val="auto"/>
              </w:rPr>
            </w:pPr>
          </w:p>
        </w:tc>
      </w:tr>
      <w:tr>
        <w:trPr>
          <w:trHeight w:val="182"/>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-0.4%</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-0.7%</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8"/>
              </w:rPr>
              <w:t>-7.4%</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41"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assumes there are no changes in mortgage spreads and assumes a static portfolio. Actual results could differ materially from these estimates.</w:t>
      </w: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 Interest rates are assumed to be floored at 0% in down rate scenarios.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w:t>
      </w:r>
    </w:p>
    <w:p>
      <w:pPr>
        <w:spacing w:after="0" w:line="1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spacing w:after="0" w:line="133"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As of June 30, 2022 and December 31, 2021, our investment securities (excluding TBAs) had a weighted average projected CPR of 7.2% and 10.9%, respectively, and a weighted average yield of 2.85% and 2.43%,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18"/>
          <w:szCs w:val="18"/>
          <w:b w:val="1"/>
          <w:bCs w:val="1"/>
          <w:color w:val="auto"/>
          <w:vertAlign w:val="superscript"/>
        </w:rPr>
        <w:t>1</w:t>
      </w:r>
    </w:p>
    <w:tbl>
      <w:tblPr>
        <w:tblLayout w:type="fixed"/>
        <w:tblInd w:w="1280" w:type="dxa"/>
        <w:tblCellMar>
          <w:top w:w="0" w:type="dxa"/>
          <w:left w:w="0" w:type="dxa"/>
          <w:bottom w:w="0" w:type="dxa"/>
          <w:right w:w="0" w:type="dxa"/>
        </w:tblCellMar>
      </w:tblPr>
      <w:tr>
        <w:trPr>
          <w:trHeight w:val="183"/>
        </w:trPr>
        <w:tc>
          <w:tcPr>
            <w:tcW w:w="30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40" w:type="dxa"/>
            <w:vAlign w:val="bottom"/>
            <w:tcBorders>
              <w:top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June 30, 2022</w:t>
            </w:r>
          </w:p>
        </w:tc>
        <w:tc>
          <w:tcPr>
            <w:tcW w:w="2680" w:type="dxa"/>
            <w:vAlign w:val="bottom"/>
            <w:tcBorders>
              <w:top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28"/>
        </w:trPr>
        <w:tc>
          <w:tcPr>
            <w:tcW w:w="3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40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12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13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9"/>
        </w:trPr>
        <w:tc>
          <w:tcPr>
            <w:tcW w:w="318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Projected CPR</w:t>
            </w:r>
          </w:p>
        </w:tc>
        <w:tc>
          <w:tcPr>
            <w:tcW w:w="1440" w:type="dxa"/>
            <w:vAlign w:val="bottom"/>
            <w:gridSpan w:val="2"/>
          </w:tcPr>
          <w:p>
            <w:pPr>
              <w:jc w:val="center"/>
              <w:ind w:right="160"/>
              <w:spacing w:after="0" w:line="189" w:lineRule="exact"/>
              <w:rPr>
                <w:sz w:val="20"/>
                <w:szCs w:val="20"/>
                <w:color w:val="auto"/>
              </w:rPr>
            </w:pPr>
            <w:r>
              <w:rPr>
                <w:rFonts w:ascii="Arial" w:cs="Arial" w:eastAsia="Arial" w:hAnsi="Arial"/>
                <w:sz w:val="14"/>
                <w:szCs w:val="14"/>
                <w:b w:val="1"/>
                <w:bCs w:val="1"/>
                <w:color w:val="auto"/>
                <w:w w:val="88"/>
              </w:rPr>
              <w:t xml:space="preserve">Asset Yield </w:t>
            </w:r>
            <w:r>
              <w:rPr>
                <w:rFonts w:ascii="Arial" w:cs="Arial" w:eastAsia="Arial" w:hAnsi="Arial"/>
                <w:sz w:val="18"/>
                <w:szCs w:val="18"/>
                <w:b w:val="1"/>
                <w:bCs w:val="1"/>
                <w:color w:val="auto"/>
                <w:w w:val="88"/>
                <w:vertAlign w:val="superscript"/>
              </w:rPr>
              <w:t>2</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Projected CPR</w:t>
            </w:r>
          </w:p>
        </w:tc>
        <w:tc>
          <w:tcPr>
            <w:tcW w:w="13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Asset Yield </w:t>
            </w:r>
            <w:r>
              <w:rPr>
                <w:rFonts w:ascii="Arial" w:cs="Arial" w:eastAsia="Arial" w:hAnsi="Arial"/>
                <w:sz w:val="18"/>
                <w:szCs w:val="18"/>
                <w:b w:val="1"/>
                <w:bCs w:val="1"/>
                <w:color w:val="auto"/>
                <w:w w:val="90"/>
                <w:vertAlign w:val="superscript"/>
              </w:rPr>
              <w:t>2</w:t>
            </w:r>
          </w:p>
        </w:tc>
        <w:tc>
          <w:tcPr>
            <w:tcW w:w="0" w:type="dxa"/>
            <w:vAlign w:val="bottom"/>
          </w:tcPr>
          <w:p>
            <w:pPr>
              <w:spacing w:after="0"/>
              <w:rPr>
                <w:sz w:val="1"/>
                <w:szCs w:val="1"/>
                <w:color w:val="auto"/>
              </w:rPr>
            </w:pPr>
          </w:p>
        </w:tc>
      </w:tr>
      <w:tr>
        <w:trPr>
          <w:trHeight w:val="183"/>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-75 Basis Points</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7.9%</w:t>
            </w: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2.81%</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17.0%</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2.21%</w:t>
            </w:r>
          </w:p>
        </w:tc>
        <w:tc>
          <w:tcPr>
            <w:tcW w:w="0" w:type="dxa"/>
            <w:vAlign w:val="bottom"/>
          </w:tcPr>
          <w:p>
            <w:pPr>
              <w:spacing w:after="0"/>
              <w:rPr>
                <w:sz w:val="1"/>
                <w:szCs w:val="1"/>
                <w:color w:val="auto"/>
              </w:rPr>
            </w:pPr>
          </w:p>
        </w:tc>
      </w:tr>
      <w:tr>
        <w:trPr>
          <w:trHeight w:val="186"/>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7.6%</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2.83%</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14.1%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2.30%</w:t>
            </w:r>
          </w:p>
        </w:tc>
        <w:tc>
          <w:tcPr>
            <w:tcW w:w="0" w:type="dxa"/>
            <w:vAlign w:val="bottom"/>
          </w:tcPr>
          <w:p>
            <w:pPr>
              <w:spacing w:after="0"/>
              <w:rPr>
                <w:sz w:val="1"/>
                <w:szCs w:val="1"/>
                <w:color w:val="auto"/>
              </w:rPr>
            </w:pPr>
          </w:p>
        </w:tc>
      </w:tr>
      <w:tr>
        <w:trPr>
          <w:trHeight w:val="19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7.3%</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2.84%</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12.2%</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2.37%</w:t>
            </w:r>
          </w:p>
        </w:tc>
        <w:tc>
          <w:tcPr>
            <w:tcW w:w="0" w:type="dxa"/>
            <w:vAlign w:val="bottom"/>
          </w:tcPr>
          <w:p>
            <w:pPr>
              <w:spacing w:after="0"/>
              <w:rPr>
                <w:sz w:val="1"/>
                <w:szCs w:val="1"/>
                <w:color w:val="auto"/>
              </w:rPr>
            </w:pPr>
          </w:p>
        </w:tc>
      </w:tr>
      <w:tr>
        <w:trPr>
          <w:trHeight w:val="186"/>
        </w:trPr>
        <w:tc>
          <w:tcPr>
            <w:tcW w:w="3180" w:type="dxa"/>
            <w:vAlign w:val="bottom"/>
            <w:gridSpan w:val="2"/>
          </w:tcPr>
          <w:p>
            <w:pPr>
              <w:ind w:left="80"/>
              <w:spacing w:after="0"/>
              <w:rPr>
                <w:sz w:val="20"/>
                <w:szCs w:val="20"/>
                <w:color w:val="auto"/>
              </w:rPr>
            </w:pPr>
            <w:r>
              <w:rPr>
                <w:rFonts w:ascii="Arial" w:cs="Arial" w:eastAsia="Arial" w:hAnsi="Arial"/>
                <w:sz w:val="14"/>
                <w:szCs w:val="14"/>
                <w:color w:val="auto"/>
              </w:rPr>
              <w:t>Actual as of Period End</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7.2%</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2.85%</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10.9%</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2.43%</w:t>
            </w:r>
          </w:p>
        </w:tc>
        <w:tc>
          <w:tcPr>
            <w:tcW w:w="0" w:type="dxa"/>
            <w:vAlign w:val="bottom"/>
          </w:tcPr>
          <w:p>
            <w:pPr>
              <w:spacing w:after="0"/>
              <w:rPr>
                <w:sz w:val="1"/>
                <w:szCs w:val="1"/>
                <w:color w:val="auto"/>
              </w:rPr>
            </w:pPr>
          </w:p>
        </w:tc>
      </w:tr>
      <w:tr>
        <w:trPr>
          <w:trHeight w:val="19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7.0%</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2.86%</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2.47%</w:t>
            </w:r>
          </w:p>
        </w:tc>
        <w:tc>
          <w:tcPr>
            <w:tcW w:w="0" w:type="dxa"/>
            <w:vAlign w:val="bottom"/>
          </w:tcPr>
          <w:p>
            <w:pPr>
              <w:spacing w:after="0"/>
              <w:rPr>
                <w:sz w:val="1"/>
                <w:szCs w:val="1"/>
                <w:color w:val="auto"/>
              </w:rPr>
            </w:pPr>
          </w:p>
        </w:tc>
      </w:tr>
      <w:tr>
        <w:trPr>
          <w:trHeight w:val="186"/>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6.9%</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2.87%</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9.1%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2.51%</w:t>
            </w:r>
          </w:p>
        </w:tc>
        <w:tc>
          <w:tcPr>
            <w:tcW w:w="0" w:type="dxa"/>
            <w:vAlign w:val="bottom"/>
          </w:tcPr>
          <w:p>
            <w:pPr>
              <w:spacing w:after="0"/>
              <w:rPr>
                <w:sz w:val="1"/>
                <w:szCs w:val="1"/>
                <w:color w:val="auto"/>
              </w:rPr>
            </w:pPr>
          </w:p>
        </w:tc>
      </w:tr>
      <w:tr>
        <w:trPr>
          <w:trHeight w:val="19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6.8%</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2.88%</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8.4%</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2.54%</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and assumes a static portfolio. Actual results could differ materially from these estimates. Table excludes TBA securities.</w:t>
      </w: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Asset yield based on historical cost basis and does not include the impact of retroactive "catch-up" premium amortization adjustments due to changes in projected CPR.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June 30, 2022 and December 31, 2021 should spreads widen or tighten by 10, 25 and 50 basis points. The estimated impact of changes in spreads is in addition to our interest rate shock sensitivity included in the interest rate shock table above. The table below assumes a spread duration of 6.1 and 5.4 years as of June 30, 2022 and December 31, 2021,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18"/>
          <w:szCs w:val="18"/>
          <w:b w:val="1"/>
          <w:bCs w:val="1"/>
          <w:color w:val="auto"/>
          <w:vertAlign w:val="superscript"/>
        </w:rPr>
        <w:t>1,2</w:t>
      </w:r>
    </w:p>
    <w:tbl>
      <w:tblPr>
        <w:tblLayout w:type="fixed"/>
        <w:tblInd w:w="1240" w:type="dxa"/>
        <w:tblCellMar>
          <w:top w:w="0" w:type="dxa"/>
          <w:left w:w="0" w:type="dxa"/>
          <w:bottom w:w="0" w:type="dxa"/>
          <w:right w:w="0" w:type="dxa"/>
        </w:tblCellMar>
      </w:tblPr>
      <w:tr>
        <w:trPr>
          <w:trHeight w:val="183"/>
        </w:trPr>
        <w:tc>
          <w:tcPr>
            <w:tcW w:w="30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June 30, 2022</w:t>
            </w:r>
          </w:p>
        </w:tc>
        <w:tc>
          <w:tcPr>
            <w:tcW w:w="2720" w:type="dxa"/>
            <w:vAlign w:val="bottom"/>
            <w:tcBorders>
              <w:top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Estimated Change</w:t>
            </w: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Estimated Change</w:t>
            </w: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1400" w:type="dxa"/>
            <w:vAlign w:val="bottom"/>
            <w:gridSpan w:val="2"/>
            <w:vMerge w:val="continue"/>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35"/>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in Portfolio Market</w:t>
            </w:r>
          </w:p>
        </w:tc>
        <w:tc>
          <w:tcPr>
            <w:tcW w:w="14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in Portfolio Market</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0" w:type="dxa"/>
            <w:vAlign w:val="bottom"/>
          </w:tcPr>
          <w:p>
            <w:pPr>
              <w:spacing w:after="0"/>
              <w:rPr>
                <w:sz w:val="1"/>
                <w:szCs w:val="1"/>
                <w:color w:val="auto"/>
              </w:rPr>
            </w:pPr>
          </w:p>
        </w:tc>
      </w:tr>
      <w:tr>
        <w:trPr>
          <w:trHeight w:val="188"/>
        </w:trPr>
        <w:tc>
          <w:tcPr>
            <w:tcW w:w="3160" w:type="dxa"/>
            <w:vAlign w:val="bottom"/>
            <w:gridSpan w:val="2"/>
            <w:vMerge w:val="continue"/>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84"/>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6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+3.0%</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+31.0%</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+2.7%</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+27.1%</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+15.5%</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+1.4%</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+13.6%</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+6.2%</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+5.4%</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-0.6%</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-6.2%</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-5.4%</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-1.5%</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-15.5%</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-13.6%</w:t>
            </w:r>
          </w:p>
        </w:tc>
        <w:tc>
          <w:tcPr>
            <w:tcW w:w="0" w:type="dxa"/>
            <w:vAlign w:val="bottom"/>
          </w:tcPr>
          <w:p>
            <w:pPr>
              <w:spacing w:after="0"/>
              <w:rPr>
                <w:sz w:val="1"/>
                <w:szCs w:val="1"/>
                <w:color w:val="auto"/>
              </w:rPr>
            </w:pPr>
          </w:p>
        </w:tc>
      </w:tr>
      <w:tr>
        <w:trPr>
          <w:trHeight w:val="182"/>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-3.0%</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-31.0%</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-2.7%</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-27.1%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assumes there are no changes in interest rates and assumes a static portfolio. Actual results could differ materially from these estimates.</w:t>
      </w: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Our liquidity risk principally arises from financing long-term fixed rate assets with shorter-term variable rate borrowings. Future borrowings are dependent upon the willingness of lenders to finance our investments, lender collateral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6" w:name="page47"/>
    <w:bookmarkEnd w:id="46"/>
    <w:p>
      <w:pPr>
        <w:jc w:val="both"/>
        <w:ind w:right="20"/>
        <w:spacing w:after="0" w:line="277" w:lineRule="auto"/>
        <w:rPr>
          <w:sz w:val="20"/>
          <w:szCs w:val="20"/>
          <w:color w:val="auto"/>
        </w:rPr>
      </w:pPr>
      <w:r>
        <w:rPr>
          <w:rFonts w:ascii="Arial" w:cs="Arial" w:eastAsia="Arial" w:hAnsi="Arial"/>
          <w:sz w:val="18"/>
          <w:szCs w:val="18"/>
          <w:color w:val="auto"/>
        </w:rPr>
        <w:t>requirements and the lenders’ determination of the fair value of the securities pledged as collateral, which fluctuates with changes in interest rates and liquidity conditions within the commercial banking and mortgage finance industries.</w:t>
      </w:r>
    </w:p>
    <w:p>
      <w:pPr>
        <w:spacing w:after="0" w:line="116"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 xml:space="preserve">As of June 30, 2022, we believe that we have sufficient liquidity and capital resources available to execute our business strategy (see </w:t>
      </w:r>
      <w:r>
        <w:rPr>
          <w:rFonts w:ascii="Arial" w:cs="Arial" w:eastAsia="Arial" w:hAnsi="Arial"/>
          <w:sz w:val="16"/>
          <w:szCs w:val="16"/>
          <w:i w:val="1"/>
          <w:iCs w:val="1"/>
          <w:color w:val="auto"/>
        </w:rPr>
        <w:t>Liquidity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in this Form 10-Q for additional details). However, should the value of our collateral or the value of our derivative instruments suddenly</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3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w:t>
      </w:r>
    </w:p>
    <w:p>
      <w:pPr>
        <w:spacing w:after="0" w:line="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is no guarantee that our efforts to manage credit risk will be successful and we could suffer losses if credit performance is worse than our expectations or our counterparties default on their obligations. Excluding central clearing exchanges, as of June 30, 2022, our maximum amount at risk with any counterparty related to our repurchase agreements and derivative agreements was approximately 3% and less than 1%, respectively, of tangible stockholders' equity.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6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June 30, 2022. Based on the foregoing, our Chief Executive Officer and Chief Financial Officer concluded that our disclosure controls and procedures were effective.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94" w:lineRule="exact"/>
        <w:rPr>
          <w:sz w:val="20"/>
          <w:szCs w:val="20"/>
          <w:color w:val="auto"/>
        </w:rPr>
      </w:pPr>
    </w:p>
    <w:p>
      <w:pPr>
        <w:ind w:right="160" w:firstLine="445"/>
        <w:spacing w:after="0" w:line="286" w:lineRule="auto"/>
        <w:rPr>
          <w:sz w:val="20"/>
          <w:szCs w:val="20"/>
          <w:color w:val="auto"/>
        </w:rPr>
      </w:pPr>
      <w:r>
        <w:rPr>
          <w:rFonts w:ascii="Arial" w:cs="Arial" w:eastAsia="Arial" w:hAnsi="Arial"/>
          <w:sz w:val="16"/>
          <w:szCs w:val="16"/>
          <w:color w:val="auto"/>
        </w:rPr>
        <w:t>In October of 2021, our Board of Directors authorized the repurchase of up to $1 billion of our outstanding shares of common stock through December 31, 2022. As of June 30, 2022, the Company has repurchased shares at an aggregate amount of $93 million under the program. As of June 30, 2022, $0.9 billion of common stock remained available for repurchase under the program. The following table presents information with respect to purchases of our common stock made during the three months ended June 30, 2022 by us or any "affiliated purchaser" of us, as defined in Rule 10b-18(a)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 under the Exchange Act (in millions, except per share amounts):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2"/>
              </w:rPr>
              <w:t>Total Number of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Net Price</w:t>
            </w:r>
          </w:p>
        </w:tc>
        <w:tc>
          <w:tcPr>
            <w:tcW w:w="1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 Publicly</w:t>
            </w:r>
          </w:p>
        </w:tc>
        <w:tc>
          <w:tcPr>
            <w:tcW w:w="0" w:type="dxa"/>
            <w:vAlign w:val="bottom"/>
          </w:tcPr>
          <w:p>
            <w:pPr>
              <w:spacing w:after="0"/>
              <w:rPr>
                <w:sz w:val="1"/>
                <w:szCs w:val="1"/>
                <w:color w:val="auto"/>
              </w:rPr>
            </w:pPr>
          </w:p>
        </w:tc>
      </w:tr>
      <w:tr>
        <w:trPr>
          <w:trHeight w:val="135"/>
        </w:trPr>
        <w:tc>
          <w:tcPr>
            <w:tcW w:w="408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 xml:space="preserve">Period </w:t>
            </w:r>
            <w:r>
              <w:rPr>
                <w:rFonts w:ascii="Arial" w:cs="Arial" w:eastAsia="Arial" w:hAnsi="Arial"/>
                <w:sz w:val="18"/>
                <w:szCs w:val="18"/>
                <w:b w:val="1"/>
                <w:bCs w:val="1"/>
                <w:color w:val="auto"/>
                <w:vertAlign w:val="superscript"/>
              </w:rPr>
              <w:t>1</w:t>
            </w:r>
          </w:p>
        </w:tc>
        <w:tc>
          <w:tcPr>
            <w:tcW w:w="152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94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2"/>
              </w:rPr>
              <w:t>Purchased as Part of Publicly</w:t>
            </w:r>
          </w:p>
        </w:tc>
        <w:tc>
          <w:tcPr>
            <w:tcW w:w="8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8"/>
              </w:rPr>
              <w:t>2</w:t>
            </w:r>
          </w:p>
        </w:tc>
        <w:tc>
          <w:tcPr>
            <w:tcW w:w="8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 Programs</w:t>
            </w:r>
          </w:p>
        </w:tc>
        <w:tc>
          <w:tcPr>
            <w:tcW w:w="0" w:type="dxa"/>
            <w:vAlign w:val="bottom"/>
          </w:tcPr>
          <w:p>
            <w:pPr>
              <w:spacing w:after="0"/>
              <w:rPr>
                <w:sz w:val="1"/>
                <w:szCs w:val="1"/>
                <w:color w:val="auto"/>
              </w:rPr>
            </w:pPr>
          </w:p>
        </w:tc>
      </w:tr>
      <w:tr>
        <w:trPr>
          <w:trHeight w:val="189"/>
        </w:trPr>
        <w:tc>
          <w:tcPr>
            <w:tcW w:w="408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of Shares Purchased</w:t>
            </w:r>
          </w:p>
        </w:tc>
        <w:tc>
          <w:tcPr>
            <w:tcW w:w="1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Paid Per Share</w:t>
            </w:r>
          </w:p>
        </w:tc>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Announced Plans or Programs</w:t>
            </w:r>
          </w:p>
        </w:tc>
        <w:tc>
          <w:tcPr>
            <w:tcW w:w="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April 1, 2022 - April 30, 2022</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$0.00</w:t>
            </w: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$958</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May 1, 2022 - May 31, 2022</w:t>
            </w: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1"/>
              </w:rPr>
              <w:t>$0.00</w:t>
            </w:r>
          </w:p>
        </w:tc>
        <w:tc>
          <w:tcPr>
            <w:tcW w:w="100" w:type="dxa"/>
            <w:vAlign w:val="bottom"/>
          </w:tcPr>
          <w:p>
            <w:pPr>
              <w:spacing w:after="0"/>
              <w:rPr>
                <w:sz w:val="16"/>
                <w:szCs w:val="16"/>
                <w:color w:val="auto"/>
              </w:rPr>
            </w:pPr>
          </w:p>
        </w:tc>
        <w:tc>
          <w:tcPr>
            <w:tcW w:w="1940" w:type="dxa"/>
            <w:vAlign w:val="bottom"/>
          </w:tcPr>
          <w:p>
            <w:pPr>
              <w:jc w:val="center"/>
              <w:ind w:left="8"/>
              <w:spacing w:after="0"/>
              <w:rPr>
                <w:sz w:val="20"/>
                <w:szCs w:val="20"/>
                <w:color w:val="auto"/>
              </w:rPr>
            </w:pPr>
            <w:r>
              <w:rPr>
                <w:rFonts w:ascii="Arial" w:cs="Arial" w:eastAsia="Arial" w:hAnsi="Arial"/>
                <w:sz w:val="14"/>
                <w:szCs w:val="14"/>
                <w:color w:val="auto"/>
                <w:w w:val="92"/>
              </w:rPr>
              <w:t>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4"/>
              </w:rPr>
              <w:t>958</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1, 2022 - June 30, 2022</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$10.78</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2"/>
              </w:rPr>
              <w:t>4.7</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907</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4.7</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$10.78</w:t>
            </w:r>
          </w:p>
        </w:tc>
        <w:tc>
          <w:tcPr>
            <w:tcW w:w="100" w:type="dxa"/>
            <w:vAlign w:val="bottom"/>
          </w:tcPr>
          <w:p>
            <w:pPr>
              <w:spacing w:after="0"/>
              <w:rPr>
                <w:sz w:val="16"/>
                <w:szCs w:val="16"/>
                <w:color w:val="auto"/>
              </w:rPr>
            </w:pPr>
          </w:p>
        </w:tc>
        <w:tc>
          <w:tcPr>
            <w:tcW w:w="19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2"/>
              </w:rPr>
              <w:t>4.7</w:t>
            </w: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$907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7"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are reported based on the trade date of the share repurchase.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All shares purchased by the Company were pursuant to the stock repurchase program described in Note 9 of our accompanying Consolidated Financial Statements in this Form 10-Q.</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Exhibit Index</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1" w:lineRule="exact"/>
        <w:rPr>
          <w:sz w:val="20"/>
          <w:szCs w:val="20"/>
          <w:color w:val="auto"/>
        </w:rPr>
      </w:pPr>
    </w:p>
    <w:p>
      <w:pPr>
        <w:ind w:left="500" w:right="20" w:hanging="1295"/>
        <w:spacing w:after="0" w:line="277" w:lineRule="auto"/>
        <w:tabs>
          <w:tab w:leader="none" w:pos="480" w:val="left"/>
        </w:tabs>
        <w:rPr>
          <w:rFonts w:ascii="Arial" w:cs="Arial" w:eastAsia="Arial" w:hAnsi="Arial"/>
          <w:sz w:val="18"/>
          <w:szCs w:val="18"/>
          <w:color w:val="auto"/>
        </w:rPr>
      </w:pPr>
      <w:hyperlink r:id="rId68">
        <w:r>
          <w:rPr>
            <w:rFonts w:ascii="Arial" w:cs="Arial" w:eastAsia="Arial" w:hAnsi="Arial"/>
            <w:sz w:val="18"/>
            <w:szCs w:val="18"/>
            <w:color w:val="auto"/>
          </w:rPr>
          <w:t>*3.1</w:t>
        </w:r>
      </w:hyperlink>
      <w:r>
        <w:rPr>
          <w:rFonts w:ascii="Arial" w:cs="Arial" w:eastAsia="Arial" w:hAnsi="Arial"/>
          <w:sz w:val="18"/>
          <w:szCs w:val="18"/>
          <w:color w:val="auto"/>
        </w:rPr>
        <w:tab/>
      </w:r>
      <w:hyperlink r:id="rId68">
        <w:r>
          <w:rPr>
            <w:rFonts w:ascii="Arial" w:cs="Arial" w:eastAsia="Arial" w:hAnsi="Arial"/>
            <w:sz w:val="18"/>
            <w:szCs w:val="18"/>
            <w:color w:val="auto"/>
          </w:rPr>
          <w:t>AGNC Investment Corp. Amended and Restated Certificate of Incorporation, as amended, incorporated by reference from Exhibit 3.1 of Form 10-K</w:t>
        </w:r>
      </w:hyperlink>
      <w:r>
        <w:rPr>
          <w:rFonts w:ascii="Arial" w:cs="Arial" w:eastAsia="Arial" w:hAnsi="Arial"/>
          <w:sz w:val="18"/>
          <w:szCs w:val="18"/>
          <w:color w:val="auto"/>
        </w:rPr>
        <w:t xml:space="preserve"> </w:t>
      </w:r>
      <w:hyperlink r:id="rId68">
        <w:r>
          <w:rPr>
            <w:rFonts w:ascii="Arial" w:cs="Arial" w:eastAsia="Arial" w:hAnsi="Arial"/>
            <w:sz w:val="18"/>
            <w:szCs w:val="18"/>
            <w:color w:val="auto"/>
          </w:rPr>
          <w:t>for the year ended December 31, 2021 (File No. 001-34057), filed February 23, 2022.</w:t>
        </w:r>
      </w:hyperlink>
    </w:p>
    <w:p>
      <w:pPr>
        <w:spacing w:after="0" w:line="116" w:lineRule="exact"/>
        <w:rPr>
          <w:rFonts w:ascii="Arial" w:cs="Arial" w:eastAsia="Arial" w:hAnsi="Arial"/>
          <w:sz w:val="18"/>
          <w:szCs w:val="18"/>
          <w:color w:val="auto"/>
        </w:rPr>
      </w:pPr>
    </w:p>
    <w:p>
      <w:pPr>
        <w:spacing w:after="0"/>
        <w:tabs>
          <w:tab w:leader="none" w:pos="480" w:val="left"/>
        </w:tabs>
        <w:rPr>
          <w:rFonts w:ascii="Arial" w:cs="Arial" w:eastAsia="Arial" w:hAnsi="Arial"/>
          <w:sz w:val="16"/>
          <w:szCs w:val="16"/>
          <w:color w:val="auto"/>
        </w:rPr>
      </w:pPr>
      <w:hyperlink r:id="rId69">
        <w:r>
          <w:rPr>
            <w:rFonts w:ascii="Arial" w:cs="Arial" w:eastAsia="Arial" w:hAnsi="Arial"/>
            <w:sz w:val="18"/>
            <w:szCs w:val="18"/>
            <w:color w:val="auto"/>
          </w:rPr>
          <w:t>*3.2</w:t>
        </w:r>
      </w:hyperlink>
      <w:r>
        <w:rPr>
          <w:rFonts w:ascii="Arial" w:cs="Arial" w:eastAsia="Arial" w:hAnsi="Arial"/>
          <w:sz w:val="18"/>
          <w:szCs w:val="18"/>
          <w:color w:val="auto"/>
        </w:rPr>
        <w:tab/>
      </w:r>
      <w:hyperlink r:id="rId69">
        <w:r>
          <w:rPr>
            <w:rFonts w:ascii="Arial" w:cs="Arial" w:eastAsia="Arial" w:hAnsi="Arial"/>
            <w:sz w:val="16"/>
            <w:szCs w:val="16"/>
            <w:color w:val="auto"/>
          </w:rPr>
          <w:t>AGNC Investment Corp. Fourth Amended and Restated Bylaws, as amended, incorporated herein by reference to Exhibit 3.1 of Form 8-K (File No.</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69">
        <w:r>
          <w:rPr>
            <w:rFonts w:ascii="Arial" w:cs="Arial" w:eastAsia="Arial" w:hAnsi="Arial"/>
            <w:sz w:val="18"/>
            <w:szCs w:val="18"/>
            <w:color w:val="auto"/>
          </w:rPr>
          <w:t>001-34057), filed March 11, 2021.</w:t>
        </w:r>
      </w:hyperlink>
    </w:p>
    <w:p>
      <w:pPr>
        <w:spacing w:after="0" w:line="157" w:lineRule="exact"/>
        <w:rPr>
          <w:sz w:val="20"/>
          <w:szCs w:val="20"/>
          <w:color w:val="auto"/>
        </w:rPr>
      </w:pPr>
    </w:p>
    <w:p>
      <w:pPr>
        <w:ind w:left="520" w:hanging="1295"/>
        <w:spacing w:after="0" w:line="277" w:lineRule="auto"/>
        <w:tabs>
          <w:tab w:leader="none" w:pos="500" w:val="left"/>
        </w:tabs>
        <w:rPr>
          <w:rFonts w:ascii="Arial" w:cs="Arial" w:eastAsia="Arial" w:hAnsi="Arial"/>
          <w:sz w:val="18"/>
          <w:szCs w:val="18"/>
          <w:color w:val="auto"/>
        </w:rPr>
      </w:pPr>
      <w:hyperlink r:id="rId70">
        <w:r>
          <w:rPr>
            <w:rFonts w:ascii="Arial" w:cs="Arial" w:eastAsia="Arial" w:hAnsi="Arial"/>
            <w:sz w:val="18"/>
            <w:szCs w:val="18"/>
            <w:color w:val="auto"/>
          </w:rPr>
          <w:t>*3.3</w:t>
        </w:r>
      </w:hyperlink>
      <w:r>
        <w:rPr>
          <w:rFonts w:ascii="Arial" w:cs="Arial" w:eastAsia="Arial" w:hAnsi="Arial"/>
          <w:sz w:val="18"/>
          <w:szCs w:val="18"/>
          <w:color w:val="auto"/>
        </w:rPr>
        <w:tab/>
      </w:r>
      <w:hyperlink r:id="rId70">
        <w:r>
          <w:rPr>
            <w:rFonts w:ascii="Arial" w:cs="Arial" w:eastAsia="Arial" w:hAnsi="Arial"/>
            <w:sz w:val="18"/>
            <w:szCs w:val="18"/>
            <w:color w:val="auto"/>
          </w:rPr>
          <w:t>Certificate of Designations of 7.00% Series C Fixed-to-Floating Rate Cumulative Redeemable Preferred Stock, incorporated herein by reference to</w:t>
        </w:r>
      </w:hyperlink>
      <w:r>
        <w:rPr>
          <w:rFonts w:ascii="Arial" w:cs="Arial" w:eastAsia="Arial" w:hAnsi="Arial"/>
          <w:sz w:val="18"/>
          <w:szCs w:val="18"/>
          <w:color w:val="auto"/>
        </w:rPr>
        <w:t xml:space="preserve"> </w:t>
      </w:r>
      <w:hyperlink r:id="rId70">
        <w:r>
          <w:rPr>
            <w:rFonts w:ascii="Arial" w:cs="Arial" w:eastAsia="Arial" w:hAnsi="Arial"/>
            <w:sz w:val="18"/>
            <w:szCs w:val="18"/>
            <w:color w:val="auto"/>
          </w:rPr>
          <w:t>Exhibit 3.5 of Form 8-A (File No. 001-34057), filed August 18, 2017.</w:t>
        </w:r>
      </w:hyperlink>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jc w:val="both"/>
        <w:ind w:left="500" w:hanging="1295"/>
        <w:spacing w:after="0" w:line="277" w:lineRule="auto"/>
        <w:tabs>
          <w:tab w:leader="none" w:pos="480" w:val="left"/>
        </w:tabs>
        <w:rPr>
          <w:rFonts w:ascii="Arial" w:cs="Arial" w:eastAsia="Arial" w:hAnsi="Arial"/>
          <w:sz w:val="18"/>
          <w:szCs w:val="18"/>
          <w:color w:val="auto"/>
        </w:rPr>
      </w:pPr>
      <w:hyperlink r:id="rId72">
        <w:r>
          <w:rPr>
            <w:rFonts w:ascii="Arial" w:cs="Arial" w:eastAsia="Arial" w:hAnsi="Arial"/>
            <w:sz w:val="18"/>
            <w:szCs w:val="18"/>
            <w:color w:val="auto"/>
          </w:rPr>
          <w:t>*3.4</w:t>
        </w:r>
      </w:hyperlink>
      <w:r>
        <w:rPr>
          <w:rFonts w:ascii="Arial" w:cs="Arial" w:eastAsia="Arial" w:hAnsi="Arial"/>
          <w:sz w:val="18"/>
          <w:szCs w:val="18"/>
          <w:color w:val="auto"/>
        </w:rPr>
        <w:tab/>
      </w:r>
      <w:hyperlink r:id="rId72">
        <w:r>
          <w:rPr>
            <w:rFonts w:ascii="Arial" w:cs="Arial" w:eastAsia="Arial" w:hAnsi="Arial"/>
            <w:sz w:val="18"/>
            <w:szCs w:val="18"/>
            <w:color w:val="auto"/>
          </w:rPr>
          <w:t>Certificate of Elimination of 8.000% Series A Cumulative Redeemable Preferred Stock, incorporated herein by reference to Exhibit 3.1 of Form 8-K</w:t>
        </w:r>
      </w:hyperlink>
      <w:r>
        <w:rPr>
          <w:rFonts w:ascii="Arial" w:cs="Arial" w:eastAsia="Arial" w:hAnsi="Arial"/>
          <w:sz w:val="18"/>
          <w:szCs w:val="18"/>
          <w:color w:val="auto"/>
        </w:rPr>
        <w:t xml:space="preserve"> </w:t>
      </w:r>
      <w:hyperlink r:id="rId72">
        <w:r>
          <w:rPr>
            <w:rFonts w:ascii="Arial" w:cs="Arial" w:eastAsia="Arial" w:hAnsi="Arial"/>
            <w:sz w:val="18"/>
            <w:szCs w:val="18"/>
            <w:color w:val="auto"/>
          </w:rPr>
          <w:t>(File No 001-34057), filed October 26, 2017.</w:t>
        </w:r>
      </w:hyperlink>
    </w:p>
    <w:p>
      <w:pPr>
        <w:spacing w:after="0" w:line="116" w:lineRule="exact"/>
        <w:rPr>
          <w:rFonts w:ascii="Arial" w:cs="Arial" w:eastAsia="Arial" w:hAnsi="Arial"/>
          <w:sz w:val="18"/>
          <w:szCs w:val="18"/>
          <w:color w:val="auto"/>
        </w:rPr>
      </w:pPr>
    </w:p>
    <w:p>
      <w:pPr>
        <w:jc w:val="both"/>
        <w:ind w:left="500" w:hanging="1295"/>
        <w:spacing w:after="0" w:line="277" w:lineRule="auto"/>
        <w:tabs>
          <w:tab w:leader="none" w:pos="480" w:val="left"/>
        </w:tabs>
        <w:rPr>
          <w:rFonts w:ascii="Arial" w:cs="Arial" w:eastAsia="Arial" w:hAnsi="Arial"/>
          <w:sz w:val="18"/>
          <w:szCs w:val="18"/>
          <w:color w:val="auto"/>
        </w:rPr>
      </w:pPr>
      <w:hyperlink r:id="rId73">
        <w:r>
          <w:rPr>
            <w:rFonts w:ascii="Arial" w:cs="Arial" w:eastAsia="Arial" w:hAnsi="Arial"/>
            <w:sz w:val="18"/>
            <w:szCs w:val="18"/>
            <w:color w:val="auto"/>
          </w:rPr>
          <w:t>*3.5</w:t>
        </w:r>
      </w:hyperlink>
      <w:r>
        <w:rPr>
          <w:rFonts w:ascii="Arial" w:cs="Arial" w:eastAsia="Arial" w:hAnsi="Arial"/>
          <w:sz w:val="18"/>
          <w:szCs w:val="18"/>
          <w:color w:val="auto"/>
        </w:rPr>
        <w:tab/>
      </w:r>
      <w:hyperlink r:id="rId73">
        <w:r>
          <w:rPr>
            <w:rFonts w:ascii="Arial" w:cs="Arial" w:eastAsia="Arial" w:hAnsi="Arial"/>
            <w:sz w:val="18"/>
            <w:szCs w:val="18"/>
            <w:color w:val="auto"/>
          </w:rPr>
          <w:t>Certificate of Designations of 6.875% Series D Fixed-to-Floating Rate Cumulative Redeemable Preferred Stock, incorporated herein by reference to</w:t>
        </w:r>
      </w:hyperlink>
      <w:r>
        <w:rPr>
          <w:rFonts w:ascii="Arial" w:cs="Arial" w:eastAsia="Arial" w:hAnsi="Arial"/>
          <w:sz w:val="18"/>
          <w:szCs w:val="18"/>
          <w:color w:val="auto"/>
        </w:rPr>
        <w:t xml:space="preserve"> </w:t>
      </w:r>
      <w:hyperlink r:id="rId73">
        <w:r>
          <w:rPr>
            <w:rFonts w:ascii="Arial" w:cs="Arial" w:eastAsia="Arial" w:hAnsi="Arial"/>
            <w:sz w:val="18"/>
            <w:szCs w:val="18"/>
            <w:color w:val="auto"/>
          </w:rPr>
          <w:t>Exhibit 3.5 of Form 8-A (File No 001-34057), filed March 6, 2019.</w:t>
        </w:r>
      </w:hyperlink>
    </w:p>
    <w:p>
      <w:pPr>
        <w:spacing w:after="0" w:line="116" w:lineRule="exact"/>
        <w:rPr>
          <w:rFonts w:ascii="Arial" w:cs="Arial" w:eastAsia="Arial" w:hAnsi="Arial"/>
          <w:sz w:val="18"/>
          <w:szCs w:val="18"/>
          <w:color w:val="auto"/>
        </w:rPr>
      </w:pPr>
    </w:p>
    <w:p>
      <w:pPr>
        <w:jc w:val="both"/>
        <w:ind w:left="520" w:right="20" w:hanging="1295"/>
        <w:spacing w:after="0" w:line="277" w:lineRule="auto"/>
        <w:tabs>
          <w:tab w:leader="none" w:pos="500" w:val="left"/>
        </w:tabs>
        <w:rPr>
          <w:rFonts w:ascii="Arial" w:cs="Arial" w:eastAsia="Arial" w:hAnsi="Arial"/>
          <w:sz w:val="18"/>
          <w:szCs w:val="18"/>
          <w:color w:val="auto"/>
        </w:rPr>
      </w:pPr>
      <w:hyperlink r:id="rId74">
        <w:r>
          <w:rPr>
            <w:rFonts w:ascii="Arial" w:cs="Arial" w:eastAsia="Arial" w:hAnsi="Arial"/>
            <w:sz w:val="18"/>
            <w:szCs w:val="18"/>
            <w:color w:val="auto"/>
          </w:rPr>
          <w:t>*3.6</w:t>
        </w:r>
      </w:hyperlink>
      <w:r>
        <w:rPr>
          <w:rFonts w:ascii="Arial" w:cs="Arial" w:eastAsia="Arial" w:hAnsi="Arial"/>
          <w:sz w:val="18"/>
          <w:szCs w:val="18"/>
          <w:color w:val="auto"/>
        </w:rPr>
        <w:tab/>
      </w:r>
      <w:hyperlink r:id="rId74">
        <w:r>
          <w:rPr>
            <w:rFonts w:ascii="Arial" w:cs="Arial" w:eastAsia="Arial" w:hAnsi="Arial"/>
            <w:sz w:val="18"/>
            <w:szCs w:val="18"/>
            <w:color w:val="auto"/>
          </w:rPr>
          <w:t>Certificate of Designations of 6.50% Series E Fixed-to-Floating Rate Cumulative Redeemable Preferred Stock, incorporated herein by reference to</w:t>
        </w:r>
      </w:hyperlink>
      <w:r>
        <w:rPr>
          <w:rFonts w:ascii="Arial" w:cs="Arial" w:eastAsia="Arial" w:hAnsi="Arial"/>
          <w:sz w:val="18"/>
          <w:szCs w:val="18"/>
          <w:color w:val="auto"/>
        </w:rPr>
        <w:t xml:space="preserve"> </w:t>
      </w:r>
      <w:hyperlink r:id="rId74">
        <w:r>
          <w:rPr>
            <w:rFonts w:ascii="Arial" w:cs="Arial" w:eastAsia="Arial" w:hAnsi="Arial"/>
            <w:sz w:val="18"/>
            <w:szCs w:val="18"/>
            <w:color w:val="auto"/>
          </w:rPr>
          <w:t>Exhibit 3.6 of Form 8-A (File No 001-34057), filed October 3, 2019.</w:t>
        </w:r>
      </w:hyperlink>
    </w:p>
    <w:p>
      <w:pPr>
        <w:spacing w:after="0" w:line="116" w:lineRule="exact"/>
        <w:rPr>
          <w:rFonts w:ascii="Arial" w:cs="Arial" w:eastAsia="Arial" w:hAnsi="Arial"/>
          <w:sz w:val="18"/>
          <w:szCs w:val="18"/>
          <w:color w:val="auto"/>
        </w:rPr>
      </w:pPr>
    </w:p>
    <w:p>
      <w:pPr>
        <w:jc w:val="both"/>
        <w:ind w:left="500" w:right="20" w:hanging="1295"/>
        <w:spacing w:after="0" w:line="277" w:lineRule="auto"/>
        <w:tabs>
          <w:tab w:leader="none" w:pos="480" w:val="left"/>
        </w:tabs>
        <w:rPr>
          <w:rFonts w:ascii="Arial" w:cs="Arial" w:eastAsia="Arial" w:hAnsi="Arial"/>
          <w:sz w:val="18"/>
          <w:szCs w:val="18"/>
          <w:color w:val="auto"/>
        </w:rPr>
      </w:pPr>
      <w:hyperlink r:id="rId75">
        <w:r>
          <w:rPr>
            <w:rFonts w:ascii="Arial" w:cs="Arial" w:eastAsia="Arial" w:hAnsi="Arial"/>
            <w:sz w:val="18"/>
            <w:szCs w:val="18"/>
            <w:color w:val="auto"/>
          </w:rPr>
          <w:t>*3.7</w:t>
        </w:r>
      </w:hyperlink>
      <w:r>
        <w:rPr>
          <w:rFonts w:ascii="Arial" w:cs="Arial" w:eastAsia="Arial" w:hAnsi="Arial"/>
          <w:sz w:val="18"/>
          <w:szCs w:val="18"/>
          <w:color w:val="auto"/>
        </w:rPr>
        <w:tab/>
      </w:r>
      <w:hyperlink r:id="rId75">
        <w:r>
          <w:rPr>
            <w:rFonts w:ascii="Arial" w:cs="Arial" w:eastAsia="Arial" w:hAnsi="Arial"/>
            <w:sz w:val="18"/>
            <w:szCs w:val="18"/>
            <w:color w:val="auto"/>
          </w:rPr>
          <w:t>Certificate of Elimination of 7.750% Series B Cumulative Redeemable Preferred Stock, incorporated herein by reference to Exhibit 3.1 of Form 8-K</w:t>
        </w:r>
      </w:hyperlink>
      <w:r>
        <w:rPr>
          <w:rFonts w:ascii="Arial" w:cs="Arial" w:eastAsia="Arial" w:hAnsi="Arial"/>
          <w:sz w:val="18"/>
          <w:szCs w:val="18"/>
          <w:color w:val="auto"/>
        </w:rPr>
        <w:t xml:space="preserve"> </w:t>
      </w:r>
      <w:hyperlink r:id="rId75">
        <w:r>
          <w:rPr>
            <w:rFonts w:ascii="Arial" w:cs="Arial" w:eastAsia="Arial" w:hAnsi="Arial"/>
            <w:sz w:val="18"/>
            <w:szCs w:val="18"/>
            <w:color w:val="auto"/>
          </w:rPr>
          <w:t>(File No 001-34057), filed December 13, 2019.</w:t>
        </w:r>
      </w:hyperlink>
    </w:p>
    <w:p>
      <w:pPr>
        <w:spacing w:after="0" w:line="116" w:lineRule="exact"/>
        <w:rPr>
          <w:rFonts w:ascii="Arial" w:cs="Arial" w:eastAsia="Arial" w:hAnsi="Arial"/>
          <w:sz w:val="18"/>
          <w:szCs w:val="18"/>
          <w:color w:val="auto"/>
        </w:rPr>
      </w:pPr>
    </w:p>
    <w:p>
      <w:pPr>
        <w:jc w:val="both"/>
        <w:ind w:left="520" w:right="20" w:hanging="1295"/>
        <w:spacing w:after="0" w:line="277" w:lineRule="auto"/>
        <w:tabs>
          <w:tab w:leader="none" w:pos="500" w:val="left"/>
        </w:tabs>
        <w:rPr>
          <w:rFonts w:ascii="Arial" w:cs="Arial" w:eastAsia="Arial" w:hAnsi="Arial"/>
          <w:sz w:val="18"/>
          <w:szCs w:val="18"/>
          <w:color w:val="auto"/>
        </w:rPr>
      </w:pPr>
      <w:hyperlink r:id="rId76">
        <w:r>
          <w:rPr>
            <w:rFonts w:ascii="Arial" w:cs="Arial" w:eastAsia="Arial" w:hAnsi="Arial"/>
            <w:sz w:val="18"/>
            <w:szCs w:val="18"/>
            <w:color w:val="auto"/>
          </w:rPr>
          <w:t>*3.8</w:t>
        </w:r>
      </w:hyperlink>
      <w:r>
        <w:rPr>
          <w:rFonts w:ascii="Arial" w:cs="Arial" w:eastAsia="Arial" w:hAnsi="Arial"/>
          <w:sz w:val="18"/>
          <w:szCs w:val="18"/>
          <w:color w:val="auto"/>
        </w:rPr>
        <w:tab/>
      </w:r>
      <w:hyperlink r:id="rId76">
        <w:r>
          <w:rPr>
            <w:rFonts w:ascii="Arial" w:cs="Arial" w:eastAsia="Arial" w:hAnsi="Arial"/>
            <w:sz w:val="18"/>
            <w:szCs w:val="18"/>
            <w:color w:val="auto"/>
          </w:rPr>
          <w:t>Certificate of Designations of 6.125% Series F Fixed-to-Floating Rate Cumulative Redeemable Preferred Stock, incorporated herein by reference to</w:t>
        </w:r>
      </w:hyperlink>
      <w:r>
        <w:rPr>
          <w:rFonts w:ascii="Arial" w:cs="Arial" w:eastAsia="Arial" w:hAnsi="Arial"/>
          <w:sz w:val="18"/>
          <w:szCs w:val="18"/>
          <w:color w:val="auto"/>
        </w:rPr>
        <w:t xml:space="preserve"> </w:t>
      </w:r>
      <w:hyperlink r:id="rId76">
        <w:r>
          <w:rPr>
            <w:rFonts w:ascii="Arial" w:cs="Arial" w:eastAsia="Arial" w:hAnsi="Arial"/>
            <w:sz w:val="18"/>
            <w:szCs w:val="18"/>
            <w:color w:val="auto"/>
          </w:rPr>
          <w:t>Exhibit 3.6 of Form 8-A (File No 001-34057), filed February 11, 2020.</w:t>
        </w:r>
      </w:hyperlink>
    </w:p>
    <w:p>
      <w:pPr>
        <w:spacing w:after="0" w:line="116" w:lineRule="exact"/>
        <w:rPr>
          <w:rFonts w:ascii="Arial" w:cs="Arial" w:eastAsia="Arial" w:hAnsi="Arial"/>
          <w:sz w:val="18"/>
          <w:szCs w:val="18"/>
          <w:color w:val="auto"/>
        </w:rPr>
      </w:pPr>
    </w:p>
    <w:p>
      <w:pPr>
        <w:jc w:val="both"/>
        <w:ind w:left="580" w:hanging="1295"/>
        <w:spacing w:after="0" w:line="263" w:lineRule="auto"/>
        <w:tabs>
          <w:tab w:leader="none" w:pos="560" w:val="left"/>
        </w:tabs>
        <w:rPr>
          <w:rFonts w:ascii="Arial" w:cs="Arial" w:eastAsia="Arial" w:hAnsi="Arial"/>
          <w:sz w:val="18"/>
          <w:szCs w:val="18"/>
          <w:color w:val="auto"/>
        </w:rPr>
      </w:pPr>
      <w:hyperlink r:id="rId68">
        <w:r>
          <w:rPr>
            <w:rFonts w:ascii="Arial" w:cs="Arial" w:eastAsia="Arial" w:hAnsi="Arial"/>
            <w:sz w:val="18"/>
            <w:szCs w:val="18"/>
            <w:color w:val="auto"/>
          </w:rPr>
          <w:t>*4.1</w:t>
        </w:r>
      </w:hyperlink>
      <w:r>
        <w:rPr>
          <w:rFonts w:ascii="Arial" w:cs="Arial" w:eastAsia="Arial" w:hAnsi="Arial"/>
          <w:sz w:val="18"/>
          <w:szCs w:val="18"/>
          <w:color w:val="auto"/>
        </w:rPr>
        <w:tab/>
      </w:r>
      <w:hyperlink r:id="rId68">
        <w:r>
          <w:rPr>
            <w:rFonts w:ascii="Arial" w:cs="Arial" w:eastAsia="Arial" w:hAnsi="Arial"/>
            <w:sz w:val="18"/>
            <w:szCs w:val="18"/>
            <w:color w:val="auto"/>
          </w:rPr>
          <w:t>Instruments defining the rights of holders of securities: See Article IV of our Amended and Restated Certificate of Incorporation, as amended,</w:t>
        </w:r>
      </w:hyperlink>
      <w:r>
        <w:rPr>
          <w:rFonts w:ascii="Arial" w:cs="Arial" w:eastAsia="Arial" w:hAnsi="Arial"/>
          <w:sz w:val="18"/>
          <w:szCs w:val="18"/>
          <w:color w:val="auto"/>
        </w:rPr>
        <w:t xml:space="preserve"> </w:t>
      </w:r>
      <w:hyperlink r:id="rId68">
        <w:r>
          <w:rPr>
            <w:rFonts w:ascii="Arial" w:cs="Arial" w:eastAsia="Arial" w:hAnsi="Arial"/>
            <w:sz w:val="18"/>
            <w:szCs w:val="18"/>
            <w:color w:val="auto"/>
          </w:rPr>
          <w:t>incorporated herein by reference to Exhibit 3.1 of Form 10-K for the year ended December 31, 2021 (File No. 001-34057), filed February</w:t>
        </w:r>
      </w:hyperlink>
      <w:r>
        <w:rPr>
          <w:rFonts w:ascii="Arial" w:cs="Arial" w:eastAsia="Arial" w:hAnsi="Arial"/>
          <w:sz w:val="18"/>
          <w:szCs w:val="18"/>
          <w:color w:val="auto"/>
        </w:rPr>
        <w:t xml:space="preserve"> </w:t>
      </w:r>
      <w:hyperlink r:id="rId68">
        <w:r>
          <w:rPr>
            <w:rFonts w:ascii="Arial" w:cs="Arial" w:eastAsia="Arial" w:hAnsi="Arial"/>
            <w:sz w:val="18"/>
            <w:szCs w:val="18"/>
            <w:color w:val="auto"/>
          </w:rPr>
          <w:t>23, 2022.</w:t>
        </w:r>
      </w:hyperlink>
    </w:p>
    <w:p>
      <w:pPr>
        <w:spacing w:after="0" w:line="130" w:lineRule="exact"/>
        <w:rPr>
          <w:rFonts w:ascii="Arial" w:cs="Arial" w:eastAsia="Arial" w:hAnsi="Arial"/>
          <w:sz w:val="18"/>
          <w:szCs w:val="18"/>
          <w:color w:val="auto"/>
        </w:rPr>
      </w:pPr>
    </w:p>
    <w:p>
      <w:pPr>
        <w:jc w:val="both"/>
        <w:ind w:left="580" w:hanging="1295"/>
        <w:spacing w:after="0" w:line="277" w:lineRule="auto"/>
        <w:tabs>
          <w:tab w:leader="none" w:pos="560" w:val="left"/>
        </w:tabs>
        <w:rPr>
          <w:rFonts w:ascii="Arial" w:cs="Arial" w:eastAsia="Arial" w:hAnsi="Arial"/>
          <w:sz w:val="18"/>
          <w:szCs w:val="18"/>
          <w:color w:val="auto"/>
        </w:rPr>
      </w:pPr>
      <w:hyperlink r:id="rId69">
        <w:r>
          <w:rPr>
            <w:rFonts w:ascii="Arial" w:cs="Arial" w:eastAsia="Arial" w:hAnsi="Arial"/>
            <w:sz w:val="18"/>
            <w:szCs w:val="18"/>
            <w:color w:val="auto"/>
          </w:rPr>
          <w:t>*4.2</w:t>
        </w:r>
      </w:hyperlink>
      <w:r>
        <w:rPr>
          <w:rFonts w:ascii="Arial" w:cs="Arial" w:eastAsia="Arial" w:hAnsi="Arial"/>
          <w:sz w:val="18"/>
          <w:szCs w:val="18"/>
          <w:color w:val="auto"/>
        </w:rPr>
        <w:tab/>
      </w:r>
      <w:hyperlink r:id="rId69">
        <w:r>
          <w:rPr>
            <w:rFonts w:ascii="Arial" w:cs="Arial" w:eastAsia="Arial" w:hAnsi="Arial"/>
            <w:sz w:val="18"/>
            <w:szCs w:val="18"/>
            <w:color w:val="auto"/>
          </w:rPr>
          <w:t>Instruments defining the rights of holders of securities: See Article VI of our Fourth Amended and Restated Bylaws, as amended, incorporated</w:t>
        </w:r>
      </w:hyperlink>
      <w:r>
        <w:rPr>
          <w:rFonts w:ascii="Arial" w:cs="Arial" w:eastAsia="Arial" w:hAnsi="Arial"/>
          <w:sz w:val="18"/>
          <w:szCs w:val="18"/>
          <w:color w:val="auto"/>
        </w:rPr>
        <w:t xml:space="preserve"> </w:t>
      </w:r>
      <w:hyperlink r:id="rId69">
        <w:r>
          <w:rPr>
            <w:rFonts w:ascii="Arial" w:cs="Arial" w:eastAsia="Arial" w:hAnsi="Arial"/>
            <w:sz w:val="18"/>
            <w:szCs w:val="18"/>
            <w:color w:val="auto"/>
          </w:rPr>
          <w:t>herein by reference to Exhibit 3.1 of Form 8-K, filed March 11, 2021.</w:t>
        </w:r>
      </w:hyperlink>
    </w:p>
    <w:p>
      <w:pPr>
        <w:spacing w:after="0" w:line="116" w:lineRule="exact"/>
        <w:rPr>
          <w:rFonts w:ascii="Arial" w:cs="Arial" w:eastAsia="Arial" w:hAnsi="Arial"/>
          <w:sz w:val="18"/>
          <w:szCs w:val="18"/>
          <w:color w:val="auto"/>
        </w:rPr>
      </w:pPr>
    </w:p>
    <w:p>
      <w:pPr>
        <w:jc w:val="both"/>
        <w:ind w:left="560" w:hanging="1295"/>
        <w:spacing w:after="0" w:line="277" w:lineRule="auto"/>
        <w:tabs>
          <w:tab w:leader="none" w:pos="540" w:val="left"/>
        </w:tabs>
        <w:rPr>
          <w:rFonts w:ascii="Arial" w:cs="Arial" w:eastAsia="Arial" w:hAnsi="Arial"/>
          <w:sz w:val="18"/>
          <w:szCs w:val="18"/>
          <w:color w:val="auto"/>
        </w:rPr>
      </w:pPr>
      <w:hyperlink r:id="rId77">
        <w:r>
          <w:rPr>
            <w:rFonts w:ascii="Arial" w:cs="Arial" w:eastAsia="Arial" w:hAnsi="Arial"/>
            <w:sz w:val="18"/>
            <w:szCs w:val="18"/>
            <w:color w:val="auto"/>
          </w:rPr>
          <w:t>*4.3</w:t>
        </w:r>
      </w:hyperlink>
      <w:r>
        <w:rPr>
          <w:rFonts w:ascii="Arial" w:cs="Arial" w:eastAsia="Arial" w:hAnsi="Arial"/>
          <w:sz w:val="18"/>
          <w:szCs w:val="18"/>
          <w:color w:val="auto"/>
        </w:rPr>
        <w:tab/>
      </w:r>
      <w:hyperlink r:id="rId77">
        <w:r>
          <w:rPr>
            <w:rFonts w:ascii="Arial" w:cs="Arial" w:eastAsia="Arial" w:hAnsi="Arial"/>
            <w:sz w:val="18"/>
            <w:szCs w:val="18"/>
            <w:color w:val="auto"/>
          </w:rPr>
          <w:t>Form of Certificate for Common Stock, incorporated herein by reference to Exhibit 4.3 of Form 10-Q for the quarter ended September 30, 2016</w:t>
        </w:r>
      </w:hyperlink>
      <w:r>
        <w:rPr>
          <w:rFonts w:ascii="Arial" w:cs="Arial" w:eastAsia="Arial" w:hAnsi="Arial"/>
          <w:sz w:val="18"/>
          <w:szCs w:val="18"/>
          <w:color w:val="auto"/>
        </w:rPr>
        <w:t xml:space="preserve"> </w:t>
      </w:r>
      <w:hyperlink r:id="rId77">
        <w:r>
          <w:rPr>
            <w:rFonts w:ascii="Arial" w:cs="Arial" w:eastAsia="Arial" w:hAnsi="Arial"/>
            <w:sz w:val="18"/>
            <w:szCs w:val="18"/>
            <w:color w:val="auto"/>
          </w:rPr>
          <w:t>(File No. 001-34057), filed November 7, 2016.</w:t>
        </w:r>
      </w:hyperlink>
    </w:p>
    <w:p>
      <w:pPr>
        <w:spacing w:after="0" w:line="116" w:lineRule="exact"/>
        <w:rPr>
          <w:rFonts w:ascii="Arial" w:cs="Arial" w:eastAsia="Arial" w:hAnsi="Arial"/>
          <w:sz w:val="18"/>
          <w:szCs w:val="18"/>
          <w:color w:val="auto"/>
        </w:rPr>
      </w:pPr>
    </w:p>
    <w:p>
      <w:pPr>
        <w:spacing w:after="0"/>
        <w:tabs>
          <w:tab w:leader="none" w:pos="500" w:val="left"/>
        </w:tabs>
        <w:rPr>
          <w:rFonts w:ascii="Arial" w:cs="Arial" w:eastAsia="Arial" w:hAnsi="Arial"/>
          <w:sz w:val="16"/>
          <w:szCs w:val="16"/>
          <w:color w:val="auto"/>
        </w:rPr>
      </w:pPr>
      <w:hyperlink r:id="rId78">
        <w:r>
          <w:rPr>
            <w:rFonts w:ascii="Arial" w:cs="Arial" w:eastAsia="Arial" w:hAnsi="Arial"/>
            <w:sz w:val="18"/>
            <w:szCs w:val="18"/>
            <w:color w:val="auto"/>
          </w:rPr>
          <w:t>*4.4</w:t>
        </w:r>
      </w:hyperlink>
      <w:r>
        <w:rPr>
          <w:rFonts w:ascii="Arial" w:cs="Arial" w:eastAsia="Arial" w:hAnsi="Arial"/>
          <w:sz w:val="18"/>
          <w:szCs w:val="18"/>
          <w:color w:val="auto"/>
        </w:rPr>
        <w:tab/>
      </w:r>
      <w:hyperlink r:id="rId78">
        <w:r>
          <w:rPr>
            <w:rFonts w:ascii="Arial" w:cs="Arial" w:eastAsia="Arial" w:hAnsi="Arial"/>
            <w:sz w:val="16"/>
            <w:szCs w:val="16"/>
            <w:color w:val="auto"/>
          </w:rPr>
          <w:t>Specimen 7.00% Series C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78">
        <w:r>
          <w:rPr>
            <w:rFonts w:ascii="Arial" w:cs="Arial" w:eastAsia="Arial" w:hAnsi="Arial"/>
            <w:sz w:val="18"/>
            <w:szCs w:val="18"/>
            <w:color w:val="auto"/>
          </w:rPr>
          <w:t>4.1 of Form 8-A (File No. 001-34057), filed August 18, 2017.</w:t>
        </w:r>
      </w:hyperlink>
    </w:p>
    <w:p>
      <w:pPr>
        <w:spacing w:after="0" w:line="157" w:lineRule="exact"/>
        <w:rPr>
          <w:sz w:val="20"/>
          <w:szCs w:val="20"/>
          <w:color w:val="auto"/>
        </w:rPr>
      </w:pPr>
    </w:p>
    <w:p>
      <w:pPr>
        <w:spacing w:after="0"/>
        <w:tabs>
          <w:tab w:leader="none" w:pos="500" w:val="left"/>
        </w:tabs>
        <w:rPr>
          <w:rFonts w:ascii="Arial" w:cs="Arial" w:eastAsia="Arial" w:hAnsi="Arial"/>
          <w:sz w:val="16"/>
          <w:szCs w:val="16"/>
          <w:color w:val="auto"/>
        </w:rPr>
      </w:pPr>
      <w:hyperlink r:id="rId79">
        <w:r>
          <w:rPr>
            <w:rFonts w:ascii="Arial" w:cs="Arial" w:eastAsia="Arial" w:hAnsi="Arial"/>
            <w:sz w:val="18"/>
            <w:szCs w:val="18"/>
            <w:color w:val="auto"/>
          </w:rPr>
          <w:t>*4.5</w:t>
        </w:r>
      </w:hyperlink>
      <w:r>
        <w:rPr>
          <w:rFonts w:ascii="Arial" w:cs="Arial" w:eastAsia="Arial" w:hAnsi="Arial"/>
          <w:sz w:val="18"/>
          <w:szCs w:val="18"/>
          <w:color w:val="auto"/>
        </w:rPr>
        <w:tab/>
      </w:r>
      <w:hyperlink r:id="rId79">
        <w:r>
          <w:rPr>
            <w:rFonts w:ascii="Arial" w:cs="Arial" w:eastAsia="Arial" w:hAnsi="Arial"/>
            <w:sz w:val="16"/>
            <w:szCs w:val="16"/>
            <w:color w:val="auto"/>
          </w:rPr>
          <w:t>Specimen 6.875% Series D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79">
        <w:r>
          <w:rPr>
            <w:rFonts w:ascii="Arial" w:cs="Arial" w:eastAsia="Arial" w:hAnsi="Arial"/>
            <w:sz w:val="18"/>
            <w:szCs w:val="18"/>
            <w:color w:val="auto"/>
          </w:rPr>
          <w:t>4.1 of Form 8-A (File No. 001-34057), filed March 6, 2019.</w:t>
        </w:r>
      </w:hyperlink>
    </w:p>
    <w:p>
      <w:pPr>
        <w:spacing w:after="0" w:line="157" w:lineRule="exact"/>
        <w:rPr>
          <w:sz w:val="20"/>
          <w:szCs w:val="20"/>
          <w:color w:val="auto"/>
        </w:rPr>
      </w:pPr>
    </w:p>
    <w:p>
      <w:pPr>
        <w:spacing w:after="0"/>
        <w:tabs>
          <w:tab w:leader="none" w:pos="520" w:val="left"/>
        </w:tabs>
        <w:rPr>
          <w:rFonts w:ascii="Arial" w:cs="Arial" w:eastAsia="Arial" w:hAnsi="Arial"/>
          <w:sz w:val="16"/>
          <w:szCs w:val="16"/>
          <w:color w:val="auto"/>
        </w:rPr>
      </w:pPr>
      <w:hyperlink r:id="rId80">
        <w:r>
          <w:rPr>
            <w:rFonts w:ascii="Arial" w:cs="Arial" w:eastAsia="Arial" w:hAnsi="Arial"/>
            <w:sz w:val="18"/>
            <w:szCs w:val="18"/>
            <w:color w:val="auto"/>
          </w:rPr>
          <w:t>*4.6</w:t>
        </w:r>
      </w:hyperlink>
      <w:r>
        <w:rPr>
          <w:rFonts w:ascii="Arial" w:cs="Arial" w:eastAsia="Arial" w:hAnsi="Arial"/>
          <w:sz w:val="18"/>
          <w:szCs w:val="18"/>
          <w:color w:val="auto"/>
        </w:rPr>
        <w:tab/>
      </w:r>
      <w:hyperlink r:id="rId80">
        <w:r>
          <w:rPr>
            <w:rFonts w:ascii="Arial" w:cs="Arial" w:eastAsia="Arial" w:hAnsi="Arial"/>
            <w:sz w:val="16"/>
            <w:szCs w:val="16"/>
            <w:color w:val="auto"/>
          </w:rPr>
          <w:t>Specimen 6.50% Series E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80">
        <w:r>
          <w:rPr>
            <w:rFonts w:ascii="Arial" w:cs="Arial" w:eastAsia="Arial" w:hAnsi="Arial"/>
            <w:sz w:val="18"/>
            <w:szCs w:val="18"/>
            <w:color w:val="auto"/>
          </w:rPr>
          <w:t>4.1 of Form 8-A (File No. 001-34057), filed October 3, 2019.</w:t>
        </w:r>
      </w:hyperlink>
    </w:p>
    <w:p>
      <w:pPr>
        <w:spacing w:after="0" w:line="157" w:lineRule="exact"/>
        <w:rPr>
          <w:sz w:val="20"/>
          <w:szCs w:val="20"/>
          <w:color w:val="auto"/>
        </w:rPr>
      </w:pPr>
    </w:p>
    <w:p>
      <w:pPr>
        <w:spacing w:after="0"/>
        <w:tabs>
          <w:tab w:leader="none" w:pos="500" w:val="left"/>
        </w:tabs>
        <w:rPr>
          <w:rFonts w:ascii="Arial" w:cs="Arial" w:eastAsia="Arial" w:hAnsi="Arial"/>
          <w:sz w:val="16"/>
          <w:szCs w:val="16"/>
          <w:color w:val="auto"/>
        </w:rPr>
      </w:pPr>
      <w:hyperlink r:id="rId81">
        <w:r>
          <w:rPr>
            <w:rFonts w:ascii="Arial" w:cs="Arial" w:eastAsia="Arial" w:hAnsi="Arial"/>
            <w:sz w:val="18"/>
            <w:szCs w:val="18"/>
            <w:color w:val="auto"/>
          </w:rPr>
          <w:t>*4.7</w:t>
        </w:r>
      </w:hyperlink>
      <w:r>
        <w:rPr>
          <w:rFonts w:ascii="Arial" w:cs="Arial" w:eastAsia="Arial" w:hAnsi="Arial"/>
          <w:sz w:val="18"/>
          <w:szCs w:val="18"/>
          <w:color w:val="auto"/>
        </w:rPr>
        <w:tab/>
      </w:r>
      <w:hyperlink r:id="rId81">
        <w:r>
          <w:rPr>
            <w:rFonts w:ascii="Arial" w:cs="Arial" w:eastAsia="Arial" w:hAnsi="Arial"/>
            <w:sz w:val="16"/>
            <w:szCs w:val="16"/>
            <w:color w:val="auto"/>
          </w:rPr>
          <w:t>Specimen 6.125% Series F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81">
        <w:r>
          <w:rPr>
            <w:rFonts w:ascii="Arial" w:cs="Arial" w:eastAsia="Arial" w:hAnsi="Arial"/>
            <w:sz w:val="18"/>
            <w:szCs w:val="18"/>
            <w:color w:val="auto"/>
          </w:rPr>
          <w:t>4.1 of Form 8-A (File No 001-34057), filed February 11, 2020.</w:t>
        </w:r>
      </w:hyperlink>
    </w:p>
    <w:p>
      <w:pPr>
        <w:spacing w:after="0" w:line="157" w:lineRule="exact"/>
        <w:rPr>
          <w:sz w:val="20"/>
          <w:szCs w:val="20"/>
          <w:color w:val="auto"/>
        </w:rPr>
      </w:pPr>
    </w:p>
    <w:p>
      <w:pPr>
        <w:jc w:val="both"/>
        <w:ind w:left="580" w:hanging="1295"/>
        <w:spacing w:after="0" w:line="263" w:lineRule="auto"/>
        <w:tabs>
          <w:tab w:leader="none" w:pos="560" w:val="left"/>
        </w:tabs>
        <w:rPr>
          <w:rFonts w:ascii="Arial" w:cs="Arial" w:eastAsia="Arial" w:hAnsi="Arial"/>
          <w:sz w:val="18"/>
          <w:szCs w:val="18"/>
          <w:color w:val="auto"/>
        </w:rPr>
      </w:pPr>
      <w:hyperlink r:id="rId82">
        <w:r>
          <w:rPr>
            <w:rFonts w:ascii="Arial" w:cs="Arial" w:eastAsia="Arial" w:hAnsi="Arial"/>
            <w:sz w:val="18"/>
            <w:szCs w:val="18"/>
            <w:color w:val="auto"/>
          </w:rPr>
          <w:t>*4.8</w:t>
        </w:r>
      </w:hyperlink>
      <w:r>
        <w:rPr>
          <w:rFonts w:ascii="Arial" w:cs="Arial" w:eastAsia="Arial" w:hAnsi="Arial"/>
          <w:sz w:val="18"/>
          <w:szCs w:val="18"/>
          <w:color w:val="auto"/>
        </w:rPr>
        <w:tab/>
      </w:r>
      <w:hyperlink r:id="rId82">
        <w:r>
          <w:rPr>
            <w:rFonts w:ascii="Arial" w:cs="Arial" w:eastAsia="Arial" w:hAnsi="Arial"/>
            <w:sz w:val="18"/>
            <w:szCs w:val="18"/>
            <w:color w:val="auto"/>
          </w:rPr>
          <w:t>Deposit Agreement relating to 7.00% Series C Fixed-to-Floating Rate Cumulative Redeemable Preferred Stock, dated August 22, 2017, among</w:t>
        </w:r>
      </w:hyperlink>
      <w:r>
        <w:rPr>
          <w:rFonts w:ascii="Arial" w:cs="Arial" w:eastAsia="Arial" w:hAnsi="Arial"/>
          <w:sz w:val="18"/>
          <w:szCs w:val="18"/>
          <w:color w:val="auto"/>
        </w:rPr>
        <w:t xml:space="preserve"> </w:t>
      </w:r>
      <w:hyperlink r:id="rId82">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2">
        <w:r>
          <w:rPr>
            <w:rFonts w:ascii="Arial" w:cs="Arial" w:eastAsia="Arial" w:hAnsi="Arial"/>
            <w:sz w:val="18"/>
            <w:szCs w:val="18"/>
            <w:color w:val="auto"/>
          </w:rPr>
          <w:t>reference to Exhibit 4.2 of Form 8-K (File No. 001-34057) filed August 22, 2017.</w:t>
        </w:r>
      </w:hyperlink>
    </w:p>
    <w:p>
      <w:pPr>
        <w:spacing w:after="0" w:line="130" w:lineRule="exact"/>
        <w:rPr>
          <w:rFonts w:ascii="Arial" w:cs="Arial" w:eastAsia="Arial" w:hAnsi="Arial"/>
          <w:sz w:val="18"/>
          <w:szCs w:val="18"/>
          <w:color w:val="auto"/>
        </w:rPr>
      </w:pPr>
    </w:p>
    <w:p>
      <w:pPr>
        <w:jc w:val="both"/>
        <w:ind w:left="540" w:hanging="1295"/>
        <w:spacing w:after="0" w:line="263" w:lineRule="auto"/>
        <w:tabs>
          <w:tab w:leader="none" w:pos="520" w:val="left"/>
        </w:tabs>
        <w:rPr>
          <w:rFonts w:ascii="Arial" w:cs="Arial" w:eastAsia="Arial" w:hAnsi="Arial"/>
          <w:sz w:val="18"/>
          <w:szCs w:val="18"/>
          <w:color w:val="auto"/>
        </w:rPr>
      </w:pPr>
      <w:hyperlink r:id="rId82">
        <w:r>
          <w:rPr>
            <w:rFonts w:ascii="Arial" w:cs="Arial" w:eastAsia="Arial" w:hAnsi="Arial"/>
            <w:sz w:val="18"/>
            <w:szCs w:val="18"/>
            <w:color w:val="auto"/>
          </w:rPr>
          <w:t>*4.9</w:t>
        </w:r>
      </w:hyperlink>
      <w:r>
        <w:rPr>
          <w:rFonts w:ascii="Arial" w:cs="Arial" w:eastAsia="Arial" w:hAnsi="Arial"/>
          <w:sz w:val="18"/>
          <w:szCs w:val="18"/>
          <w:color w:val="auto"/>
        </w:rPr>
        <w:tab/>
      </w:r>
      <w:hyperlink r:id="rId82">
        <w:r>
          <w:rPr>
            <w:rFonts w:ascii="Arial" w:cs="Arial" w:eastAsia="Arial" w:hAnsi="Arial"/>
            <w:sz w:val="18"/>
            <w:szCs w:val="18"/>
            <w:color w:val="auto"/>
          </w:rPr>
          <w:t>Form of Depositary Receipt representing 1/1,000th of a share of 7.00% Series C Fixed-to-Floating Rate Cumulative Redeemable Preferred Stock</w:t>
        </w:r>
      </w:hyperlink>
      <w:r>
        <w:rPr>
          <w:rFonts w:ascii="Arial" w:cs="Arial" w:eastAsia="Arial" w:hAnsi="Arial"/>
          <w:sz w:val="18"/>
          <w:szCs w:val="18"/>
          <w:color w:val="auto"/>
        </w:rPr>
        <w:t xml:space="preserve"> </w:t>
      </w:r>
      <w:hyperlink r:id="rId82">
        <w:r>
          <w:rPr>
            <w:rFonts w:ascii="Arial" w:cs="Arial" w:eastAsia="Arial" w:hAnsi="Arial"/>
            <w:sz w:val="18"/>
            <w:szCs w:val="18"/>
            <w:color w:val="auto"/>
          </w:rPr>
          <w:t>(included as part of Exhibit 4.8), incorporated herein by reference to Exhibit A of Exhibit 4.2 of Form 8-K (File No. 001-34057) filed</w:t>
        </w:r>
      </w:hyperlink>
      <w:r>
        <w:rPr>
          <w:rFonts w:ascii="Arial" w:cs="Arial" w:eastAsia="Arial" w:hAnsi="Arial"/>
          <w:sz w:val="18"/>
          <w:szCs w:val="18"/>
          <w:color w:val="auto"/>
        </w:rPr>
        <w:t xml:space="preserve"> </w:t>
      </w:r>
      <w:hyperlink r:id="rId82">
        <w:r>
          <w:rPr>
            <w:rFonts w:ascii="Arial" w:cs="Arial" w:eastAsia="Arial" w:hAnsi="Arial"/>
            <w:sz w:val="18"/>
            <w:szCs w:val="18"/>
            <w:color w:val="auto"/>
          </w:rPr>
          <w:t>August 22, 2017.</w:t>
        </w:r>
      </w:hyperlink>
    </w:p>
    <w:p>
      <w:pPr>
        <w:spacing w:after="0" w:line="130" w:lineRule="exact"/>
        <w:rPr>
          <w:rFonts w:ascii="Arial" w:cs="Arial" w:eastAsia="Arial" w:hAnsi="Arial"/>
          <w:sz w:val="18"/>
          <w:szCs w:val="18"/>
          <w:color w:val="auto"/>
        </w:rPr>
      </w:pPr>
    </w:p>
    <w:p>
      <w:pPr>
        <w:jc w:val="both"/>
        <w:ind w:left="660" w:hanging="1295"/>
        <w:spacing w:after="0" w:line="263" w:lineRule="auto"/>
        <w:tabs>
          <w:tab w:leader="none" w:pos="640" w:val="left"/>
        </w:tabs>
        <w:rPr>
          <w:rFonts w:ascii="Arial" w:cs="Arial" w:eastAsia="Arial" w:hAnsi="Arial"/>
          <w:sz w:val="18"/>
          <w:szCs w:val="18"/>
          <w:color w:val="auto"/>
        </w:rPr>
      </w:pPr>
      <w:hyperlink r:id="rId83">
        <w:r>
          <w:rPr>
            <w:rFonts w:ascii="Arial" w:cs="Arial" w:eastAsia="Arial" w:hAnsi="Arial"/>
            <w:sz w:val="18"/>
            <w:szCs w:val="18"/>
            <w:color w:val="auto"/>
          </w:rPr>
          <w:t>*4.10</w:t>
        </w:r>
      </w:hyperlink>
      <w:r>
        <w:rPr>
          <w:rFonts w:ascii="Arial" w:cs="Arial" w:eastAsia="Arial" w:hAnsi="Arial"/>
          <w:sz w:val="18"/>
          <w:szCs w:val="18"/>
          <w:color w:val="auto"/>
        </w:rPr>
        <w:tab/>
      </w:r>
      <w:hyperlink r:id="rId83">
        <w:r>
          <w:rPr>
            <w:rFonts w:ascii="Arial" w:cs="Arial" w:eastAsia="Arial" w:hAnsi="Arial"/>
            <w:sz w:val="18"/>
            <w:szCs w:val="18"/>
            <w:color w:val="auto"/>
          </w:rPr>
          <w:t>Deposit Agreement relating to 6.875% Series D Fixed-to-Floating Rate Cumulative Redeemable Preferred Stock, dated March 6, 2019, among</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reference to Exhibit 4.2 of Form 8-K (File No. 001-34057) filed March 6, 2019.</w:t>
        </w:r>
      </w:hyperlink>
    </w:p>
    <w:p>
      <w:pPr>
        <w:spacing w:after="0" w:line="130" w:lineRule="exact"/>
        <w:rPr>
          <w:rFonts w:ascii="Arial" w:cs="Arial" w:eastAsia="Arial" w:hAnsi="Arial"/>
          <w:sz w:val="18"/>
          <w:szCs w:val="18"/>
          <w:color w:val="auto"/>
        </w:rPr>
      </w:pPr>
    </w:p>
    <w:p>
      <w:pPr>
        <w:jc w:val="both"/>
        <w:ind w:left="600" w:hanging="1295"/>
        <w:spacing w:after="0" w:line="263" w:lineRule="auto"/>
        <w:tabs>
          <w:tab w:leader="none" w:pos="580" w:val="left"/>
        </w:tabs>
        <w:rPr>
          <w:rFonts w:ascii="Arial" w:cs="Arial" w:eastAsia="Arial" w:hAnsi="Arial"/>
          <w:sz w:val="18"/>
          <w:szCs w:val="18"/>
          <w:color w:val="auto"/>
        </w:rPr>
      </w:pPr>
      <w:hyperlink r:id="rId83">
        <w:r>
          <w:rPr>
            <w:rFonts w:ascii="Arial" w:cs="Arial" w:eastAsia="Arial" w:hAnsi="Arial"/>
            <w:sz w:val="18"/>
            <w:szCs w:val="18"/>
            <w:color w:val="auto"/>
          </w:rPr>
          <w:t>*4.11</w:t>
        </w:r>
      </w:hyperlink>
      <w:r>
        <w:rPr>
          <w:rFonts w:ascii="Arial" w:cs="Arial" w:eastAsia="Arial" w:hAnsi="Arial"/>
          <w:sz w:val="18"/>
          <w:szCs w:val="18"/>
          <w:color w:val="auto"/>
        </w:rPr>
        <w:tab/>
      </w:r>
      <w:hyperlink r:id="rId83">
        <w:r>
          <w:rPr>
            <w:rFonts w:ascii="Arial" w:cs="Arial" w:eastAsia="Arial" w:hAnsi="Arial"/>
            <w:sz w:val="18"/>
            <w:szCs w:val="18"/>
            <w:color w:val="auto"/>
          </w:rPr>
          <w:t>Form of Depositary Receipt representing 1/1,000th of a share of 6.875% Series D Fixed-to-Floating Rate Cumulative Redeemable Preferred Stock</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(included as part of Exhibit 4.10), incorporated herein by reference to Exhibit A of Exhibit 4.2 of Form 8-K (File No. 001-34057) filed</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March 6, 2019.</w:t>
        </w:r>
      </w:hyperlink>
    </w:p>
    <w:p>
      <w:pPr>
        <w:spacing w:after="0" w:line="130" w:lineRule="exact"/>
        <w:rPr>
          <w:rFonts w:ascii="Arial" w:cs="Arial" w:eastAsia="Arial" w:hAnsi="Arial"/>
          <w:sz w:val="18"/>
          <w:szCs w:val="18"/>
          <w:color w:val="auto"/>
        </w:rPr>
      </w:pPr>
    </w:p>
    <w:p>
      <w:pPr>
        <w:jc w:val="both"/>
        <w:ind w:left="600" w:right="320" w:hanging="1295"/>
        <w:spacing w:after="0" w:line="263" w:lineRule="auto"/>
        <w:tabs>
          <w:tab w:leader="none" w:pos="580" w:val="left"/>
        </w:tabs>
        <w:rPr>
          <w:rFonts w:ascii="Arial" w:cs="Arial" w:eastAsia="Arial" w:hAnsi="Arial"/>
          <w:sz w:val="18"/>
          <w:szCs w:val="18"/>
          <w:color w:val="auto"/>
        </w:rPr>
      </w:pPr>
      <w:hyperlink r:id="rId84">
        <w:r>
          <w:rPr>
            <w:rFonts w:ascii="Arial" w:cs="Arial" w:eastAsia="Arial" w:hAnsi="Arial"/>
            <w:sz w:val="18"/>
            <w:szCs w:val="18"/>
            <w:color w:val="auto"/>
          </w:rPr>
          <w:t>*4.12</w:t>
        </w:r>
      </w:hyperlink>
      <w:r>
        <w:rPr>
          <w:rFonts w:ascii="Arial" w:cs="Arial" w:eastAsia="Arial" w:hAnsi="Arial"/>
          <w:sz w:val="18"/>
          <w:szCs w:val="18"/>
          <w:color w:val="auto"/>
        </w:rPr>
        <w:tab/>
      </w:r>
      <w:hyperlink r:id="rId84">
        <w:r>
          <w:rPr>
            <w:rFonts w:ascii="Arial" w:cs="Arial" w:eastAsia="Arial" w:hAnsi="Arial"/>
            <w:sz w:val="18"/>
            <w:szCs w:val="18"/>
            <w:color w:val="auto"/>
          </w:rPr>
          <w:t>Deposit Agreement relating to 6.50% Series E Fixed-to-Floating Rate Cumulative Redeemable Preferred Stock, dated October 3, 2019, among</w:t>
        </w:r>
      </w:hyperlink>
      <w:r>
        <w:rPr>
          <w:rFonts w:ascii="Arial" w:cs="Arial" w:eastAsia="Arial" w:hAnsi="Arial"/>
          <w:sz w:val="18"/>
          <w:szCs w:val="18"/>
          <w:color w:val="auto"/>
        </w:rPr>
        <w:t xml:space="preserve"> </w:t>
      </w:r>
      <w:hyperlink r:id="rId84">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4">
        <w:r>
          <w:rPr>
            <w:rFonts w:ascii="Arial" w:cs="Arial" w:eastAsia="Arial" w:hAnsi="Arial"/>
            <w:sz w:val="18"/>
            <w:szCs w:val="18"/>
            <w:color w:val="auto"/>
          </w:rPr>
          <w:t>reference to Exhibit 4.2 of Form 8-K (File No. 001-34057) filed October 3, 2019.</w:t>
        </w:r>
      </w:hyperlink>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9" w:name="page50"/>
    <w:bookmarkEnd w:id="49"/>
    <w:p>
      <w:pPr>
        <w:jc w:val="both"/>
        <w:ind w:left="600" w:right="80" w:hanging="1295"/>
        <w:spacing w:after="0" w:line="263" w:lineRule="auto"/>
        <w:tabs>
          <w:tab w:leader="none" w:pos="580" w:val="left"/>
        </w:tabs>
        <w:rPr>
          <w:rFonts w:ascii="Arial" w:cs="Arial" w:eastAsia="Arial" w:hAnsi="Arial"/>
          <w:sz w:val="18"/>
          <w:szCs w:val="18"/>
          <w:color w:val="auto"/>
        </w:rPr>
      </w:pPr>
      <w:hyperlink r:id="rId84">
        <w:r>
          <w:rPr>
            <w:rFonts w:ascii="Arial" w:cs="Arial" w:eastAsia="Arial" w:hAnsi="Arial"/>
            <w:sz w:val="18"/>
            <w:szCs w:val="18"/>
            <w:color w:val="auto"/>
          </w:rPr>
          <w:t>*4.13</w:t>
        </w:r>
      </w:hyperlink>
      <w:r>
        <w:rPr>
          <w:rFonts w:ascii="Arial" w:cs="Arial" w:eastAsia="Arial" w:hAnsi="Arial"/>
          <w:sz w:val="18"/>
          <w:szCs w:val="18"/>
          <w:color w:val="auto"/>
        </w:rPr>
        <w:tab/>
      </w:r>
      <w:hyperlink r:id="rId84">
        <w:r>
          <w:rPr>
            <w:rFonts w:ascii="Arial" w:cs="Arial" w:eastAsia="Arial" w:hAnsi="Arial"/>
            <w:sz w:val="18"/>
            <w:szCs w:val="18"/>
            <w:color w:val="auto"/>
          </w:rPr>
          <w:t>Form of Depositary Receipt representing 1/1,000th of a share of 6.50% Series E Fixed-to-Floating Rate Cumulative Redeemable Preferred Stock</w:t>
        </w:r>
      </w:hyperlink>
      <w:r>
        <w:rPr>
          <w:rFonts w:ascii="Arial" w:cs="Arial" w:eastAsia="Arial" w:hAnsi="Arial"/>
          <w:sz w:val="18"/>
          <w:szCs w:val="18"/>
          <w:color w:val="auto"/>
        </w:rPr>
        <w:t xml:space="preserve"> </w:t>
      </w:r>
      <w:hyperlink r:id="rId84">
        <w:r>
          <w:rPr>
            <w:rFonts w:ascii="Arial" w:cs="Arial" w:eastAsia="Arial" w:hAnsi="Arial"/>
            <w:sz w:val="18"/>
            <w:szCs w:val="18"/>
            <w:color w:val="auto"/>
          </w:rPr>
          <w:t>(included as part of Exhibit 4.12), incorporated herein by reference to Exhibit A of Exhibit 4.2 of Form 8-K (File No. 001-34057) filed</w:t>
        </w:r>
      </w:hyperlink>
      <w:r>
        <w:rPr>
          <w:rFonts w:ascii="Arial" w:cs="Arial" w:eastAsia="Arial" w:hAnsi="Arial"/>
          <w:sz w:val="18"/>
          <w:szCs w:val="18"/>
          <w:color w:val="auto"/>
        </w:rPr>
        <w:t xml:space="preserve"> </w:t>
      </w:r>
      <w:hyperlink r:id="rId84">
        <w:r>
          <w:rPr>
            <w:rFonts w:ascii="Arial" w:cs="Arial" w:eastAsia="Arial" w:hAnsi="Arial"/>
            <w:sz w:val="18"/>
            <w:szCs w:val="18"/>
            <w:color w:val="auto"/>
          </w:rPr>
          <w:t>October 3, 2019.</w:t>
        </w:r>
      </w:hyperlink>
    </w:p>
    <w:p>
      <w:pPr>
        <w:spacing w:after="0" w:line="130" w:lineRule="exact"/>
        <w:rPr>
          <w:rFonts w:ascii="Arial" w:cs="Arial" w:eastAsia="Arial" w:hAnsi="Arial"/>
          <w:sz w:val="18"/>
          <w:szCs w:val="18"/>
          <w:color w:val="auto"/>
        </w:rPr>
      </w:pPr>
    </w:p>
    <w:p>
      <w:pPr>
        <w:ind w:left="600" w:right="20" w:hanging="1295"/>
        <w:spacing w:after="0" w:line="263" w:lineRule="auto"/>
        <w:tabs>
          <w:tab w:leader="none" w:pos="580" w:val="left"/>
        </w:tabs>
        <w:rPr>
          <w:rFonts w:ascii="Arial" w:cs="Arial" w:eastAsia="Arial" w:hAnsi="Arial"/>
          <w:sz w:val="18"/>
          <w:szCs w:val="18"/>
          <w:color w:val="auto"/>
        </w:rPr>
      </w:pPr>
      <w:hyperlink r:id="rId86">
        <w:r>
          <w:rPr>
            <w:rFonts w:ascii="Arial" w:cs="Arial" w:eastAsia="Arial" w:hAnsi="Arial"/>
            <w:sz w:val="18"/>
            <w:szCs w:val="18"/>
            <w:color w:val="auto"/>
          </w:rPr>
          <w:t>*4.14</w:t>
        </w:r>
      </w:hyperlink>
      <w:r>
        <w:rPr>
          <w:rFonts w:ascii="Arial" w:cs="Arial" w:eastAsia="Arial" w:hAnsi="Arial"/>
          <w:sz w:val="18"/>
          <w:szCs w:val="18"/>
          <w:color w:val="auto"/>
        </w:rPr>
        <w:tab/>
      </w:r>
      <w:hyperlink r:id="rId86">
        <w:r>
          <w:rPr>
            <w:rFonts w:ascii="Arial" w:cs="Arial" w:eastAsia="Arial" w:hAnsi="Arial"/>
            <w:sz w:val="18"/>
            <w:szCs w:val="18"/>
            <w:color w:val="auto"/>
          </w:rPr>
          <w:t>Deposit Agreement relating to 6.125% Series F Fixed-to-Floating Rate Cumulative Redeemable Preferred Stock, dated February 11, 2020, among</w:t>
        </w:r>
      </w:hyperlink>
      <w:r>
        <w:rPr>
          <w:rFonts w:ascii="Arial" w:cs="Arial" w:eastAsia="Arial" w:hAnsi="Arial"/>
          <w:sz w:val="18"/>
          <w:szCs w:val="18"/>
          <w:color w:val="auto"/>
        </w:rPr>
        <w:t xml:space="preserve"> </w:t>
      </w:r>
      <w:hyperlink r:id="rId86">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6">
        <w:r>
          <w:rPr>
            <w:rFonts w:ascii="Arial" w:cs="Arial" w:eastAsia="Arial" w:hAnsi="Arial"/>
            <w:sz w:val="18"/>
            <w:szCs w:val="18"/>
            <w:color w:val="auto"/>
          </w:rPr>
          <w:t>reference to Exhibit 4.1 of Form 8-K (File No. 001-34057) filed February 11, 2020.</w:t>
        </w:r>
      </w:hyperlink>
    </w:p>
    <w:p>
      <w:pPr>
        <w:spacing w:after="0" w:line="130" w:lineRule="exact"/>
        <w:rPr>
          <w:rFonts w:ascii="Arial" w:cs="Arial" w:eastAsia="Arial" w:hAnsi="Arial"/>
          <w:sz w:val="18"/>
          <w:szCs w:val="18"/>
          <w:color w:val="auto"/>
        </w:rPr>
      </w:pPr>
    </w:p>
    <w:p>
      <w:pPr>
        <w:ind w:left="600" w:hanging="1295"/>
        <w:spacing w:after="0" w:line="263" w:lineRule="auto"/>
        <w:tabs>
          <w:tab w:leader="none" w:pos="580" w:val="left"/>
        </w:tabs>
        <w:rPr>
          <w:rFonts w:ascii="Arial" w:cs="Arial" w:eastAsia="Arial" w:hAnsi="Arial"/>
          <w:sz w:val="18"/>
          <w:szCs w:val="18"/>
          <w:color w:val="auto"/>
        </w:rPr>
      </w:pPr>
      <w:hyperlink r:id="rId86">
        <w:r>
          <w:rPr>
            <w:rFonts w:ascii="Arial" w:cs="Arial" w:eastAsia="Arial" w:hAnsi="Arial"/>
            <w:sz w:val="18"/>
            <w:szCs w:val="18"/>
            <w:color w:val="auto"/>
          </w:rPr>
          <w:t>*4.15</w:t>
        </w:r>
      </w:hyperlink>
      <w:r>
        <w:rPr>
          <w:rFonts w:ascii="Arial" w:cs="Arial" w:eastAsia="Arial" w:hAnsi="Arial"/>
          <w:sz w:val="18"/>
          <w:szCs w:val="18"/>
          <w:color w:val="auto"/>
        </w:rPr>
        <w:tab/>
      </w:r>
      <w:hyperlink r:id="rId86">
        <w:r>
          <w:rPr>
            <w:rFonts w:ascii="Arial" w:cs="Arial" w:eastAsia="Arial" w:hAnsi="Arial"/>
            <w:sz w:val="18"/>
            <w:szCs w:val="18"/>
            <w:color w:val="auto"/>
          </w:rPr>
          <w:t>Form of Depositary Receipt representing 1/1,000th of a share of 6.125% Series F Fixed-to-Floating Rate Cumulative Redeemable Preferred Stock</w:t>
        </w:r>
      </w:hyperlink>
      <w:r>
        <w:rPr>
          <w:rFonts w:ascii="Arial" w:cs="Arial" w:eastAsia="Arial" w:hAnsi="Arial"/>
          <w:sz w:val="18"/>
          <w:szCs w:val="18"/>
          <w:color w:val="auto"/>
        </w:rPr>
        <w:t xml:space="preserve"> </w:t>
      </w:r>
      <w:hyperlink r:id="rId86">
        <w:r>
          <w:rPr>
            <w:rFonts w:ascii="Arial" w:cs="Arial" w:eastAsia="Arial" w:hAnsi="Arial"/>
            <w:sz w:val="18"/>
            <w:szCs w:val="18"/>
            <w:color w:val="auto"/>
          </w:rPr>
          <w:t>(included as part of Exhibit 4.14), incorporated herein by reference to Exhibit A of Exhibit 4.1 of Form 8-K (File No. 001-34057) filed</w:t>
        </w:r>
      </w:hyperlink>
      <w:r>
        <w:rPr>
          <w:rFonts w:ascii="Arial" w:cs="Arial" w:eastAsia="Arial" w:hAnsi="Arial"/>
          <w:sz w:val="18"/>
          <w:szCs w:val="18"/>
          <w:color w:val="auto"/>
        </w:rPr>
        <w:t xml:space="preserve"> </w:t>
      </w:r>
      <w:hyperlink r:id="rId86">
        <w:r>
          <w:rPr>
            <w:rFonts w:ascii="Arial" w:cs="Arial" w:eastAsia="Arial" w:hAnsi="Arial"/>
            <w:sz w:val="18"/>
            <w:szCs w:val="18"/>
            <w:color w:val="auto"/>
          </w:rPr>
          <w:t>February 11, 2020.</w:t>
        </w:r>
      </w:hyperlink>
    </w:p>
    <w:p>
      <w:pPr>
        <w:spacing w:after="0" w:line="130" w:lineRule="exact"/>
        <w:rPr>
          <w:rFonts w:ascii="Arial" w:cs="Arial" w:eastAsia="Arial" w:hAnsi="Arial"/>
          <w:sz w:val="18"/>
          <w:szCs w:val="18"/>
          <w:color w:val="auto"/>
        </w:rPr>
      </w:pPr>
    </w:p>
    <w:p>
      <w:pPr>
        <w:spacing w:after="0"/>
        <w:tabs>
          <w:tab w:leader="none" w:pos="480" w:val="left"/>
        </w:tabs>
        <w:rPr>
          <w:rFonts w:ascii="Arial" w:cs="Arial" w:eastAsia="Arial" w:hAnsi="Arial"/>
          <w:sz w:val="16"/>
          <w:szCs w:val="16"/>
          <w:color w:val="auto"/>
        </w:rPr>
      </w:pPr>
      <w:hyperlink w:anchor="page52">
        <w:r>
          <w:rPr>
            <w:rFonts w:ascii="Arial" w:cs="Arial" w:eastAsia="Arial" w:hAnsi="Arial"/>
            <w:sz w:val="18"/>
            <w:szCs w:val="18"/>
            <w:color w:val="auto"/>
          </w:rPr>
          <w:t>31.1</w:t>
        </w:r>
      </w:hyperlink>
      <w:r>
        <w:rPr>
          <w:rFonts w:ascii="Arial" w:cs="Arial" w:eastAsia="Arial" w:hAnsi="Arial"/>
          <w:sz w:val="18"/>
          <w:szCs w:val="18"/>
          <w:color w:val="auto"/>
        </w:rPr>
        <w:tab/>
      </w:r>
      <w:hyperlink w:anchor="page52">
        <w:r>
          <w:rPr>
            <w:rFonts w:ascii="Arial" w:cs="Arial" w:eastAsia="Arial" w:hAnsi="Arial"/>
            <w:sz w:val="16"/>
            <w:szCs w:val="16"/>
            <w:color w:val="auto"/>
          </w:rPr>
          <w:t>Certification of CEO Pursuant to Section 302(a) of the Sarbanes-Oxley Act of 2002.</w:t>
        </w:r>
      </w:hyperlink>
    </w:p>
    <w:p>
      <w:pPr>
        <w:spacing w:after="0" w:line="171" w:lineRule="exact"/>
        <w:rPr>
          <w:sz w:val="20"/>
          <w:szCs w:val="20"/>
          <w:color w:val="auto"/>
        </w:rPr>
      </w:pPr>
    </w:p>
    <w:p>
      <w:pPr>
        <w:spacing w:after="0"/>
        <w:tabs>
          <w:tab w:leader="none" w:pos="480" w:val="left"/>
        </w:tabs>
        <w:rPr>
          <w:rFonts w:ascii="Arial" w:cs="Arial" w:eastAsia="Arial" w:hAnsi="Arial"/>
          <w:sz w:val="16"/>
          <w:szCs w:val="16"/>
          <w:color w:val="auto"/>
        </w:rPr>
      </w:pPr>
      <w:hyperlink w:anchor="page53">
        <w:r>
          <w:rPr>
            <w:rFonts w:ascii="Arial" w:cs="Arial" w:eastAsia="Arial" w:hAnsi="Arial"/>
            <w:sz w:val="18"/>
            <w:szCs w:val="18"/>
            <w:color w:val="auto"/>
          </w:rPr>
          <w:t>31.2</w:t>
        </w:r>
      </w:hyperlink>
      <w:r>
        <w:rPr>
          <w:rFonts w:ascii="Arial" w:cs="Arial" w:eastAsia="Arial" w:hAnsi="Arial"/>
          <w:sz w:val="18"/>
          <w:szCs w:val="18"/>
          <w:color w:val="auto"/>
        </w:rPr>
        <w:tab/>
      </w:r>
      <w:hyperlink w:anchor="page53">
        <w:r>
          <w:rPr>
            <w:rFonts w:ascii="Arial" w:cs="Arial" w:eastAsia="Arial" w:hAnsi="Arial"/>
            <w:sz w:val="16"/>
            <w:szCs w:val="16"/>
            <w:color w:val="auto"/>
          </w:rPr>
          <w:t>Certification of CFO Pursuant to Section 302(a) of the Sarbanes-Oxley Act of 2002.</w:t>
        </w:r>
      </w:hyperlink>
    </w:p>
    <w:p>
      <w:pPr>
        <w:spacing w:after="0" w:line="171" w:lineRule="exact"/>
        <w:rPr>
          <w:sz w:val="20"/>
          <w:szCs w:val="20"/>
          <w:color w:val="auto"/>
        </w:rPr>
      </w:pPr>
    </w:p>
    <w:p>
      <w:pPr>
        <w:spacing w:after="0"/>
        <w:tabs>
          <w:tab w:leader="none" w:pos="340" w:val="left"/>
        </w:tabs>
        <w:rPr>
          <w:rFonts w:ascii="Arial" w:cs="Arial" w:eastAsia="Arial" w:hAnsi="Arial"/>
          <w:sz w:val="16"/>
          <w:szCs w:val="16"/>
          <w:color w:val="auto"/>
        </w:rPr>
      </w:pPr>
      <w:r>
        <w:rPr>
          <w:rFonts w:ascii="Arial" w:cs="Arial" w:eastAsia="Arial" w:hAnsi="Arial"/>
          <w:sz w:val="18"/>
          <w:szCs w:val="18"/>
          <w:color w:val="auto"/>
        </w:rPr>
        <w:t>32</w:t>
      </w:r>
      <w:r>
        <w:rPr>
          <w:sz w:val="20"/>
          <w:szCs w:val="20"/>
          <w:color w:val="auto"/>
        </w:rPr>
        <w:tab/>
      </w:r>
      <w:hyperlink w:anchor="page54">
        <w:r>
          <w:rPr>
            <w:rFonts w:ascii="Arial" w:cs="Arial" w:eastAsia="Arial" w:hAnsi="Arial"/>
            <w:sz w:val="16"/>
            <w:szCs w:val="16"/>
            <w:color w:val="auto"/>
          </w:rPr>
          <w:t>Certification of CEO and CFO Pursuant to Section 906 of the Sarbanes-Oxley Act of 2002.</w:t>
        </w:r>
      </w:hyperlink>
    </w:p>
    <w:p>
      <w:pPr>
        <w:sectPr>
          <w:pgSz w:w="11900" w:h="16838" w:orient="portrait"/>
          <w:cols w:equalWidth="0" w:num="1">
            <w:col w:w="11120"/>
          </w:cols>
          <w:pgMar w:left="320" w:top="1057" w:right="45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193" w:lineRule="exact"/>
        <w:rPr>
          <w:sz w:val="20"/>
          <w:szCs w:val="20"/>
          <w:color w:val="auto"/>
        </w:rPr>
      </w:pPr>
    </w:p>
    <w:p>
      <w:pPr>
        <w:sectPr>
          <w:pgSz w:w="11900" w:h="16838" w:orient="portrait"/>
          <w:cols w:equalWidth="0" w:num="2">
            <w:col w:w="800" w:space="160"/>
            <w:col w:w="10160"/>
          </w:cols>
          <w:pgMar w:left="320" w:top="1057" w:right="45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94" w:lineRule="exact"/>
        <w:rPr>
          <w:sz w:val="20"/>
          <w:szCs w:val="20"/>
          <w:color w:val="auto"/>
        </w:rPr>
      </w:pPr>
    </w:p>
    <w:p>
      <w:pPr>
        <w:sectPr>
          <w:pgSz w:w="11900" w:h="16838" w:orient="portrait"/>
          <w:cols w:equalWidth="0" w:num="2">
            <w:col w:w="860" w:space="180"/>
            <w:col w:w="10080"/>
          </w:cols>
          <w:pgMar w:left="320" w:top="1057" w:right="459" w:bottom="1440" w:gutter="0" w:footer="0" w:header="0"/>
          <w:type w:val="continuous"/>
        </w:sect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93" w:lineRule="exact"/>
        <w:rPr>
          <w:sz w:val="20"/>
          <w:szCs w:val="20"/>
          <w:color w:val="auto"/>
        </w:rPr>
      </w:pPr>
    </w:p>
    <w:p>
      <w:pPr>
        <w:sectPr>
          <w:pgSz w:w="11900" w:h="16838" w:orient="portrait"/>
          <w:cols w:equalWidth="0" w:num="2">
            <w:col w:w="860" w:space="180"/>
            <w:col w:w="10080"/>
          </w:cols>
          <w:pgMar w:left="320" w:top="1057" w:right="45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Labels Linkbase Document</w:t>
      </w:r>
    </w:p>
    <w:p>
      <w:pPr>
        <w:spacing w:after="0" w:line="193" w:lineRule="exact"/>
        <w:rPr>
          <w:sz w:val="20"/>
          <w:szCs w:val="20"/>
          <w:color w:val="auto"/>
        </w:rPr>
      </w:pPr>
    </w:p>
    <w:p>
      <w:pPr>
        <w:sectPr>
          <w:pgSz w:w="11900" w:h="16838" w:orient="portrait"/>
          <w:cols w:equalWidth="0" w:num="2">
            <w:col w:w="860" w:space="180"/>
            <w:col w:w="10080"/>
          </w:cols>
          <w:pgMar w:left="320" w:top="1057" w:right="459" w:bottom="1440" w:gutter="0" w:footer="0" w:header="0"/>
          <w:type w:val="continuous"/>
        </w:sect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94" w:lineRule="exact"/>
        <w:rPr>
          <w:sz w:val="20"/>
          <w:szCs w:val="20"/>
          <w:color w:val="auto"/>
        </w:rPr>
      </w:pPr>
    </w:p>
    <w:p>
      <w:pPr>
        <w:sectPr>
          <w:pgSz w:w="11900" w:h="16838" w:orient="portrait"/>
          <w:cols w:equalWidth="0" w:num="2">
            <w:col w:w="840" w:space="180"/>
            <w:col w:w="10100"/>
          </w:cols>
          <w:pgMar w:left="320" w:top="1057" w:right="45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43" w:lineRule="exact"/>
        <w:rPr>
          <w:sz w:val="20"/>
          <w:szCs w:val="20"/>
          <w:color w:val="auto"/>
        </w:rPr>
      </w:pPr>
    </w:p>
    <w:p>
      <w:pPr>
        <w:sectPr>
          <w:pgSz w:w="11900" w:h="16838" w:orient="portrait"/>
          <w:cols w:equalWidth="0" w:num="2">
            <w:col w:w="840" w:space="180"/>
            <w:col w:w="10100"/>
          </w:cols>
          <w:pgMar w:left="320" w:top="1057" w:right="459" w:bottom="1440" w:gutter="0" w:footer="0" w:header="0"/>
          <w:type w:val="continuous"/>
        </w:sectPr>
      </w:pPr>
    </w:p>
    <w:p>
      <w:pPr>
        <w:spacing w:after="0"/>
        <w:rPr>
          <w:sz w:val="20"/>
          <w:szCs w:val="20"/>
          <w:color w:val="auto"/>
        </w:rPr>
      </w:pPr>
      <w:r>
        <w:rPr>
          <w:rFonts w:ascii="Arial" w:cs="Arial" w:eastAsia="Arial" w:hAnsi="Arial"/>
          <w:sz w:val="11"/>
          <w:szCs w:val="11"/>
          <w:color w:val="auto"/>
        </w:rPr>
        <w:t>________________________________</w:t>
      </w: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7" w:lineRule="exact"/>
        <w:rPr>
          <w:sz w:val="20"/>
          <w:szCs w:val="20"/>
          <w:color w:val="auto"/>
        </w:rPr>
      </w:pPr>
    </w:p>
    <w:p>
      <w:pPr>
        <w:ind w:left="660" w:right="240" w:hanging="652"/>
        <w:spacing w:after="0" w:line="260" w:lineRule="auto"/>
        <w:tabs>
          <w:tab w:leader="none" w:pos="36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212"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Exhibits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the exhibits filed herewith.</w:t>
      </w:r>
    </w:p>
    <w:p>
      <w:pPr>
        <w:spacing w:after="0" w:line="211" w:lineRule="exact"/>
        <w:rPr>
          <w:sz w:val="20"/>
          <w:szCs w:val="20"/>
          <w:color w:val="auto"/>
        </w:rPr>
      </w:pPr>
    </w:p>
    <w:p>
      <w:pPr>
        <w:ind w:left="680" w:right="7380" w:hanging="227"/>
        <w:spacing w:after="0" w:line="277" w:lineRule="auto"/>
        <w:tabs>
          <w:tab w:leader="none" w:pos="82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57" w:right="459" w:bottom="1440" w:gutter="0" w:footer="0" w:header="0"/>
          <w:type w:val="continuous"/>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77" w:lineRule="exact"/>
        <w:rPr>
          <w:sz w:val="20"/>
          <w:szCs w:val="20"/>
          <w:color w:val="auto"/>
        </w:rPr>
      </w:pPr>
    </w:p>
    <w:p>
      <w:pPr>
        <w:ind w:left="5540"/>
        <w:spacing w:after="0"/>
        <w:tabs>
          <w:tab w:leader="none" w:pos="7760" w:val="left"/>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ETER</w:t>
      </w:r>
      <w:r>
        <w:rPr>
          <w:rFonts w:ascii="Arial" w:cs="Arial" w:eastAsia="Arial" w:hAnsi="Arial"/>
          <w:sz w:val="17"/>
          <w:szCs w:val="17"/>
          <w:color w:val="auto"/>
        </w:rPr>
        <w:t xml:space="preserve"> J. F</w:t>
      </w:r>
      <w:r>
        <w:rPr>
          <w:rFonts w:ascii="Arial" w:cs="Arial" w:eastAsia="Arial" w:hAnsi="Arial"/>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4"/>
          <w:szCs w:val="14"/>
          <w:b w:val="1"/>
          <w:bCs w:val="1"/>
          <w:color w:val="auto"/>
        </w:rPr>
        <w:t>Peter J. Federico</w:t>
      </w:r>
    </w:p>
    <w:p>
      <w:pPr>
        <w:jc w:val="center"/>
        <w:ind w:left="6020"/>
        <w:spacing w:after="0" w:line="201" w:lineRule="auto"/>
        <w:rPr>
          <w:sz w:val="20"/>
          <w:szCs w:val="20"/>
          <w:color w:val="auto"/>
        </w:rPr>
      </w:pPr>
      <w:r>
        <w:rPr>
          <w:rFonts w:ascii="Arial" w:cs="Arial" w:eastAsia="Arial" w:hAnsi="Arial"/>
          <w:sz w:val="14"/>
          <w:szCs w:val="14"/>
          <w:b w:val="1"/>
          <w:bCs w:val="1"/>
          <w:color w:val="auto"/>
        </w:rPr>
        <w:t>President and</w:t>
      </w:r>
    </w:p>
    <w:p>
      <w:pPr>
        <w:jc w:val="center"/>
        <w:ind w:left="6020"/>
        <w:spacing w:after="0"/>
        <w:rPr>
          <w:sz w:val="20"/>
          <w:szCs w:val="20"/>
          <w:color w:val="auto"/>
        </w:rPr>
      </w:pPr>
      <w:r>
        <w:rPr>
          <w:rFonts w:ascii="Arial" w:cs="Arial" w:eastAsia="Arial" w:hAnsi="Arial"/>
          <w:sz w:val="14"/>
          <w:szCs w:val="14"/>
          <w:b w:val="1"/>
          <w:bCs w:val="1"/>
          <w:color w:val="auto"/>
        </w:rPr>
        <w:t>Chief Executive Officer (Principal Executive Officer)</w:t>
      </w:r>
    </w:p>
    <w:p>
      <w:pPr>
        <w:spacing w:after="0" w:line="20"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August 4, 2022</w:t>
      </w:r>
    </w:p>
    <w:p>
      <w:pPr>
        <w:spacing w:after="0" w:line="293" w:lineRule="exact"/>
        <w:rPr>
          <w:sz w:val="20"/>
          <w:szCs w:val="20"/>
          <w:color w:val="auto"/>
        </w:rPr>
      </w:pPr>
    </w:p>
    <w:p>
      <w:pPr>
        <w:ind w:left="5540"/>
        <w:spacing w:after="0"/>
        <w:tabs>
          <w:tab w:leader="none" w:pos="7820" w:val="left"/>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4"/>
          <w:szCs w:val="14"/>
          <w:b w:val="1"/>
          <w:bCs w:val="1"/>
          <w:color w:val="auto"/>
        </w:rPr>
        <w:t>Bernice E. Bell</w:t>
      </w:r>
    </w:p>
    <w:p>
      <w:pPr>
        <w:jc w:val="center"/>
        <w:ind w:left="5980"/>
        <w:spacing w:after="0" w:line="201" w:lineRule="auto"/>
        <w:rPr>
          <w:sz w:val="20"/>
          <w:szCs w:val="20"/>
          <w:color w:val="auto"/>
        </w:rPr>
      </w:pPr>
      <w:r>
        <w:rPr>
          <w:rFonts w:ascii="Arial" w:cs="Arial" w:eastAsia="Arial" w:hAnsi="Arial"/>
          <w:sz w:val="14"/>
          <w:szCs w:val="14"/>
          <w:b w:val="1"/>
          <w:bCs w:val="1"/>
          <w:color w:val="auto"/>
        </w:rPr>
        <w:t>Executive Vice President and</w:t>
      </w:r>
    </w:p>
    <w:p>
      <w:pPr>
        <w:jc w:val="center"/>
        <w:ind w:left="6020"/>
        <w:spacing w:after="0" w:line="201" w:lineRule="auto"/>
        <w:rPr>
          <w:sz w:val="20"/>
          <w:szCs w:val="20"/>
          <w:color w:val="auto"/>
        </w:rPr>
      </w:pPr>
      <w:r>
        <w:rPr>
          <w:rFonts w:ascii="Arial" w:cs="Arial" w:eastAsia="Arial" w:hAnsi="Arial"/>
          <w:sz w:val="14"/>
          <w:szCs w:val="14"/>
          <w:b w:val="1"/>
          <w:bCs w:val="1"/>
          <w:color w:val="auto"/>
        </w:rPr>
        <w:t>Chief Financial Officer (Principal Financial Officer and Principal Accounting</w:t>
      </w:r>
    </w:p>
    <w:p>
      <w:pPr>
        <w:jc w:val="center"/>
        <w:ind w:left="6020"/>
        <w:spacing w:after="0"/>
        <w:rPr>
          <w:sz w:val="20"/>
          <w:szCs w:val="20"/>
          <w:color w:val="auto"/>
        </w:rPr>
      </w:pPr>
      <w:r>
        <w:rPr>
          <w:rFonts w:ascii="Arial" w:cs="Arial" w:eastAsia="Arial" w:hAnsi="Arial"/>
          <w:sz w:val="14"/>
          <w:szCs w:val="14"/>
          <w:b w:val="1"/>
          <w:bCs w:val="1"/>
          <w:color w:val="auto"/>
        </w:rPr>
        <w:t>Officer)</w:t>
      </w:r>
    </w:p>
    <w:p>
      <w:pPr>
        <w:spacing w:after="0" w:line="20"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August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320" w:top="891" w:right="3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Peter J. Federico, certify that:</w:t>
      </w:r>
    </w:p>
    <w:p>
      <w:pPr>
        <w:spacing w:after="0" w:line="158" w:lineRule="exact"/>
        <w:rPr>
          <w:sz w:val="20"/>
          <w:szCs w:val="20"/>
          <w:color w:val="auto"/>
        </w:rPr>
      </w:pPr>
    </w:p>
    <w:p>
      <w:pPr>
        <w:ind w:left="760" w:hanging="307"/>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ind w:left="860" w:hanging="407"/>
        <w:spacing w:after="0" w:line="263" w:lineRule="auto"/>
        <w:tabs>
          <w:tab w:leader="none" w:pos="7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60" w:hanging="407"/>
        <w:spacing w:after="0" w:line="308" w:lineRule="auto"/>
        <w:tabs>
          <w:tab w:leader="none" w:pos="808"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860" w:hanging="407"/>
        <w:spacing w:after="0" w:line="291" w:lineRule="auto"/>
        <w:tabs>
          <w:tab w:leader="none" w:pos="804"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43" w:lineRule="exact"/>
        <w:rPr>
          <w:rFonts w:ascii="Arial" w:cs="Arial" w:eastAsia="Arial" w:hAnsi="Arial"/>
          <w:sz w:val="16"/>
          <w:szCs w:val="16"/>
          <w:color w:val="auto"/>
        </w:rPr>
      </w:pPr>
    </w:p>
    <w:p>
      <w:pPr>
        <w:jc w:val="both"/>
        <w:ind w:left="1420" w:hanging="400"/>
        <w:spacing w:after="0" w:line="263" w:lineRule="auto"/>
        <w:tabs>
          <w:tab w:leader="none" w:pos="153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420" w:hanging="400"/>
        <w:spacing w:after="0" w:line="263" w:lineRule="auto"/>
        <w:tabs>
          <w:tab w:leader="none" w:pos="140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420" w:hanging="400"/>
        <w:spacing w:after="0" w:line="342" w:lineRule="auto"/>
        <w:tabs>
          <w:tab w:leader="none" w:pos="1422"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20" w:hanging="400"/>
        <w:spacing w:after="0" w:line="263" w:lineRule="auto"/>
        <w:tabs>
          <w:tab w:leader="none" w:pos="142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860" w:hanging="407"/>
        <w:spacing w:after="0" w:line="277" w:lineRule="auto"/>
        <w:tabs>
          <w:tab w:leader="none" w:pos="7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20" w:hanging="400"/>
        <w:spacing w:after="0" w:line="308" w:lineRule="auto"/>
        <w:tabs>
          <w:tab w:leader="none" w:pos="1451"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420" w:right="20" w:hanging="400"/>
        <w:spacing w:after="0" w:line="277" w:lineRule="auto"/>
        <w:tabs>
          <w:tab w:leader="none" w:pos="140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August 4, 2022</w:t>
      </w:r>
    </w:p>
    <w:p>
      <w:pPr>
        <w:spacing w:after="0" w:line="212"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ETER</w:t>
      </w:r>
      <w:r>
        <w:rPr>
          <w:rFonts w:ascii="Arial" w:cs="Arial" w:eastAsia="Arial" w:hAnsi="Arial"/>
          <w:sz w:val="17"/>
          <w:szCs w:val="17"/>
          <w:color w:val="auto"/>
        </w:rPr>
        <w:t xml:space="preserve"> J. F</w:t>
      </w:r>
      <w:r>
        <w:rPr>
          <w:rFonts w:ascii="Arial" w:cs="Arial" w:eastAsia="Arial" w:hAnsi="Arial"/>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3488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Peter J. Federico</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President and Chief Executive Officer (Principal</w:t>
      </w:r>
    </w:p>
    <w:p>
      <w:pPr>
        <w:ind w:left="62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240"/>
          </w:cols>
          <w:pgMar w:left="320" w:top="89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Bernice E. Bell, certify that:</w:t>
      </w:r>
    </w:p>
    <w:p>
      <w:pPr>
        <w:spacing w:after="0" w:line="158" w:lineRule="exact"/>
        <w:rPr>
          <w:sz w:val="20"/>
          <w:szCs w:val="20"/>
          <w:color w:val="auto"/>
        </w:rPr>
      </w:pPr>
    </w:p>
    <w:p>
      <w:pPr>
        <w:ind w:left="760" w:hanging="307"/>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ind w:left="860" w:hanging="407"/>
        <w:spacing w:after="0" w:line="263" w:lineRule="auto"/>
        <w:tabs>
          <w:tab w:leader="none" w:pos="7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60" w:hanging="407"/>
        <w:spacing w:after="0" w:line="308" w:lineRule="auto"/>
        <w:tabs>
          <w:tab w:leader="none" w:pos="808"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860" w:hanging="407"/>
        <w:spacing w:after="0" w:line="291" w:lineRule="auto"/>
        <w:tabs>
          <w:tab w:leader="none" w:pos="80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43" w:lineRule="exact"/>
        <w:rPr>
          <w:rFonts w:ascii="Arial" w:cs="Arial" w:eastAsia="Arial" w:hAnsi="Arial"/>
          <w:sz w:val="16"/>
          <w:szCs w:val="16"/>
          <w:color w:val="auto"/>
        </w:rPr>
      </w:pPr>
    </w:p>
    <w:p>
      <w:pPr>
        <w:jc w:val="both"/>
        <w:ind w:left="1420" w:hanging="400"/>
        <w:spacing w:after="0" w:line="263" w:lineRule="auto"/>
        <w:tabs>
          <w:tab w:leader="none" w:pos="153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6" w:lineRule="exact"/>
        <w:rPr>
          <w:rFonts w:ascii="Arial" w:cs="Arial" w:eastAsia="Arial" w:hAnsi="Arial"/>
          <w:sz w:val="18"/>
          <w:szCs w:val="18"/>
          <w:color w:val="auto"/>
        </w:rPr>
      </w:pPr>
    </w:p>
    <w:p>
      <w:pPr>
        <w:jc w:val="both"/>
        <w:ind w:left="1420" w:hanging="400"/>
        <w:spacing w:after="0" w:line="263" w:lineRule="auto"/>
        <w:tabs>
          <w:tab w:leader="none" w:pos="140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420" w:hanging="400"/>
        <w:spacing w:after="0" w:line="342" w:lineRule="auto"/>
        <w:tabs>
          <w:tab w:leader="none" w:pos="1422"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20" w:hanging="400"/>
        <w:spacing w:after="0" w:line="263" w:lineRule="auto"/>
        <w:tabs>
          <w:tab w:leader="none" w:pos="142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860" w:hanging="407"/>
        <w:spacing w:after="0" w:line="277" w:lineRule="auto"/>
        <w:tabs>
          <w:tab w:leader="none" w:pos="7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20" w:hanging="400"/>
        <w:spacing w:after="0" w:line="308" w:lineRule="auto"/>
        <w:tabs>
          <w:tab w:leader="none" w:pos="1478"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420" w:right="20" w:hanging="400"/>
        <w:spacing w:after="0" w:line="277" w:lineRule="auto"/>
        <w:tabs>
          <w:tab w:leader="none" w:pos="140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August 4, 2022</w:t>
      </w:r>
    </w:p>
    <w:p>
      <w:pPr>
        <w:spacing w:after="0" w:line="212"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348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Bernice E. Bell</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Executive Vice President and Chief Financial</w:t>
      </w:r>
    </w:p>
    <w:p>
      <w:pPr>
        <w:ind w:left="620"/>
        <w:spacing w:after="0"/>
        <w:rPr>
          <w:sz w:val="20"/>
          <w:szCs w:val="20"/>
          <w:color w:val="auto"/>
        </w:rPr>
      </w:pPr>
      <w:r>
        <w:rPr>
          <w:rFonts w:ascii="Arial" w:cs="Arial" w:eastAsia="Arial" w:hAnsi="Arial"/>
          <w:sz w:val="18"/>
          <w:szCs w:val="18"/>
          <w:color w:val="auto"/>
        </w:rPr>
        <w:t>Officer (Principal Financial Officer)</w:t>
      </w:r>
    </w:p>
    <w:p>
      <w:pPr>
        <w:sectPr>
          <w:pgSz w:w="11900" w:h="16838" w:orient="portrait"/>
          <w:cols w:equalWidth="0" w:num="1">
            <w:col w:w="11240"/>
          </w:cols>
          <w:pgMar w:left="320" w:top="89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We, Peter J. Federico, President and Chief Executive Officer, and Bernice E. Bell, Executive Vice President and Chief Financial Officer of AGNC Investment Corp. (the “Company”), certify pursuant to Section 906 of the Sarbanes-Oxley Act of 2002, 18 U.S.C. Section 1350 that:</w:t>
      </w:r>
    </w:p>
    <w:p>
      <w:pPr>
        <w:spacing w:after="0" w:line="92" w:lineRule="exact"/>
        <w:rPr>
          <w:sz w:val="20"/>
          <w:szCs w:val="20"/>
          <w:color w:val="auto"/>
        </w:rPr>
      </w:pPr>
    </w:p>
    <w:p>
      <w:pPr>
        <w:ind w:left="660" w:right="20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2022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J. F</w:t>
            </w:r>
            <w:r>
              <w:rPr>
                <w:rFonts w:ascii="Arial" w:cs="Arial" w:eastAsia="Arial" w:hAnsi="Arial"/>
                <w:sz w:val="14"/>
                <w:szCs w:val="14"/>
                <w:color w:val="auto"/>
              </w:rPr>
              <w:t>EDERICO</w:t>
            </w:r>
          </w:p>
        </w:tc>
        <w:tc>
          <w:tcPr>
            <w:tcW w:w="0" w:type="dxa"/>
            <w:vAlign w:val="bottom"/>
          </w:tcPr>
          <w:p>
            <w:pPr>
              <w:spacing w:after="0"/>
              <w:rPr>
                <w:sz w:val="1"/>
                <w:szCs w:val="1"/>
                <w:color w:val="auto"/>
              </w:rPr>
            </w:pPr>
          </w:p>
        </w:tc>
      </w:tr>
      <w:tr>
        <w:trPr>
          <w:trHeight w:val="222"/>
        </w:trPr>
        <w:tc>
          <w:tcPr>
            <w:tcW w:w="700" w:type="dxa"/>
            <w:vAlign w:val="bottom"/>
            <w:vMerge w:val="continue"/>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Peter J. Federico</w:t>
            </w:r>
          </w:p>
        </w:tc>
        <w:tc>
          <w:tcPr>
            <w:tcW w:w="0" w:type="dxa"/>
            <w:vAlign w:val="bottom"/>
          </w:tcPr>
          <w:p>
            <w:pPr>
              <w:spacing w:after="0"/>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6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President and</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August 4, 2022</w:t>
            </w:r>
          </w:p>
        </w:tc>
        <w:tc>
          <w:tcPr>
            <w:tcW w:w="0" w:type="dxa"/>
            <w:vAlign w:val="bottom"/>
          </w:tcPr>
          <w:p>
            <w:pPr>
              <w:spacing w:after="0"/>
              <w:rPr>
                <w:sz w:val="1"/>
                <w:szCs w:val="1"/>
                <w:color w:val="auto"/>
              </w:rPr>
            </w:pPr>
          </w:p>
        </w:tc>
      </w:tr>
      <w:tr>
        <w:trPr>
          <w:trHeight w:val="486"/>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tc>
        <w:tc>
          <w:tcPr>
            <w:tcW w:w="0" w:type="dxa"/>
            <w:vAlign w:val="bottom"/>
          </w:tcPr>
          <w:p>
            <w:pPr>
              <w:spacing w:after="0"/>
              <w:rPr>
                <w:sz w:val="1"/>
                <w:szCs w:val="1"/>
                <w:color w:val="auto"/>
              </w:rPr>
            </w:pPr>
          </w:p>
        </w:tc>
      </w:tr>
      <w:tr>
        <w:trPr>
          <w:trHeight w:val="222"/>
        </w:trPr>
        <w:tc>
          <w:tcPr>
            <w:tcW w:w="700" w:type="dxa"/>
            <w:vAlign w:val="bottom"/>
            <w:vMerge w:val="continue"/>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Bernice E. Bell</w:t>
            </w:r>
          </w:p>
        </w:tc>
        <w:tc>
          <w:tcPr>
            <w:tcW w:w="0" w:type="dxa"/>
            <w:vAlign w:val="bottom"/>
          </w:tcPr>
          <w:p>
            <w:pPr>
              <w:spacing w:after="0"/>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6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Executive Vice President and</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August 4, 2022</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7"/>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lowerRoman"/>
      <w:start w:val="3"/>
    </w:lvl>
  </w:abstractNum>
  <w:abstractNum w:abstractNumId="31">
    <w:nsid w:val="5C482A97"/>
    <w:multiLevelType w:val="hybridMultilevel"/>
    <w:lvl w:ilvl="0">
      <w:lvlJc w:val="left"/>
      <w:lvlText w:val="%1."/>
      <w:numFmt w:val="decimal"/>
      <w:start w:val="3"/>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lowerLetter"/>
      <w:start w:val="3"/>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1" Type="http://schemas.openxmlformats.org/officeDocument/2006/relationships/image" Target="media/image61.png"/><Relationship Id="rId85"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68" Type="http://schemas.openxmlformats.org/officeDocument/2006/relationships/hyperlink" Target="http://www.sec.gov/Archives/edgar/data/1423689/000142368922000014/agncexhibit3112312110-k.htm" TargetMode="External"/><Relationship Id="rId69" Type="http://schemas.openxmlformats.org/officeDocument/2006/relationships/hyperlink" Target="http://www.sec.gov/Archives/edgar/data/1423689/000142368921000017/arbylaws-march2021vrevised.htm" TargetMode="External"/><Relationship Id="rId70" Type="http://schemas.openxmlformats.org/officeDocument/2006/relationships/hyperlink" Target="http://www.sec.gov/Archives/edgar/data/1423689/000142368917000044/ex35certificateofdesignati.htm" TargetMode="External"/><Relationship Id="rId72" Type="http://schemas.openxmlformats.org/officeDocument/2006/relationships/hyperlink" Target="http://www.sec.gov/Archives/edgar/data/1423689/000142368917000065/certificateofelimination.htm" TargetMode="External"/><Relationship Id="rId73" Type="http://schemas.openxmlformats.org/officeDocument/2006/relationships/hyperlink" Target="http://www.sec.gov/Archives/edgar/data/1423689/000142368919000019/certificateofdesignations.htm" TargetMode="External"/><Relationship Id="rId74" Type="http://schemas.openxmlformats.org/officeDocument/2006/relationships/hyperlink" Target="http://www.sec.gov/Archives/edgar/data/1423689/000142368919000064/certofdesignations.htm" TargetMode="External"/><Relationship Id="rId75" Type="http://schemas.openxmlformats.org/officeDocument/2006/relationships/hyperlink" Target="http://www.sec.gov/Archives/edgar/data/1423689/000142368919000078/certificateofeliminati.htm" TargetMode="External"/><Relationship Id="rId76" Type="http://schemas.openxmlformats.org/officeDocument/2006/relationships/hyperlink" Target="http://www.sec.gov/Archives/edgar/data/1423689/000142368920000012/certificateofdesignations-.htm" TargetMode="External"/><Relationship Id="rId77" Type="http://schemas.openxmlformats.org/officeDocument/2006/relationships/hyperlink" Target="http://www.sec.gov/Archives/edgar/data/1423689/000142368916000104/agncexhibit43.htm" TargetMode="External"/><Relationship Id="rId78" Type="http://schemas.openxmlformats.org/officeDocument/2006/relationships/hyperlink" Target="http://www.sec.gov/Archives/edgar/data/1423689/000142368917000044/exhibit41.htm" TargetMode="External"/><Relationship Id="rId79" Type="http://schemas.openxmlformats.org/officeDocument/2006/relationships/hyperlink" Target="http://www.sec.gov/Archives/edgar/data/1423689/000142368919000019/stockcertificateb98.htm" TargetMode="External"/><Relationship Id="rId80" Type="http://schemas.openxmlformats.org/officeDocument/2006/relationships/hyperlink" Target="http://www.sec.gov/Archives/edgar/data/1423689/000142368919000064/stockcertificate.htm" TargetMode="External"/><Relationship Id="rId81" Type="http://schemas.openxmlformats.org/officeDocument/2006/relationships/hyperlink" Target="http://www.sec.gov/Archives/edgar/data/1423689/000142368920000012/stockcertificate.htm" TargetMode="External"/><Relationship Id="rId82" Type="http://schemas.openxmlformats.org/officeDocument/2006/relationships/hyperlink" Target="http://www.sec.gov/Archives/edgar/data/1423689/000142368917000049/depositagreement.htm" TargetMode="External"/><Relationship Id="rId83" Type="http://schemas.openxmlformats.org/officeDocument/2006/relationships/hyperlink" Target="http://www.sec.gov/Archives/edgar/data/1423689/000142368919000021/prefddepositagmt.htm" TargetMode="External"/><Relationship Id="rId84" Type="http://schemas.openxmlformats.org/officeDocument/2006/relationships/hyperlink" Target="http://www.sec.gov/Archives/edgar/data/1423689/000142368919000068/depositagmt-prefe.htm" TargetMode="External"/><Relationship Id="rId86" Type="http://schemas.openxmlformats.org/officeDocument/2006/relationships/hyperlink" Target="http://www.sec.gov/Archives/edgar/data/1423689/000142368920000014/depositaryagmt-series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2022-08-04T15:31:36Z</dcterms:created>
  <dcterms:modified xsi:type="dcterms:W3CDTF">2022-08-04T15:31:36Z</dcterms:modified>
</cp:coreProperties>
</file>