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8300" w:type="dxa"/>
            <w:vAlign w:val="bottom"/>
          </w:tcPr>
          <w:p>
            <w:pPr>
              <w:jc w:val="center"/>
              <w:ind w:left="219"/>
              <w:spacing w:after="0"/>
              <w:rPr>
                <w:sz w:val="20"/>
                <w:szCs w:val="20"/>
                <w:color w:val="auto"/>
              </w:rPr>
            </w:pPr>
            <w:r>
              <w:rPr>
                <w:rFonts w:ascii="Arial" w:cs="Arial" w:eastAsia="Arial" w:hAnsi="Arial"/>
                <w:sz w:val="20"/>
                <w:szCs w:val="20"/>
                <w:b w:val="1"/>
                <w:bCs w:val="1"/>
                <w:color w:val="auto"/>
                <w:w w:val="98"/>
              </w:rPr>
              <w:t>UNITED STATES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8300" w:type="dxa"/>
            <w:vAlign w:val="bottom"/>
          </w:tcPr>
          <w:p>
            <w:pPr>
              <w:jc w:val="center"/>
              <w:ind w:left="239"/>
              <w:spacing w:after="0"/>
              <w:rPr>
                <w:sz w:val="20"/>
                <w:szCs w:val="20"/>
                <w:color w:val="auto"/>
              </w:rPr>
            </w:pPr>
            <w:r>
              <w:rPr>
                <w:rFonts w:ascii="Arial" w:cs="Arial" w:eastAsia="Arial" w:hAnsi="Arial"/>
                <w:sz w:val="20"/>
                <w:szCs w:val="20"/>
                <w:b w:val="1"/>
                <w:bCs w:val="1"/>
                <w:color w:val="auto"/>
              </w:rPr>
              <w:t>SECURITIES AND EXCHANGE COMMISSION</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Washington, D.C. 20549</w:t>
            </w:r>
          </w:p>
        </w:tc>
        <w:tc>
          <w:tcPr>
            <w:tcW w:w="0" w:type="dxa"/>
            <w:vAlign w:val="bottom"/>
          </w:tcPr>
          <w:p>
            <w:pPr>
              <w:spacing w:after="0"/>
              <w:rPr>
                <w:sz w:val="1"/>
                <w:szCs w:val="1"/>
                <w:color w:val="auto"/>
              </w:rPr>
            </w:pPr>
          </w:p>
        </w:tc>
      </w:tr>
      <w:tr>
        <w:trPr>
          <w:trHeight w:val="256"/>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19"/>
              <w:spacing w:after="0"/>
              <w:rPr>
                <w:sz w:val="20"/>
                <w:szCs w:val="20"/>
                <w:color w:val="auto"/>
              </w:rPr>
            </w:pPr>
            <w:r>
              <w:rPr>
                <w:rFonts w:ascii="Arial" w:cs="Arial" w:eastAsia="Arial" w:hAnsi="Arial"/>
                <w:sz w:val="20"/>
                <w:szCs w:val="20"/>
                <w:b w:val="1"/>
                <w:bCs w:val="1"/>
                <w:color w:val="auto"/>
              </w:rPr>
              <w:t>FORM 10-K</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8300" w:type="dxa"/>
            <w:vAlign w:val="bottom"/>
          </w:tcPr>
          <w:p>
            <w:pPr>
              <w:jc w:val="center"/>
              <w:ind w:left="859"/>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2"/>
              </w:rPr>
              <w:t>For the year ended December 31, 2020</w:t>
            </w:r>
          </w:p>
        </w:tc>
        <w:tc>
          <w:tcPr>
            <w:tcW w:w="0" w:type="dxa"/>
            <w:vAlign w:val="bottom"/>
          </w:tcPr>
          <w:p>
            <w:pPr>
              <w:spacing w:after="0"/>
              <w:rPr>
                <w:sz w:val="1"/>
                <w:szCs w:val="1"/>
                <w:color w:val="auto"/>
              </w:rPr>
            </w:pPr>
          </w:p>
        </w:tc>
      </w:tr>
      <w:tr>
        <w:trPr>
          <w:trHeight w:val="186"/>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39"/>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219"/>
        </w:trPr>
        <w:tc>
          <w:tcPr>
            <w:tcW w:w="1060" w:type="dxa"/>
            <w:vAlign w:val="bottom"/>
            <w:vMerge w:val="continue"/>
          </w:tcPr>
          <w:p>
            <w:pPr>
              <w:spacing w:after="0"/>
              <w:rPr>
                <w:sz w:val="19"/>
                <w:szCs w:val="19"/>
                <w:color w:val="auto"/>
              </w:rPr>
            </w:pPr>
          </w:p>
        </w:tc>
        <w:tc>
          <w:tcPr>
            <w:tcW w:w="8300" w:type="dxa"/>
            <w:vAlign w:val="bottom"/>
          </w:tcPr>
          <w:p>
            <w:pPr>
              <w:jc w:val="center"/>
              <w:ind w:left="859"/>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7"/>
        </w:trPr>
        <w:tc>
          <w:tcPr>
            <w:tcW w:w="1060" w:type="dxa"/>
            <w:vAlign w:val="bottom"/>
          </w:tcPr>
          <w:p>
            <w:pPr>
              <w:spacing w:after="0"/>
              <w:rPr>
                <w:sz w:val="23"/>
                <w:szCs w:val="23"/>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2"/>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102235</wp:posOffset>
            </wp:positionV>
            <wp:extent cx="204025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31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9"/>
              </w:rPr>
              <w:t>AGNC INVESTMENT CORP.</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7200" w:type="dxa"/>
            <w:vAlign w:val="bottom"/>
            <w:gridSpan w:val="6"/>
          </w:tcPr>
          <w:p>
            <w:pPr>
              <w:jc w:val="center"/>
              <w:ind w:right="394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82"/>
        </w:trPr>
        <w:tc>
          <w:tcPr>
            <w:tcW w:w="11240" w:type="dxa"/>
            <w:vAlign w:val="bottom"/>
            <w:gridSpan w:val="7"/>
          </w:tcPr>
          <w:p>
            <w:pPr>
              <w:jc w:val="right"/>
              <w:ind w:right="3748"/>
              <w:spacing w:after="0"/>
              <w:rPr>
                <w:sz w:val="20"/>
                <w:szCs w:val="20"/>
                <w:color w:val="auto"/>
              </w:rPr>
            </w:pPr>
            <w:r>
              <w:rPr>
                <w:rFonts w:ascii="Arial" w:cs="Arial" w:eastAsia="Arial" w:hAnsi="Arial"/>
                <w:sz w:val="14"/>
                <w:szCs w:val="14"/>
                <w:color w:val="auto"/>
              </w:rPr>
              <w:t>__________________________________________________</w:t>
            </w:r>
          </w:p>
        </w:tc>
        <w:tc>
          <w:tcPr>
            <w:tcW w:w="0" w:type="dxa"/>
            <w:vAlign w:val="bottom"/>
          </w:tcPr>
          <w:p>
            <w:pPr>
              <w:spacing w:after="0"/>
              <w:rPr>
                <w:sz w:val="1"/>
                <w:szCs w:val="1"/>
                <w:color w:val="auto"/>
              </w:rPr>
            </w:pPr>
          </w:p>
        </w:tc>
      </w:tr>
      <w:tr>
        <w:trPr>
          <w:trHeight w:val="203"/>
        </w:trPr>
        <w:tc>
          <w:tcPr>
            <w:tcW w:w="4040" w:type="dxa"/>
            <w:vAlign w:val="bottom"/>
          </w:tcPr>
          <w:p>
            <w:pPr>
              <w:jc w:val="center"/>
              <w:ind w:left="1308"/>
              <w:spacing w:after="0"/>
              <w:rPr>
                <w:sz w:val="20"/>
                <w:szCs w:val="20"/>
                <w:color w:val="auto"/>
              </w:rPr>
            </w:pPr>
            <w:r>
              <w:rPr>
                <w:rFonts w:ascii="Arial" w:cs="Arial" w:eastAsia="Arial" w:hAnsi="Arial"/>
                <w:sz w:val="14"/>
                <w:szCs w:val="14"/>
                <w:b w:val="1"/>
                <w:bCs w:val="1"/>
                <w:color w:val="auto"/>
                <w:w w:val="94"/>
              </w:rPr>
              <w:t>Delaware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100" w:type="dxa"/>
            <w:vAlign w:val="bottom"/>
            <w:gridSpan w:val="3"/>
          </w:tcPr>
          <w:p>
            <w:pPr>
              <w:jc w:val="center"/>
              <w:ind w:right="1028"/>
              <w:spacing w:after="0"/>
              <w:rPr>
                <w:sz w:val="20"/>
                <w:szCs w:val="20"/>
                <w:color w:val="auto"/>
              </w:rPr>
            </w:pPr>
            <w:r>
              <w:rPr>
                <w:rFonts w:ascii="Arial" w:cs="Arial" w:eastAsia="Arial" w:hAnsi="Arial"/>
                <w:sz w:val="14"/>
                <w:szCs w:val="14"/>
                <w:b w:val="1"/>
                <w:bCs w:val="1"/>
                <w:color w:val="auto"/>
                <w:w w:val="90"/>
              </w:rPr>
              <w:t>26-1701984</w:t>
            </w:r>
          </w:p>
        </w:tc>
        <w:tc>
          <w:tcPr>
            <w:tcW w:w="0" w:type="dxa"/>
            <w:vAlign w:val="bottom"/>
          </w:tcPr>
          <w:p>
            <w:pPr>
              <w:spacing w:after="0"/>
              <w:rPr>
                <w:sz w:val="1"/>
                <w:szCs w:val="1"/>
                <w:color w:val="auto"/>
              </w:rPr>
            </w:pPr>
          </w:p>
        </w:tc>
      </w:tr>
      <w:tr>
        <w:trPr>
          <w:trHeight w:val="147"/>
        </w:trPr>
        <w:tc>
          <w:tcPr>
            <w:tcW w:w="4040" w:type="dxa"/>
            <w:vAlign w:val="bottom"/>
          </w:tcPr>
          <w:p>
            <w:pPr>
              <w:jc w:val="center"/>
              <w:ind w:left="130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tcPr>
          <w:p>
            <w:pPr>
              <w:jc w:val="center"/>
              <w:ind w:right="1288"/>
              <w:spacing w:after="0" w:line="147"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040" w:type="dxa"/>
            <w:vAlign w:val="bottom"/>
          </w:tcPr>
          <w:p>
            <w:pPr>
              <w:jc w:val="center"/>
              <w:ind w:left="1308"/>
              <w:spacing w:after="0"/>
              <w:rPr>
                <w:sz w:val="20"/>
                <w:szCs w:val="20"/>
                <w:color w:val="auto"/>
              </w:rPr>
            </w:pPr>
            <w:r>
              <w:rPr>
                <w:rFonts w:ascii="Arial" w:cs="Arial" w:eastAsia="Arial" w:hAnsi="Arial"/>
                <w:sz w:val="14"/>
                <w:szCs w:val="14"/>
                <w:b w:val="1"/>
                <w:bCs w:val="1"/>
                <w:color w:val="auto"/>
                <w:w w:val="95"/>
              </w:rPr>
              <w:t>Incorporation or Organization)</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Pr>
          <w:p>
            <w:pPr>
              <w:jc w:val="center"/>
              <w:ind w:right="128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3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2 Bethesda Metro Center, 12th Floor</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Bethesda, Maryland 20814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10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100" w:type="dxa"/>
            <w:vAlign w:val="bottom"/>
            <w:gridSpan w:val="3"/>
          </w:tcPr>
          <w:p>
            <w:pPr>
              <w:jc w:val="right"/>
              <w:ind w:right="988"/>
              <w:spacing w:after="0"/>
              <w:rPr>
                <w:sz w:val="20"/>
                <w:szCs w:val="20"/>
                <w:color w:val="auto"/>
              </w:rPr>
            </w:pPr>
            <w:r>
              <w:rPr>
                <w:rFonts w:ascii="Arial" w:cs="Arial" w:eastAsia="Arial" w:hAnsi="Arial"/>
                <w:sz w:val="14"/>
                <w:szCs w:val="14"/>
                <w:b w:val="1"/>
                <w:bCs w:val="1"/>
                <w:color w:val="auto"/>
              </w:rPr>
              <w:t>(301) 968-9315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62"/>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w w:val="92"/>
              </w:rPr>
              <w:t>__________________________________________________</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tcPr>
          <w:p>
            <w:pPr>
              <w:jc w:val="center"/>
              <w:ind w:left="1528"/>
              <w:spacing w:after="0"/>
              <w:rPr>
                <w:sz w:val="20"/>
                <w:szCs w:val="20"/>
                <w:color w:val="auto"/>
              </w:rPr>
            </w:pPr>
            <w:r>
              <w:rPr>
                <w:rFonts w:ascii="Arial" w:cs="Arial" w:eastAsia="Arial" w:hAnsi="Arial"/>
                <w:sz w:val="14"/>
                <w:szCs w:val="14"/>
                <w:b w:val="1"/>
                <w:bCs w:val="1"/>
                <w:color w:val="auto"/>
                <w:w w:val="93"/>
              </w:rPr>
              <w:t>Title of Each Class</w:t>
            </w:r>
          </w:p>
        </w:tc>
        <w:tc>
          <w:tcPr>
            <w:tcW w:w="1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2"/>
              </w:rPr>
              <w:t>Trading Symbol(s)</w:t>
            </w: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182"/>
        </w:trPr>
        <w:tc>
          <w:tcPr>
            <w:tcW w:w="4040" w:type="dxa"/>
            <w:vAlign w:val="bottom"/>
          </w:tcPr>
          <w:p>
            <w:pPr>
              <w:jc w:val="center"/>
              <w:ind w:left="1508"/>
              <w:spacing w:after="0"/>
              <w:rPr>
                <w:sz w:val="20"/>
                <w:szCs w:val="20"/>
                <w:color w:val="auto"/>
              </w:rPr>
            </w:pPr>
            <w:r>
              <w:rPr>
                <w:rFonts w:ascii="Arial" w:cs="Arial" w:eastAsia="Arial" w:hAnsi="Arial"/>
                <w:sz w:val="14"/>
                <w:szCs w:val="14"/>
                <w:color w:val="auto"/>
                <w:w w:val="91"/>
              </w:rPr>
              <w:t>Common Stock, par value $0.01 per share</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left="68"/>
              <w:spacing w:after="0"/>
              <w:rPr>
                <w:sz w:val="20"/>
                <w:szCs w:val="20"/>
                <w:color w:val="auto"/>
              </w:rPr>
            </w:pPr>
            <w:r>
              <w:rPr>
                <w:rFonts w:ascii="Arial" w:cs="Arial" w:eastAsia="Arial" w:hAnsi="Arial"/>
                <w:sz w:val="14"/>
                <w:szCs w:val="14"/>
                <w:color w:val="auto"/>
              </w:rPr>
              <w:t>AGNC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42"/>
        </w:trPr>
        <w:tc>
          <w:tcPr>
            <w:tcW w:w="574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1400" w:type="dxa"/>
            <w:vAlign w:val="bottom"/>
            <w:vMerge w:val="restart"/>
          </w:tcPr>
          <w:p>
            <w:pPr>
              <w:jc w:val="center"/>
              <w:ind w:left="68"/>
              <w:spacing w:after="0"/>
              <w:rPr>
                <w:sz w:val="20"/>
                <w:szCs w:val="20"/>
                <w:color w:val="auto"/>
              </w:rPr>
            </w:pPr>
            <w:r>
              <w:rPr>
                <w:rFonts w:ascii="Arial" w:cs="Arial" w:eastAsia="Arial" w:hAnsi="Arial"/>
                <w:sz w:val="14"/>
                <w:szCs w:val="14"/>
                <w:color w:val="auto"/>
                <w:w w:val="98"/>
              </w:rPr>
              <w:t>AGNCN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10"/>
        </w:trPr>
        <w:tc>
          <w:tcPr>
            <w:tcW w:w="4040" w:type="dxa"/>
            <w:vAlign w:val="bottom"/>
            <w:vMerge w:val="restart"/>
          </w:tcPr>
          <w:p>
            <w:pPr>
              <w:jc w:val="center"/>
              <w:ind w:left="1528"/>
              <w:spacing w:after="0"/>
              <w:rPr>
                <w:sz w:val="20"/>
                <w:szCs w:val="20"/>
                <w:color w:val="auto"/>
              </w:rPr>
            </w:pPr>
            <w:r>
              <w:rPr>
                <w:rFonts w:ascii="Arial" w:cs="Arial" w:eastAsia="Arial" w:hAnsi="Arial"/>
                <w:sz w:val="14"/>
                <w:szCs w:val="14"/>
                <w:color w:val="auto"/>
                <w:w w:val="91"/>
              </w:rPr>
              <w:t>Stock</w:t>
            </w: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4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4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1400" w:type="dxa"/>
            <w:vAlign w:val="bottom"/>
            <w:vMerge w:val="restart"/>
          </w:tcPr>
          <w:p>
            <w:pPr>
              <w:jc w:val="center"/>
              <w:ind w:left="68"/>
              <w:spacing w:after="0"/>
              <w:rPr>
                <w:sz w:val="20"/>
                <w:szCs w:val="20"/>
                <w:color w:val="auto"/>
              </w:rPr>
            </w:pPr>
            <w:r>
              <w:rPr>
                <w:rFonts w:ascii="Arial" w:cs="Arial" w:eastAsia="Arial" w:hAnsi="Arial"/>
                <w:sz w:val="14"/>
                <w:szCs w:val="14"/>
                <w:color w:val="auto"/>
              </w:rPr>
              <w:t>AGNCM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10"/>
        </w:trPr>
        <w:tc>
          <w:tcPr>
            <w:tcW w:w="4040" w:type="dxa"/>
            <w:vAlign w:val="bottom"/>
            <w:vMerge w:val="restart"/>
          </w:tcPr>
          <w:p>
            <w:pPr>
              <w:jc w:val="center"/>
              <w:ind w:left="1528"/>
              <w:spacing w:after="0"/>
              <w:rPr>
                <w:sz w:val="20"/>
                <w:szCs w:val="20"/>
                <w:color w:val="auto"/>
              </w:rPr>
            </w:pPr>
            <w:r>
              <w:rPr>
                <w:rFonts w:ascii="Arial" w:cs="Arial" w:eastAsia="Arial" w:hAnsi="Arial"/>
                <w:sz w:val="14"/>
                <w:szCs w:val="14"/>
                <w:color w:val="auto"/>
                <w:w w:val="91"/>
              </w:rPr>
              <w:t>Stock</w:t>
            </w: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4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4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w w:val="92"/>
              </w:rPr>
              <w:t>Depositary shares of 6.50% Series E Fixed-to-Floating Rate Cumulative Redeemable Preferred</w:t>
            </w:r>
          </w:p>
        </w:tc>
        <w:tc>
          <w:tcPr>
            <w:tcW w:w="1400" w:type="dxa"/>
            <w:vAlign w:val="bottom"/>
            <w:vMerge w:val="restart"/>
          </w:tcPr>
          <w:p>
            <w:pPr>
              <w:jc w:val="center"/>
              <w:ind w:left="68"/>
              <w:spacing w:after="0"/>
              <w:rPr>
                <w:sz w:val="20"/>
                <w:szCs w:val="20"/>
                <w:color w:val="auto"/>
              </w:rPr>
            </w:pPr>
            <w:r>
              <w:rPr>
                <w:rFonts w:ascii="Arial" w:cs="Arial" w:eastAsia="Arial" w:hAnsi="Arial"/>
                <w:sz w:val="14"/>
                <w:szCs w:val="14"/>
                <w:color w:val="auto"/>
                <w:w w:val="97"/>
              </w:rPr>
              <w:t>AGNCO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10"/>
        </w:trPr>
        <w:tc>
          <w:tcPr>
            <w:tcW w:w="4040" w:type="dxa"/>
            <w:vAlign w:val="bottom"/>
            <w:vMerge w:val="restart"/>
          </w:tcPr>
          <w:p>
            <w:pPr>
              <w:jc w:val="center"/>
              <w:ind w:left="1528"/>
              <w:spacing w:after="0"/>
              <w:rPr>
                <w:sz w:val="20"/>
                <w:szCs w:val="20"/>
                <w:color w:val="auto"/>
              </w:rPr>
            </w:pPr>
            <w:r>
              <w:rPr>
                <w:rFonts w:ascii="Arial" w:cs="Arial" w:eastAsia="Arial" w:hAnsi="Arial"/>
                <w:sz w:val="14"/>
                <w:szCs w:val="14"/>
                <w:color w:val="auto"/>
                <w:w w:val="91"/>
              </w:rPr>
              <w:t>Stock</w:t>
            </w: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4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4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92"/>
              </w:rPr>
              <w:t>Depositary shares of 6.125% Series F Fixed-to-Floating Rate Cumulative Redeemable Preferred</w:t>
            </w:r>
          </w:p>
        </w:tc>
        <w:tc>
          <w:tcPr>
            <w:tcW w:w="1400" w:type="dxa"/>
            <w:vAlign w:val="bottom"/>
            <w:vMerge w:val="restart"/>
          </w:tcPr>
          <w:p>
            <w:pPr>
              <w:jc w:val="center"/>
              <w:ind w:left="68"/>
              <w:spacing w:after="0"/>
              <w:rPr>
                <w:sz w:val="20"/>
                <w:szCs w:val="20"/>
                <w:color w:val="auto"/>
              </w:rPr>
            </w:pPr>
            <w:r>
              <w:rPr>
                <w:rFonts w:ascii="Arial" w:cs="Arial" w:eastAsia="Arial" w:hAnsi="Arial"/>
                <w:sz w:val="14"/>
                <w:szCs w:val="14"/>
                <w:color w:val="auto"/>
              </w:rPr>
              <w:t>AGNCP</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10"/>
        </w:trPr>
        <w:tc>
          <w:tcPr>
            <w:tcW w:w="4040" w:type="dxa"/>
            <w:vAlign w:val="bottom"/>
            <w:vMerge w:val="restart"/>
          </w:tcPr>
          <w:p>
            <w:pPr>
              <w:jc w:val="center"/>
              <w:ind w:left="1528"/>
              <w:spacing w:after="0"/>
              <w:rPr>
                <w:sz w:val="20"/>
                <w:szCs w:val="20"/>
                <w:color w:val="auto"/>
              </w:rPr>
            </w:pPr>
            <w:r>
              <w:rPr>
                <w:rFonts w:ascii="Arial" w:cs="Arial" w:eastAsia="Arial" w:hAnsi="Arial"/>
                <w:sz w:val="14"/>
                <w:szCs w:val="14"/>
                <w:color w:val="auto"/>
                <w:w w:val="91"/>
              </w:rPr>
              <w:t>Stock</w:t>
            </w: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4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1240" w:type="dxa"/>
            <w:vAlign w:val="bottom"/>
            <w:gridSpan w:val="7"/>
          </w:tcPr>
          <w:p>
            <w:pPr>
              <w:ind w:left="382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175"/>
        </w:trPr>
        <w:tc>
          <w:tcPr>
            <w:tcW w:w="7140" w:type="dxa"/>
            <w:vAlign w:val="bottom"/>
            <w:gridSpan w:val="4"/>
          </w:tcPr>
          <w:p>
            <w:pPr>
              <w:ind w:left="34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4100" w:type="dxa"/>
            <w:vAlign w:val="bottom"/>
            <w:gridSpan w:val="3"/>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1"/>
        </w:trPr>
        <w:tc>
          <w:tcPr>
            <w:tcW w:w="7140" w:type="dxa"/>
            <w:vAlign w:val="bottom"/>
            <w:gridSpan w:val="4"/>
          </w:tcPr>
          <w:p>
            <w:pPr>
              <w:ind w:left="340"/>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4100" w:type="dxa"/>
            <w:vAlign w:val="bottom"/>
            <w:gridSpan w:val="3"/>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00"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4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182"/>
        </w:trPr>
        <w:tc>
          <w:tcPr>
            <w:tcW w:w="2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40" w:type="dxa"/>
            <w:vAlign w:val="bottom"/>
          </w:tcPr>
          <w:p>
            <w:pPr>
              <w:spacing w:after="0"/>
              <w:rPr>
                <w:sz w:val="20"/>
                <w:szCs w:val="20"/>
                <w:color w:val="auto"/>
              </w:rPr>
            </w:pPr>
            <w:r>
              <w:rPr>
                <w:rFonts w:ascii="Arial" w:cs="Arial" w:eastAsia="Arial" w:hAnsi="Arial"/>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99" w:lineRule="exact"/>
        <w:rPr>
          <w:sz w:val="24"/>
          <w:szCs w:val="24"/>
          <w:color w:val="auto"/>
        </w:rPr>
      </w:pPr>
    </w:p>
    <w:p>
      <w:pPr>
        <w:ind w:right="460" w:firstLine="324"/>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324"/>
        <w:spacing w:after="0" w:line="17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6" w:lineRule="exact"/>
        <w:rPr>
          <w:sz w:val="24"/>
          <w:szCs w:val="24"/>
          <w:color w:val="auto"/>
        </w:rPr>
      </w:pPr>
    </w:p>
    <w:p>
      <w:pPr>
        <w:jc w:val="both"/>
        <w:ind w:firstLine="324"/>
        <w:spacing w:after="0" w:line="241" w:lineRule="auto"/>
        <w:rPr>
          <w:sz w:val="20"/>
          <w:szCs w:val="20"/>
          <w:color w:val="auto"/>
        </w:rPr>
      </w:pPr>
      <w:r>
        <w:rPr>
          <w:rFonts w:ascii="Arial" w:cs="Arial" w:eastAsia="Arial" w:hAnsi="Arial"/>
          <w:sz w:val="14"/>
          <w:szCs w:val="14"/>
          <w:color w:val="auto"/>
        </w:rPr>
        <w:t>As of June 30, 2020, the aggregate market value of the Registrant's common stock held by non-affiliates of the Registrant was approximately $5.7 billion based upon the closing price of the Registrant's common stock of $12.90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$0.01 par value, outstanding as of January 31, 2021 was 537,899,803.</w:t>
      </w:r>
    </w:p>
    <w:p>
      <w:pPr>
        <w:spacing w:after="0" w:line="1" w:lineRule="exact"/>
        <w:rPr>
          <w:sz w:val="24"/>
          <w:szCs w:val="24"/>
          <w:color w:val="auto"/>
        </w:rPr>
      </w:pPr>
    </w:p>
    <w:p>
      <w:pPr>
        <w:jc w:val="both"/>
        <w:ind w:firstLine="324"/>
        <w:spacing w:after="0" w:line="241" w:lineRule="auto"/>
        <w:rPr>
          <w:sz w:val="20"/>
          <w:szCs w:val="20"/>
          <w:color w:val="auto"/>
        </w:rPr>
      </w:pPr>
      <w:r>
        <w:rPr>
          <w:rFonts w:ascii="Arial" w:cs="Arial" w:eastAsia="Arial" w:hAnsi="Arial"/>
          <w:sz w:val="14"/>
          <w:szCs w:val="14"/>
          <w:color w:val="auto"/>
        </w:rPr>
        <w:t>DOCUMENTS INCORPORATED BY REFERENCE. The information required by Part III will be incorporated by reference from the Registrant's definitive proxy statement for the 2021 Annual Meeting of Stockholders to be filed with the Securities and Exchange Commission pursuant to Regulation 14A.</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Certain exhibits previously filed with the Securities and Exchange Commission are incorporated by reference into Part IV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80" w:type="dxa"/>
            <w:vAlign w:val="bottom"/>
          </w:tcPr>
          <w:p>
            <w:pPr>
              <w:ind w:left="3560"/>
              <w:spacing w:after="0"/>
              <w:rPr>
                <w:sz w:val="20"/>
                <w:szCs w:val="20"/>
                <w:color w:val="auto"/>
              </w:rPr>
            </w:pPr>
            <w:r>
              <w:rPr>
                <w:rFonts w:ascii="Arial" w:cs="Arial" w:eastAsia="Arial" w:hAnsi="Arial"/>
                <w:sz w:val="18"/>
                <w:szCs w:val="18"/>
                <w:b w:val="1"/>
                <w:bCs w:val="1"/>
                <w:color w:val="auto"/>
              </w:rPr>
              <w:t>AGNC INVESTMENT CORP.</w:t>
            </w:r>
          </w:p>
        </w:tc>
        <w:tc>
          <w:tcPr>
            <w:tcW w:w="1200" w:type="dxa"/>
            <w:vAlign w:val="bottom"/>
          </w:tcPr>
          <w:p>
            <w:pPr>
              <w:spacing w:after="0"/>
              <w:rPr>
                <w:sz w:val="20"/>
                <w:szCs w:val="20"/>
                <w:color w:val="auto"/>
              </w:rPr>
            </w:pPr>
          </w:p>
        </w:tc>
      </w:tr>
      <w:tr>
        <w:trPr>
          <w:trHeight w:val="311"/>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8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1200" w:type="dxa"/>
            <w:vAlign w:val="bottom"/>
          </w:tcPr>
          <w:p>
            <w:pPr>
              <w:spacing w:after="0"/>
              <w:rPr>
                <w:sz w:val="24"/>
                <w:szCs w:val="24"/>
                <w:color w:val="auto"/>
              </w:rPr>
            </w:pPr>
          </w:p>
        </w:tc>
      </w:tr>
      <w:tr>
        <w:trPr>
          <w:trHeight w:val="391"/>
        </w:trPr>
        <w:tc>
          <w:tcPr>
            <w:tcW w:w="580" w:type="dxa"/>
            <w:vAlign w:val="bottom"/>
            <w:tcBorders>
              <w:bottom w:val="single" w:sz="8" w:color="0000FF"/>
            </w:tcBorders>
            <w:gridSpan w:val="3"/>
          </w:tcPr>
          <w:p>
            <w:pPr>
              <w:spacing w:after="0"/>
              <w:rPr>
                <w:rFonts w:ascii="Arial" w:cs="Arial" w:eastAsia="Arial" w:hAnsi="Arial"/>
                <w:sz w:val="16"/>
                <w:szCs w:val="16"/>
                <w:b w:val="1"/>
                <w:bCs w:val="1"/>
                <w:color w:val="0000FF"/>
                <w:w w:val="98"/>
              </w:rPr>
            </w:pPr>
            <w:hyperlink w:anchor="page2">
              <w:r>
                <w:rPr>
                  <w:rFonts w:ascii="Arial" w:cs="Arial" w:eastAsia="Arial" w:hAnsi="Arial"/>
                  <w:sz w:val="16"/>
                  <w:szCs w:val="16"/>
                  <w:b w:val="1"/>
                  <w:bCs w:val="1"/>
                  <w:color w:val="0000FF"/>
                  <w:w w:val="98"/>
                </w:rPr>
                <w:t>PART I.</w:t>
              </w:r>
            </w:hyperlink>
          </w:p>
        </w:tc>
        <w:tc>
          <w:tcPr>
            <w:tcW w:w="280" w:type="dxa"/>
            <w:vAlign w:val="bottom"/>
            <w:gridSpan w:val="2"/>
          </w:tcPr>
          <w:p>
            <w:pPr>
              <w:spacing w:after="0"/>
              <w:rPr>
                <w:sz w:val="24"/>
                <w:szCs w:val="24"/>
                <w:color w:val="auto"/>
              </w:rPr>
            </w:pPr>
          </w:p>
        </w:tc>
        <w:tc>
          <w:tcPr>
            <w:tcW w:w="8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1"/>
        </w:trPr>
        <w:tc>
          <w:tcPr>
            <w:tcW w:w="860" w:type="dxa"/>
            <w:vAlign w:val="bottom"/>
            <w:gridSpan w:val="5"/>
          </w:tcPr>
          <w:p>
            <w:pPr>
              <w:spacing w:after="0"/>
              <w:rPr>
                <w:rFonts w:ascii="Arial" w:cs="Arial" w:eastAsia="Arial" w:hAnsi="Arial"/>
                <w:sz w:val="16"/>
                <w:szCs w:val="16"/>
                <w:color w:val="0000FF"/>
              </w:rPr>
            </w:pPr>
            <w:hyperlink w:anchor="page3">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8480" w:type="dxa"/>
            <w:vAlign w:val="bottom"/>
          </w:tcPr>
          <w:p>
            <w:pPr>
              <w:ind w:left="14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Business</w:t>
              </w:r>
            </w:hyperlink>
          </w:p>
        </w:tc>
        <w:tc>
          <w:tcPr>
            <w:tcW w:w="120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tc>
      </w:tr>
      <w:tr>
        <w:trPr>
          <w:trHeight w:val="216"/>
        </w:trPr>
        <w:tc>
          <w:tcPr>
            <w:tcW w:w="860" w:type="dxa"/>
            <w:vAlign w:val="bottom"/>
            <w:gridSpan w:val="5"/>
          </w:tcPr>
          <w:p>
            <w:pPr>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Item 1A.</w:t>
              </w:r>
            </w:hyperlink>
          </w:p>
        </w:tc>
        <w:tc>
          <w:tcPr>
            <w:tcW w:w="8480" w:type="dxa"/>
            <w:vAlign w:val="bottom"/>
          </w:tcPr>
          <w:p>
            <w:pPr>
              <w:ind w:left="140"/>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Risk Factors</w:t>
              </w:r>
            </w:hyperlink>
          </w:p>
        </w:tc>
        <w:tc>
          <w:tcPr>
            <w:tcW w:w="1200" w:type="dxa"/>
            <w:vAlign w:val="bottom"/>
          </w:tcPr>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8</w:t>
              </w:r>
            </w:hyperlink>
          </w:p>
        </w:tc>
      </w:tr>
      <w:tr>
        <w:trPr>
          <w:trHeight w:val="182"/>
        </w:trPr>
        <w:tc>
          <w:tcPr>
            <w:tcW w:w="580" w:type="dxa"/>
            <w:vAlign w:val="bottom"/>
            <w:tcBorders>
              <w:bottom w:val="single" w:sz="8" w:color="0000FF"/>
            </w:tcBorders>
            <w:gridSpan w:val="3"/>
          </w:tcPr>
          <w:p>
            <w:pPr>
              <w:spacing w:after="0" w:line="181" w:lineRule="exact"/>
              <w:rPr>
                <w:rFonts w:ascii="Arial" w:cs="Arial" w:eastAsia="Arial" w:hAnsi="Arial"/>
                <w:sz w:val="16"/>
                <w:szCs w:val="16"/>
                <w:color w:val="0000FF"/>
                <w:w w:val="93"/>
              </w:rPr>
            </w:pPr>
            <w:hyperlink w:anchor="page23">
              <w:r>
                <w:rPr>
                  <w:rFonts w:ascii="Arial" w:cs="Arial" w:eastAsia="Arial" w:hAnsi="Arial"/>
                  <w:sz w:val="16"/>
                  <w:szCs w:val="16"/>
                  <w:color w:val="0000FF"/>
                  <w:w w:val="93"/>
                </w:rPr>
                <w:t>Item 1B.</w:t>
              </w:r>
            </w:hyperlink>
          </w:p>
        </w:tc>
        <w:tc>
          <w:tcPr>
            <w:tcW w:w="280" w:type="dxa"/>
            <w:vAlign w:val="bottom"/>
            <w:gridSpan w:val="2"/>
          </w:tcPr>
          <w:p>
            <w:pPr>
              <w:spacing w:after="0"/>
              <w:rPr>
                <w:sz w:val="15"/>
                <w:szCs w:val="15"/>
                <w:color w:val="auto"/>
              </w:rPr>
            </w:pPr>
          </w:p>
        </w:tc>
        <w:tc>
          <w:tcPr>
            <w:tcW w:w="8480" w:type="dxa"/>
            <w:vAlign w:val="bottom"/>
          </w:tcPr>
          <w:p>
            <w:pPr>
              <w:ind w:left="140"/>
              <w:spacing w:after="0" w:line="181" w:lineRule="exact"/>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Unresolved Staff Comments</w:t>
              </w:r>
            </w:hyperlink>
          </w:p>
        </w:tc>
        <w:tc>
          <w:tcPr>
            <w:tcW w:w="1200" w:type="dxa"/>
            <w:vAlign w:val="bottom"/>
          </w:tcPr>
          <w:p>
            <w:pPr>
              <w:jc w:val="right"/>
              <w:spacing w:after="0" w:line="181" w:lineRule="exact"/>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22</w:t>
              </w:r>
            </w:hyperlink>
          </w:p>
        </w:tc>
      </w:tr>
      <w:tr>
        <w:trPr>
          <w:trHeight w:val="196"/>
        </w:trPr>
        <w:tc>
          <w:tcPr>
            <w:tcW w:w="860" w:type="dxa"/>
            <w:vAlign w:val="bottom"/>
            <w:gridSpan w:val="5"/>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 xml:space="preserve">Item </w:t>
              </w:r>
            </w:hyperlink>
            <w:r>
              <w:rPr>
                <w:rFonts w:ascii="Arial" w:cs="Arial" w:eastAsia="Arial" w:hAnsi="Arial"/>
                <w:sz w:val="16"/>
                <w:szCs w:val="16"/>
                <w:color w:val="0000FF"/>
              </w:rPr>
              <w:t>2.</w:t>
            </w:r>
          </w:p>
        </w:tc>
        <w:tc>
          <w:tcPr>
            <w:tcW w:w="8480" w:type="dxa"/>
            <w:vAlign w:val="bottom"/>
          </w:tcPr>
          <w:p>
            <w:pPr>
              <w:ind w:left="140"/>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Properties</w:t>
              </w:r>
            </w:hyperlink>
          </w:p>
        </w:tc>
        <w:tc>
          <w:tcPr>
            <w:tcW w:w="1200" w:type="dxa"/>
            <w:vAlign w:val="bottom"/>
          </w:tcPr>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22</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60" w:type="dxa"/>
            <w:vAlign w:val="bottom"/>
            <w:gridSpan w:val="5"/>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 xml:space="preserve">Item </w:t>
              </w:r>
            </w:hyperlink>
            <w:r>
              <w:rPr>
                <w:rFonts w:ascii="Arial" w:cs="Arial" w:eastAsia="Arial" w:hAnsi="Arial"/>
                <w:sz w:val="16"/>
                <w:szCs w:val="16"/>
                <w:color w:val="0000FF"/>
              </w:rPr>
              <w:t>3.</w:t>
            </w:r>
          </w:p>
        </w:tc>
        <w:tc>
          <w:tcPr>
            <w:tcW w:w="8480" w:type="dxa"/>
            <w:vAlign w:val="bottom"/>
          </w:tcPr>
          <w:p>
            <w:pPr>
              <w:ind w:left="140"/>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Legal Proceedings</w:t>
              </w:r>
            </w:hyperlink>
          </w:p>
        </w:tc>
        <w:tc>
          <w:tcPr>
            <w:tcW w:w="1200" w:type="dxa"/>
            <w:vAlign w:val="bottom"/>
          </w:tcPr>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22</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1"/>
        </w:trPr>
        <w:tc>
          <w:tcPr>
            <w:tcW w:w="860" w:type="dxa"/>
            <w:vAlign w:val="bottom"/>
            <w:gridSpan w:val="5"/>
          </w:tcPr>
          <w:p>
            <w:pPr>
              <w:spacing w:after="0"/>
              <w:rPr>
                <w:rFonts w:ascii="Arial" w:cs="Arial" w:eastAsia="Arial" w:hAnsi="Arial"/>
                <w:sz w:val="16"/>
                <w:szCs w:val="16"/>
                <w:color w:val="0000FF"/>
              </w:rPr>
            </w:pPr>
            <w:hyperlink w:anchor="page23">
              <w:r>
                <w:rPr>
                  <w:rFonts w:ascii="Arial" w:cs="Arial" w:eastAsia="Arial" w:hAnsi="Arial"/>
                  <w:sz w:val="16"/>
                  <w:szCs w:val="16"/>
                  <w:u w:val="single" w:color="auto"/>
                  <w:color w:val="0000FF"/>
                </w:rPr>
                <w:t>Item 4</w:t>
              </w:r>
              <w:r>
                <w:rPr>
                  <w:rFonts w:ascii="Arial" w:cs="Arial" w:eastAsia="Arial" w:hAnsi="Arial"/>
                  <w:sz w:val="16"/>
                  <w:szCs w:val="16"/>
                  <w:color w:val="0000FF"/>
                </w:rPr>
                <w:t>.</w:t>
              </w:r>
            </w:hyperlink>
          </w:p>
        </w:tc>
        <w:tc>
          <w:tcPr>
            <w:tcW w:w="8480" w:type="dxa"/>
            <w:vAlign w:val="bottom"/>
          </w:tcPr>
          <w:p>
            <w:pPr>
              <w:ind w:left="140"/>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Mine Safety Disclosures</w:t>
              </w:r>
            </w:hyperlink>
          </w:p>
        </w:tc>
        <w:tc>
          <w:tcPr>
            <w:tcW w:w="1200" w:type="dxa"/>
            <w:vAlign w:val="bottom"/>
          </w:tcPr>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22</w:t>
              </w:r>
            </w:hyperlink>
          </w:p>
        </w:tc>
      </w:tr>
      <w:tr>
        <w:trPr>
          <w:trHeight w:val="438"/>
        </w:trPr>
        <w:tc>
          <w:tcPr>
            <w:tcW w:w="680" w:type="dxa"/>
            <w:vAlign w:val="bottom"/>
            <w:tcBorders>
              <w:bottom w:val="single" w:sz="8" w:color="0000FF"/>
            </w:tcBorders>
            <w:gridSpan w:val="4"/>
          </w:tcPr>
          <w:p>
            <w:pPr>
              <w:spacing w:after="0"/>
              <w:rPr>
                <w:rFonts w:ascii="Arial" w:cs="Arial" w:eastAsia="Arial" w:hAnsi="Arial"/>
                <w:sz w:val="16"/>
                <w:szCs w:val="16"/>
                <w:b w:val="1"/>
                <w:bCs w:val="1"/>
                <w:color w:val="0000FF"/>
              </w:rPr>
            </w:pPr>
            <w:hyperlink w:anchor="page23">
              <w:r>
                <w:rPr>
                  <w:rFonts w:ascii="Arial" w:cs="Arial" w:eastAsia="Arial" w:hAnsi="Arial"/>
                  <w:sz w:val="16"/>
                  <w:szCs w:val="16"/>
                  <w:b w:val="1"/>
                  <w:bCs w:val="1"/>
                  <w:color w:val="0000FF"/>
                </w:rPr>
                <w:t xml:space="preserve">PART </w:t>
              </w:r>
            </w:hyperlink>
            <w:r>
              <w:rPr>
                <w:rFonts w:ascii="Arial" w:cs="Arial" w:eastAsia="Arial" w:hAnsi="Arial"/>
                <w:sz w:val="16"/>
                <w:szCs w:val="16"/>
                <w:b w:val="1"/>
                <w:bCs w:val="1"/>
                <w:color w:val="0000FF"/>
              </w:rPr>
              <w:t>II.</w:t>
            </w:r>
          </w:p>
        </w:tc>
        <w:tc>
          <w:tcPr>
            <w:tcW w:w="18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9"/>
        </w:trPr>
        <w:tc>
          <w:tcPr>
            <w:tcW w:w="860" w:type="dxa"/>
            <w:vAlign w:val="bottom"/>
            <w:gridSpan w:val="5"/>
          </w:tcPr>
          <w:p>
            <w:pPr>
              <w:spacing w:after="0"/>
              <w:rPr>
                <w:rFonts w:ascii="Arial" w:cs="Arial" w:eastAsia="Arial" w:hAnsi="Arial"/>
                <w:sz w:val="16"/>
                <w:szCs w:val="16"/>
                <w:color w:val="0000FF"/>
              </w:rPr>
            </w:pPr>
            <w:hyperlink w:anchor="page24">
              <w:r>
                <w:rPr>
                  <w:rFonts w:ascii="Arial" w:cs="Arial" w:eastAsia="Arial" w:hAnsi="Arial"/>
                  <w:sz w:val="16"/>
                  <w:szCs w:val="16"/>
                  <w:u w:val="single" w:color="auto"/>
                  <w:color w:val="0000FF"/>
                </w:rPr>
                <w:t>Item 5</w:t>
              </w:r>
              <w:r>
                <w:rPr>
                  <w:rFonts w:ascii="Arial" w:cs="Arial" w:eastAsia="Arial" w:hAnsi="Arial"/>
                  <w:sz w:val="16"/>
                  <w:szCs w:val="16"/>
                  <w:color w:val="0000FF"/>
                </w:rPr>
                <w:t>.</w:t>
              </w:r>
            </w:hyperlink>
          </w:p>
        </w:tc>
        <w:tc>
          <w:tcPr>
            <w:tcW w:w="8480" w:type="dxa"/>
            <w:vAlign w:val="bottom"/>
          </w:tcPr>
          <w:p>
            <w:pPr>
              <w:ind w:left="140"/>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Market for Registrant's Common Equity, Related Stockholder Matters, and Issuer Purchases of Equity Securities</w:t>
              </w:r>
            </w:hyperlink>
          </w:p>
        </w:tc>
        <w:tc>
          <w:tcPr>
            <w:tcW w:w="120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23</w:t>
              </w:r>
            </w:hyperlink>
          </w:p>
        </w:tc>
      </w:tr>
      <w:tr>
        <w:trPr>
          <w:trHeight w:val="230"/>
        </w:trPr>
        <w:tc>
          <w:tcPr>
            <w:tcW w:w="860" w:type="dxa"/>
            <w:vAlign w:val="bottom"/>
            <w:gridSpan w:val="5"/>
          </w:tcPr>
          <w:p>
            <w:pPr>
              <w:spacing w:after="0"/>
              <w:rPr>
                <w:rFonts w:ascii="Arial" w:cs="Arial" w:eastAsia="Arial" w:hAnsi="Arial"/>
                <w:sz w:val="16"/>
                <w:szCs w:val="16"/>
                <w:color w:val="0000FF"/>
              </w:rPr>
            </w:pPr>
            <w:hyperlink w:anchor="page34">
              <w:r>
                <w:rPr>
                  <w:rFonts w:ascii="Arial" w:cs="Arial" w:eastAsia="Arial" w:hAnsi="Arial"/>
                  <w:sz w:val="16"/>
                  <w:szCs w:val="16"/>
                  <w:u w:val="single" w:color="auto"/>
                  <w:color w:val="0000FF"/>
                </w:rPr>
                <w:t>Item 6</w:t>
              </w:r>
              <w:r>
                <w:rPr>
                  <w:rFonts w:ascii="Arial" w:cs="Arial" w:eastAsia="Arial" w:hAnsi="Arial"/>
                  <w:sz w:val="16"/>
                  <w:szCs w:val="16"/>
                  <w:color w:val="0000FF"/>
                </w:rPr>
                <w:t>.</w:t>
              </w:r>
            </w:hyperlink>
          </w:p>
        </w:tc>
        <w:tc>
          <w:tcPr>
            <w:tcW w:w="8480" w:type="dxa"/>
            <w:vAlign w:val="bottom"/>
          </w:tcPr>
          <w:p>
            <w:pPr>
              <w:ind w:left="140"/>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Selected Financial Data</w:t>
              </w:r>
            </w:hyperlink>
          </w:p>
        </w:tc>
        <w:tc>
          <w:tcPr>
            <w:tcW w:w="120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33</w:t>
              </w:r>
            </w:hyperlink>
          </w:p>
        </w:tc>
      </w:tr>
      <w:tr>
        <w:trPr>
          <w:trHeight w:val="175"/>
        </w:trPr>
        <w:tc>
          <w:tcPr>
            <w:tcW w:w="860" w:type="dxa"/>
            <w:vAlign w:val="bottom"/>
            <w:gridSpan w:val="5"/>
          </w:tcPr>
          <w:p>
            <w:pPr>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 xml:space="preserve">Item </w:t>
              </w:r>
            </w:hyperlink>
            <w:r>
              <w:rPr>
                <w:rFonts w:ascii="Arial" w:cs="Arial" w:eastAsia="Arial" w:hAnsi="Arial"/>
                <w:sz w:val="16"/>
                <w:szCs w:val="16"/>
                <w:color w:val="0000FF"/>
              </w:rPr>
              <w:t>7.</w:t>
            </w:r>
          </w:p>
        </w:tc>
        <w:tc>
          <w:tcPr>
            <w:tcW w:w="8480" w:type="dxa"/>
            <w:vAlign w:val="bottom"/>
          </w:tcPr>
          <w:p>
            <w:pPr>
              <w:ind w:left="140"/>
              <w:spacing w:after="0" w:line="175" w:lineRule="exact"/>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Management's Discussion and Analysis of Financial Condition and Results of Operations</w:t>
              </w:r>
            </w:hyperlink>
          </w:p>
        </w:tc>
        <w:tc>
          <w:tcPr>
            <w:tcW w:w="1200" w:type="dxa"/>
            <w:vAlign w:val="bottom"/>
          </w:tcPr>
          <w:p>
            <w:pPr>
              <w:jc w:val="right"/>
              <w:spacing w:after="0" w:line="175" w:lineRule="exact"/>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25</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60" w:type="dxa"/>
            <w:vAlign w:val="bottom"/>
            <w:gridSpan w:val="5"/>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Item 7A.</w:t>
              </w:r>
            </w:hyperlink>
          </w:p>
        </w:tc>
        <w:tc>
          <w:tcPr>
            <w:tcW w:w="8480" w:type="dxa"/>
            <w:vAlign w:val="bottom"/>
          </w:tcPr>
          <w:p>
            <w:pPr>
              <w:ind w:left="14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Quantitative and Qualitative Disclosures About Market Risk</w:t>
              </w:r>
            </w:hyperlink>
          </w:p>
        </w:tc>
        <w:tc>
          <w:tcPr>
            <w:tcW w:w="120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tc>
      </w:tr>
      <w:tr>
        <w:trPr>
          <w:trHeight w:val="196"/>
        </w:trPr>
        <w:tc>
          <w:tcPr>
            <w:tcW w:w="580" w:type="dxa"/>
            <w:vAlign w:val="bottom"/>
            <w:tcBorders>
              <w:top w:val="single" w:sz="8" w:color="0000FF"/>
            </w:tcBorders>
            <w:gridSpan w:val="3"/>
          </w:tcPr>
          <w:p>
            <w:pPr>
              <w:spacing w:after="0" w:line="183" w:lineRule="exact"/>
              <w:rPr>
                <w:rFonts w:ascii="Arial" w:cs="Arial" w:eastAsia="Arial" w:hAnsi="Arial"/>
                <w:sz w:val="16"/>
                <w:szCs w:val="16"/>
                <w:color w:val="0000FF"/>
              </w:rPr>
            </w:pPr>
            <w:hyperlink w:anchor="page49">
              <w:r>
                <w:rPr>
                  <w:rFonts w:ascii="Arial" w:cs="Arial" w:eastAsia="Arial" w:hAnsi="Arial"/>
                  <w:sz w:val="16"/>
                  <w:szCs w:val="16"/>
                  <w:color w:val="0000FF"/>
                </w:rPr>
                <w:t xml:space="preserve">Item </w:t>
              </w:r>
            </w:hyperlink>
            <w:r>
              <w:rPr>
                <w:rFonts w:ascii="Arial" w:cs="Arial" w:eastAsia="Arial" w:hAnsi="Arial"/>
                <w:sz w:val="16"/>
                <w:szCs w:val="16"/>
                <w:color w:val="0000FF"/>
              </w:rPr>
              <w:t>8.</w:t>
            </w:r>
          </w:p>
        </w:tc>
        <w:tc>
          <w:tcPr>
            <w:tcW w:w="280" w:type="dxa"/>
            <w:vAlign w:val="bottom"/>
            <w:gridSpan w:val="2"/>
          </w:tcPr>
          <w:p>
            <w:pPr>
              <w:spacing w:after="0"/>
              <w:rPr>
                <w:sz w:val="17"/>
                <w:szCs w:val="17"/>
                <w:color w:val="auto"/>
              </w:rPr>
            </w:pPr>
          </w:p>
        </w:tc>
        <w:tc>
          <w:tcPr>
            <w:tcW w:w="8480" w:type="dxa"/>
            <w:vAlign w:val="bottom"/>
          </w:tcPr>
          <w:p>
            <w:pPr>
              <w:ind w:left="140"/>
              <w:spacing w:after="0" w:line="183" w:lineRule="exact"/>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Financial Statements</w:t>
              </w:r>
            </w:hyperlink>
          </w:p>
        </w:tc>
        <w:tc>
          <w:tcPr>
            <w:tcW w:w="1200" w:type="dxa"/>
            <w:vAlign w:val="bottom"/>
          </w:tcPr>
          <w:p>
            <w:pPr>
              <w:jc w:val="right"/>
              <w:spacing w:after="0" w:line="176" w:lineRule="exact"/>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44"/>
        </w:trPr>
        <w:tc>
          <w:tcPr>
            <w:tcW w:w="860" w:type="dxa"/>
            <w:vAlign w:val="bottom"/>
            <w:gridSpan w:val="5"/>
          </w:tcPr>
          <w:p>
            <w:pPr>
              <w:spacing w:after="0"/>
              <w:rPr>
                <w:rFonts w:ascii="Arial" w:cs="Arial" w:eastAsia="Arial" w:hAnsi="Arial"/>
                <w:sz w:val="16"/>
                <w:szCs w:val="16"/>
                <w:color w:val="0000FF"/>
              </w:rPr>
            </w:pPr>
            <w:hyperlink w:anchor="page81">
              <w:r>
                <w:rPr>
                  <w:rFonts w:ascii="Arial" w:cs="Arial" w:eastAsia="Arial" w:hAnsi="Arial"/>
                  <w:sz w:val="16"/>
                  <w:szCs w:val="16"/>
                  <w:u w:val="single" w:color="auto"/>
                  <w:color w:val="0000FF"/>
                </w:rPr>
                <w:t>Item 9</w:t>
              </w:r>
              <w:r>
                <w:rPr>
                  <w:rFonts w:ascii="Arial" w:cs="Arial" w:eastAsia="Arial" w:hAnsi="Arial"/>
                  <w:sz w:val="16"/>
                  <w:szCs w:val="16"/>
                  <w:color w:val="0000FF"/>
                </w:rPr>
                <w:t>.</w:t>
              </w:r>
            </w:hyperlink>
          </w:p>
        </w:tc>
        <w:tc>
          <w:tcPr>
            <w:tcW w:w="8480" w:type="dxa"/>
            <w:vAlign w:val="bottom"/>
          </w:tcPr>
          <w:p>
            <w:pPr>
              <w:ind w:left="140"/>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Changes in and Disagreements with Accountants on Accounting and Financial Disclosure</w:t>
              </w:r>
            </w:hyperlink>
          </w:p>
        </w:tc>
        <w:tc>
          <w:tcPr>
            <w:tcW w:w="1200" w:type="dxa"/>
            <w:vAlign w:val="bottom"/>
          </w:tcPr>
          <w:p>
            <w:pPr>
              <w:jc w:val="right"/>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80</w:t>
              </w:r>
            </w:hyperlink>
          </w:p>
        </w:tc>
      </w:tr>
      <w:tr>
        <w:trPr>
          <w:trHeight w:val="181"/>
        </w:trPr>
        <w:tc>
          <w:tcPr>
            <w:tcW w:w="860" w:type="dxa"/>
            <w:vAlign w:val="bottom"/>
            <w:gridSpan w:val="5"/>
          </w:tcPr>
          <w:p>
            <w:pPr>
              <w:spacing w:after="0" w:line="181" w:lineRule="exact"/>
              <w:rPr>
                <w:rFonts w:ascii="Arial" w:cs="Arial" w:eastAsia="Arial" w:hAnsi="Arial"/>
                <w:sz w:val="16"/>
                <w:szCs w:val="16"/>
                <w:color w:val="0000FF"/>
              </w:rPr>
            </w:pPr>
            <w:hyperlink w:anchor="page82">
              <w:r>
                <w:rPr>
                  <w:rFonts w:ascii="Arial" w:cs="Arial" w:eastAsia="Arial" w:hAnsi="Arial"/>
                  <w:sz w:val="16"/>
                  <w:szCs w:val="16"/>
                  <w:color w:val="0000FF"/>
                </w:rPr>
                <w:t>Item 9A.</w:t>
              </w:r>
            </w:hyperlink>
          </w:p>
        </w:tc>
        <w:tc>
          <w:tcPr>
            <w:tcW w:w="8480" w:type="dxa"/>
            <w:vAlign w:val="bottom"/>
          </w:tcPr>
          <w:p>
            <w:pPr>
              <w:ind w:left="140"/>
              <w:spacing w:after="0" w:line="181" w:lineRule="exact"/>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Controls and Procedures</w:t>
              </w:r>
            </w:hyperlink>
          </w:p>
        </w:tc>
        <w:tc>
          <w:tcPr>
            <w:tcW w:w="1200" w:type="dxa"/>
            <w:vAlign w:val="bottom"/>
          </w:tcPr>
          <w:p>
            <w:pPr>
              <w:jc w:val="right"/>
              <w:spacing w:after="0" w:line="181" w:lineRule="exact"/>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81</w:t>
              </w:r>
            </w:hyperlink>
          </w:p>
        </w:tc>
      </w:tr>
      <w:tr>
        <w:trPr>
          <w:trHeight w:val="231"/>
        </w:trPr>
        <w:tc>
          <w:tcPr>
            <w:tcW w:w="580" w:type="dxa"/>
            <w:vAlign w:val="bottom"/>
            <w:tcBorders>
              <w:top w:val="single" w:sz="8" w:color="0000FF"/>
            </w:tcBorders>
            <w:gridSpan w:val="3"/>
          </w:tcPr>
          <w:p>
            <w:pPr>
              <w:spacing w:after="0"/>
              <w:rPr>
                <w:rFonts w:ascii="Arial" w:cs="Arial" w:eastAsia="Arial" w:hAnsi="Arial"/>
                <w:sz w:val="16"/>
                <w:szCs w:val="16"/>
                <w:color w:val="0000FF"/>
                <w:w w:val="93"/>
              </w:rPr>
            </w:pPr>
            <w:hyperlink w:anchor="page82">
              <w:r>
                <w:rPr>
                  <w:rFonts w:ascii="Arial" w:cs="Arial" w:eastAsia="Arial" w:hAnsi="Arial"/>
                  <w:sz w:val="16"/>
                  <w:szCs w:val="16"/>
                  <w:u w:val="single" w:color="auto"/>
                  <w:color w:val="0000FF"/>
                  <w:w w:val="93"/>
                </w:rPr>
                <w:t>Item 9B</w:t>
              </w:r>
              <w:r>
                <w:rPr>
                  <w:rFonts w:ascii="Arial" w:cs="Arial" w:eastAsia="Arial" w:hAnsi="Arial"/>
                  <w:sz w:val="16"/>
                  <w:szCs w:val="16"/>
                  <w:color w:val="0000FF"/>
                  <w:w w:val="93"/>
                </w:rPr>
                <w:t>.</w:t>
              </w:r>
            </w:hyperlink>
          </w:p>
        </w:tc>
        <w:tc>
          <w:tcPr>
            <w:tcW w:w="280" w:type="dxa"/>
            <w:vAlign w:val="bottom"/>
            <w:gridSpan w:val="2"/>
          </w:tcPr>
          <w:p>
            <w:pPr>
              <w:spacing w:after="0"/>
              <w:rPr>
                <w:sz w:val="20"/>
                <w:szCs w:val="20"/>
                <w:color w:val="auto"/>
              </w:rPr>
            </w:pPr>
          </w:p>
        </w:tc>
        <w:tc>
          <w:tcPr>
            <w:tcW w:w="8480" w:type="dxa"/>
            <w:vAlign w:val="bottom"/>
          </w:tcPr>
          <w:p>
            <w:pPr>
              <w:ind w:left="140"/>
              <w:spacing w:after="0"/>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Other Information</w:t>
              </w:r>
            </w:hyperlink>
          </w:p>
        </w:tc>
        <w:tc>
          <w:tcPr>
            <w:tcW w:w="1200" w:type="dxa"/>
            <w:vAlign w:val="bottom"/>
          </w:tcPr>
          <w:p>
            <w:pPr>
              <w:jc w:val="right"/>
              <w:spacing w:after="0"/>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81</w:t>
              </w:r>
            </w:hyperlink>
          </w:p>
        </w:tc>
      </w:tr>
      <w:tr>
        <w:trPr>
          <w:trHeight w:val="473"/>
        </w:trPr>
        <w:tc>
          <w:tcPr>
            <w:tcW w:w="860" w:type="dxa"/>
            <w:vAlign w:val="bottom"/>
            <w:gridSpan w:val="5"/>
          </w:tcPr>
          <w:p>
            <w:pPr>
              <w:spacing w:after="0"/>
              <w:rPr>
                <w:rFonts w:ascii="Arial" w:cs="Arial" w:eastAsia="Arial" w:hAnsi="Arial"/>
                <w:sz w:val="16"/>
                <w:szCs w:val="16"/>
                <w:b w:val="1"/>
                <w:bCs w:val="1"/>
                <w:u w:val="single" w:color="auto"/>
                <w:color w:val="0000FF"/>
              </w:rPr>
            </w:pPr>
            <w:hyperlink w:anchor="page82">
              <w:r>
                <w:rPr>
                  <w:rFonts w:ascii="Arial" w:cs="Arial" w:eastAsia="Arial" w:hAnsi="Arial"/>
                  <w:sz w:val="16"/>
                  <w:szCs w:val="16"/>
                  <w:b w:val="1"/>
                  <w:bCs w:val="1"/>
                  <w:u w:val="single" w:color="auto"/>
                  <w:color w:val="0000FF"/>
                </w:rPr>
                <w:t>PART III.</w:t>
              </w:r>
            </w:hyperlink>
          </w:p>
        </w:tc>
        <w:tc>
          <w:tcPr>
            <w:tcW w:w="8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860" w:type="dxa"/>
            <w:vAlign w:val="bottom"/>
            <w:gridSpan w:val="5"/>
          </w:tcPr>
          <w:p>
            <w:pPr>
              <w:spacing w:after="0"/>
              <w:rPr>
                <w:rFonts w:ascii="Arial" w:cs="Arial" w:eastAsia="Arial" w:hAnsi="Arial"/>
                <w:sz w:val="16"/>
                <w:szCs w:val="16"/>
                <w:color w:val="0000FF"/>
              </w:rPr>
            </w:pPr>
            <w:hyperlink w:anchor="page83">
              <w:r>
                <w:rPr>
                  <w:rFonts w:ascii="Arial" w:cs="Arial" w:eastAsia="Arial" w:hAnsi="Arial"/>
                  <w:sz w:val="16"/>
                  <w:szCs w:val="16"/>
                  <w:u w:val="single" w:color="auto"/>
                  <w:color w:val="0000FF"/>
                </w:rPr>
                <w:t>Item 10</w:t>
              </w:r>
              <w:r>
                <w:rPr>
                  <w:rFonts w:ascii="Arial" w:cs="Arial" w:eastAsia="Arial" w:hAnsi="Arial"/>
                  <w:sz w:val="16"/>
                  <w:szCs w:val="16"/>
                  <w:color w:val="0000FF"/>
                </w:rPr>
                <w:t>.</w:t>
              </w:r>
            </w:hyperlink>
          </w:p>
        </w:tc>
        <w:tc>
          <w:tcPr>
            <w:tcW w:w="8480" w:type="dxa"/>
            <w:vAlign w:val="bottom"/>
          </w:tcPr>
          <w:p>
            <w:pPr>
              <w:ind w:left="14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Directors, Executive Officers and Corporate Governance</w:t>
              </w:r>
            </w:hyperlink>
          </w:p>
        </w:tc>
        <w:tc>
          <w:tcPr>
            <w:tcW w:w="1200" w:type="dxa"/>
            <w:vAlign w:val="bottom"/>
          </w:tcPr>
          <w:p>
            <w:pPr>
              <w:jc w:val="right"/>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82</w:t>
              </w:r>
            </w:hyperlink>
          </w:p>
        </w:tc>
      </w:tr>
      <w:tr>
        <w:trPr>
          <w:trHeight w:val="216"/>
        </w:trPr>
        <w:tc>
          <w:tcPr>
            <w:tcW w:w="860" w:type="dxa"/>
            <w:vAlign w:val="bottom"/>
            <w:gridSpan w:val="5"/>
          </w:tcPr>
          <w:p>
            <w:pPr>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Item 11.</w:t>
              </w:r>
            </w:hyperlink>
          </w:p>
        </w:tc>
        <w:tc>
          <w:tcPr>
            <w:tcW w:w="8480" w:type="dxa"/>
            <w:vAlign w:val="bottom"/>
          </w:tcPr>
          <w:p>
            <w:pPr>
              <w:ind w:left="14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Executive Compensation</w:t>
              </w:r>
            </w:hyperlink>
          </w:p>
        </w:tc>
        <w:tc>
          <w:tcPr>
            <w:tcW w:w="1200" w:type="dxa"/>
            <w:vAlign w:val="bottom"/>
          </w:tcPr>
          <w:p>
            <w:pPr>
              <w:jc w:val="right"/>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82</w:t>
              </w:r>
            </w:hyperlink>
          </w:p>
        </w:tc>
      </w:tr>
      <w:tr>
        <w:trPr>
          <w:trHeight w:val="216"/>
        </w:trPr>
        <w:tc>
          <w:tcPr>
            <w:tcW w:w="860" w:type="dxa"/>
            <w:vAlign w:val="bottom"/>
            <w:gridSpan w:val="5"/>
          </w:tcPr>
          <w:p>
            <w:pPr>
              <w:spacing w:after="0"/>
              <w:rPr>
                <w:rFonts w:ascii="Arial" w:cs="Arial" w:eastAsia="Arial" w:hAnsi="Arial"/>
                <w:sz w:val="16"/>
                <w:szCs w:val="16"/>
                <w:color w:val="0000FF"/>
              </w:rPr>
            </w:pPr>
            <w:hyperlink w:anchor="page83">
              <w:r>
                <w:rPr>
                  <w:rFonts w:ascii="Arial" w:cs="Arial" w:eastAsia="Arial" w:hAnsi="Arial"/>
                  <w:sz w:val="16"/>
                  <w:szCs w:val="16"/>
                  <w:u w:val="single" w:color="auto"/>
                  <w:color w:val="0000FF"/>
                </w:rPr>
                <w:t>Item 12</w:t>
              </w:r>
              <w:r>
                <w:rPr>
                  <w:rFonts w:ascii="Arial" w:cs="Arial" w:eastAsia="Arial" w:hAnsi="Arial"/>
                  <w:sz w:val="16"/>
                  <w:szCs w:val="16"/>
                  <w:color w:val="0000FF"/>
                </w:rPr>
                <w:t>.</w:t>
              </w:r>
            </w:hyperlink>
          </w:p>
        </w:tc>
        <w:tc>
          <w:tcPr>
            <w:tcW w:w="8480" w:type="dxa"/>
            <w:vAlign w:val="bottom"/>
          </w:tcPr>
          <w:p>
            <w:pPr>
              <w:ind w:left="14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Security Ownership of Certain Beneficial Owners and Management and Related Stockholder Matters</w:t>
              </w:r>
            </w:hyperlink>
          </w:p>
        </w:tc>
        <w:tc>
          <w:tcPr>
            <w:tcW w:w="1200" w:type="dxa"/>
            <w:vAlign w:val="bottom"/>
          </w:tcPr>
          <w:p>
            <w:pPr>
              <w:jc w:val="right"/>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82</w:t>
              </w:r>
            </w:hyperlink>
          </w:p>
        </w:tc>
      </w:tr>
      <w:tr>
        <w:trPr>
          <w:trHeight w:val="216"/>
        </w:trPr>
        <w:tc>
          <w:tcPr>
            <w:tcW w:w="860" w:type="dxa"/>
            <w:vAlign w:val="bottom"/>
            <w:gridSpan w:val="5"/>
          </w:tcPr>
          <w:p>
            <w:pPr>
              <w:spacing w:after="0"/>
              <w:rPr>
                <w:rFonts w:ascii="Arial" w:cs="Arial" w:eastAsia="Arial" w:hAnsi="Arial"/>
                <w:sz w:val="16"/>
                <w:szCs w:val="16"/>
                <w:color w:val="0000FF"/>
              </w:rPr>
            </w:pPr>
            <w:hyperlink w:anchor="page83">
              <w:r>
                <w:rPr>
                  <w:rFonts w:ascii="Arial" w:cs="Arial" w:eastAsia="Arial" w:hAnsi="Arial"/>
                  <w:sz w:val="16"/>
                  <w:szCs w:val="16"/>
                  <w:u w:val="single" w:color="auto"/>
                  <w:color w:val="0000FF"/>
                </w:rPr>
                <w:t>Item 13</w:t>
              </w:r>
              <w:r>
                <w:rPr>
                  <w:rFonts w:ascii="Arial" w:cs="Arial" w:eastAsia="Arial" w:hAnsi="Arial"/>
                  <w:sz w:val="16"/>
                  <w:szCs w:val="16"/>
                  <w:color w:val="0000FF"/>
                </w:rPr>
                <w:t>.</w:t>
              </w:r>
            </w:hyperlink>
          </w:p>
        </w:tc>
        <w:tc>
          <w:tcPr>
            <w:tcW w:w="8480" w:type="dxa"/>
            <w:vAlign w:val="bottom"/>
          </w:tcPr>
          <w:p>
            <w:pPr>
              <w:ind w:left="14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Certain Relationships and Related Transactions, and Director Independence</w:t>
              </w:r>
            </w:hyperlink>
          </w:p>
        </w:tc>
        <w:tc>
          <w:tcPr>
            <w:tcW w:w="1200" w:type="dxa"/>
            <w:vAlign w:val="bottom"/>
          </w:tcPr>
          <w:p>
            <w:pPr>
              <w:jc w:val="right"/>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82</w:t>
              </w:r>
            </w:hyperlink>
          </w:p>
        </w:tc>
      </w:tr>
      <w:tr>
        <w:trPr>
          <w:trHeight w:val="216"/>
        </w:trPr>
        <w:tc>
          <w:tcPr>
            <w:tcW w:w="860" w:type="dxa"/>
            <w:vAlign w:val="bottom"/>
            <w:gridSpan w:val="5"/>
          </w:tcPr>
          <w:p>
            <w:pPr>
              <w:spacing w:after="0"/>
              <w:rPr>
                <w:rFonts w:ascii="Arial" w:cs="Arial" w:eastAsia="Arial" w:hAnsi="Arial"/>
                <w:sz w:val="16"/>
                <w:szCs w:val="16"/>
                <w:color w:val="0000FF"/>
              </w:rPr>
            </w:pPr>
            <w:hyperlink w:anchor="page83">
              <w:r>
                <w:rPr>
                  <w:rFonts w:ascii="Arial" w:cs="Arial" w:eastAsia="Arial" w:hAnsi="Arial"/>
                  <w:sz w:val="16"/>
                  <w:szCs w:val="16"/>
                  <w:u w:val="single" w:color="auto"/>
                  <w:color w:val="0000FF"/>
                </w:rPr>
                <w:t>Item 14</w:t>
              </w:r>
              <w:r>
                <w:rPr>
                  <w:rFonts w:ascii="Arial" w:cs="Arial" w:eastAsia="Arial" w:hAnsi="Arial"/>
                  <w:sz w:val="16"/>
                  <w:szCs w:val="16"/>
                  <w:color w:val="0000FF"/>
                </w:rPr>
                <w:t>.</w:t>
              </w:r>
            </w:hyperlink>
          </w:p>
        </w:tc>
        <w:tc>
          <w:tcPr>
            <w:tcW w:w="8480" w:type="dxa"/>
            <w:vAlign w:val="bottom"/>
          </w:tcPr>
          <w:p>
            <w:pPr>
              <w:ind w:left="14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Principal Accounting Fees and Services</w:t>
              </w:r>
            </w:hyperlink>
          </w:p>
        </w:tc>
        <w:tc>
          <w:tcPr>
            <w:tcW w:w="1200" w:type="dxa"/>
            <w:vAlign w:val="bottom"/>
          </w:tcPr>
          <w:p>
            <w:pPr>
              <w:jc w:val="right"/>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82</w:t>
              </w:r>
            </w:hyperlink>
          </w:p>
        </w:tc>
      </w:tr>
      <w:tr>
        <w:trPr>
          <w:trHeight w:val="486"/>
        </w:trPr>
        <w:tc>
          <w:tcPr>
            <w:tcW w:w="860" w:type="dxa"/>
            <w:vAlign w:val="bottom"/>
            <w:gridSpan w:val="5"/>
          </w:tcPr>
          <w:p>
            <w:pPr>
              <w:spacing w:after="0"/>
              <w:rPr>
                <w:rFonts w:ascii="Arial" w:cs="Arial" w:eastAsia="Arial" w:hAnsi="Arial"/>
                <w:sz w:val="16"/>
                <w:szCs w:val="16"/>
                <w:b w:val="1"/>
                <w:bCs w:val="1"/>
                <w:color w:val="0000FF"/>
              </w:rPr>
            </w:pPr>
            <w:hyperlink w:anchor="page83">
              <w:r>
                <w:rPr>
                  <w:rFonts w:ascii="Arial" w:cs="Arial" w:eastAsia="Arial" w:hAnsi="Arial"/>
                  <w:sz w:val="16"/>
                  <w:szCs w:val="16"/>
                  <w:b w:val="1"/>
                  <w:bCs w:val="1"/>
                  <w:u w:val="single" w:color="auto"/>
                  <w:color w:val="0000FF"/>
                </w:rPr>
                <w:t>PART IV</w:t>
              </w:r>
              <w:r>
                <w:rPr>
                  <w:rFonts w:ascii="Arial" w:cs="Arial" w:eastAsia="Arial" w:hAnsi="Arial"/>
                  <w:sz w:val="16"/>
                  <w:szCs w:val="16"/>
                  <w:b w:val="1"/>
                  <w:bCs w:val="1"/>
                  <w:color w:val="0000FF"/>
                </w:rPr>
                <w:t>.</w:t>
              </w:r>
            </w:hyperlink>
          </w:p>
        </w:tc>
        <w:tc>
          <w:tcPr>
            <w:tcW w:w="8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2"/>
        </w:trPr>
        <w:tc>
          <w:tcPr>
            <w:tcW w:w="860" w:type="dxa"/>
            <w:vAlign w:val="bottom"/>
            <w:gridSpan w:val="5"/>
          </w:tcPr>
          <w:p>
            <w:pPr>
              <w:spacing w:after="0" w:line="181" w:lineRule="exact"/>
              <w:rPr>
                <w:rFonts w:ascii="Arial" w:cs="Arial" w:eastAsia="Arial" w:hAnsi="Arial"/>
                <w:sz w:val="16"/>
                <w:szCs w:val="16"/>
                <w:color w:val="0000FF"/>
              </w:rPr>
            </w:pPr>
            <w:hyperlink w:anchor="page84">
              <w:r>
                <w:rPr>
                  <w:rFonts w:ascii="Arial" w:cs="Arial" w:eastAsia="Arial" w:hAnsi="Arial"/>
                  <w:sz w:val="16"/>
                  <w:szCs w:val="16"/>
                  <w:color w:val="0000FF"/>
                </w:rPr>
                <w:t>Item 15.</w:t>
              </w:r>
            </w:hyperlink>
          </w:p>
        </w:tc>
        <w:tc>
          <w:tcPr>
            <w:tcW w:w="8480" w:type="dxa"/>
            <w:vAlign w:val="bottom"/>
          </w:tcPr>
          <w:p>
            <w:pPr>
              <w:ind w:left="140"/>
              <w:spacing w:after="0" w:line="181" w:lineRule="exact"/>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Exhibits</w:t>
              </w:r>
            </w:hyperlink>
          </w:p>
        </w:tc>
        <w:tc>
          <w:tcPr>
            <w:tcW w:w="1200" w:type="dxa"/>
            <w:vAlign w:val="bottom"/>
          </w:tcPr>
          <w:p>
            <w:pPr>
              <w:jc w:val="right"/>
              <w:spacing w:after="0" w:line="181" w:lineRule="exact"/>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83</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60" w:type="dxa"/>
            <w:vAlign w:val="bottom"/>
            <w:gridSpan w:val="5"/>
          </w:tcPr>
          <w:p>
            <w:pPr>
              <w:spacing w:after="0"/>
              <w:rPr>
                <w:sz w:val="20"/>
                <w:szCs w:val="20"/>
                <w:color w:val="auto"/>
              </w:rPr>
            </w:pPr>
            <w:r>
              <w:rPr>
                <w:rFonts w:ascii="Arial" w:cs="Arial" w:eastAsia="Arial" w:hAnsi="Arial"/>
                <w:sz w:val="16"/>
                <w:szCs w:val="16"/>
                <w:color w:val="0000FF"/>
              </w:rPr>
              <w:t>Signatures</w:t>
            </w:r>
          </w:p>
        </w:tc>
        <w:tc>
          <w:tcPr>
            <w:tcW w:w="8480" w:type="dxa"/>
            <w:vAlign w:val="bottom"/>
          </w:tcPr>
          <w:p>
            <w:pPr>
              <w:spacing w:after="0"/>
              <w:rPr>
                <w:sz w:val="17"/>
                <w:szCs w:val="17"/>
                <w:color w:val="auto"/>
              </w:rPr>
            </w:pPr>
          </w:p>
        </w:tc>
        <w:tc>
          <w:tcPr>
            <w:tcW w:w="1200" w:type="dxa"/>
            <w:vAlign w:val="bottom"/>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88</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40" w:top="891" w:right="10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AGNC Investment Corp. ("AGNC," the "Company," "we," "us" and "our") was organized on January 7, 2008 and commenced operations on May 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following the completion of our initial public offering. Our common stock is traded on The Nasdaq Global Select Market under the symbol "AGNC."</w:t>
      </w:r>
    </w:p>
    <w:p>
      <w:pPr>
        <w:spacing w:after="0" w:line="18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assets related to the housing, mortgage or real estate markets that are not guaranteed by a GSE or U.S. Government agency.</w:t>
      </w:r>
    </w:p>
    <w:p>
      <w:pPr>
        <w:spacing w:after="0" w:line="14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an internally managed REIT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strategy is intended to:</w:t>
      </w:r>
    </w:p>
    <w:p>
      <w:pPr>
        <w:spacing w:after="0" w:line="117" w:lineRule="exact"/>
        <w:rPr>
          <w:sz w:val="20"/>
          <w:szCs w:val="20"/>
          <w:color w:val="auto"/>
        </w:rPr>
      </w:pPr>
    </w:p>
    <w:p>
      <w:pPr>
        <w:ind w:left="780" w:hanging="286"/>
        <w:spacing w:after="0"/>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generate attractive risk-adjusted returns for our stockholders through monthly dividend distributions and tangible net book value accretion;</w:t>
      </w:r>
    </w:p>
    <w:p>
      <w:pPr>
        <w:spacing w:after="0" w:line="74" w:lineRule="exact"/>
        <w:rPr>
          <w:rFonts w:ascii="Arial" w:cs="Arial" w:eastAsia="Arial" w:hAnsi="Arial"/>
          <w:sz w:val="17"/>
          <w:szCs w:val="17"/>
          <w:color w:val="auto"/>
        </w:rPr>
      </w:pPr>
    </w:p>
    <w:p>
      <w:pPr>
        <w:ind w:left="780" w:hanging="28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w:t>
      </w:r>
    </w:p>
    <w:p>
      <w:pPr>
        <w:spacing w:after="0" w:line="63" w:lineRule="exact"/>
        <w:rPr>
          <w:rFonts w:ascii="Arial" w:cs="Arial" w:eastAsia="Arial" w:hAnsi="Arial"/>
          <w:sz w:val="18"/>
          <w:szCs w:val="18"/>
          <w:color w:val="auto"/>
        </w:rPr>
      </w:pPr>
    </w:p>
    <w:p>
      <w:pPr>
        <w:ind w:left="780" w:right="20" w:hanging="286"/>
        <w:spacing w:after="0" w:line="277" w:lineRule="auto"/>
        <w:tabs>
          <w:tab w:leader="none" w:pos="77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 a subset of the portfolio in credit-oriented and other assets related to the housing, mortgage or real estate markets that are not guaranteed by a GSE or U.S. Government agency;</w:t>
      </w:r>
    </w:p>
    <w:p>
      <w:pPr>
        <w:spacing w:after="0" w:line="8" w:lineRule="exact"/>
        <w:rPr>
          <w:rFonts w:ascii="Arial" w:cs="Arial" w:eastAsia="Arial" w:hAnsi="Arial"/>
          <w:sz w:val="18"/>
          <w:szCs w:val="18"/>
          <w:color w:val="auto"/>
        </w:rPr>
      </w:pPr>
    </w:p>
    <w:p>
      <w:pPr>
        <w:ind w:left="780" w:hanging="28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and non-Agency securities market;</w:t>
      </w:r>
    </w:p>
    <w:p>
      <w:pPr>
        <w:spacing w:after="0" w:line="63" w:lineRule="exact"/>
        <w:rPr>
          <w:rFonts w:ascii="Arial" w:cs="Arial" w:eastAsia="Arial" w:hAnsi="Arial"/>
          <w:sz w:val="18"/>
          <w:szCs w:val="18"/>
          <w:color w:val="auto"/>
        </w:rPr>
      </w:pPr>
    </w:p>
    <w:p>
      <w:pPr>
        <w:ind w:left="780" w:hanging="28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financing, interest rate, prepayment, extension and credit risks;</w:t>
      </w:r>
    </w:p>
    <w:p>
      <w:pPr>
        <w:spacing w:after="0" w:line="63" w:lineRule="exact"/>
        <w:rPr>
          <w:rFonts w:ascii="Arial" w:cs="Arial" w:eastAsia="Arial" w:hAnsi="Arial"/>
          <w:sz w:val="18"/>
          <w:szCs w:val="18"/>
          <w:color w:val="auto"/>
        </w:rPr>
      </w:pPr>
    </w:p>
    <w:p>
      <w:pPr>
        <w:ind w:left="780" w:hanging="28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63" w:lineRule="exact"/>
        <w:rPr>
          <w:rFonts w:ascii="Arial" w:cs="Arial" w:eastAsia="Arial" w:hAnsi="Arial"/>
          <w:sz w:val="18"/>
          <w:szCs w:val="18"/>
          <w:color w:val="auto"/>
        </w:rPr>
      </w:pPr>
    </w:p>
    <w:p>
      <w:pPr>
        <w:ind w:left="780" w:hanging="28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(the "Investment Company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Targeted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Securities</w:t>
      </w:r>
    </w:p>
    <w:p>
      <w:pPr>
        <w:spacing w:after="0" w:line="167" w:lineRule="exact"/>
        <w:rPr>
          <w:sz w:val="20"/>
          <w:szCs w:val="20"/>
          <w:color w:val="auto"/>
        </w:rPr>
      </w:pPr>
    </w:p>
    <w:p>
      <w:pPr>
        <w:jc w:val="both"/>
        <w:ind w:left="780" w:hanging="327"/>
        <w:spacing w:after="0" w:line="291" w:lineRule="auto"/>
        <w:tabs>
          <w:tab w:leader="none" w:pos="775"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Agency Residential Mortgage-Backed Securities. </w:t>
      </w:r>
      <w:r>
        <w:rPr>
          <w:rFonts w:ascii="Arial" w:cs="Arial" w:eastAsia="Arial" w:hAnsi="Arial"/>
          <w:sz w:val="16"/>
          <w:szCs w:val="16"/>
          <w:color w:val="auto"/>
        </w:rPr>
        <w:t>Our primary investments consist of Agency pass-through certificates representing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in "pools" of mortgage loans secured by residential real property. Monthly payments of principal and interest made by the individual borrowers on the mortgage loans underlying the pools are in effect "passed through" to the security holders, after deducting GSE or U.S. Government agency guarantee and servicer fees. In general, mortgage pass-through certificates distribute cash flows from the underlying collateral on a pro rata basis among the security holders. Security holders also receive guarantor advances of principal and interest for delinquent loans in the mortgage pools. We also invest in Agency collateralized mortgage obligations ("CMOs"), which are structured instruments representing interests in Agency residential pass-through certificates, and interest-only, inverse interest-only and principal-only securities, which represent the right to receive a specified proportion of the contractual interest or principal flows of specific Agency CMO securities.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ind w:left="780" w:hanging="327"/>
        <w:spacing w:after="0" w:line="266" w:lineRule="auto"/>
        <w:tabs>
          <w:tab w:leader="none" w:pos="7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To-Be-Announced Forward Contracts ("TBAs"). </w:t>
      </w:r>
      <w:r>
        <w:rPr>
          <w:rFonts w:ascii="Arial" w:cs="Arial" w:eastAsia="Arial" w:hAnsi="Arial"/>
          <w:sz w:val="18"/>
          <w:szCs w:val="18"/>
          <w:color w:val="auto"/>
        </w:rPr>
        <w:t>TBAs are forward contracts to purchase or sell Agency RMBS. TBA contracts specify the</w:t>
      </w:r>
      <w:r>
        <w:rPr>
          <w:rFonts w:ascii="Arial" w:cs="Arial" w:eastAsia="Arial" w:hAnsi="Arial"/>
          <w:sz w:val="18"/>
          <w:szCs w:val="18"/>
          <w:b w:val="1"/>
          <w:bCs w:val="1"/>
          <w:color w:val="auto"/>
        </w:rPr>
        <w:t xml:space="preserve"> </w:t>
      </w:r>
      <w:r>
        <w:rPr>
          <w:rFonts w:ascii="Arial" w:cs="Arial" w:eastAsia="Arial" w:hAnsi="Arial"/>
          <w:sz w:val="18"/>
          <w:szCs w:val="18"/>
          <w:color w:val="auto"/>
        </w:rPr>
        <w:t>coupon rate, issuer, term and face value of the bonds to be delivered, with the actual bonds to be delivered only identified shortly before the TBA settlement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Non-Agency Securities</w:t>
      </w:r>
    </w:p>
    <w:p>
      <w:pPr>
        <w:spacing w:after="0" w:line="167" w:lineRule="exact"/>
        <w:rPr>
          <w:sz w:val="20"/>
          <w:szCs w:val="20"/>
          <w:color w:val="auto"/>
        </w:rPr>
      </w:pPr>
    </w:p>
    <w:p>
      <w:pPr>
        <w:jc w:val="both"/>
        <w:ind w:left="780" w:hanging="286"/>
        <w:spacing w:after="0" w:line="286" w:lineRule="auto"/>
        <w:tabs>
          <w:tab w:leader="none" w:pos="77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Credit Risk Transfer ("CRT") Securities. </w:t>
      </w:r>
      <w:r>
        <w:rPr>
          <w:rFonts w:ascii="Arial" w:cs="Arial" w:eastAsia="Arial" w:hAnsi="Arial"/>
          <w:sz w:val="16"/>
          <w:szCs w:val="16"/>
          <w:color w:val="auto"/>
        </w:rPr>
        <w:t>CRT securities are risk sharing instruments that transfer a portion of the risk associated with credit</w:t>
      </w:r>
      <w:r>
        <w:rPr>
          <w:rFonts w:ascii="Arial" w:cs="Arial" w:eastAsia="Arial" w:hAnsi="Arial"/>
          <w:sz w:val="16"/>
          <w:szCs w:val="16"/>
          <w:b w:val="1"/>
          <w:bCs w:val="1"/>
          <w:color w:val="auto"/>
        </w:rPr>
        <w:t xml:space="preserve"> </w:t>
      </w:r>
      <w:r>
        <w:rPr>
          <w:rFonts w:ascii="Arial" w:cs="Arial" w:eastAsia="Arial" w:hAnsi="Arial"/>
          <w:sz w:val="16"/>
          <w:szCs w:val="16"/>
          <w:color w:val="auto"/>
        </w:rPr>
        <w:t>losses within pools of conventional residential mortgage loans from the GSEs and/or third- parties to private investors. Full repayment of the original principal balance of CRT securities is not guaranteed by the GSE or other third-party; rather, "credit risk transfer" is achieved by writing down the outstanding principal balance of the CRT security if credit losses on the related pool of loans exceed certain thresholds. The reduced amount that issuers are obligated to repay to the security holders offsets the issuer's credit losses on the related pool of loans.</w:t>
      </w:r>
    </w:p>
    <w:p>
      <w:pPr>
        <w:spacing w:after="0" w:line="2" w:lineRule="exact"/>
        <w:rPr>
          <w:rFonts w:ascii="Arial" w:cs="Arial" w:eastAsia="Arial" w:hAnsi="Arial"/>
          <w:sz w:val="16"/>
          <w:szCs w:val="16"/>
          <w:color w:val="auto"/>
        </w:rPr>
      </w:pPr>
    </w:p>
    <w:p>
      <w:pPr>
        <w:jc w:val="both"/>
        <w:ind w:left="780" w:hanging="286"/>
        <w:spacing w:after="0" w:line="251" w:lineRule="auto"/>
        <w:tabs>
          <w:tab w:leader="none" w:pos="748"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Non-Agency Residential Mortgage-Backed Securities ("Non-Agency RMBS"). </w:t>
      </w:r>
      <w:r>
        <w:rPr>
          <w:rFonts w:ascii="Arial" w:cs="Arial" w:eastAsia="Arial" w:hAnsi="Arial"/>
          <w:sz w:val="17"/>
          <w:szCs w:val="17"/>
          <w:color w:val="auto"/>
        </w:rPr>
        <w:t>Non-Agency RMBS are securities backed by pools of</w:t>
      </w:r>
      <w:r>
        <w:rPr>
          <w:rFonts w:ascii="Arial" w:cs="Arial" w:eastAsia="Arial" w:hAnsi="Arial"/>
          <w:sz w:val="17"/>
          <w:szCs w:val="17"/>
          <w:b w:val="1"/>
          <w:bCs w:val="1"/>
          <w:color w:val="auto"/>
        </w:rPr>
        <w:t xml:space="preserve"> </w:t>
      </w:r>
      <w:r>
        <w:rPr>
          <w:rFonts w:ascii="Arial" w:cs="Arial" w:eastAsia="Arial" w:hAnsi="Arial"/>
          <w:sz w:val="17"/>
          <w:szCs w:val="17"/>
          <w:color w:val="auto"/>
        </w:rPr>
        <w:t>residential mortgages, for which payment of principal and interest is not guaranteed by a GSE or U.S. Government agency. Instead, a private institution such as a commercial bank will package residential mortgage loans and securitize them through the issuance of RMBS. Non-Agency RMBS may benefit from credit enhancement derived from structural elements, such as subordination, overcollateralization or insurance. We may purchase investment grade instruments that benefit from credit enhancement and non-investment grade instruments that are structured to absorb more credit risk. We focus primarily on non-Agency securities where the underlying mortgages are secured by residential properties within the United States. Residential non-Agency securities are backed by residential mortgages that can be comprised of prime, non-prime, qualified and non-qualified mortgage loans. We may also purchase Agency and non-Agency multifamily securities where the collateral backing the securitization consists of loans for multi-unit housing properties.</w:t>
      </w:r>
    </w:p>
    <w:p>
      <w:pPr>
        <w:spacing w:after="0" w:line="126" w:lineRule="exact"/>
        <w:rPr>
          <w:rFonts w:ascii="Arial" w:cs="Arial" w:eastAsia="Arial" w:hAnsi="Arial"/>
          <w:sz w:val="17"/>
          <w:szCs w:val="17"/>
          <w:color w:val="auto"/>
        </w:rPr>
      </w:pPr>
    </w:p>
    <w:p>
      <w:pPr>
        <w:jc w:val="both"/>
        <w:ind w:left="780" w:hanging="286"/>
        <w:spacing w:after="0" w:line="298" w:lineRule="auto"/>
        <w:tabs>
          <w:tab w:leader="none" w:pos="77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Commercial Mortgage-Backed Securities ("CMBS"). </w:t>
      </w:r>
      <w:r>
        <w:rPr>
          <w:rFonts w:ascii="Arial" w:cs="Arial" w:eastAsia="Arial" w:hAnsi="Arial"/>
          <w:sz w:val="16"/>
          <w:szCs w:val="16"/>
          <w:color w:val="auto"/>
        </w:rPr>
        <w:t>CMBS are securities backed by pools of commercial mortgage loans. CMBS can be</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structured as pass-through securities, where the cash flows generated by the collateral pool are passed on a pro rata basis to investors after netting servicer or other fees, or where cash flows are distributed to numerous classes of securities following a predetermined waterfall, which may give priority to selected classes while subordinating other classes. We may invest across the capital structure of these securities, and we intend to focus on CMBS where the underlying collateral is secured by commercial properties located within the United States.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Active Portfolio Management Strategy</w:t>
      </w:r>
    </w:p>
    <w:p>
      <w:pPr>
        <w:spacing w:after="0" w:line="17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employ an active management strategy designed to achieve our principal objectives of generating attractive risk-adjusted returns and managing our tangible net book value within reasonable bands. As part of our investment strategy, we use leverage on our investment portfolio to increase potential returns to our stockholders. We invest in securities based on our assessment of the relative risk-return profile of the securities and our ability to effectively hedge a portion of the securities' exposure to market risks. The composition of our portfolio and strategies that we use will vary based on our view of prevailing market conditions and the availability of suitable investment, hedging and funding opportunities. We may experience investment gains or losses when we sell securities that we believe no longer provide attractive risk-adjusted returns or when we believe more attractive alternatives exist elsewhere in the mortgage or mortgage-related securities market. We may also experience gains or losses from our hedging strategies and losses on our non-Agency securities due to credit impairments.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Strategy</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primary source of financing for our investments is repurchase agreement transactions. A repurchase (or "repo") agreement transaction acts as a financing arrangement under which we effectively pledge our investment securities as collateral to secure a loan. Our borrowings through repurchase transactions are generally short-term and have maturities ranging from one day to one year but may have maturities up to five or more years. Our financing rates are typically impacted by the U.S. federal funds rate and other short-term benchmark rates and liquidity in the Agency repo and other short-term funding markets.</w:t>
      </w:r>
    </w:p>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leverage depends on market conditions, our assessment of risk and returns and our ability to borrow sufficient funds to acquire mortgage securities. We generally expect our leverage to be within six to twelve times the amount of our tangible stockholders' equity. However, under certain market conditions, we may operate at leverage levels outside of this range for extended periods of time.</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diversify our funding exposure by entering into repurchase agreements with multiple counterparties. The terms of our master repurchase agreements generally conform to the terms in the standard master repurchase agreement as published by the Securities Industry and Financial Markets Association ("SIFMA") as to repayment, margin requirements and the segregation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t>all securities sold under the repurchase transaction. In addition, each lender may require that we include supplemental terms and conditions to the standard master repurchase agreement to address such matters as additional margin maintenance requirements, cross default and other provisions. The specific provisions may differ for each lender and certain terms may not be determined until we engage in individual repurchase transactions.</w:t>
      </w:r>
    </w:p>
    <w:p>
      <w:pPr>
        <w:spacing w:after="0" w:line="1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finance a portion of our investments through our wholly-owned captive broker-dealer subsidiary, Bethesda Securities, LLC ("BES"). BES is a member of the Fixed Income Clearing Corporation ("FICC") and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counterparty, which provides us greater depth and diversity of repurchase agreement funding while also lowering our funding cost, reducing our collateral requirements and limiting our counterparty exposure.</w:t>
      </w:r>
    </w:p>
    <w:p>
      <w:pPr>
        <w:spacing w:after="0" w:line="12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also effectively finance the acquisition of Agency RMBS by entering into TBA dollar roll transactions through which we sell a TBA contract for current month settlement and simultaneously purchase a similar TBA contract for a forward settlement date. Prior to the forward settlement date, we may choose to roll the position to a later date by entering into an offsetting TBA position, net settling the paired off positions for cash, and simultaneously entering into a similar TBA contract for a forward settlement date. The TBA contract purchased for the forward settlement date is priced at a discount to the TBA contract sold for settlement/pair off in the current month. The difference (or discount) is referred to as the "price drop" and is the economic equivalent of net interest carry income (interest income less implied financing cost) on the underlying Agency RMBS over the roll period, which is commonly referred to as "dollar roll income." We recognize TBA contracts as derivative instruments on our consolidated financial statements at their net carrying value, which is their fair value less the purchase price to be paid or received under the TBA contract. Consequently, dollar roll transactions represent a form of off-balance sheet financing. In evaluating our overall leverage, we consider both our on-balance sheet and off-balance sheet financing.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Strategy</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exposed to a variety of market risks, including interest rate, prepayment, extension and credit risks. Our investment strategies are based on our assessment of these risks, our ability to hedge a portion of these risks and our intention to qualify as a REIT. Our hedging strategies are generally not designed to protect our net book value from "spread risk," which as a levered investor in mortgage-backed securities is the inherent risk we take that the spread between the market yield on our investments and the benchmark interest rates linked to our interest rate hedges fluctuates. In addition, although we attempt to protect our net book value against moves in interest rates, we may not fully hedge against interest rate, prepayment and extension risks if we believe that bearing such risks enhances our return profile, or if the hedging transaction would negatively impact our REIT status.</w:t>
      </w:r>
    </w:p>
    <w:p>
      <w:pPr>
        <w:spacing w:after="0" w:line="110" w:lineRule="exact"/>
        <w:rPr>
          <w:sz w:val="20"/>
          <w:szCs w:val="20"/>
          <w:color w:val="auto"/>
        </w:rPr>
      </w:pPr>
    </w:p>
    <w:p>
      <w:pPr>
        <w:jc w:val="both"/>
        <w:ind w:left="66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We hedge a portion of our interest rate risk with respect to both the fixed income nature of our long-term assets and the short-term, variable rate nature of our financing. A majority of our funding is in the form of repurchase agreements, and, as a result, our financing costs fluctuate based on short-term benchmark rates, such as the U.S. federal funds rate, Secured Overnight Financing Rate ("SOFR"), and three-month London Interbank Offered Rate ("LIBOR"). Our investments are assets that primarily have fixed rates of interest with maturities up to 30 years, and the interest we earn on those assets generally does not move in tandem with the interest that we pay on our repurchase agreements. As such, we may experience reduced income or losses due to adverse interest rate movements. To mitigate a portion of such risk, we utilize hedging techniques to attempt to lock in a portion of the net interest spread between the interest we earn on our assets and the interest we pay on our borrowings.</w:t>
      </w:r>
    </w:p>
    <w:p>
      <w:pPr>
        <w:spacing w:after="0" w:line="13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Fluctuations in the shape of the yield curve or changes in the market's expectation about future interest rate volatility can also adversely affect the value of our assets. Furthermore, because prepayments on residential mortgages generally accelerate when interest rates decrease and slow when interest rates rise, mortgage securities may increase in value more slowly than similar duration bonds, or even fall in value, as interest rates decline. Mortgage securities could also decrease in value more quickly than similar duration bonds as interest rates rise. This is referred to as "negative convexity." We attempt to manage this risk through asset selection and the use of a variety of hedging techniques. We monitor the "duration gap" of our portfolio, or differences in the interest rate sensitivity of our assets relative to our liabilities, inclusive of interest rate hedges, and how our convexity and duration gap could change if interest rates and prepayment expectations were to increase or decrease under a variety of scenarios.</w:t>
      </w:r>
    </w:p>
    <w:p>
      <w:pPr>
        <w:spacing w:after="0" w:line="13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and our financial results could be adversely affected as we may have to reinvest principal repayments at lower yields.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 w:name="page6"/>
    <w:bookmarkEnd w:id="5"/>
    <w:p>
      <w:pPr>
        <w:jc w:val="both"/>
        <w:ind w:left="660" w:hanging="328"/>
        <w:spacing w:after="0" w:line="301" w:lineRule="auto"/>
        <w:tabs>
          <w:tab w:leader="none" w:pos="655"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Extension Risk. </w:t>
      </w:r>
      <w:r>
        <w:rPr>
          <w:rFonts w:ascii="Arial" w:cs="Arial" w:eastAsia="Arial" w:hAnsi="Arial"/>
          <w:sz w:val="16"/>
          <w:szCs w:val="16"/>
          <w:color w:val="auto"/>
        </w:rPr>
        <w:t>Because residential borrowers have the option to make only scheduled payments on their mortgage loans, we face the risk that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return of capital on our investment will occur slower than anticipated. Extension risk generally increases when interest rates rise, and our financial results could be adversely affected as we may have to finance our investments at potentially higher costs without the ability to simultaneously reinvest principal repayments into higher yielding securities due to a lack of or slower than anticipated borrower prepayments.</w:t>
      </w:r>
    </w:p>
    <w:p>
      <w:pPr>
        <w:spacing w:after="0" w:line="103" w:lineRule="exact"/>
        <w:rPr>
          <w:rFonts w:ascii="Arial" w:cs="Arial" w:eastAsia="Arial" w:hAnsi="Arial"/>
          <w:sz w:val="16"/>
          <w:szCs w:val="16"/>
          <w:b w:val="1"/>
          <w:bCs w:val="1"/>
          <w:i w:val="1"/>
          <w:iCs w:val="1"/>
          <w:color w:val="auto"/>
        </w:rPr>
      </w:pPr>
    </w:p>
    <w:p>
      <w:pPr>
        <w:jc w:val="both"/>
        <w:ind w:left="660" w:hanging="328"/>
        <w:spacing w:after="0" w:line="272" w:lineRule="auto"/>
        <w:tabs>
          <w:tab w:leader="none" w:pos="655"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Spread Risk. </w:t>
      </w:r>
      <w:r>
        <w:rPr>
          <w:rFonts w:ascii="Arial" w:cs="Arial" w:eastAsia="Arial" w:hAnsi="Arial"/>
          <w:sz w:val="17"/>
          <w:szCs w:val="17"/>
          <w:color w:val="auto"/>
        </w:rPr>
        <w:t>Because the market spread between the yield on our investments and the yield on benchmark interest rates, such as U.S. Treasury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rates and interest rate swap rates, may vary, we are exposed to spread risk. When spreads widen, we will typically experience a loss in our tangible net book value, conversely, when spreads tighten, we will typically experience a gain in our tangible net book value. Spread movements can occur independent of interest rates and may relate to other factors impacting the mortgage and fixed income markets, such as actual or anticipated monetary policy actions by the U.S. Federal Reserve (the "Fed"), liquidity, or changes in required rates of return on different assets. Spread risk is an inherent risk we take as a levered investor in mortgage-backed securities and, as such, our strategies are generally not designed to protect our tangible net book value from adverse spread movements.</w:t>
      </w:r>
    </w:p>
    <w:p>
      <w:pPr>
        <w:spacing w:after="0" w:line="123" w:lineRule="exact"/>
        <w:rPr>
          <w:rFonts w:ascii="Arial" w:cs="Arial" w:eastAsia="Arial" w:hAnsi="Arial"/>
          <w:sz w:val="17"/>
          <w:szCs w:val="17"/>
          <w:b w:val="1"/>
          <w:bCs w:val="1"/>
          <w:i w:val="1"/>
          <w:iCs w:val="1"/>
          <w:color w:val="auto"/>
        </w:rPr>
      </w:pPr>
    </w:p>
    <w:p>
      <w:pPr>
        <w:jc w:val="both"/>
        <w:ind w:left="660" w:hanging="328"/>
        <w:spacing w:after="0" w:line="273" w:lineRule="auto"/>
        <w:tabs>
          <w:tab w:leader="none" w:pos="655"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Credit Risk. </w:t>
      </w:r>
      <w:r>
        <w:rPr>
          <w:rFonts w:ascii="Arial" w:cs="Arial" w:eastAsia="Arial" w:hAnsi="Arial"/>
          <w:sz w:val="17"/>
          <w:szCs w:val="17"/>
          <w:color w:val="auto"/>
        </w:rPr>
        <w:t>We accept mortgage credit exposure related to our CRT and other non-Agency securities at levels we deem to be appropriate within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context of our overall investment strategy. We attempt to manage this risk through prudent asset selection, pre-acquisition due diligence, post-acquisition performance monitoring, and sale of assets where we identify negative credit trends. We may also manage credit risk with credit default swaps or other financial derivatives that we believe are appropriate. Additionally, we may attempt to adjust our credit exposure and/or to improve the return profile of our investment portfolio by varying the mix of our Agency and non-Agency mortgage investments and adjusting our duration gap when we believe credit performance is inversely correlated with changes in interest rates.</w:t>
      </w:r>
    </w:p>
    <w:p>
      <w:pPr>
        <w:spacing w:after="0" w:line="12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risk management actions may lower our earnings and dividends in the short-term to further our objective of preserving our net book value and maintaining attractive levels of earnings and dividends over the long-term. In addition, some of our hedges are intended to provide protection against larger rate moves and as a result may be relatively ineffective for smaller interest rate changes. Our projections of exposures to interest rate, prepayment, extension and other risks are also based on models that are dependent on a number of assumptions and inputs, and actual results could differ materially from our projections.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 from Regulation under the Investment Company Act</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conduct our business so as not to become regulated as an investment company under the Investment Company Act, in reliance on the exemption provided by Section 3(c)(5)(C) of the Act. So long as we qualify for this exemption, we will not be subject to leverage and other restrictions imposed on registered investment companies, which would significantly reduce our ability to use leverage. Section 3(c)(5)(C), as interpreted by the staff of the U.S. Securities and Exchange Commission ("SEC"), requires us to invest at least 55% of our assets in "mortgages and other liens on and interest in real estate" or "qualifying real estate interests" ("55% asset test")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 Trust Requirements</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have elected to be taxed as a REIT under the Internal Revenue Code. As a REIT, we generally will not be subject to U.S. federal or state corporate income tax on our taxable income to the extent that we distribute annually all our taxable income to stockholders within the time limits prescribed by the Internal Revenue Code. Qualification and taxation as a REIT depend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and conduct certain hedging activities within the REIT. Consequently, we may be required to limit these activities or conduct them through a taxable REIT subsidiary ("TRS"). We believe that we have been organized and operate in such a manner as to qualify for taxation as a REIT.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 continue to qualify as a REIT, we must satisfy two gross income requirements on an annual basis.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 w:name="page7"/>
    <w:bookmarkEnd w:id="6"/>
    <w:p>
      <w:pPr>
        <w:ind w:left="660" w:hanging="247"/>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least 75% of our gross income for each taxable year generally must be derived from investments in real property or mortgages on real property.</w:t>
      </w:r>
    </w:p>
    <w:p>
      <w:pPr>
        <w:spacing w:after="0" w:line="194" w:lineRule="exact"/>
        <w:rPr>
          <w:rFonts w:ascii="Arial" w:cs="Arial" w:eastAsia="Arial" w:hAnsi="Arial"/>
          <w:sz w:val="16"/>
          <w:szCs w:val="16"/>
          <w:color w:val="auto"/>
        </w:rPr>
      </w:pPr>
    </w:p>
    <w:p>
      <w:pPr>
        <w:jc w:val="both"/>
        <w:ind w:left="660" w:hanging="247"/>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Interest income from obligations secured by mortgages on real property (such as Agency and non-Agency MBS) generally constitutes qualifying income for purposes of the 75% gross income test described above. There is no direct authority with respect to the qualification of income or gains from TBAs for the 75% gross income test; however, we treat these as qualifying income for this purpose based on an opinion of legal counsel. The treatment of interest income from other real estate securities depends on their specific tax structure. Income and gains from instruments that we use to hedge the interest rate risk associated with our borrowings incurred, or to be incurred, to acquire real estate assets will generally be excluded from both gross income tests, provided that specified requirements are met.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close of each calendar quarter, we must satisfy five tests relating to the nature of our assets.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any one issuer's securities that we own may not exceed 5% of the value of our total assets.</w:t>
      </w:r>
    </w:p>
    <w:p>
      <w:pPr>
        <w:spacing w:after="0" w:line="171"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value of all securities of all TRSs that we hold may not exceed 20% of the value of our total assets.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more than 25% of the total value of our assets may be represented by certain non-mortgage debt instruments issued by publicly offered REITs (even though such debt instruments qualify under the 75% asset test).</w:t>
      </w:r>
    </w:p>
    <w:p>
      <w:pPr>
        <w:spacing w:after="0" w:line="11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 failure to satisfy the income or asset tests would not immediately cause us to lose our REIT qualification; rather, we could retain our REIT qualification if we were able to satisfy certain relief provisions and pay any applicable penalty taxes and other fines, or, in the case of a failure to satisfy the asset test, eliminate the discrepancy within a 30-day cure period. Please also refer to the "Risks Related to Our Taxation as a REIT" in "Item 1A. Risk Factors" of this Form 10-K for further discussion of REIT qualification requirements and related items.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our success as a company ultimately depends on the strength, wellness, and dedication of our workforce. We pride ourselves on robust practices in the area of human capital management that are constantly evolving to meet the needs of our people. As of December 31, 2020, our workforce consisted of 50 full-time employees. We strive to provide each of our highly skilled employees an engaging, rewarding, supportive, and inclusive atmosphere in which to grow professionally. Our competitive and comprehensive benefits package is carefully designed to attract and retain talented personnel. We believe our low voluntary employee turnover and favorable employee survey results are a testament to the success of our human capital management initiatives.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Employee Turnover Metrics</w:t>
      </w:r>
    </w:p>
    <w:p>
      <w:pPr>
        <w:spacing w:after="0" w:line="25"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2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January 1</w:t>
            </w:r>
          </w:p>
        </w:tc>
        <w:tc>
          <w:tcPr>
            <w:tcW w:w="160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4"/>
                <w:szCs w:val="14"/>
                <w:b w:val="1"/>
                <w:bCs w:val="1"/>
                <w:color w:val="auto"/>
                <w:w w:val="89"/>
              </w:rPr>
              <w:t xml:space="preserve">Terminations </w:t>
            </w:r>
            <w:r>
              <w:rPr>
                <w:rFonts w:ascii="Arial" w:cs="Arial" w:eastAsia="Arial" w:hAnsi="Arial"/>
                <w:sz w:val="18"/>
                <w:szCs w:val="18"/>
                <w:b w:val="1"/>
                <w:bCs w:val="1"/>
                <w:color w:val="auto"/>
                <w:w w:val="89"/>
                <w:vertAlign w:val="superscript"/>
              </w:rPr>
              <w:t>1</w:t>
            </w:r>
          </w:p>
        </w:tc>
        <w:tc>
          <w:tcPr>
            <w:tcW w:w="15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New Hires</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w:t>
            </w:r>
          </w:p>
        </w:tc>
      </w:tr>
      <w:tr>
        <w:trPr>
          <w:trHeight w:val="183"/>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51</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w:t>
            </w: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50</w:t>
            </w: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6"/>
              </w:rPr>
              <w:t>-6</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51</w:t>
            </w:r>
          </w:p>
        </w:tc>
      </w:tr>
      <w:tr>
        <w:trPr>
          <w:trHeight w:val="184"/>
        </w:trPr>
        <w:tc>
          <w:tcPr>
            <w:tcW w:w="212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6"/>
              </w:rPr>
              <w:t>-2</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-111760</wp:posOffset>
            </wp:positionV>
            <wp:extent cx="538353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83530" cy="1200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spacing w:after="0" w:line="54" w:lineRule="exact"/>
        <w:rPr>
          <w:sz w:val="20"/>
          <w:szCs w:val="20"/>
          <w:color w:val="auto"/>
        </w:rPr>
      </w:pPr>
    </w:p>
    <w:p>
      <w:pPr>
        <w:ind w:left="660" w:hanging="328"/>
        <w:spacing w:after="0" w:line="293" w:lineRule="auto"/>
        <w:tabs>
          <w:tab w:leader="none" w:pos="658" w:val="left"/>
        </w:tabs>
        <w:numPr>
          <w:ilvl w:val="0"/>
          <w:numId w:val="9"/>
        </w:numPr>
        <w:rPr>
          <w:rFonts w:ascii="Arial" w:cs="Arial" w:eastAsia="Arial" w:hAnsi="Arial"/>
          <w:sz w:val="14"/>
          <w:szCs w:val="14"/>
          <w:color w:val="auto"/>
        </w:rPr>
      </w:pPr>
      <w:r>
        <w:rPr>
          <w:rFonts w:ascii="Arial" w:cs="Arial" w:eastAsia="Arial" w:hAnsi="Arial"/>
          <w:sz w:val="14"/>
          <w:szCs w:val="14"/>
          <w:color w:val="auto"/>
        </w:rPr>
        <w:t>Employee terminations include voluntary and involuntary terminations. Terminations during 2018 and 2019 were primarily associated with the termination of MTGE Investment Corp.’s management services agreement with our subsidiary MTGE Management, LLC due to the sale of MTGE Investment Corp. to a third party in 2018.</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Employee Communications and Engagement</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recognize the importance of ongoing open communication and engagement with our employees, and we greatly value their input. We regularly engage with our employees in a variety of ways through regular feedback with each member of our staff, anonymous employee surveys and frequent town hall meetings.</w:t>
      </w:r>
    </w:p>
    <w:p>
      <w:pPr>
        <w:spacing w:after="0" w:line="13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anonymous employee surveys are a key component of our employee engagement that provide a means of assessing job satisfaction and specific concerns of our employees. To enhance the candor and comfort of our employees, we use an outside vendor that provides verbatim comments and analysis of engagement levels on an anonymous basis. A recent anonymous employee survey indicated the Company had a satisfaction rating above 90% in many areas, including AGNC’s treatment of its employees, physical working conditions, commitment to integrity, and overall culture and environment. Based on the results of our surveys, our Board and management have implemented various ideas and recommendations received from employees.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Workplace Culture and Ethics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corporate culture promotes open and honest communication, fair treatment, collegiality and high ethics and compliance standards. Our Code of Ethics and Conduct ("Code of Conduct") applies to all directors, officers and employees and provides clear expectations and guidance to facilitate appropriate decisioning. Our Code of Conduct covers topics such as compliance with securities laws, conflicts of interest, giving and receiving gifts, discrimination, harassment, privacy, appropriate use of Company assets, protecting confidential information, and reporting Code of Conduct violations (including through an anonymous hotline). All employees are required to affirm their understanding of these standards on at least an annual basis. Our executive officers and human resources department maintain "open door" policies and any form of retaliation for bona fide reporting of Code of Conduct violations is expressly prohibited.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Development</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a number of policies and programs to further the professional development of our employees, including our professional certification and continuing education policy. This includes reimbursement for any supervisor-approved courses for our employees. We also maintain a regular "Lunch and Learn" series and recently launched a formal mentoring program for employees to provide direct one-on-one career guidance and cross-functional experience across various operations. These initiatives have advanced unique and professional skill sets throughout the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Central to our core values is that every individual deserves respect and equal treatment, regardless of gender, race, ethnicity, age, disability, sexual orientation, gender identity, cultural background or religious belief. We strive to have a diverse workforce and an inclusive and welcoming work environment that is free from wrongful discrimination. We have long maintained policies against discrimination and harassment in our workplace. Although we have a relatively small workforce and low turnover rate, our recruitment and hiring practices attempt to ensure the diversity of applicant pools for posted job openings. We also seek to engage our employees and provide them opportunities on a non-discriminatory and inclusive basis. As of December 31, 2020, 43% of our employees were women and 33% were ethnically diverse. Our Board also strives to maintain diversity and inclusion among its directors. As of December 31, 2020, three of seven directors were women and one director was ethnically diverse.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seek to attract and retain the most talented employees in our industry by offering competitive compensation and benefits. Our pay-for-performance compensation philosophy is based on rewarding each employee’s individual contributions through a combination of fixed and variable pay elements. Each employee receives a total compensation package that includes base salary, short-term incentives in the form of an annual cash bonus and long-term equity incentives. The proportion of each employee’s variable incentive versus fixed-based elements of their compensation is directly correlated to the individual’s level of responsibility and role in the organization. Generally, higher level employees have higher proportions of variable incentive-based compensation in their target mix. Similarly, within the incentive-based elements, the proportion of long-term incentive-based elements generally increases with the individual’s level of responsibility in the organization.</w:t>
      </w:r>
    </w:p>
    <w:p>
      <w:pPr>
        <w:spacing w:after="0" w:line="123"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the success of our business is fundamentally connected to the well-being of our people, we offer benefits that support their physical, financial and emotional well-being. We provide our employees with access to flexible, comprehensive and convenient medical coverage intended to meet their needs and the needs of their families. In addition to standard medical coverage, we offer employees dental and vision coverage, health savings and flexible spending accounts, paid time off, employee assistance programs, voluntary short-term and long-term disability insurance, term life insurance and other benefits.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We also believe in the long-term financial wellness of our employees, and to foster maximum savings rates by our employees we offer a 401(k) Savings Plan and Company matching contributions of 100% up to 6% of each employee’s eligible compensation, subject to IRS limits.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and Workforce Safety</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To protect the health and safety of our workforce, during the COVID-19 pandemic (the "Pandemic" or "COVID-19"), we shifted to a fully remote work-from home environment prior to any jurisdiction’s mandate to do so. We also instituted a survey in mid-2020 to understand our employees' perspective during the extreme circumstances brought about by the Pandemic, including work-from-home environment and resource issues, employee mental health and wellbeing, child-care considerations and similar matters. We used their feedback to inform decisions regarding matters such as implementing flexible work schedules, providing additional resources and equipment to improve our employees work from home experience, and demonstrating flexibility with respect to the timing and manner of eventual office re-openings. Finally, we hosted town hall meetings on a frequent basis – including weekly during the early phases of the COVID-19 pandemic in March and April and on a monthly basis thereafter – to ensure sufficient company-wide communication with our workforce during this time. Employee survey results indicated that 100% of our employees believe we responded to the COVID-19 outbreak very well or extremely well.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success depends, in large part, on our ability to acquire assets at favorable spreads over our borrowing costs. In acquiring mortgage assets, we compete with mortgage REITs, mortgage finance and specialty finance companies, savings and loan associations, banks, mortgage bankers, insurance companies, mutual funds, institutional investors, investment banking firms, other lenders, governmental bodies and other entities. These entities and others that may be organized in the future may have similar asset acquisition objectives and increase competition for the available supply of mortgage assets suitable for purchase. Additionally, our investment strategy is dependent on the amount of financing available to us through repurchase agreements and would be adversely impacted if we are not able to secure financing on favorable terms, if at all.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offices are located at Two Bethesda Metro Center, 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Bethesda, MD 20814 and our telephone number is (301) 968-9315.</w:t>
      </w:r>
    </w:p>
    <w:p>
      <w:pPr>
        <w:spacing w:after="0" w:line="153"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 xml:space="preserve">We make available our Annual Reports on Form 10-K, quarterly reports on Form 10-Q, current reports on Form 8-K and amendments to such reports as well as our Code of Ethics and Conduct on our internet website at </w:t>
      </w:r>
      <w:r>
        <w:rPr>
          <w:rFonts w:ascii="Arial" w:cs="Arial" w:eastAsia="Arial" w:hAnsi="Arial"/>
          <w:sz w:val="17"/>
          <w:szCs w:val="17"/>
          <w:u w:val="single" w:color="auto"/>
          <w:color w:val="auto"/>
        </w:rPr>
        <w:t>www.AGNC.com</w:t>
      </w:r>
      <w:r>
        <w:rPr>
          <w:rFonts w:ascii="Arial" w:cs="Arial" w:eastAsia="Arial" w:hAnsi="Arial"/>
          <w:sz w:val="17"/>
          <w:szCs w:val="17"/>
          <w:color w:val="auto"/>
        </w:rPr>
        <w:t xml:space="preserve"> as soon as reasonably practical after such material is electronically filed with or furnished to the SEC. These reports are also available on the SEC internet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You should carefully consider the risks described below and all other information contained in this Annual Report on Form 10-K, including our annual consolidated financial statements and the related notes thereto before deciding to purchase our securities. If any of the following risks were to occur, our business, financial condition or results of operations could be materially adversely affected. If that happens, the trading price of our securities could decline, and you may lose all or part of your investment. The risks and uncertainties described below are not the only ones facing us. Additional risks and uncertainties not presently known to us, or not presently deemed material by us, may also impair our operations and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 and Portfolio Management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change our targeted investments, investment guidelines and other operational policies without stockholder consent.</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may change our targeted investments and investment guidelines at any time without the consent of our stockholders, which could result in our making investments that are different from, and possibly riskier than, those described in this Annual Report or under our current guidelines. Our Board of Directors also determines our other operational policies, including our policies with respect to our REIT qualification, acquisitions, dispositions, operations, indebtedness and distributions. Our Board of Directors may amend or revise such policies or authorize transactions that deviate from them, without a vote of, or notice to, our stockholders. Any such change may increase our exposure to risks described herein or expose us to new risks that are not currently contemplated, which could materially impair our operations and financial performance.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The human and economic impacts of the COVID-19 pandemic and related events are uncertain and may negatively impact our business.</w:t>
      </w:r>
    </w:p>
    <w:p>
      <w:pPr>
        <w:spacing w:after="0" w:line="183"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 xml:space="preserve">The global outbreak of the COVID-19 pandemic has extracted a significant human toll and adversely affected both the U.S. and global economies. Our business was materially impacted by the severe market disruptions and volatility resulting from the Pandemic in March and April 2020. (See </w:t>
      </w:r>
      <w:r>
        <w:rPr>
          <w:rFonts w:ascii="Arial" w:cs="Arial" w:eastAsia="Arial" w:hAnsi="Arial"/>
          <w:sz w:val="16"/>
          <w:szCs w:val="16"/>
          <w:i w:val="1"/>
          <w:iCs w:val="1"/>
          <w:color w:val="auto"/>
        </w:rPr>
        <w:t>Recent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Trends and Market Impacts </w:t>
      </w:r>
      <w:r>
        <w:rPr>
          <w:rFonts w:ascii="Arial" w:cs="Arial" w:eastAsia="Arial" w:hAnsi="Arial"/>
          <w:sz w:val="16"/>
          <w:szCs w:val="16"/>
          <w:color w:val="auto"/>
        </w:rPr>
        <w:t>under Item 7.</w:t>
      </w:r>
      <w:r>
        <w:rPr>
          <w:rFonts w:ascii="Arial" w:cs="Arial" w:eastAsia="Arial" w:hAnsi="Arial"/>
          <w:sz w:val="16"/>
          <w:szCs w:val="16"/>
          <w:i w:val="1"/>
          <w:iCs w:val="1"/>
          <w:color w:val="auto"/>
        </w:rPr>
        <w:t xml:space="preserve"> Management's Discussion and Analysis of Financial Condition and Results of Operations </w:t>
      </w:r>
      <w:r>
        <w:rPr>
          <w:rFonts w:ascii="Arial" w:cs="Arial" w:eastAsia="Arial" w:hAnsi="Arial"/>
          <w:sz w:val="16"/>
          <w:szCs w:val="16"/>
          <w:color w:val="auto"/>
        </w:rPr>
        <w:t>of this Form 10-K for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information</w:t>
      </w:r>
      <w:r>
        <w:rPr>
          <w:rFonts w:ascii="Arial" w:cs="Arial" w:eastAsia="Arial" w:hAnsi="Arial"/>
          <w:sz w:val="16"/>
          <w:szCs w:val="16"/>
          <w:b w:val="1"/>
          <w:bCs w:val="1"/>
          <w:color w:val="auto"/>
        </w:rPr>
        <w:t>)</w:t>
      </w:r>
      <w:r>
        <w:rPr>
          <w:rFonts w:ascii="Arial" w:cs="Arial" w:eastAsia="Arial" w:hAnsi="Arial"/>
          <w:sz w:val="16"/>
          <w:szCs w:val="16"/>
          <w:color w:val="auto"/>
        </w:rPr>
        <w:t>. While the U.S. government and the Fed have taken actions to reduce the negative impacts of the Pandemic, and several vaccines have begun to be deployed, the extent and rate at which these actions will be effective over the longer-term are unclear, and further fiscal, monetary or other actions may be required but are not assured. Furthermore, if new, potentially more severe strains of the virus emerge, adverse conditions could persist or worsen leading to further economic and financial market instability. There may also be unintended adverse consequences resulting from the magnitude of the Fed’s stimulative measures and other actions of other policy makers that could negatively impact our business. For example:</w:t>
      </w:r>
    </w:p>
    <w:p>
      <w:pPr>
        <w:spacing w:after="0" w:line="111" w:lineRule="exact"/>
        <w:rPr>
          <w:sz w:val="20"/>
          <w:szCs w:val="20"/>
          <w:color w:val="auto"/>
        </w:rPr>
      </w:pPr>
    </w:p>
    <w:p>
      <w:pPr>
        <w:ind w:left="660" w:hanging="247"/>
        <w:spacing w:after="0" w:line="29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experience elevated rates of prepayments on our portfolio due to lower mortgage rates resulting from the Fed’s ongoing asset purchase program or buyouts of delinquent loans from the pools of mortgages underlying our Agency RMBS by Fannie Mae and Freddie Mac;</w:t>
      </w:r>
    </w:p>
    <w:p>
      <w:pPr>
        <w:jc w:val="both"/>
        <w:ind w:left="660" w:hanging="247"/>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actual or anticipated reduction in the Fed’s asset purchase program or other stimulative policy measures may expose us to materially higher mortgage spread, interest rate and market volatility risks as well as lead to less favorable or potentially negative conditions in the TBA dollar roll and repo funding markets; and</w:t>
      </w:r>
    </w:p>
    <w:p>
      <w:pPr>
        <w:spacing w:after="0" w:line="1" w:lineRule="exact"/>
        <w:rPr>
          <w:rFonts w:ascii="Arial" w:cs="Arial" w:eastAsia="Arial" w:hAnsi="Arial"/>
          <w:sz w:val="18"/>
          <w:szCs w:val="18"/>
          <w:color w:val="auto"/>
        </w:rPr>
      </w:pPr>
    </w:p>
    <w:p>
      <w:pPr>
        <w:ind w:left="660" w:hanging="247"/>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exposed to increased model and forecast risks due to a lack of relevant or reliable historical correlations due to the unprecedented conditions and policy measures associated with the Pandemic.</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be unable to take actions necessary to mitigate these or other adverse consequences resulting from the Pandemic or they may be ineffective.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Consequently, our operating results may be impaired, and we could incur significant losses.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active portfolio management strategy may expose us to greater losses and lower returns than compared to passive strategies.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employ an active management strategy to achieve our principal objective of preserving our tangible net book value while generating attractive risk-adjusted returns. The composition of our investment portfolio, leverage ratio and hedge composition will vary as we believe changes to market conditions, risks and valuations warrant. We may experience significant investment gains or losses when we sell investments that we no longer believe provide attractive risk-adjusted returns or when we believe more attractive alternatives are available. We may be incorrect in our assessment and select an investment portfolio that may generate lower returns than a more static management strategy. Furthermore, because of our active strategy, investors may be unable to assess changes in our financial position solely by observing changes in the mortgage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Fed’s participation in the Agency mortgage market could adversely affect the value of and returns on Agency RMBS.</w:t>
      </w:r>
    </w:p>
    <w:p>
      <w:pPr>
        <w:spacing w:after="0" w:line="158"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In March 2020, the Fed launched a series of quantitative easing measures and began unprecedented large-scale purchases of U.S. Treasury securities and Agency RMBS to restore proper market functioning and the flow of credit to U.S. households and businesses disrupted by the COVID-19 financial crisis. Although its position on these matters may change over time, the Fed has stated its intent to maintain accommodative monetary policies until its objectives of maximum employment and a long-term average target inflation rate of 2% are achieved and that it will continue to increase its holdings of Treasury securities and Agency RMBS until substantial further progress has been made towards these goals. There is no certainty that these programs will be continued, and the Fed may determine to reduce its level of purchases, curtail reinvestment in Agency RMBS or engage in outright sales.</w:t>
      </w:r>
    </w:p>
    <w:p>
      <w:pPr>
        <w:spacing w:after="0" w:line="110"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Fed’s involvement in the Agency mortgage market can materially impact the availability, price and returns associated with Agency RMBS. As of December 31, 2020, the Fed owned approximately 30% of all outstanding Agency RMBS. When the Fed is actively purchasing securities, asset prices and liquidity typically increase, but we may simultaneously experience materially faster rates of prepayment and we may be unable to reinvest the repayments at acceptable yields. The Fed’s participation may also adversely impact mortgage spreads. For example, mortgage spreads could widen due to increased prepayment risk when the Fed is actively conducting asset purchases. Mortgage spreads may also widen due to an actual or anticipated reduction in the Fed’s asset purchases, reinvestment rate or outright sales. Given the scale of the Fed’s asset purchases, the adverse effects of the Fed’s involvement in the Agency mortgage market (and the timing and effects of any changes in Fed programs) may be difficult to predict and could result in a material decline in our financial position. In an attempt to mitigate the impact of spread widening, we may reduce our leverage to below our normal target leverage range. We may also attempt to adjust our asset and hedge composition, but these and other actions we may take could be ill timed or ineffective.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 decline in the fair value of our assets may adversely affect our financial condition and make it costlier to finance our assets.</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record our investments at fair value with changes in fair value reported in net income or other comprehensive income. A decline in the fair value of our investments could reduce both our net income and stockholders' equity. We also use our investments as collateral for our financings and certain hedge transactions; consequently, a decline in fair value, or perceived market uncertainty about the value of our assets, could make it difficult for us to obtain financing on favorable terms or at all, or for us to maintain our compliance with terms of agreements already in place. Since we primarily invest in long-term fixed rate securities, our investment portfolio is particularly sensitive to changes in longer-term interest rates. If interest rates or other market conditions result in a decline in the fair value of our assets, we would be subject to margin calls on our existing agreements and it would decrease the amount we may borrow to purchase additional investments. If this occurs, we could be required to sell assets at adverse prices and our ability to maintain or increase our net income would be significantly restricted.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prepayment rates may adversely affect the return on our investments.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investment portfolio includes securities backed by pools of mortgage loans, which receive payments related to the underlying mortgage loans. When borrowers prepay their mortgage loans at rates faster or slower than anticipated, it exposes us to prepayment or extension risk. Generally, prepayments increase during periods of falling mortgage interest rates and decrease during periods of rising mortgage interest rates. However, this may not always be the case as other factors can affect the rate of prepayments, including loan age and size, loan-to-value ratios, housing price trends, general economic conditions and other factors.</w:t>
      </w:r>
    </w:p>
    <w:p>
      <w:pPr>
        <w:spacing w:after="0" w:line="13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If our assets prepay at a faster rate than anticipated, we may be unable to reinvest the repayments at acceptable yields. If the proceeds are reinvested at lower yields than our existing assets, our net interest margins would be negatively impacted. We also amortize or accrete into interest income any premiums and discounts we pay or receive at purchase relative to the stated principal of our assets over their projected lives using the effective interest method. If the actual and estimated future prepayment experience differs from our prior estimates, we are required to record an adjustment to interest income for the impact of the cumulative difference in the effective yield, which could negatively affect our interest income.</w:t>
      </w:r>
    </w:p>
    <w:p>
      <w:pPr>
        <w:spacing w:after="0" w:line="12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If our assets prepay at a slower rate than anticipated, our assets could extend beyond their expected maturities and we may have to finance our investments at potentially higher costs without the ability to reinvest principal into higher yielding securities. Additionally, if prepayment rates decrease due to a rising interest rate environment, the average life or duration of our fixed-rate assets would extend, but our interest rate swap maturities would remain fixed and, therefore, cover a smaller percentage of our funding exposure. This situation may also cause the market value of our assets to decline, while most of our hedging instruments would not receive any incremental offsetting gains.</w:t>
      </w:r>
    </w:p>
    <w:p>
      <w:pPr>
        <w:spacing w:after="0" w:line="12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To the extent that actual prepayment speeds differ from our expectations, our operating results could be adversely affected, and we could be forced to sell assets to maintain adequate liquidity, which could cause us to incur realized losses. In addition, should significant prepayments occur, there is no certainty that we will be able to identify acceptable new investments, which could reduce our invested capital or result in us investing in less favorable securities.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Prepayment rates are difficult to predict, and market conditions and technology advancements in mortgage origination channels may disrupt the historical correlation between interest rate changes and prepayment trends.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Our success depends on our ability to predict prepayment behavior under a variety of economic conditions and particularly the relationship between changing interest rates and other market conditions and the rate of prepayments. As part of our overall portfolio risk management, we analyze interest rate changes and prepayment trends to assess their effects on our investment portfolio. Our analysis is based on models that depend on multiple assumptions and inputs. Many of the assumptions we use are based upon historical trends with respect to the relationship between interest rates and prepayments under normal market conditions, which may not correctly predict future prepayment activity. Dislocations in the residential mortgage market and other developments may disrupt the relationship between the way that prepayment trends have historically responded to interest rate changes and our actual prepayment experience.</w:t>
      </w:r>
    </w:p>
    <w:p>
      <w:pPr>
        <w:spacing w:after="0" w:line="14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Prepayment rates are also impacted by other factors beyond interest rates, such as when borrowers sell their property and use the proceeds to prepay their mortgage or when borrowers default on their mortgages and the defaulted loans are either purchased from the RMBS trust or the mortgages are prepaid from the proceeds of a foreclosure sale of the property. Historically, Fannie Mae and Freddie Mac repurchased mortgages that are 120 days or more delinquent from RMBS trusts. However, in response to the unprecedented circumstances of COVID-19, the GSEs temporarily extended the timeline for repurchasing delinquent loans that are in forbearance. The GSE delinquent loan buyout policy was further modified on September 30, 2020 to extend the timeline for its delinquent loan buyout trigger from 4 consecutively missed monthly payments to 24 consecutively missed monthly payments. However, most delinquent loans are likely to be repurchased before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the 24-month period expires for numerous reasons, including repayment or satisfaction in full, debt forgiveness, repurchases by seller/servicers under their guidelines, loan modifications, short-sales or deeds in lieu of foreclosure or referrals of loans to foreclosure. There is no guarantee that the GSEs will continue to defer buyouts of loans from the RMBS trusts during the forbearance period. Thus, the large number of loans currently delinquent or in forbearance could accelerate prepayments on our investment portfolio.</w:t>
      </w:r>
    </w:p>
    <w:p>
      <w:pPr>
        <w:spacing w:after="0" w:line="133"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Changes to or new U.S. Government programs could also increase the availability of mortgage credit to homeowners, which could impact prepayment rates. Furthermore, current and future technological advancements are expected to improve efficiencies in mortgage origination and servicing, which may reduce borrowing costs and increase the rate of prepayment activity. The impacts of these factors are difficult to predict and may negatively affect our ability to assess prepayment risk or to implement effective hedging strategies and other techniques to reduce our exposure to prepayment risk.</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analytical models and third-party data that we rely on to manage our portfolio and conduct our business objectives may be incorrect, misleading or incomplete.</w:t>
      </w:r>
    </w:p>
    <w:p>
      <w:pPr>
        <w:spacing w:after="0" w:line="116"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use analytical models, data and other information to value assets, assess potential asset purchases and in connection with our risk management and hedging activities. We may source our models and data from third-parties or develop them internally. Models are dependent on multiple assumptions and inputs. Models typically also assume a static portfolio. If either the models, their underlying assumptions or data inputs prove to be incorrect, misleading or incomplete, any decisions we make in reliance on such information may be faulty and expose us to potential risks.</w:t>
      </w:r>
    </w:p>
    <w:p>
      <w:pPr>
        <w:spacing w:after="0" w:line="103"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Many of the analytical models we use are predictive in nature, such as mortgage prepayment and default models. The use of predictive models has inherent risks and may incorrectly forecast future behavior, leading to potential losses. Furthermore, since predictive models are usually constructed based on historical trends using data supplied by third parties, the success of relying on such models depends heavily on the accuracy and reliability of the supplied historical data. Additionally, multiple factors could disrupt the relationships between data and historical trends, reducing the ability of our models to predict future outcomes, or even render them invalid. We are at greater risk of this occurring during periods of high volatility or unprecedented financial or economic events, such as during the COVID-19 pandemic. Consequently, actual results could differ materially from our projections. Moreover, use of different models could result in materially different projections.</w:t>
      </w:r>
    </w:p>
    <w:p>
      <w:pPr>
        <w:spacing w:after="0" w:line="123"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Valuation models rely on the accuracy of market data inputs. If incorrect market data is entered into even a well-founded valuation model, the resulting valuations will be incorrect. However, even if market data is inputted correctly, "model prices" may differ substantially from market prices, especially for securities with complex characteristics or illiquid instruments. Analytical models and third-party data used to analyze securitizations backed by non-Agency and residential and commercial mortgages also expose us to the risk that the (i) collateral cash flows and/or liability structures may be incorrectly modeled in all or only certain scenarios, or may be modeled based on simplifying assumptions that lead to errors; (ii) information about collateral may be incorrect, incomplete or misleading; (iii) collateral or bond historical performance (such as historical prepayments, defaults, cash flows, etc.) may be incorrectly reported, or subject to interpretation (e.g., different issuers may report delinquency statistics based on different definitions of what constitutes a delinquent loan); or (iv) collateral or bond information may be outdated, in which case the models may contain incorrect assumptions as to what has occurred since the date information was last updated.</w:t>
      </w:r>
    </w:p>
    <w:p>
      <w:pPr>
        <w:spacing w:after="0" w:line="127"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The models we use may include LIBOR as an input. The expected transition away from LIBOR may require changes to these models that may change the underlying economic relationships being modeled and the models may be run with less historical data than is currently available for LIBOR.</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fair value of our investments may not be readily determinable or may be materially different from the value that we ultimately realize upon their disposal.</w:t>
      </w:r>
    </w:p>
    <w:p>
      <w:pPr>
        <w:spacing w:after="0" w:line="116"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 xml:space="preserve">We measure the fair value of our investments in accordance with guidance set forth in Accounting Standards Codification Topic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w:t>
      </w:r>
      <w:r>
        <w:rPr>
          <w:rFonts w:ascii="Arial" w:cs="Arial" w:eastAsia="Arial" w:hAnsi="Arial"/>
          <w:sz w:val="18"/>
          <w:szCs w:val="18"/>
          <w:color w:val="auto"/>
        </w:rPr>
        <w:t>. Fair value is only an estimate based on good faith judgment of the price at which an investment can be sold since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of investments can only be determined by negotiation between a willing buyer and seller. Our determination of the fair value of our investments includes inputs provided by pricing services and third-party dealers. Valuations of certain investments in which we invest may be difficult to obtain or unreliable. In general, pricing services and dealers heavily disclaim their valuations and we do not have recourse against them in the event of inaccurate price quotes or other inputs used to determine the fair value of our investments. Depending on the complexity and illiquidity of a security, valuations of the same security can vary substantially from one pricing service or dealer to another. Moreover, fair value and estimates of fair value may fluctuate over short periods of time. For these reasons, the fair value at which our investments are recorded may not be an accurate indication of their realizable value. The ultimate realization of the value of an asset depends on economic and other conditions that are beyond our control. Consequently, if we were to sell an asset,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particularly in a forced liquidation, the realized value may be less than the amount at which the asset is recorded, which would negatively affect our results of operations and financial condition.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mortgage loans referenced by our CRT securities or that underlie our non-Agency securities may be or could become subject to delinquency or foreclosure, which could result in significant losses to us.</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Investments in credit-oriented securities, such as CRT securities and non-Agency MBS, where repayment of principal and interest is not guaranteed by a GSE or U.S. Government agency, subject us to the potential risk of loss of principal and/or interest due to delinquency, foreclosure and related losses on the underlying mortgage loans.</w:t>
      </w:r>
    </w:p>
    <w:p>
      <w:pPr>
        <w:spacing w:after="0" w:line="130"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CRT securities are risk sharing instruments issued by Fannie Mae and Freddie Mac, and similarly structured transactions arranged by third-party market participants, that are designed to synthetically transfer mortgage credit risk from the issuing entity to private investors. The transactions are structured as unsecured and unguaranteed bonds whose principal payments are determined by the delinquency and prepayment experience of a reference pool of mortgages guaranteed by Fannie Mae or Freddie Mac. An investor in CRT securities bears the risk that the borrowers in the reference pool of loans may default on their obligations to make full and timely payments of principal and interest.</w:t>
      </w:r>
    </w:p>
    <w:p>
      <w:pPr>
        <w:spacing w:after="0" w:line="122"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Residential mortgage loans underlying non-Agency RMBS are secured by residential property and are subject to risks of delinquency, foreclosure and loss. The ability of a borrower to repay a loan secured by residential property is dependent upon the income or assets of the borrower. Many factors could impair a borrower's ability to repay the loan, including loss of employment, divorce, illness, acts of God (including pandemics), acts of war or terrorism, adverse changes in economic and market conditions, changes in laws and regulations, changes in fiscal policies and zoning ordinances, costs of remediation and liabilities associated with environmental conditions such as mold, and the potential for uninsured or under-insured property losses.</w:t>
      </w:r>
    </w:p>
    <w:p>
      <w:pPr>
        <w:spacing w:after="0" w:line="10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Commercial mortgage loans underlying CMBS are generally secured by multifamily or other commercial properties and are subject to risks of delinquency and foreclosure and risks of loss that are greater than similar risks associated with loans made on the security of residential property.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 operating income of an income producing property can be affected by numerous factors, such as: occupancy rates, tenant mix, success of tenant businesses, property management decisions, property location and condition, changes in economic or operating conditions (such as a pandemic) and other factors.</w:t>
      </w:r>
    </w:p>
    <w:p>
      <w:pPr>
        <w:spacing w:after="0" w:line="123"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Geographic concentration of our assets can expose us to greater risk of default and loss. Repayments by borrowers and the market value of the related assets underlying our investments are affected by national as well as local and regional economic and other conditions. As a result, concentrations of investments tied to geographic regions increase the risk that adverse economic conditions or other developments affecting a region could increase the frequency and severity of losses on our investments. Additionally, assets in certain regional areas may be more susceptible to certain hazards (such as earthquakes, widespread fires, rising sea levels, disease, floods, hurricanes and certain climate risks) than properties in other parts of the country, and assets located in coastal states may be more susceptible to hurricanes or sea level rise than properties in other parts of the country. Areas affected by these types of events often experience disruptions in travel, transportation and tourism, loss of jobs, a decrease in consumer activity, and a decline in real estate-related investments, and their economies may not recover sufficiently to support income producing real estate at pre-event levels. These types of occurrences may increase over time or become more severe due to changes in weather patterns and other climate changes.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mortgage insurance may not cover losses on loans referenced to or underlying our CRT and non-Agency RMBS.</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certain instances, mortgage loans referenced to our CRT securities or underlying our non-Agency RMBS may have private mortgage insurance. This insurance is often structured to absorb only a portion of the loss if a loan defaults and, as such, we may be exposed to losses on these loans greater than the mortgage insurance. Rescission and denial of mortgage insurance may affect the ability to collect on this insurance. If private mortgage insurers fail to remit insurance payments for insured portions of loans when losses are incurred and where applicable, whether due to breach of contract or to an insurer's insolvency, we may experience a loss on related CRT or non-Agency RMBS securities for the amount that was insured by such insurers.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credit spreads may adversely affect our profitability.</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 significant component of the fair value of CRT and non-Agency securities and other credit risk-oriented investments is attributable to the credit spread, or the difference between the value of the credit instrument and the value of a financial instrument with similar interest rate exposure, but with no credit risk, such as a U.S. Treasury note. Credit spreads can be highly volatile and may fluctuate due to changes in economic conditions, liquidity, investor demand and other factors. Credits spreads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typically widen in times of increased market uncertainty or when economic conditions have or are expected to deteriorate. Credit spreads may also widen due to actual or anticipated rating downgrades on the securities we hold or similar securities. Hedging fair value changes associated with credit spreads can be inefficient and our hedging strategies are generally not designed to mitigate credit spread risk. Consequently, changes in credit spreads could adversely affect our profitability and financial condition.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the U.S. Government, including the U.S. Congress, Fed, U.S. Treasury, Federal Housing Finance Administration ("FHFA") and other governmental and regulatory bodies may adversely affect our business.</w:t>
      </w:r>
    </w:p>
    <w:p>
      <w:pPr>
        <w:spacing w:after="0" w:line="116"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U.S. Government actions may have an adverse impact on the financial markets. To the extent the markets do not respond favorably to any such actions or such actions do not function as intended, they could have broad adverse market implications and could negatively impact our financial condition and results of operations. U.S. banking and financial regulators have begun to examine root causes of financial dislocations that occurred in March and April 2020 in response to the Pandemic and to identify areas for potential regulatory reforms that may be adopted in the future. New regulatory requirements could adversely affect the availability or terms of financing from our lender counterparties, impose more stringent capital rules on financial institutions, restrict the origination of residential mortgage loans and the formation of new issuances of mortgage-backed securities and limit the trading activities of certain banking entities and other systemically significant organizations that are important to our business. Together or individually these new regulatory requirements could materially affect our financial condition or results of operations in an adverse way.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Federal housing finance reform and potential changes to the Federal conservatorship of Fannie Mae and Freddie Mac or to laws or regulations affecting the relationship between the GSEs and the U.S. Government may adversely affect our business.</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payments of principal and interest we receive on our Agency RMBS are guaranteed by Fannie Mae, Freddie Mac or Ginnie Mae. The guarantees on Agency securities created by Ginnie Mae are explicitly backed by the full faith and credit of the U.S. Government, whereas the guarantees on Agency securities created by Fannie Mae and Freddie Mac are not.</w:t>
      </w:r>
    </w:p>
    <w:p>
      <w:pPr>
        <w:spacing w:after="0" w:line="130"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September 2008, Fannie Mae and Freddie Mac were placed into the conservatorship of the FHFA, their federal regulator, pursuant to its powers under The Federal Housing Finance Regulatory Reform Act of 2008, a part of the Housing and Economic Recovery Act of 2008. In addition to FHFA becoming the conservator of Fannie Mae and Freddie Mac, the U.S. Department of the Treasury has provided a liquidity backstop to Fannie Mae and Freddie Mac to ensure their financial stability. Shortly after the start of the federal conservatorships, the Secretary of the U.S. Treasury suggested that the guarantee payment structure of Fannie Mae and Freddie Mac in the U.S. housing finance market should be re-examined. In 2019, the U.S. Treasury Department and Department of Housing and Urban Development issued housing reform plans that expressed support for a future end to the conservatorships. In November 2020, the FHFA promulgated regulations that established new regulatory capital requirements for Fannie Mae and Freddie Mac. In January 2021, the U.S. Treasury Department amended the terms of its liquidity backstop to enable Fannie Mae and Freddie Mac to retain a greater amount of capital in order to achieve these levels, subject to certain conditions. These administrative actions may have significant impact on the source, pricing, volume and nature of Agency RMBS and other mortgage securities that Fannie Mae and Freddie Mac issue, which may reduce or otherwise impact their availability in the future.</w:t>
      </w:r>
    </w:p>
    <w:p>
      <w:pPr>
        <w:spacing w:after="0" w:line="128"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Further administrative and/or legislative actions may be taken that affect structural GSE and federal housing reform, alter the amount or nature of the credit support provided by the U.S. Treasury to Fannie Mae and Freddie Mac, or modify the future roles of Fannie Mae and Freddie Mac in housing finance. Any legal or administrative actions affecting these GSEs may create market uncertainty, may have the effect of reducing the actual or perceived credit quality of securities issued or guaranteed by them or may otherwise impact the size and scope of the Agency RMBS markets. Administrative or legislative action that would terminate the conservatorships without simultaneously providing for a sufficiently robust U.S. government guaranty could re-define what constitutes an Agency security and have broad adverse implications for the mortgage markets and our business: such changes could subject Agency RMBS to Fannie Mae or Freddie Mac credit risk, make them more difficult to finance, and cause their values to decline.</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acquire desirable investments due to competition, a reduction in the supply of new production Agency RMBS having the specific attributes we seek, and other factors.</w:t>
      </w:r>
    </w:p>
    <w:p>
      <w:pPr>
        <w:spacing w:after="0" w:line="11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profitability depends on our ability to acquire our target assets at attractive prices. We may seek assets that include specific attributes that affect their propensity for prepayment under certain market conditions or enable us to satisfy asset test requirements to maintain our REIT qualification status or exemption from regulation under the Investment Company Act (such as "whole pool" Agency RMBS). The supply of our target assets may be impacted by policies and procedures adopted by the GSEs, such as pooling practices, or their regulator, the FHFA, or actions by other governmental agencies. Housing finance reform measures may also impact the supply and availability of our target assets. Consequently, a sufficient supply of our target assets may not be available or available at attractive prices. We may also compete for these assets with a variety of other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investors, including other REITs, specialty finance companies, public and private funds, government entities, banks, insurance companies and other financial institutions, who may have competitive advantages over us, such as a lower cost of funds and access to funding sources not available to us. If we are unable to acquire a sufficient supply of our target assets, we may be unable to achieve our investment objectives or to maintain our REIT qualification status or exemption from regulation under the Investment Company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Financing and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significant leverage increases the risk that we may incur substantial losses.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strategy involves the significant use of leverage which will vary depending on our assessment of market conditions and risk adjusted returns. We generally expect to maintain our leverage between six to twelve times the amount of our tangible stockholders' equity, but we may operate at levels outside of this range for extended periods. We incur leverage by borrowing against a substantial portion of the market value of our assets. While leverage is fundamental to our investment strategy, it also creates significant risks because leverage amplifies the effect of changes in underlying asset values. Because of our leverage, we may incur substantial losses if the value of our investments declines or if mortgage spreads widen and our investments underperform our interest rate hedges.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 is an inherent component of our business as a levered investor.</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When the spread between the market yield on our mortgage assets and benchmark interest rates widens, our tangible net book value will typically decline. We refer to this as "spread risk" or "basis risk." As a levered investor primarily in fixed-rate Agency RMBS, spread risk is an inherent component of our investment strategy. Although we use hedging instruments to attempt to protect against moves in interest rates, our hedges will typically not protect us against spread risk. Spreads may widen due to numerous factors, including changes in mortgage and fixed income markets due to actual or expected monetary policy actions by U.S. and foreign central banks, market liquidity or changes in investor return requirements and sentiment. Wider spreads can occur independent of moves in interest rates.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procure adequate financing or to renew or replace existing financing as it matures.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rely primarily on short-term borrowings to finance our mortgage investments. Consequently, our ability to achieve our investment objectives depends not only on our ability to borrow sufficient amounts and on favorable terms, but also our ability to renew or replace our maturing short-term borrowings on a continuous basis. A variety of factors could prevent us from being able to achieve our intended borrowing and leverage objectives, including:</w:t>
      </w:r>
    </w:p>
    <w:p>
      <w:pPr>
        <w:spacing w:after="0" w:line="133" w:lineRule="exact"/>
        <w:rPr>
          <w:sz w:val="20"/>
          <w:szCs w:val="20"/>
          <w:color w:val="auto"/>
        </w:rPr>
      </w:pPr>
    </w:p>
    <w:p>
      <w:pPr>
        <w:ind w:left="660" w:hanging="247"/>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in the repo market that adversely impact the availability and cost of repo funding, including failure of the Fed and other policy makers to stabilize the repo market or a discontinuation of such stabilization measures;</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require additional collateral to cover our borrowings, which we may be unable to deliver;</w:t>
      </w:r>
    </w:p>
    <w:p>
      <w:pPr>
        <w:spacing w:after="0" w:line="9" w:lineRule="exact"/>
        <w:rPr>
          <w:rFonts w:ascii="Arial" w:cs="Arial" w:eastAsia="Arial" w:hAnsi="Arial"/>
          <w:sz w:val="18"/>
          <w:szCs w:val="18"/>
          <w:color w:val="auto"/>
        </w:rPr>
      </w:pPr>
    </w:p>
    <w:p>
      <w:pPr>
        <w:ind w:left="660" w:hanging="247"/>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exit the market or are unwilling to make repurchase agreements or other financing arrangements available to us at acceptable rates and terms;</w:t>
      </w:r>
    </w:p>
    <w:p>
      <w:pPr>
        <w:ind w:left="660" w:hanging="247"/>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regulatory capital requirements or other limitations imposed on our lenders that may negatively impact their ability or willingness to lend to us;</w:t>
      </w:r>
    </w:p>
    <w:p>
      <w:pPr>
        <w:spacing w:after="0" w:line="32" w:lineRule="exact"/>
        <w:rPr>
          <w:rFonts w:ascii="Arial" w:cs="Arial" w:eastAsia="Arial" w:hAnsi="Arial"/>
          <w:sz w:val="16"/>
          <w:szCs w:val="16"/>
          <w:color w:val="auto"/>
        </w:rPr>
      </w:pPr>
    </w:p>
    <w:p>
      <w:pPr>
        <w:ind w:left="660" w:hanging="247"/>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satisfy covenants, leverage limits, or other requirements imposed by our lenders, in which case our lenders may terminate and cease entering into repurchase transactions with us; and</w:t>
      </w:r>
    </w:p>
    <w:p>
      <w:pPr>
        <w:jc w:val="both"/>
        <w:ind w:left="660" w:hanging="247"/>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wholly-owned captive broker-dealer’s inability to continually meet FINRA and FICC regulatory and membership requirements, which may change over time, resulting in our inability to access triparty repo funding through the FICC's GCF Repo service, which represents a significant portion of our total borrowing capacity.</w:t>
      </w:r>
    </w:p>
    <w:p>
      <w:pPr>
        <w:spacing w:after="0" w:line="1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Because of these and other factors, there is no assurance that we will be able to secure financing on terms that are acceptable to us. If we cannot obtain sufficient funding on acceptable terms, we may have to sell assets possibly under adverse market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 costs may increase at a faster pace than the yield on our investments.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borrowing costs are particularly sensitive to changes in short-term interest rates, as well as overall funding availability and market liquidity, whereas the yield on our fixed rate assets is largely influenced by longer-term rates and conditions in the mortgage market. Consequently, our borrowing costs may rise at a faster pace or decline at a slower pace than the yield on our assets, negatively impacting our net interest margin. In extreme scenarios, our net interest margin could even turn negative.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It may be uneconomical to roll our TBA dollar roll transactions and we may be required to take physical delivery of the underlying securities and fund our obligations with cash or other financing sources.</w:t>
      </w:r>
    </w:p>
    <w:p>
      <w:pPr>
        <w:spacing w:after="0" w:line="11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We utilize TBA dollar roll transactions as an alternate means of investing in and financing Agency RMBS, which represent a form of off-balance sheet financing and increase our "at risk" leverage. It may become uneconomical for us to roll forward our TBA positions prior to their settlement dates due to market conditions, which can be impacted by a variety of factors including the Fed’s purchases and sales of Agency RMBS in the TBA market. TBA dollar roll transactions include a deferred purchase price obligation on our part, and an inability or unwillingness to continue to roll forward our position has effects similar to a termination of financing: In that circumstance, we would be required to settle the obligations for cash and would then take physical delivery of underlying Agency RMBS. We may not have sufficient funds or alternative financing sources available to settle such obligations. If we take delivery of the underlying securities, we expect to receive the "cheapest to deliver" securities with the least favorable prepayment attributes that satisfy the terms of the TBA contract. Additionally, the specific securities that we receive may include few, if any, “whole pool” securities, which could inhibit our ability to remain exempt from and regulation as an investment company under the Investment Company Act (see “Loss of our exemption from regulation pursuant to the Investment Company Act would adversely affect us” below). TBA contracts also subject us to margin requirements as described further below. Our inability to roll forward our TBA positions or failure to obtain adequate financing to settle our obligations or to meet margin calls under our TBA contracts could force us to sell assets under adverse market conditions potentially causing us to incur significant losses.</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funding and derivative agreements subject us to margin calls that could result in defaults or force us to sell assets under adverse market conditions or through foreclosure.</w:t>
      </w:r>
    </w:p>
    <w:p>
      <w:pPr>
        <w:spacing w:after="0" w:line="11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financing and hedging arrangements require that we maintain certain levels of collateral with our counterparties, called margin, to protect them from loss in the event we default on our obligations. Our counterparties in these arrangements require us to post additional margin if the value of the posted collateral declines to re-establish the agreed-upon collateral level. Our fixed-rate collateral is generally more susceptible to margin calls due to its price sensitivity to changes in interest rates. In addition, some collateral may be less liquid than other instruments, which could cause it to be more susceptible to margin calls in a volatile market environment. Additionally, faster rates of prepayment increase the magnitude of potential margin calls as there is a time lag between the effective date of the prepayment and when we receive the principal payment.</w:t>
      </w:r>
    </w:p>
    <w:p>
      <w:pPr>
        <w:spacing w:after="0" w:line="12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derivative agreements also subject us to margin calls. Collateral requirements under our derivative agreements are typically dictated by contract or clearinghouse rules and regulations adopted by the U.S. Commodity Futures Trading Commission (“CFTC”) and regulators of other countries. Thus, changes in clearinghouse rules and other regulations can increase our margin requirements and the cost of our hedges. Our counterparties typically have the sole discretion to determine eligible collateral, the value of our collateral and, in the case of our derivative counterparties, the value of our derivative instruments. Additionally, for cleared swaps and futures, the futures commission merchant, or FCM, that we transact through typically has the right to require more collateral than the clearinghouse requires.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requirement to meet margin calls can create liquidity risks. In the event of a margin call, we must generally provide additional collateral on the same business day. Following an event of default, we could be required to settle our obligations under the agreements. Our derivative agreements may also contain cross default provisions under which a default under our other indebtedness may cause an event of default under the derivative agreement. The threat or occurrence of margin calls or the forced settlement of our obligations under our agreements could force us to sell our investments under adverse market conditions and result in substantial losses.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funding and derivative agreement counterparties may not fulfill their obligations to us as and when due.</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If a repurchase agreement counterparty defaults on its obligation to resell collateral to us, we could incur a loss on the transaction equal to the difference between the value of our collateral and the amount of our borrowing. Similarly, if a derivative agreement counterparty fails to return collateral to us at the conclusion of the derivative transaction or fails to pledge collateral to us or to make other payments we are entitled to under the terms of our agreement as and when due, we could incur a loss equal to the value of our collateral and other amounts due to us.</w:t>
      </w:r>
    </w:p>
    <w:p>
      <w:pPr>
        <w:spacing w:after="0" w:line="11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attempt to limit our counterparty exposure by diversifying our funding across multiple counterparties and limiting our counterparties to registered central clearing exchanges and major financial institutions with acceptable credit ratings. However, these measures may not sufficiently reduce our risk of loss. Central clearing exchanges typically attempt to reduce the risk of default by requiring initial and daily variation margin from their clearinghouse members and maintain guarantee funds and other resources that are available in the event of default. Nonetheless, we could be exposed to a risk of loss if an exchange or one or more of its clearing members defaults on its obligations. Most of the swaps that we enter into must be cleared by a Derivatives Clearing Organization, or DCO. DCOs are subject to regulatory oversight, use extensive risk management processes, and might receive "too big to fail" support from the government in the case of insolvency. We access the DCO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through several FCMs, which may establish their own collateral requirements beyond that of the DCO. Consequently, for any cleared swap, we bear the credit risk of both the DCO and the relevant FCM as to obligations under our swap agreements. The enforceability of our derivative and repurchase agreements may also depend on compliance with applicable statutory, commodity and other regulatory requirements and, depending on the domicile of the counterparty, applicable international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under repurchase agreements in the event bankruptcy or insolvency may be limited.</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the event of our bankruptcy or insolvency, our repurchase agreements may qualify for special treatment under the U.S. Bankruptcy Code, the effect of which, among other things, would be to allow the lender under the applicable repurchase agreement to avoid the automatic stay provisions of the U.S. Bankruptcy Code and to foreclose on the collateral without delay. In the event of a lender’s insolvency or bankruptcy, the lender may be permitted, under applicable insolvency laws, to repudiate the contract, and our claim against the lender for damages may be treated simply as an unsecured creditor. In addition, if the lender is a broker or dealer subject to the Securities Investor Protection Act of 1970, or an insured depository institution subject to the Federal Deposit Insurance Act, our ability to recover our assets under a repurchase agreement or to be compensated for any damages resulting from the lender's insolvency may be further limited by those statutes. Recoveries on these claims could be subject to significant delay and, if received, could be substantially less than the damages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be ineffective.</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attempt to limit, or hedge against, the adverse effect of changes in interest rates on the value of our assets and financing costs, subject to complying with REIT tax requirements. Hedging strategies are complex and do not fully protect against adverse changes under all circumstances. Our business model also calls for accepting certain amounts of risk. Consequently, our hedging activities are generally designed to limit interest rate exposure, but not to eliminate it, and they are generally not designed to hedge against spread risk and other risks inherent to our business model.</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hedging strategies may vary in scope based on our portfolio composition, liabilities and our assessment of the level and volatility of interest rates, expected prepayments, credit and other market conditions, and are expected to change over time. We could fail to properly assess a risk or fail to recognize a risk entirely, leaving us exposed to losses without the benefit of any offsetting hedges. Furthermore, the techniques and derivative instruments we select may not have the effect of reducing our risk. Poorly designed hedging strategies or improperly executed transactions could increase our risk of loss. Hedging activities could also result in losses if the hedged event does not occur. Numerous other factors can impact the effectiveness of our hedging strategies, including the following:</w:t>
      </w:r>
    </w:p>
    <w:p>
      <w:pPr>
        <w:spacing w:after="0" w:line="138" w:lineRule="exact"/>
        <w:rPr>
          <w:sz w:val="20"/>
          <w:szCs w:val="20"/>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interest rate hedges;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degree to which the interest rate hedge benchmark rate correlates to the interest rate risk being hedged;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degree to which the duration of the hedge matches that of the related asset or liability, particularly as interest rates change;</w:t>
      </w:r>
    </w:p>
    <w:p>
      <w:pPr>
        <w:spacing w:after="0" w:line="9" w:lineRule="exact"/>
        <w:rPr>
          <w:rFonts w:ascii="Arial" w:cs="Arial" w:eastAsia="Arial" w:hAnsi="Arial"/>
          <w:sz w:val="18"/>
          <w:szCs w:val="18"/>
          <w:color w:val="auto"/>
        </w:rPr>
      </w:pPr>
    </w:p>
    <w:p>
      <w:pPr>
        <w:ind w:left="660" w:hanging="247"/>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income that a REIT may earn from hedging transactions that do not satisfy certain requirements of the Internal Revenue Code or that are not done through a TRS; and</w:t>
      </w:r>
    </w:p>
    <w:p>
      <w:pPr>
        <w:ind w:left="660" w:hanging="247"/>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degree to which the value of our interest rate hedges changes relative to our assets as a result of fluctuations in interest rates, passage of time, or other factors.</w:t>
      </w:r>
    </w:p>
    <w:p>
      <w:pPr>
        <w:spacing w:after="0" w:line="13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Additionally, regulations adopted by the CFTC and regulators of other countries could adversely affect our ability to engage in derivative transactions or impose increased margin requirements and require additional operational and compliance costs. Consequently, our hedging strategies may fail to protect us from loss and could even result in greater losses than if we had not entered in the hedge transaction.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discontinuation of LIBOR could negatively impact the dividends we pay on our fixed-to-floating rate cumulative redeemable preferred stock and the value of our variable rate financial instruments.</w:t>
      </w:r>
    </w:p>
    <w:p>
      <w:pPr>
        <w:spacing w:after="0" w:line="1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outstanding fixed-to-floating rate cumulative redeemable preferred stock agreements are indexed to three-month USD LIBOR. In addition, we also have certain investments and interest rate derivatives that reference USD LIBOR. In July 2017, the United Kingdom Financial Conduct Authority announced that it intends to phase out the use of LIBOR by the end of 2021. In November 2020, ICE Benchmark Administration (IBA), the administrator of LIBOR, signaled a potential extension of USD LIBOR, announcing a December consultation on its intention to publish one-month and three-month USD LIBOR, along with three other tenors, through June 30, 2023.</w:t>
      </w:r>
    </w:p>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Alternative Reference Rates Committee (“ARRC”), a group convened by the Federal Reserve Board and the Federal Reserve Bank of New York, has recommended the Secured Overnight Financing Rate (“SOFR”) as its preferred alternative rate for USD LIBOR. SOFR is a measure of the cost of borrowing cash overnight, collateralized by U.S. Treasury securities, and 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based on directly observable U.S. Treasury-backed repurchase transactions. The U.S. Treasury-backed overnight repo market is highly liquid, but there is currently no robust market for determining forward-looking SOFR term rates. Switching existing financial instruments from LIBOR to SOFR requires calculations of a fixed spread to account for differences between the two, which may not favor all parties equally. Additionally, certain of our LIBOR based contracts may not contain fallback language for the permanent discontinuation of LIBOR, which may result in disputes or litigation over the appropriateness of the substitute index and fixed spread to LIBOR.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and other key personnel are critical to our success and the loss of any executive officer or key employee may materially adversely affect our business.</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third-parties, and system failures or cybersecurity incidents incurred by us or the third-parties that we rely on could significantly disrupt our ability to operate our business.</w:t>
      </w:r>
    </w:p>
    <w:p>
      <w:pPr>
        <w:spacing w:after="0" w:line="116"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Our business is highly dependent on communications and information systems. Any failure or interruption of our systems or cyber-attacks or security breaches of our networks or systems could cause delays or other problems in our securities trading and risk management activities. A disruption or breach could also lead to unauthorized access to and release, misuse, loss or destruction of our confidential information or confidential information of our employees or third parties, which could lead to regulatory fines, costs of remediating the breach, reputational harm, financial losses, litigation and increased difficulty doing business with third parties that rely on us to meet their own data protection requirements. In addition, we also face the risk of operational failure, termination or capacity constraints of any of the third parties with which we do business or that facilitate our business activities, including clearing agents or other financial intermediaries we use to facilitate our securities transactions, if their respective systems experience failure, interruption, cyberattacks, or security breaches. We may face increased costs as we continue to evolve our cyber defenses to contend with changing risks. These costs and losses associated with these risks are difficult to predict and quantify but could have a significant adverse effect on our operating results. Additionally, the legal and regulatory environment surrounding information privacy and security in the U.S. and international jurisdictions is constantly evolving.</w:t>
      </w:r>
    </w:p>
    <w:p>
      <w:pPr>
        <w:spacing w:after="0" w:line="11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Computer malware, viruses, computer hacking and phishing attacks have become more prevalent in our industry and we are from time to time subject to such attempted attacks. We rely heavily on financial, accounting and other data processing systems maintained by us and by third parties with whom we contract for information technology, network, data, storage and other related services. Although we have not detected a material cybersecurity breach to date, other financial services institutions have reported material breaches of their systems, some of which have been significant. Even with all reasonable security efforts, not every breach can be prevented or even detected. It is possible that we or the third parties with whom we contract have experienced an undetected breach. There is no assurance that we, or the third parties that facilitate our business activities, have not or will not experience a breach. It is difficult to determine what, if any, negative impact may directly result from any specific interruption or cyber-attacks or security breaches of our networks or systems (or the networks or systems of third parties that facilitate our business activities) or any failure to maintain performance, reliability and security of our technical infrastructure, but such computer malware, viruses, and computer hacking and phishing attacks may negatively affect our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Taxation as a REIT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qualify as a REIT would have adverse tax consequences.</w:t>
      </w:r>
    </w:p>
    <w:p>
      <w:pPr>
        <w:spacing w:after="0" w:line="1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believe that we operate in a manner that allows us to qualify as a REIT for U.S. federal income tax purposes under Sections 856 through 860 of the Internal Revenue Code of 1986, as amended, and Treasury Regulations promulgated thereunder. We plan to continue to meet the requirements for taxation as a REIT. The determination that we are a REIT requires an analysis of various factual matters and circumstances that may not be totally within our control, and our compliance with the annual REIT income and quarterly asset requirements depends upon our ability to successfully manage the composition of our income and assets on an ongoing basis. For example, to qualify as a REIT, at least 75% of our gross income must come from real estate sources and 95% of our gross income must come from real estate sources and certain other sources that are itemized in the REIT tax laws. Additionally, our ability to satisfy the REIT asset tests depends upon our analysis of the characterization and fair market values of our assets, some of which are not susceptible to a precise determination, and for which we will not obtain independent appraisals. Furthermore, the proper classification of an instrument as debt or equity for federal income tax purposes may be uncertain in some circumstances, which could affect the application of the REIT asset requirements. We are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also required to distribute to stockholders at least 90% of our REIT taxable income (determined without regard to the deduction for dividends paid and by excluding any net capital gain).</w:t>
      </w:r>
    </w:p>
    <w:p>
      <w:pPr>
        <w:spacing w:after="0" w:line="11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If we fail to qualify as a REIT in any tax year, we would be subject to U.S. federal and state corporate income tax on our taxable income at regular corporate rates, and dividends paid to our stockholders would not be deductible by us in computing our taxable income. Also, unless the IRS granted us relief under certain statutory provisions, we would remain disqualified as a REIT for four years following the year we first fail to qualify. If we fail to qualify as a REIT, we would have to pay significant income taxes and would, therefore, have less money available for investments or for distributions to our stockholders. This would likely have a significant adverse effect on the value of our equity. In addition, the tax law would no longer require us to make distributions to our stockholders.</w:t>
      </w:r>
    </w:p>
    <w:p>
      <w:pPr>
        <w:spacing w:after="0" w:line="13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If we should fail to satisfy one or more requirements for REIT qualification, we may still qualify as a REIT if there is reasonable cause for the failure and not due to willful neglect and other applicable requirements are met, including completion of applicable IRS filings. It is not possible to state whether we would be entitled to the benefit of these relief provisions in all circumstances. If these relief provisions are inapplicable, we will not qualify as a REIT. Furthermore, if we satisfy the relief provisions and maintain our qualification as a REIT, we may be still subject to a penalty tax. The amount of the penalty tax will be at least $50,000 per failure, and, in the case of certain asset test failures, will be determined as the amount of net income generated by the assets in question multiplied by the highest U.S. federal corporate tax rate in effect at the time of the failure if that amount exceeds $50,000 per failure, and, in case of income test failures, will be a 100% tax on an amount based on the magnitude of the failure, as adjusted to reflect the profit margin associated with our gross income.</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New legislation or administrative or judicial action could make it more difficult or impossible for us to remain qualified as a REIT or it could otherwise adversely affect REITs and their stockholders.</w:t>
      </w:r>
    </w:p>
    <w:p>
      <w:pPr>
        <w:spacing w:after="0" w:line="11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present U.S. federal income tax treatment of REITs may be modified, possibly with retroactive effect, by legislative, judicial or administrative action at any time, which could affect our ability to maintain our REIT status and/or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Revisions in Federal tax laws and interpretations thereof could affect or cause us to change our investments and affect the tax considerations of an investment in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We generally must distribute annually at least 90% of our taxable income, subject to certain adjustments and excluding any net capital gain, for U.S. federal and state corporate income tax not to apply to earnings that we distribute.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which case, we could elect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 which limits our ability to retain earnings and thereby replenish or increase capital from operations.</w:t>
      </w:r>
    </w:p>
    <w:p>
      <w:pPr>
        <w:spacing w:after="0" w:line="112"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spacing w:after="0" w:line="10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may generate taxable income greater than our reported income prepared in accordance with GAAP. Differences in the timing of the recognition of taxable income and deductible expenses and the actual receipt or disbursement of cash may also occur. For example, market gains and losses on our hedging instruments, such as interest rate swaps, may be deferred for income tax purposes and amortized into taxable income over the original contract term of the instrument even if we have exited the instrument and settled such gains or losses for cash. We are also not allowed to reduce our taxable income for a net capital loss incurred; instead, the net capital loss may be carried forward for a period of up to five years and applied against future capital gains subject to our ability to generate sufficient capital gains, which cannot be assured. If we do not have funds available in these situations to meet our REIT distribution requirements or to avoid corporate income taxes or the 4% excise tax</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altogether, we could be required to borrow funds on unfavorable terms, sell investments at disadvantageous prices or distribute amounts that would otherwise be invested in future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choose to pay dividends in our own stock, in which case stockholders may be required to pay income taxes in excess of cash dividends received.</w:t>
      </w:r>
    </w:p>
    <w:p>
      <w:pPr>
        <w:spacing w:after="0" w:line="20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may in the future distribute taxable dividends that are payable in cash and shares of our common stock at the election of each stockholder.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that are in excess of the cash dividends received. If a U.S. stockholder sells the stock that it receives as a dividend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7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Even if we remain qualified for taxation as a REIT, we may nonetheless be subject to certain federal, state and local taxes on our income and assets, including the following items. Any of these or other taxes we may incur would decrease cash available for distribution to our stockholders.</w:t>
      </w:r>
    </w:p>
    <w:p>
      <w:pPr>
        <w:spacing w:after="0" w:line="92"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Regular U.S. federal and state corporate income taxes on any undistributed taxable income, including undistributed net capital gains.</w:t>
      </w:r>
    </w:p>
    <w:p>
      <w:pPr>
        <w:spacing w:after="0" w:line="23" w:lineRule="exact"/>
        <w:rPr>
          <w:rFonts w:ascii="Arial" w:cs="Arial" w:eastAsia="Arial" w:hAnsi="Arial"/>
          <w:sz w:val="18"/>
          <w:szCs w:val="18"/>
          <w:color w:val="auto"/>
        </w:rPr>
      </w:pPr>
    </w:p>
    <w:p>
      <w:pPr>
        <w:ind w:left="660" w:hanging="247"/>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non-deductible 4% excise tax if the actual amount distributed to our stockholders in a calendar year is less than a minimum amount specified under Federal tax laws.</w:t>
      </w:r>
    </w:p>
    <w:p>
      <w:pPr>
        <w:ind w:left="660" w:hanging="247"/>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income taxes on the earnings of subsidiaries, to the extent that such subsidiaries are subchapter C corporations and are not qualified REIT subsidiaries or other disregarded entities for federal income tax purposes.</w:t>
      </w: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100% tax on certain transactions between us and our TRSs that do not reflect arm's-length terms.</w:t>
      </w:r>
    </w:p>
    <w:p>
      <w:pPr>
        <w:spacing w:after="0" w:line="9" w:lineRule="exact"/>
        <w:rPr>
          <w:rFonts w:ascii="Arial" w:cs="Arial" w:eastAsia="Arial" w:hAnsi="Arial"/>
          <w:sz w:val="18"/>
          <w:szCs w:val="18"/>
          <w:color w:val="auto"/>
        </w:rPr>
      </w:pPr>
    </w:p>
    <w:p>
      <w:pPr>
        <w:jc w:val="both"/>
        <w:ind w:left="660" w:hanging="247"/>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five-year period following their acquisition from the subchapter C corporation.</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100% tax on net income and gains from "prohibited transactions."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Penalty taxes and other fines for failure to satisfy one or more requirements for REIT qualification.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forgo otherwise attractive opportunities.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remain qualified as a REIT for U.S. federal income tax purposes, we must continually satisfy tests concerning, among other things, the sources of our income, the nature and diversification of our assets, the amounts that we distribute to our stockholders and the ownership of our stock. We may be required to make distributions to stockholders at disadvantageous times or when we do not have funds readily available for distribution, and we may be unable to pursue investments that would be otherwise advantageous to us in order to remain qualified as a REIT. Thus, compliance with the REIT requirements may hinder our ability to make and, in certain cases, to maintain ownership of, certain attractive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force us to liquidate otherwise attractive investments.</w:t>
      </w:r>
    </w:p>
    <w:p>
      <w:pPr>
        <w:spacing w:after="0" w:line="17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sell otherwise attractive investments from our investment portfolio. These actions could have the effect of reducing our income and amounts available for distribution to our stockholders.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Liquidation of assets may jeopardize our REIT qualification or create additional tax liability for us.</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To remain qualified as a REIT, we must comply with requirements regarding the composition of our assets and our sources of income. If we are compelled to liquidate our investments to repay obligations to our lenders, we may be unable to comply with these requirements, ultimately jeopardizing our qualification as a REIT, or we may be subject to a 100% tax on any resultant gain if we sell assets that are treated as dealer property or inventory.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REIT provisions of the Internal Revenue Code could substantially limit our ability to hedge our liabilities. Any income from a properly designated hedging transaction to manage risk of interest rate changes with respect to borrowings made or to be made, or ordinary obligations incurred or to be incurred, to acquire or carry real estate assets generally does not constitute "gross income" for purposes of the 75% or 95% gross income tests. To the extent that we enter into other types of hedging transactions, the income from those transactions is likely to be treated as non-qualifying income for purposes of both gross income tests. As such, we may have to limit our use of advantageous hedging techniques or implement those hedges through a TRS. This could increase the cost of our hedging activities as our TRS would be subject to tax on gains or expose us to greater risks associated with changes in interest rates than we would otherwise want to bear. In addition, losses in a TRS will generally not provide any tax benefit, except for being carried forward against future taxable income in the TRS.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exists with respect to the treatment of our TBAs for purposes of the REIT asset and income tests.</w:t>
      </w:r>
    </w:p>
    <w:p>
      <w:pPr>
        <w:spacing w:after="0" w:line="17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 legal opinion of Skadden, Arps, Slate, Meagher &amp; Flom LLP (“Skadden”) substantially to the effect that (i) for purposes of the REIT asset tests, our ownership of a TBA should be treated as ownership of the underlying Agency RMBS, and (ii) for purposes of the 75% REIT gross income test, any gain recognized by us in 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Skadden’s opinion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Skadden’s opinion, we could be subject to a penalty tax or we could fail to remain qualified as a REIT if a sufficient portion of our assets consists of TBAs or a sufficient portion of our income consists of income or gains from the disposition of TBAs.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Internal Revenue Code.</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Qualification as a REIT involves the application of highly technical and complex Internal Revenue Code provisions on a continuous basis for which only limited judicial and administrative authorities exist. Our application of such provisions may be dependent on interpretations of the provisions by the staff of the Internal Revenue Service, which may change over time. Even a technical or inadvertent violation of the Internal Revenue Code provisions could jeopardize our REIT qualification.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on prohibited transactions could limit our ability to engage in certain transactions.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assets or structure transactions in a manner that is treated as a prohibited transaction for federal income tax purposes.</w:t>
      </w:r>
    </w:p>
    <w:p>
      <w:pPr>
        <w:spacing w:after="0" w:line="13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intend to structure our activities to avoid classification as prohibited transactions.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Thus, no assurance can be given that any property that we sell will not be treated as such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at the entity’s regular corporate rates.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Distributions to tax-exempt investors may be classified as unrelated business taxable income.</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Although distributions with respect to our common stock generally do not constitute unrelated business taxable income, there are some circumstances where they may. If (i) we generate "excess inclusion income" as a result of all or a portion of our assets being subject to rules relating to "taxable mortgage pools" or as a result of holding residual interests in a REMIC or (ii) we become a "pension held REIT," then a portion of the distributions to tax exempt investors may be subject to U.S. federal income tax as unrelated business taxable income under the Code.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exemption from regulation pursuant to the Investment Company Act would adversely affect us.</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spacing w:after="0" w:line="11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directly or indirectly hold all the certificates issued by the pool ("whole pool" securities) as qualifying real estate interests based on pronouncements of the SEC staff. We treat partial pool securities, CRT and other mortgage related securities as real estate-related assets. Consequently, our ability to satisfy the exemption under the Investment Company Act is dependent upon our ability to acquire and hold on a continuous basis a sufficient amount of whole pool securities. The availability of whole pool securities may be adversely impacted by a variety of factors, including GSE pooling practices, which can change over time, housing finance reform initiatives and competition for whole pool securities with other mortgage REITs.</w:t>
      </w:r>
    </w:p>
    <w:p>
      <w:pPr>
        <w:spacing w:after="0" w:line="11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Additionally, if the SEC determines that any of our securities are not qualifying interests in real estate or real estate-related assets, otherwise believes we do not satisfy the above exceptions or changes its interpretation with respect to these securities or the above exceptions, we could be required to restructure our activities or sell certain of our assets. As such, we cannot guarantee that we will be able to acquire or hold enough whole pool securities to maintain our exemption under the Investment Company Act, and our compliance with these requirements may at times lead us to adopt less efficient methods of financing certain of our investments or to forego acquiring higher yielding securities. Importantly, if we fail to qualify for this exemption, our ability to use leverage would be substantially reduced and we would be unable to conduct our business as we currently conduct it, which could materially and adversely affect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market price and trading volume of our common stock may be highly volatile and subject to wide fluctuations. If the market price of our common stock declines significantly, stockholders may be unable to resell shares at a gain. Furthermore, fluctuations in the trading price of our common stock may adversely affect the liquidity of our common stock and our ability to raise additional equity capital. Price fluctuations may result in our stock trading below our reported net tangible book value per share for extended periods of time. Variations in the price of our common stock can be affected by any one of the risk factors described herein. Variations may also occur due to a variety of factors unrelated to our financial performance, such as:</w:t>
      </w:r>
    </w:p>
    <w:p>
      <w:pPr>
        <w:spacing w:after="0" w:line="107" w:lineRule="exact"/>
        <w:rPr>
          <w:sz w:val="20"/>
          <w:szCs w:val="20"/>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3" w:lineRule="exact"/>
        <w:rPr>
          <w:rFonts w:ascii="Arial" w:cs="Arial" w:eastAsia="Arial" w:hAnsi="Arial"/>
          <w:sz w:val="18"/>
          <w:szCs w:val="18"/>
          <w:color w:val="auto"/>
        </w:rPr>
      </w:pPr>
    </w:p>
    <w:p>
      <w:pPr>
        <w:ind w:left="660" w:hanging="247"/>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policy, rules and regulations applicable to mortgage REITs, including tax laws, financial accounting and reporting standards, and exemptions from the Investment Company Act of 1940, as amended;</w:t>
      </w: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 as well as relative to levels expected by securities analysts;</w:t>
      </w:r>
    </w:p>
    <w:p>
      <w:pPr>
        <w:spacing w:after="0" w:line="9" w:lineRule="exact"/>
        <w:rPr>
          <w:rFonts w:ascii="Arial" w:cs="Arial" w:eastAsia="Arial" w:hAnsi="Arial"/>
          <w:sz w:val="18"/>
          <w:szCs w:val="18"/>
          <w:color w:val="auto"/>
        </w:rPr>
      </w:pPr>
    </w:p>
    <w:p>
      <w:pPr>
        <w:ind w:left="660" w:right="20" w:hanging="247"/>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shares of common stock or securities convertible into common stock, which may be issued at a price below tangible net book value per share of common stock;</w:t>
      </w: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adverse market reaction to any increased indebtedness we incur in the future or issuance of preferred stock senior in priority to our common stock;</w:t>
      </w:r>
    </w:p>
    <w:p>
      <w:pPr>
        <w:spacing w:after="0" w:line="32" w:lineRule="exact"/>
        <w:rPr>
          <w:rFonts w:ascii="Arial" w:cs="Arial" w:eastAsia="Arial" w:hAnsi="Arial"/>
          <w:sz w:val="16"/>
          <w:szCs w:val="16"/>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actions by stockholders, individually or collectively;</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our dividend policy; and</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our targeted investments or investment guidelines.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established a minimum dividend payment level and may be unable to pay dividends in the future.</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of Directors and will depend on our earnings and financial condition, the requirements for REIT qualification and such other factors as our Board of Directors deems relevant from time to time. Additionally, our preferred stock has a preference on dividend payments and liquidating distributions that could limit our ability to pay dividends to the holders of our common stock. Therefore, we may not be able to make distributions in the future or our Board of Directors may change our dividend policy.</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generally does not permit ownership of more than 9.8% of our common or capital stock and attempts to acquire amounts above this limit will be ineffective unless an exemption is granted by our Board of Directors.</w:t>
      </w:r>
    </w:p>
    <w:p>
      <w:pPr>
        <w:spacing w:after="0" w:line="116"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For the purpose of complying with REIT ownership limitations under the Internal Revenue Code, our amended and restated certificate of incorporation generally prohibits beneficial or constructive ownership by any person of more than 9.8% of our common or capital stock (by value or by number of shares, whichever is more restrictive), unless exempted by our Board of Directors. Such constructive ownership rules are complex and may cause the outstanding stock owned by a group of related individuals or entities to be deemed to be constructively owned by one individual or entity. As a result, the acquisition of 9.8% or less of the outstanding stock by an individual, entity or group could result in constructive ownership greater than 9.8% and thus be subject to our amended and restated certificate of incorporation's ownership limit. Any attempt to own or transfer shares of our common or preferred stock more than the ownership limit without the consent of the Board of Directors will result in the shares being automatically transferred to a charitable trust or, if the transfer to a charitable trust would not be effective, such transfer being treated as invalid from the outset. Such ownership limit could also delay or prevent a transaction or a change in our control that might involve a premium price for our common stock or otherwise be in the best interest of our stockholders.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own any property. Our executive offices are in Bethesda, Maryland.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52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common stock is listed on the Nasdaq Global Select Market under the symbol "AGNC." As of January 31, 2021, 537,899,803 shares of common stock were issued and outstanding, which were held by 1,224 stockholders of record. Most of the shares of our common stock are held by brokers and other institutions on behalf of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intend to pay dividends monthly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 Additionally, holders of depositary shares underlying our preferred stock are entitled to receive cumulative cash dividends before holders of our common stock are entitled to receive any dividends. See Note 9 to our Consolidated Financial Statements in this Form 10-K for a description of our preferred stock and for common and preferred stock dividends paid for the three years ended December 31, 2020. All distributions to stockholders will be made at the discretion of our Board of Directors and will depend on our earnings, financial condition, maintenance of our REIT status and other factors as our Board of Directors may deem relevant from time to time.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26, 2020, we announced that our Board of Directors terminated a previously existing stock repurchase authorization that was due to expire December 31, 2020 and replaced it with a new authorization to repurchase up to $1 billion of common stock through December 31, 2021. As of December 31, 2020, the Company had repurchased shares an aggregate amount of $101 million under the program and had $0.9 billion of common stock remaining available for repurchase. The following table presents information with respect to purchases of our common stock made during the fourth quarter ended December 31, 2020 by us or any "affiliated purchaser" of us, as defined in Rule 10b-18(a)(3) under the Exchange Act (in millions,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Total Number of Shares</w:t>
            </w: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Net Price</w:t>
            </w:r>
          </w:p>
        </w:tc>
        <w:tc>
          <w:tcPr>
            <w:tcW w:w="2100" w:type="dxa"/>
            <w:vAlign w:val="bottom"/>
            <w:gridSpan w:val="2"/>
            <w:vMerge w:val="continue"/>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Publicly</w:t>
            </w:r>
          </w:p>
        </w:tc>
        <w:tc>
          <w:tcPr>
            <w:tcW w:w="0" w:type="dxa"/>
            <w:vAlign w:val="bottom"/>
          </w:tcPr>
          <w:p>
            <w:pPr>
              <w:spacing w:after="0"/>
              <w:rPr>
                <w:sz w:val="1"/>
                <w:szCs w:val="1"/>
                <w:color w:val="auto"/>
              </w:rPr>
            </w:pPr>
          </w:p>
        </w:tc>
      </w:tr>
      <w:tr>
        <w:trPr>
          <w:trHeight w:val="135"/>
        </w:trPr>
        <w:tc>
          <w:tcPr>
            <w:tcW w:w="408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 xml:space="preserve">Period </w:t>
            </w:r>
            <w:r>
              <w:rPr>
                <w:rFonts w:ascii="Arial" w:cs="Arial" w:eastAsia="Arial" w:hAnsi="Arial"/>
                <w:sz w:val="18"/>
                <w:szCs w:val="18"/>
                <w:b w:val="1"/>
                <w:bCs w:val="1"/>
                <w:color w:val="auto"/>
                <w:vertAlign w:val="superscript"/>
              </w:rPr>
              <w:t>1</w:t>
            </w:r>
          </w:p>
        </w:tc>
        <w:tc>
          <w:tcPr>
            <w:tcW w:w="152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1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 Programs</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of Shares Purchased</w:t>
            </w: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Paid Per Share</w:t>
            </w:r>
          </w:p>
        </w:tc>
        <w:tc>
          <w:tcPr>
            <w:tcW w:w="21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Announced Plans or Programs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1, 2020 - October 31, 2020</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$1,000</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November 1, 2020 - November 30, 2020</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0.9</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3"/>
              </w:rPr>
              <w:t>$14.17</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2"/>
              </w:rPr>
              <w:t>0.9</w:t>
            </w: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4"/>
              </w:rPr>
              <w:t>987</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 2020 - December 31, 2020</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5.7</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$15.50</w:t>
            </w:r>
          </w:p>
        </w:tc>
        <w:tc>
          <w:tcPr>
            <w:tcW w:w="100" w:type="dxa"/>
            <w:vAlign w:val="bottom"/>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5.7</w:t>
            </w:r>
          </w:p>
        </w:tc>
        <w:tc>
          <w:tcPr>
            <w:tcW w:w="80" w:type="dxa"/>
            <w:vAlign w:val="bottom"/>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899</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6.6</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$15.32</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6.6</w:t>
            </w:r>
          </w:p>
        </w:tc>
        <w:tc>
          <w:tcPr>
            <w:tcW w:w="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$899</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are reported based on the trade date of the share repurchase.</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7"/>
          <w:szCs w:val="17"/>
          <w:color w:val="auto"/>
        </w:rPr>
        <w:t>The following table summarizes information, as of December 31, 2020, concerning shares of our common stock authorized for issuance under our equity compensation plans, pursuant to which grants of equity-based awards, namely restricted stock units ("RSUs"), may be granted from time to time. See Note 10 to our Consolidated Financial Statements in this Form 10-K for a description of our equity compensation plans.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available for future issuance</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12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exercise price of</w:t>
            </w:r>
          </w:p>
        </w:tc>
        <w:tc>
          <w:tcPr>
            <w:tcW w:w="2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under equity compensation plans</w:t>
            </w:r>
          </w:p>
        </w:tc>
        <w:tc>
          <w:tcPr>
            <w:tcW w:w="0" w:type="dxa"/>
            <w:vAlign w:val="bottom"/>
          </w:tcPr>
          <w:p>
            <w:pPr>
              <w:spacing w:after="0"/>
              <w:rPr>
                <w:sz w:val="1"/>
                <w:szCs w:val="1"/>
                <w:color w:val="auto"/>
              </w:rPr>
            </w:pPr>
          </w:p>
        </w:tc>
      </w:tr>
      <w:tr>
        <w:trPr>
          <w:trHeight w:val="135"/>
        </w:trPr>
        <w:tc>
          <w:tcPr>
            <w:tcW w:w="548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1"/>
                <w:szCs w:val="11"/>
                <w:color w:val="auto"/>
              </w:rPr>
            </w:pPr>
          </w:p>
        </w:tc>
        <w:tc>
          <w:tcPr>
            <w:tcW w:w="1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warrants</w:t>
            </w:r>
          </w:p>
        </w:tc>
        <w:tc>
          <w:tcPr>
            <w:tcW w:w="120" w:type="dxa"/>
            <w:vAlign w:val="bottom"/>
          </w:tcPr>
          <w:p>
            <w:pPr>
              <w:spacing w:after="0"/>
              <w:rPr>
                <w:sz w:val="11"/>
                <w:szCs w:val="11"/>
                <w:color w:val="auto"/>
              </w:rPr>
            </w:pPr>
          </w:p>
        </w:tc>
        <w:tc>
          <w:tcPr>
            <w:tcW w:w="15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2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(excluding securities reflected in</w:t>
            </w:r>
          </w:p>
        </w:tc>
        <w:tc>
          <w:tcPr>
            <w:tcW w:w="0" w:type="dxa"/>
            <w:vAlign w:val="bottom"/>
          </w:tcPr>
          <w:p>
            <w:pPr>
              <w:spacing w:after="0"/>
              <w:rPr>
                <w:sz w:val="1"/>
                <w:szCs w:val="1"/>
                <w:color w:val="auto"/>
              </w:rPr>
            </w:pPr>
          </w:p>
        </w:tc>
      </w:tr>
      <w:tr>
        <w:trPr>
          <w:trHeight w:val="189"/>
        </w:trPr>
        <w:tc>
          <w:tcPr>
            <w:tcW w:w="5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and rights </w:t>
            </w:r>
            <w:r>
              <w:rPr>
                <w:rFonts w:ascii="Arial" w:cs="Arial" w:eastAsia="Arial" w:hAnsi="Arial"/>
                <w:sz w:val="18"/>
                <w:szCs w:val="18"/>
                <w:b w:val="1"/>
                <w:bCs w:val="1"/>
                <w:color w:val="auto"/>
                <w:w w:val="91"/>
                <w:vertAlign w:val="superscript"/>
              </w:rPr>
              <w:t>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warrants and rights</w:t>
            </w:r>
          </w:p>
        </w:tc>
        <w:tc>
          <w:tcPr>
            <w:tcW w:w="16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2"/>
              </w:rPr>
              <w:t xml:space="preserve">the first column of this table) </w:t>
            </w:r>
            <w:r>
              <w:rPr>
                <w:rFonts w:ascii="Arial" w:cs="Arial" w:eastAsia="Arial" w:hAnsi="Arial"/>
                <w:sz w:val="18"/>
                <w:szCs w:val="18"/>
                <w:b w:val="1"/>
                <w:bCs w:val="1"/>
                <w:color w:val="auto"/>
                <w:w w:val="92"/>
                <w:vertAlign w:val="superscript"/>
              </w:rPr>
              <w:t>2</w:t>
            </w:r>
          </w:p>
        </w:tc>
        <w:tc>
          <w:tcPr>
            <w:tcW w:w="0" w:type="dxa"/>
            <w:vAlign w:val="bottom"/>
          </w:tcPr>
          <w:p>
            <w:pPr>
              <w:spacing w:after="0"/>
              <w:rPr>
                <w:sz w:val="1"/>
                <w:szCs w:val="1"/>
                <w:color w:val="auto"/>
              </w:rPr>
            </w:pPr>
          </w:p>
        </w:tc>
      </w:tr>
      <w:tr>
        <w:trPr>
          <w:trHeight w:val="21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4,911,475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120" w:type="dxa"/>
            <w:vAlign w:val="bottom"/>
            <w:shd w:val="clear" w:color="auto" w:fill="CCEEFF"/>
          </w:tcPr>
          <w:p>
            <w:pPr>
              <w:jc w:val="right"/>
              <w:ind w:right="465"/>
              <w:spacing w:after="0"/>
              <w:rPr>
                <w:sz w:val="20"/>
                <w:szCs w:val="20"/>
                <w:color w:val="auto"/>
              </w:rPr>
            </w:pPr>
            <w:r>
              <w:rPr>
                <w:rFonts w:ascii="Arial" w:cs="Arial" w:eastAsia="Arial" w:hAnsi="Arial"/>
                <w:sz w:val="16"/>
                <w:szCs w:val="16"/>
                <w:color w:val="auto"/>
              </w:rPr>
              <w:t>4,803,022</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4,911,475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120" w:type="dxa"/>
            <w:vAlign w:val="bottom"/>
            <w:shd w:val="clear" w:color="auto" w:fill="CCEEFF"/>
          </w:tcPr>
          <w:p>
            <w:pPr>
              <w:jc w:val="right"/>
              <w:ind w:right="665"/>
              <w:spacing w:after="0"/>
              <w:rPr>
                <w:sz w:val="20"/>
                <w:szCs w:val="20"/>
                <w:color w:val="auto"/>
              </w:rPr>
            </w:pPr>
            <w:r>
              <w:rPr>
                <w:rFonts w:ascii="Arial" w:cs="Arial" w:eastAsia="Arial" w:hAnsi="Arial"/>
                <w:sz w:val="16"/>
                <w:szCs w:val="16"/>
                <w:color w:val="auto"/>
              </w:rPr>
              <w:t>4,803,022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jc w:val="both"/>
        <w:ind w:left="660" w:hanging="328"/>
        <w:spacing w:after="0" w:line="248"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2020.</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left="660" w:hanging="328"/>
        <w:spacing w:after="0" w:line="273"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Available shares are reduced by items (i), (ii) and (iii) noted above and by shares issued for vested awards, net of units withheld to cover minimum statutory tax withholding requirements paid by us in cash on behalf of the employee.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following graph and table compare a stockholder's cumulative total return, assuming $100 invested at December 31, 2015, with the reinvestment of all dividends, as if such amounts had been invested in: (i) our common stock; (ii) the stocks included in the Standard &amp; Poor's 500 Stock Index ("S&amp;P 500"); (iii) the stocks included in the FTSE NAREIT Mortgage REIT Index; and (iv) an index of selected issuers in our peer group, composed of Annaly Capital Management, Inc., Anworth Mortgage Asset Corporation, Capstead Mortgage Corporation, Armour Residential REIT, Inc, Two Harbors Investment Corp, Invesco Mortgage Capital, Inc and Dynex Capital, Inc (collectively, the "Agency REIT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86360</wp:posOffset>
            </wp:positionV>
            <wp:extent cx="5143500" cy="4029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420"/>
        <w:spacing w:after="0"/>
        <w:tabs>
          <w:tab w:leader="none" w:pos="620" w:val="left"/>
        </w:tabs>
        <w:rPr>
          <w:sz w:val="20"/>
          <w:szCs w:val="20"/>
          <w:color w:val="auto"/>
        </w:rPr>
      </w:pPr>
      <w:r>
        <w:rPr>
          <w:rFonts w:ascii="Arial" w:cs="Arial" w:eastAsia="Arial" w:hAnsi="Arial"/>
          <w:sz w:val="14"/>
          <w:szCs w:val="14"/>
          <w:color w:val="auto"/>
        </w:rPr>
        <w:t>*</w:t>
        <w:tab/>
        <w:t>$100 invested on 12/31/15 in stock or index, including reinvestment of dividends.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5960" w:type="dxa"/>
            <w:vAlign w:val="bottom"/>
          </w:tcPr>
          <w:p>
            <w:pPr>
              <w:ind w:left="620"/>
              <w:spacing w:after="0"/>
              <w:rPr>
                <w:sz w:val="20"/>
                <w:szCs w:val="20"/>
                <w:color w:val="auto"/>
              </w:rPr>
            </w:pPr>
            <w:r>
              <w:rPr>
                <w:rFonts w:ascii="Arial" w:cs="Arial" w:eastAsia="Arial" w:hAnsi="Arial"/>
                <w:sz w:val="14"/>
                <w:szCs w:val="14"/>
                <w:color w:val="auto"/>
              </w:rPr>
              <w:t>Fiscal year ending December 31.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7"/>
        </w:trPr>
        <w:tc>
          <w:tcPr>
            <w:tcW w:w="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87"/>
        </w:trPr>
        <w:tc>
          <w:tcPr>
            <w:tcW w:w="40" w:type="dxa"/>
            <w:vAlign w:val="bottom"/>
          </w:tcPr>
          <w:p>
            <w:pPr>
              <w:spacing w:after="0"/>
              <w:rPr>
                <w:sz w:val="16"/>
                <w:szCs w:val="16"/>
                <w:color w:val="auto"/>
              </w:rPr>
            </w:pPr>
          </w:p>
        </w:tc>
        <w:tc>
          <w:tcPr>
            <w:tcW w:w="5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r>
      <w:tr>
        <w:trPr>
          <w:trHeight w:val="184"/>
        </w:trPr>
        <w:tc>
          <w:tcPr>
            <w:tcW w:w="40" w:type="dxa"/>
            <w:vAlign w:val="bottom"/>
          </w:tcPr>
          <w:p>
            <w:pPr>
              <w:spacing w:after="0"/>
              <w:rPr>
                <w:sz w:val="15"/>
                <w:szCs w:val="15"/>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AGNC Investment Corp.</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118.19</w:t>
            </w:r>
          </w:p>
        </w:tc>
      </w:tr>
      <w:tr>
        <w:trPr>
          <w:trHeight w:val="186"/>
        </w:trPr>
        <w:tc>
          <w:tcPr>
            <w:tcW w:w="40" w:type="dxa"/>
            <w:vAlign w:val="bottom"/>
          </w:tcPr>
          <w:p>
            <w:pPr>
              <w:spacing w:after="0"/>
              <w:rPr>
                <w:sz w:val="16"/>
                <w:szCs w:val="16"/>
                <w:color w:val="auto"/>
              </w:rPr>
            </w:pPr>
          </w:p>
        </w:tc>
        <w:tc>
          <w:tcPr>
            <w:tcW w:w="5960" w:type="dxa"/>
            <w:vAlign w:val="bottom"/>
          </w:tcPr>
          <w:p>
            <w:pPr>
              <w:ind w:left="20"/>
              <w:spacing w:after="0"/>
              <w:rPr>
                <w:sz w:val="20"/>
                <w:szCs w:val="20"/>
                <w:color w:val="auto"/>
              </w:rPr>
            </w:pPr>
            <w:r>
              <w:rPr>
                <w:rFonts w:ascii="Arial" w:cs="Arial" w:eastAsia="Arial" w:hAnsi="Arial"/>
                <w:sz w:val="14"/>
                <w:szCs w:val="14"/>
                <w:color w:val="auto"/>
              </w:rPr>
              <w:t>S&amp;P 500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203.04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171.49</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130.42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136.40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111.96</w:t>
            </w:r>
          </w:p>
        </w:tc>
      </w:tr>
      <w:tr>
        <w:trPr>
          <w:trHeight w:val="192"/>
        </w:trPr>
        <w:tc>
          <w:tcPr>
            <w:tcW w:w="40" w:type="dxa"/>
            <w:vAlign w:val="bottom"/>
          </w:tcPr>
          <w:p>
            <w:pPr>
              <w:spacing w:after="0"/>
              <w:rPr>
                <w:sz w:val="16"/>
                <w:szCs w:val="16"/>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FTSE NAREIT Mortgage REITs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122.85</w:t>
            </w:r>
          </w:p>
        </w:tc>
      </w:tr>
      <w:tr>
        <w:trPr>
          <w:trHeight w:val="179"/>
        </w:trPr>
        <w:tc>
          <w:tcPr>
            <w:tcW w:w="40" w:type="dxa"/>
            <w:vAlign w:val="bottom"/>
          </w:tcPr>
          <w:p>
            <w:pPr>
              <w:spacing w:after="0"/>
              <w:rPr>
                <w:sz w:val="15"/>
                <w:szCs w:val="15"/>
                <w:color w:val="auto"/>
              </w:rPr>
            </w:pPr>
          </w:p>
        </w:tc>
        <w:tc>
          <w:tcPr>
            <w:tcW w:w="5960" w:type="dxa"/>
            <w:vAlign w:val="bottom"/>
          </w:tcPr>
          <w:p>
            <w:pPr>
              <w:ind w:left="20"/>
              <w:spacing w:after="0" w:line="179" w:lineRule="exact"/>
              <w:rPr>
                <w:sz w:val="20"/>
                <w:szCs w:val="20"/>
                <w:color w:val="auto"/>
              </w:rPr>
            </w:pPr>
            <w:r>
              <w:rPr>
                <w:rFonts w:ascii="Arial" w:cs="Arial" w:eastAsia="Arial" w:hAnsi="Arial"/>
                <w:sz w:val="14"/>
                <w:szCs w:val="14"/>
                <w:color w:val="auto"/>
              </w:rPr>
              <w:t xml:space="preserve">Agency REIT Peer Group </w:t>
            </w:r>
            <w:r>
              <w:rPr>
                <w:rFonts w:ascii="Arial" w:cs="Arial" w:eastAsia="Arial" w:hAnsi="Arial"/>
                <w:sz w:val="18"/>
                <w:szCs w:val="18"/>
                <w:color w:val="auto"/>
                <w:vertAlign w:val="superscript"/>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129.36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158.51</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141.08</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154.71</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121.24</w:t>
            </w:r>
          </w:p>
        </w:tc>
      </w:tr>
      <w:tr>
        <w:trPr>
          <w:trHeight w:val="125"/>
        </w:trPr>
        <w:tc>
          <w:tcPr>
            <w:tcW w:w="6000" w:type="dxa"/>
            <w:vAlign w:val="bottom"/>
            <w:gridSpan w:val="2"/>
          </w:tcPr>
          <w:p>
            <w:pPr>
              <w:jc w:val="right"/>
              <w:ind w:right="4188"/>
              <w:spacing w:after="0" w:line="125" w:lineRule="exact"/>
              <w:rPr>
                <w:sz w:val="20"/>
                <w:szCs w:val="20"/>
                <w:color w:val="auto"/>
              </w:rPr>
            </w:pPr>
            <w:r>
              <w:rPr>
                <w:rFonts w:ascii="Arial" w:cs="Arial" w:eastAsia="Arial" w:hAnsi="Arial"/>
                <w:sz w:val="11"/>
                <w:szCs w:val="11"/>
                <w:color w:val="auto"/>
                <w:w w:val="87"/>
              </w:rPr>
              <w:t>________________________________</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ind w:left="420"/>
        <w:spacing w:after="0"/>
        <w:tabs>
          <w:tab w:leader="none" w:pos="6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Agency REIT Peer Group annual return is calculated on a weighted basis by market cap at the end of the previous year.</w:t>
      </w:r>
    </w:p>
    <w:p>
      <w:pPr>
        <w:spacing w:after="0" w:line="236" w:lineRule="exact"/>
        <w:rPr>
          <w:sz w:val="20"/>
          <w:szCs w:val="20"/>
          <w:color w:val="auto"/>
        </w:rPr>
      </w:pPr>
    </w:p>
    <w:p>
      <w:pPr>
        <w:jc w:val="both"/>
        <w:ind w:firstLine="502"/>
        <w:spacing w:after="0" w:line="263" w:lineRule="auto"/>
        <w:rPr>
          <w:sz w:val="20"/>
          <w:szCs w:val="20"/>
          <w:color w:val="auto"/>
        </w:rPr>
      </w:pPr>
      <w:r>
        <w:rPr>
          <w:rFonts w:ascii="Arial" w:cs="Arial" w:eastAsia="Arial" w:hAnsi="Arial"/>
          <w:sz w:val="18"/>
          <w:szCs w:val="18"/>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Not applicable. (Please refer to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under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for selected financial data for the three years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Annual Report on Form 10-K. Our MD&amp;A is presented in eight sections:</w:t>
      </w:r>
    </w:p>
    <w:p>
      <w:pPr>
        <w:spacing w:after="0" w:line="4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Summary of Critical Accounting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Contractual Obligations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are a leading provider of private capital to the U.S. housing market, enhancing liquidity in the residential real estate mortgage markets and, in turn, facilitating home ownership in the U.S. We invest primarily in Agency RMBS on a leveraged basis. These investments consist of residential mortgage pass-through securities and collateralized mortgage obligations for which the principal and interest payments are guaranteed by a U.S. Government-sponsored enterprise, such as Fannie Mae and Freddie Mac, or by a U.S. Government agency, such as Ginnie Mae. We may also invest in other assets related to the housing, mortgage or real estate markets that are not guaranteed by a GSE or U.S. Government agency.</w:t>
      </w:r>
    </w:p>
    <w:p>
      <w:pPr>
        <w:spacing w:after="0" w:line="12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are internally managed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March 2020, the COVID-19 pandemic triggered one of the most severe and sudden financial market downturns in U.S. history. As the U.S and the world grappled with the rapidly deteriorating public health situation late in the first quarter, financial markets experienced historically rapid and severe liquidity shortfalls and declined precipitously. The Fed and the U.S. Treasury, together with their global counterparts, took decisive actions to allay the global financial crisis in late March and early April, which stabilized the financial markets and ultimately drove a recovery throughout the remainder of the year. In the U.S., the Fed's unprecedented monetary accommodation, which included substantial outright purchases of U.S. Treasury and Agency RMBS securities and a near-zero interest rate policy, and a massive fiscal stimulus package drove a rebound across substantially all asset categories. By year-end, U.S. Treasury and Agency RMBS markets had fully stabilized, equity markets had rebounded to new highs, and credit spreads had tightened to pre-COVID levels as a result of the ongoing monetary and fiscal stimulus and optimism regarding vaccine efficacy, the combination of which boosted prospects for a broad-based economic recovery that is expected to gain significant momentum in the latter half of 2021.</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response to the Pandemic and resulting market disruptions and volatility, we took early action to strengthen our liquidity position and mitigate risk across our portfolio. We repositioned the portfolio and increased more efficient funding sourced from our captive broker-dealer subsidiary, benefiting AGNC’s overall liquidity position and, in turn, avoiding the need to make significant portfolio sales at distressed levels to meet margin calls. As a result, after experiencing a significant book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jc w:val="both"/>
        <w:spacing w:after="0" w:line="287" w:lineRule="auto"/>
        <w:rPr>
          <w:sz w:val="20"/>
          <w:szCs w:val="20"/>
          <w:color w:val="auto"/>
        </w:rPr>
      </w:pPr>
      <w:r>
        <w:rPr>
          <w:rFonts w:ascii="Arial" w:cs="Arial" w:eastAsia="Arial" w:hAnsi="Arial"/>
          <w:sz w:val="16"/>
          <w:szCs w:val="16"/>
          <w:color w:val="auto"/>
        </w:rPr>
        <w:t>value decline in the first quarter of 2020, resulting in an economic loss for the quarter of -20.2%, AGNC posted three straight quarters of substantial economic returns: 12.2%, 8.8%, and 7.5%, respectively. This strong performance drove a full year 2020 economic return of 3.5%, comprised of $1.56 in cash dividends per common share and a ($0.95) per share decline in tangible net book value per common share. Considering the extraordinarily difficult market conditions in the first quarter, these results demonstrate the importance and value of AGNC's disciplined investment framework and risk management practices. Moreover, the experience of 2020 clearly illustrates the unique value of a predominately Agency RMBS portfolio. In times of significant market stress, the Fed has repeatedly shown a commitment to supporting and stabilizing the U.S. housing finance system because of the significant impact this market has on the broader social and economic well-being of the country. 2020 was no exception, as the Fed purchased $1.5 trillion of Agency RMBS during the year and held approximately 30% of all outstanding Agency RMBS at year end. Our portfolio management throughout the year, coupled with the Fed's continued support of the RMBS market, ultimately facilitated AGNC's recovery of substantially all of the tangible net book value decline experienced in the first quarter. Importantly, the Fed has signaled that it intends to maintain its accommodative monetary policy stance until its objectives of maximum employment and long-term average inflation targets are achieved and that it expects to continue to increase its holdings of U.S. Treasury securities and Agency RMBS until substantial further progress has been made toward achieving these goals.</w:t>
      </w:r>
    </w:p>
    <w:p>
      <w:pPr>
        <w:spacing w:after="0" w:line="1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Fed's actions and strong demand for Agency RMBS drove primary mortgage rates to historic lows during the year and triggered the largest mortgage refinance wave in almost 20 years. To manage the risk of increased prepayments on our portfolio, we shifted the composition of our portfolio to include a greater share to lower coupon 30 and 15-year TBA securities, while maintaining our higher coupon holdings concentrated in high quality, specified Agency RMBS pools. In this elevated prepayment environment, our higher coupon specified pools performed considerably better than more generic RMBS, while our lower coupon holdings benefited from the extremely favorable funding conditions in the TBA dollar roll market, a result of significant new Agency RMBS issuance and the Fed's high level of participation.</w:t>
      </w:r>
    </w:p>
    <w:p>
      <w:pPr>
        <w:spacing w:after="0" w:line="1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2020, our investment portfolio totaled $97.9 billion, consisting of $65.1 billion Agency RMBS, $31.5 billion TBA securities, and $1.3 billion of CRT and non-Agency securities. Our "at risk" leverage, as of December 31, 2020, was 8.5x our tangible equity, and our liquidity position, consisting of unencumbered Agency RMBS and cash, was $5.4 billion, which excludes unencumbered credit assets and assets held at our broker-dealer subsidiary. The average prepayment rate on our Agency RMBS holdings during the year peaked at an annualized rate of 27.6% for the fourth quarter, significantly below speeds for similar coupon generic securities. As of December 31, 2020, our Agency RMBS had an average remaining life CPR forecast of 17.6%.</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interest rate exposure remained limited throughout the year despite significant movements in interest rates as we actively managed the size and composition of our interest rate hedge position in response to changing market conditions. In the fourth quarter, we increased our interest rate hedge ratio to 80% of our funding liabilities (compared to our intra-year low of 66% at the end of the second quarter) as the macroeconomic outlook became more favorable and the risk of higher longer term interest rates increased. Our duration gap, which is a measure of the difference between the interest rate sensitivity of our assets and liabilities, inclusive of our interest rate hedges, was -0.5 years as of December 31, 2020, consistent with the reduction of our asset durations and our bias in the current environment to operate with incrementally more up-rate protection.</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The funding environment for Agency RMBS remained favorable throughout the year. The Agency MBS repo market remained highly liquid and functioned normally, even during the broad financial market turmoil experienced in March. Our average funding cost moved steadily lower over the course of the year as the Fed acted quickly to reduce the Fed Funds rate to the zero bound range early in the crisis. As of December 31, 2020, our average repo rate was 0.24%, down substantially from 2.17% at the start of the year. These favorable repo rates, even lower implied financing rates in the TBA dollar roll market, and reduced interest rate swap costs collectively drove a substantial improvement in our aggregate cost of funds, which declined to 0.05% in the fourth quarter from 1.67% in the first quarter. This very favorable funding dynamic more than offset the decline in asset yields on our portfolio and drove a significant improvement in our net interest spread. As a result of our materially higher net interest spread, net spread and dollar roll income (a non-GAAP measure) totaled $2.70 per common share, excluding "catch-up" amortization cost, for the year. (Refer to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below for further information regarding non-GAAP measures.)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Looking ahead, valuations of all financial assets have become elevated and, in many cases, are now above pre-COVID levels. With Agency RMBS valuations similarly elevated, the expected return profile on new investments has correspondingly declined. As a result, the net interest spread on our investment portfolio is likely to compress moderately as asset cash flows are reinvested at lower prevailing asset yields and the implied funding advantage of TBAs reverts to more historical norms. Nevertheless, we believe Agency RMBS remain attractive on a relative basis for levered investors given the dual benefits of low funding costs and the likelihood of ongoing Fed purchases. We believe that the near zero short-term interest rate environment is likely to remain in place through at least 2023, the Fed is unlikely to begin tapering its Agency RMBS purchases before 2022, and any such tapering will likely be gradual over a multi-month period. Although any decisions by the Fed to taper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jc w:val="both"/>
        <w:spacing w:after="0" w:line="311" w:lineRule="auto"/>
        <w:rPr>
          <w:sz w:val="20"/>
          <w:szCs w:val="20"/>
          <w:color w:val="auto"/>
        </w:rPr>
      </w:pPr>
      <w:r>
        <w:rPr>
          <w:rFonts w:ascii="Arial" w:cs="Arial" w:eastAsia="Arial" w:hAnsi="Arial"/>
          <w:sz w:val="16"/>
          <w:szCs w:val="16"/>
          <w:color w:val="auto"/>
        </w:rPr>
        <w:t>its investments in Agency RMBS could occur earlier or later than our current expectation, the Fed has indicated that it will seek to communicate its intentions well in advance of taking any such action so as to reduce market uncertainty. Importantly, even after the Fed completes the taper process, it has indicated an intention to continue to reinvest portfolio paydowns for an extended period of time, likely until it begins to raise the Federal Funds target.</w:t>
      </w:r>
    </w:p>
    <w:p>
      <w:pPr>
        <w:spacing w:after="0" w:line="9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Nonetheless, we may experience periods of increased volatility as markets begin to price in an eventual shift in the Fed's monetary policy. In the current environment with asset valuations elevated, we may choose to operate at comparatively lower leverage for periods of time to mitigate the potential downside risk to our tangible net book value associated with a reduced Fed presence, as well as to afford us the ability to increase leverage opportunistically when expected return levels are more favorable. That said, the recent increase in longer term interest rates, if it continues, should ultimately lead to a more benign prepayment environment for mortgage assets. Although Agency RMBS valuations have increased along with the vast majority of financial assets over the past several quarters, we believe significant ongoing Fed purchases, potentially slower prepayments, and attractive funding levels should continue to be positive factors for AGNC.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components of our average net interest spread the four quarters ended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color w:val="auto"/>
                <w:w w:val="89"/>
              </w:rPr>
              <w:t>Quarter Ended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21"/>
        </w:trPr>
        <w:tc>
          <w:tcPr>
            <w:tcW w:w="5100" w:type="dxa"/>
            <w:vAlign w:val="bottom"/>
          </w:tcPr>
          <w:p>
            <w:pPr>
              <w:spacing w:after="0"/>
              <w:rPr>
                <w:sz w:val="10"/>
                <w:szCs w:val="10"/>
                <w:color w:val="auto"/>
              </w:rPr>
            </w:pPr>
          </w:p>
        </w:tc>
        <w:tc>
          <w:tcPr>
            <w:tcW w:w="1260" w:type="dxa"/>
            <w:vAlign w:val="bottom"/>
            <w:gridSpan w:val="2"/>
          </w:tcPr>
          <w:p>
            <w:pPr>
              <w:ind w:left="220"/>
              <w:spacing w:after="0" w:line="121" w:lineRule="exact"/>
              <w:rPr>
                <w:sz w:val="20"/>
                <w:szCs w:val="20"/>
                <w:color w:val="auto"/>
              </w:rPr>
            </w:pPr>
            <w:r>
              <w:rPr>
                <w:rFonts w:ascii="Arial" w:cs="Arial" w:eastAsia="Arial" w:hAnsi="Arial"/>
                <w:sz w:val="13"/>
                <w:szCs w:val="13"/>
                <w:color w:val="auto"/>
              </w:rPr>
              <w:t>December 31,</w:t>
            </w:r>
          </w:p>
        </w:tc>
        <w:tc>
          <w:tcPr>
            <w:tcW w:w="1600" w:type="dxa"/>
            <w:vAlign w:val="bottom"/>
            <w:gridSpan w:val="3"/>
          </w:tcPr>
          <w:p>
            <w:pPr>
              <w:ind w:left="200"/>
              <w:spacing w:after="0" w:line="121" w:lineRule="exact"/>
              <w:rPr>
                <w:sz w:val="20"/>
                <w:szCs w:val="20"/>
                <w:color w:val="auto"/>
              </w:rPr>
            </w:pPr>
            <w:r>
              <w:rPr>
                <w:rFonts w:ascii="Arial" w:cs="Arial" w:eastAsia="Arial" w:hAnsi="Arial"/>
                <w:sz w:val="13"/>
                <w:szCs w:val="13"/>
                <w:color w:val="auto"/>
              </w:rPr>
              <w:t>September 30,</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June 30,</w:t>
            </w:r>
          </w:p>
        </w:tc>
        <w:tc>
          <w:tcPr>
            <w:tcW w:w="1120" w:type="dxa"/>
            <w:vAlign w:val="bottom"/>
          </w:tcPr>
          <w:p>
            <w:pPr>
              <w:jc w:val="right"/>
              <w:ind w:right="229"/>
              <w:spacing w:after="0" w:line="121" w:lineRule="exact"/>
              <w:rPr>
                <w:sz w:val="20"/>
                <w:szCs w:val="20"/>
                <w:color w:val="auto"/>
              </w:rPr>
            </w:pPr>
            <w:r>
              <w:rPr>
                <w:rFonts w:ascii="Arial" w:cs="Arial" w:eastAsia="Arial" w:hAnsi="Arial"/>
                <w:sz w:val="13"/>
                <w:szCs w:val="13"/>
                <w:color w:val="auto"/>
              </w:rPr>
              <w:t>March 31,</w:t>
            </w:r>
          </w:p>
        </w:tc>
        <w:tc>
          <w:tcPr>
            <w:tcW w:w="120" w:type="dxa"/>
            <w:vAlign w:val="bottom"/>
          </w:tcPr>
          <w:p>
            <w:pPr>
              <w:spacing w:after="0"/>
              <w:rPr>
                <w:sz w:val="10"/>
                <w:szCs w:val="10"/>
                <w:color w:val="auto"/>
              </w:rPr>
            </w:pPr>
          </w:p>
        </w:tc>
        <w:tc>
          <w:tcPr>
            <w:tcW w:w="1140" w:type="dxa"/>
            <w:vAlign w:val="bottom"/>
          </w:tcPr>
          <w:p>
            <w:pPr>
              <w:jc w:val="center"/>
              <w:spacing w:after="0" w:line="121" w:lineRule="exact"/>
              <w:rPr>
                <w:sz w:val="20"/>
                <w:szCs w:val="20"/>
                <w:color w:val="auto"/>
              </w:rPr>
            </w:pPr>
            <w:r>
              <w:rPr>
                <w:rFonts w:ascii="Arial" w:cs="Arial" w:eastAsia="Arial" w:hAnsi="Arial"/>
                <w:sz w:val="13"/>
                <w:szCs w:val="13"/>
                <w:color w:val="auto"/>
                <w:w w:val="85"/>
              </w:rPr>
              <w:t>December 31,</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14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2020</w:t>
            </w:r>
          </w:p>
        </w:tc>
        <w:tc>
          <w:tcPr>
            <w:tcW w:w="0" w:type="dxa"/>
            <w:vAlign w:val="bottom"/>
          </w:tcPr>
          <w:p>
            <w:pPr>
              <w:spacing w:after="0"/>
              <w:rPr>
                <w:sz w:val="1"/>
                <w:szCs w:val="1"/>
                <w:color w:val="auto"/>
              </w:rPr>
            </w:pPr>
          </w:p>
        </w:tc>
      </w:tr>
      <w:tr>
        <w:trPr>
          <w:trHeight w:val="169"/>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Net interest spread, excluding "catch-up" amortization:</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asset yield:</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tcPr>
          <w:p>
            <w:pPr>
              <w:ind w:left="220"/>
              <w:spacing w:after="0"/>
              <w:rPr>
                <w:sz w:val="20"/>
                <w:szCs w:val="20"/>
                <w:color w:val="auto"/>
              </w:rPr>
            </w:pPr>
            <w:r>
              <w:rPr>
                <w:rFonts w:ascii="Arial" w:cs="Arial" w:eastAsia="Arial" w:hAnsi="Arial"/>
                <w:sz w:val="14"/>
                <w:szCs w:val="14"/>
                <w:color w:val="auto"/>
              </w:rPr>
              <w:t>Investment securities - average asset yield</w:t>
            </w:r>
          </w:p>
        </w:tc>
        <w:tc>
          <w:tcPr>
            <w:tcW w:w="1140" w:type="dxa"/>
            <w:vAlign w:val="bottom"/>
          </w:tcPr>
          <w:p>
            <w:pPr>
              <w:jc w:val="right"/>
              <w:spacing w:after="0"/>
              <w:rPr>
                <w:sz w:val="20"/>
                <w:szCs w:val="20"/>
                <w:color w:val="auto"/>
              </w:rPr>
            </w:pPr>
            <w:r>
              <w:rPr>
                <w:rFonts w:ascii="Arial" w:cs="Arial" w:eastAsia="Arial" w:hAnsi="Arial"/>
                <w:sz w:val="14"/>
                <w:szCs w:val="14"/>
                <w:color w:val="auto"/>
              </w:rPr>
              <w:t>1.64 %</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2.28 %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2.39 %</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2.01 %</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2.09 %</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Estimated "catch-up" premium amortization cost due to change in CPR forecast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0.75 %</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0.31 %</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0.32 %</w:t>
            </w:r>
          </w:p>
        </w:tc>
        <w:tc>
          <w:tcPr>
            <w:tcW w:w="1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0.99 %</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0.63 %</w:t>
            </w:r>
          </w:p>
        </w:tc>
        <w:tc>
          <w:tcPr>
            <w:tcW w:w="0" w:type="dxa"/>
            <w:vAlign w:val="bottom"/>
          </w:tcPr>
          <w:p>
            <w:pPr>
              <w:spacing w:after="0"/>
              <w:rPr>
                <w:sz w:val="1"/>
                <w:szCs w:val="1"/>
                <w:color w:val="auto"/>
              </w:rPr>
            </w:pPr>
          </w:p>
        </w:tc>
      </w:tr>
      <w:tr>
        <w:trPr>
          <w:trHeight w:val="115"/>
        </w:trPr>
        <w:tc>
          <w:tcPr>
            <w:tcW w:w="5100" w:type="dxa"/>
            <w:vAlign w:val="bottom"/>
          </w:tcPr>
          <w:p>
            <w:pPr>
              <w:ind w:left="220"/>
              <w:spacing w:after="0" w:line="115" w:lineRule="exact"/>
              <w:rPr>
                <w:sz w:val="20"/>
                <w:szCs w:val="20"/>
                <w:color w:val="auto"/>
              </w:rPr>
            </w:pPr>
            <w:r>
              <w:rPr>
                <w:rFonts w:ascii="Arial" w:cs="Arial" w:eastAsia="Arial" w:hAnsi="Arial"/>
                <w:sz w:val="13"/>
                <w:szCs w:val="13"/>
                <w:color w:val="auto"/>
              </w:rPr>
              <w:t>Investment securities average asset yield, excluding "catch-up" premium</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2.39 %</w:t>
            </w:r>
          </w:p>
        </w:tc>
        <w:tc>
          <w:tcPr>
            <w:tcW w:w="1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2.59 %</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2.71 %</w:t>
            </w:r>
          </w:p>
        </w:tc>
        <w:tc>
          <w:tcPr>
            <w:tcW w:w="1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2.72 %</w:t>
            </w:r>
          </w:p>
        </w:tc>
        <w:tc>
          <w:tcPr>
            <w:tcW w:w="0" w:type="dxa"/>
            <w:vAlign w:val="bottom"/>
          </w:tcPr>
          <w:p>
            <w:pPr>
              <w:spacing w:after="0"/>
              <w:rPr>
                <w:sz w:val="1"/>
                <w:szCs w:val="1"/>
                <w:color w:val="auto"/>
              </w:rPr>
            </w:pPr>
          </w:p>
        </w:tc>
      </w:tr>
      <w:tr>
        <w:trPr>
          <w:trHeight w:val="186"/>
        </w:trPr>
        <w:tc>
          <w:tcPr>
            <w:tcW w:w="5100" w:type="dxa"/>
            <w:vAlign w:val="bottom"/>
          </w:tcPr>
          <w:p>
            <w:pPr>
              <w:ind w:left="220"/>
              <w:spacing w:after="0"/>
              <w:rPr>
                <w:sz w:val="20"/>
                <w:szCs w:val="20"/>
                <w:color w:val="auto"/>
              </w:rPr>
            </w:pPr>
            <w:r>
              <w:rPr>
                <w:rFonts w:ascii="Arial" w:cs="Arial" w:eastAsia="Arial" w:hAnsi="Arial"/>
                <w:sz w:val="14"/>
                <w:szCs w:val="14"/>
                <w:color w:val="auto"/>
              </w:rPr>
              <w:t>amortization</w:t>
            </w: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TBA securities - average implied asset yield </w:t>
            </w:r>
            <w:r>
              <w:rPr>
                <w:rFonts w:ascii="Arial" w:cs="Arial" w:eastAsia="Arial" w:hAnsi="Arial"/>
                <w:sz w:val="18"/>
                <w:szCs w:val="18"/>
                <w:color w:val="auto"/>
                <w:vertAlign w:val="superscript"/>
              </w:rPr>
              <w:t>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1.53 %</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2.54 %</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0" w:type="dxa"/>
            <w:vAlign w:val="bottom"/>
          </w:tcPr>
          <w:p>
            <w:pPr>
              <w:spacing w:after="0"/>
              <w:rPr>
                <w:sz w:val="1"/>
                <w:szCs w:val="1"/>
                <w:color w:val="auto"/>
              </w:rPr>
            </w:pPr>
          </w:p>
        </w:tc>
      </w:tr>
      <w:tr>
        <w:trPr>
          <w:trHeight w:val="183"/>
        </w:trPr>
        <w:tc>
          <w:tcPr>
            <w:tcW w:w="5100" w:type="dxa"/>
            <w:vAlign w:val="bottom"/>
            <w:tcBorders>
              <w:bottom w:val="single" w:sz="8" w:color="CCEEFF"/>
            </w:tcBorders>
          </w:tcPr>
          <w:p>
            <w:pPr>
              <w:ind w:left="140"/>
              <w:spacing w:after="0" w:line="182" w:lineRule="exact"/>
              <w:rPr>
                <w:sz w:val="20"/>
                <w:szCs w:val="20"/>
                <w:color w:val="auto"/>
              </w:rPr>
            </w:pPr>
            <w:r>
              <w:rPr>
                <w:rFonts w:ascii="Arial" w:cs="Arial" w:eastAsia="Arial" w:hAnsi="Arial"/>
                <w:sz w:val="14"/>
                <w:szCs w:val="14"/>
                <w:color w:val="auto"/>
              </w:rPr>
              <w:t xml:space="preserve">Average asset yield, excluding "catch-up" premium amortization </w:t>
            </w:r>
            <w:r>
              <w:rPr>
                <w:rFonts w:ascii="Arial" w:cs="Arial" w:eastAsia="Arial" w:hAnsi="Arial"/>
                <w:sz w:val="18"/>
                <w:szCs w:val="18"/>
                <w:color w:val="auto"/>
                <w:vertAlign w:val="superscript"/>
              </w:rPr>
              <w:t>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2.07 %</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2.30 %</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2.56 %</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2.97 %</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169"/>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total cost of funds:</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00" w:type="dxa"/>
            <w:vAlign w:val="bottom"/>
          </w:tcPr>
          <w:p>
            <w:pPr>
              <w:ind w:left="220"/>
              <w:spacing w:after="0"/>
              <w:rPr>
                <w:sz w:val="20"/>
                <w:szCs w:val="20"/>
                <w:color w:val="auto"/>
              </w:rPr>
            </w:pPr>
            <w:r>
              <w:rPr>
                <w:rFonts w:ascii="Arial" w:cs="Arial" w:eastAsia="Arial" w:hAnsi="Arial"/>
                <w:sz w:val="14"/>
                <w:szCs w:val="14"/>
                <w:color w:val="auto"/>
              </w:rPr>
              <w:t>Repurchase agreements and other debt - average funding cost</w:t>
            </w:r>
          </w:p>
        </w:tc>
        <w:tc>
          <w:tcPr>
            <w:tcW w:w="1140" w:type="dxa"/>
            <w:vAlign w:val="bottom"/>
          </w:tcPr>
          <w:p>
            <w:pPr>
              <w:jc w:val="right"/>
              <w:spacing w:after="0"/>
              <w:rPr>
                <w:sz w:val="20"/>
                <w:szCs w:val="20"/>
                <w:color w:val="auto"/>
              </w:rPr>
            </w:pPr>
            <w:r>
              <w:rPr>
                <w:rFonts w:ascii="Arial" w:cs="Arial" w:eastAsia="Arial" w:hAnsi="Arial"/>
                <w:sz w:val="14"/>
                <w:szCs w:val="14"/>
                <w:color w:val="auto"/>
              </w:rPr>
              <w:t>0.38 %</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0.40 %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0.76 %</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1.80 %</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0.96 %</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TBA securities - average implied funding (benefit) cost </w:t>
            </w:r>
            <w:r>
              <w:rPr>
                <w:rFonts w:ascii="Arial" w:cs="Arial" w:eastAsia="Arial" w:hAnsi="Arial"/>
                <w:sz w:val="18"/>
                <w:szCs w:val="18"/>
                <w:color w:val="auto"/>
                <w:vertAlign w:val="superscript"/>
              </w:rPr>
              <w:t>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83"/>
        </w:trPr>
        <w:tc>
          <w:tcPr>
            <w:tcW w:w="5100" w:type="dxa"/>
            <w:vAlign w:val="bottom"/>
          </w:tcPr>
          <w:p>
            <w:pPr>
              <w:ind w:left="220"/>
              <w:spacing w:after="0" w:line="182" w:lineRule="exact"/>
              <w:rPr>
                <w:sz w:val="20"/>
                <w:szCs w:val="20"/>
                <w:color w:val="auto"/>
              </w:rPr>
            </w:pPr>
            <w:r>
              <w:rPr>
                <w:rFonts w:ascii="Arial" w:cs="Arial" w:eastAsia="Arial" w:hAnsi="Arial"/>
                <w:sz w:val="14"/>
                <w:szCs w:val="14"/>
                <w:color w:val="auto"/>
              </w:rPr>
              <w:t xml:space="preserve">Average cost of funds, before interest rate swap periodic cost (income), net </w:t>
            </w:r>
            <w:r>
              <w:rPr>
                <w:rFonts w:ascii="Arial" w:cs="Arial" w:eastAsia="Arial" w:hAnsi="Arial"/>
                <w:sz w:val="18"/>
                <w:szCs w:val="18"/>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4"/>
                <w:szCs w:val="14"/>
                <w:color w:val="auto"/>
              </w:rPr>
              <w:t>0.02 %</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0.09 %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0.61 %</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1.79 %</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0.67 %</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Interest rate swap periodic cost (income), net </w:t>
            </w:r>
            <w:r>
              <w:rPr>
                <w:rFonts w:ascii="Arial" w:cs="Arial" w:eastAsia="Arial" w:hAnsi="Arial"/>
                <w:sz w:val="18"/>
                <w:szCs w:val="18"/>
                <w:color w:val="auto"/>
                <w:vertAlign w:val="superscript"/>
              </w:rPr>
              <w:t>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0.03 %</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0.06 %</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0.27 %</w:t>
            </w:r>
          </w:p>
        </w:tc>
        <w:tc>
          <w:tcPr>
            <w:tcW w:w="1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r>
        <w:trPr>
          <w:trHeight w:val="183"/>
        </w:trPr>
        <w:tc>
          <w:tcPr>
            <w:tcW w:w="5100" w:type="dxa"/>
            <w:vAlign w:val="bottom"/>
            <w:tcBorders>
              <w:bottom w:val="single" w:sz="8" w:color="CCEEFF"/>
            </w:tcBorders>
          </w:tcPr>
          <w:p>
            <w:pPr>
              <w:ind w:left="140"/>
              <w:spacing w:after="0" w:line="182" w:lineRule="exact"/>
              <w:rPr>
                <w:sz w:val="20"/>
                <w:szCs w:val="20"/>
                <w:color w:val="auto"/>
              </w:rPr>
            </w:pPr>
            <w:r>
              <w:rPr>
                <w:rFonts w:ascii="Arial" w:cs="Arial" w:eastAsia="Arial" w:hAnsi="Arial"/>
                <w:sz w:val="14"/>
                <w:szCs w:val="14"/>
                <w:color w:val="auto"/>
              </w:rPr>
              <w:t xml:space="preserve">Average total cost of funds </w:t>
            </w:r>
            <w:r>
              <w:rPr>
                <w:rFonts w:ascii="Arial" w:cs="Arial" w:eastAsia="Arial" w:hAnsi="Arial"/>
                <w:sz w:val="18"/>
                <w:szCs w:val="18"/>
                <w:color w:val="auto"/>
                <w:vertAlign w:val="superscript"/>
              </w:rPr>
              <w:t>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0.05 %</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0.15 %</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0.88 %</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1.67 %</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0.72 %</w:t>
            </w:r>
          </w:p>
        </w:tc>
        <w:tc>
          <w:tcPr>
            <w:tcW w:w="0" w:type="dxa"/>
            <w:vAlign w:val="bottom"/>
          </w:tcPr>
          <w:p>
            <w:pPr>
              <w:spacing w:after="0"/>
              <w:rPr>
                <w:sz w:val="1"/>
                <w:szCs w:val="1"/>
                <w:color w:val="auto"/>
              </w:rPr>
            </w:pPr>
          </w:p>
        </w:tc>
      </w:tr>
      <w:tr>
        <w:trPr>
          <w:trHeight w:val="20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2.02 %</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both"/>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average implied asset yield for TBA dollar roll transactions is extrapolated by adding the average TBA implied funding cost (benefit) (Note 3) to the net dollar roll yield. The net dollar roll yield is calculated by dividing dollar roll income by the average net TBA balance (cost basis) outstanding for the period. Dollar roll income represents the price differential, or "price drop," between the TBA price for current month settlement versus the TBA price for forward month settlement. Amount includes dollar roll income (loss) on long and short TBA securities.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 calculated on a weighted average basis based on average balances outstanding during the period and their respective asset yield/funding cost.</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implied funding cost/(benefit) of TBA dollar roll transactions is determined using the "price drop" and market based assumptions regarding the "cheapest-to-deliver" collateral that can be delivered to satisfy the TBA contract, such as the anticipated collateral’s weighted average coupon, weighted average maturity and projected 1-month CPR. The average implied funding cost/benefit for all TBA transactions is weighted based on the daily average TBA balance outstanding for the period.</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interest rate swap periodic cost/(income) measured as a percent of total mortgage funding (Agency repurchase agreements, other debt and net TBA securities). Amount excludes interest rate swap termination fees and mark-to-market adjustments.</w:t>
      </w:r>
    </w:p>
    <w:p>
      <w:pPr>
        <w:ind w:left="660" w:hanging="328"/>
        <w:spacing w:after="0" w:line="25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 of funds excludes other supplemental hedges used to hedge a portion of the Company's interest rate risk (such as swaptions and U.S. Treasury positions) and U.S. Treasury repurchase agreements.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Dec. 31,</w:t>
            </w: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Mar. 31,</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2020</w:t>
            </w:r>
          </w:p>
        </w:tc>
        <w:tc>
          <w:tcPr>
            <w:tcW w:w="0" w:type="dxa"/>
            <w:vAlign w:val="bottom"/>
          </w:tcPr>
          <w:p>
            <w:pPr>
              <w:spacing w:after="0"/>
              <w:rPr>
                <w:sz w:val="1"/>
                <w:szCs w:val="1"/>
                <w:color w:val="auto"/>
              </w:rPr>
            </w:pPr>
          </w:p>
        </w:tc>
      </w:tr>
      <w:tr>
        <w:trPr>
          <w:trHeight w:val="135"/>
        </w:trPr>
        <w:tc>
          <w:tcPr>
            <w:tcW w:w="536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8"/>
                <w:szCs w:val="18"/>
                <w:b w:val="1"/>
                <w:bCs w:val="1"/>
                <w:color w:val="auto"/>
                <w:vertAlign w:val="superscript"/>
              </w:rPr>
              <w:t>1</w:t>
            </w: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89"/>
        </w:trPr>
        <w:tc>
          <w:tcPr>
            <w:tcW w:w="5360" w:type="dxa"/>
            <w:vAlign w:val="bottom"/>
            <w:gridSpan w:val="2"/>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2019</w:t>
            </w:r>
          </w:p>
        </w:tc>
        <w:tc>
          <w:tcPr>
            <w:tcW w:w="0" w:type="dxa"/>
            <w:vAlign w:val="bottom"/>
          </w:tcPr>
          <w:p>
            <w:pPr>
              <w:spacing w:after="0"/>
              <w:rPr>
                <w:sz w:val="1"/>
                <w:szCs w:val="1"/>
                <w:color w:val="auto"/>
              </w:rPr>
            </w:pPr>
          </w:p>
        </w:tc>
      </w:tr>
      <w:tr>
        <w:trPr>
          <w:trHeight w:val="183"/>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Target Federal Funds Rate - Upper Band</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1.75%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-150</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LIBOR:</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1-Month</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1.76%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0.99%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0.16%</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0.15%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0.14%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-162</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3-Month</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0.30%</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0.23%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0.24%</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0.15%</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0.12%</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5-Year U.S. Treasury</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1.69%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0.38%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0.29%</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0.28%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0.36%</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-133</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10-Year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0.66%</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0.69%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0.92%</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30-Year U.S. Treasury</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1.32%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1.41%</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1.46%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1.65%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-74</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 Rate Swap Rate:</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2-Year Swap</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1.70%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0.49%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0.23%</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0.22%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-150</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0.33%</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0.43%</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80"/>
              <w:spacing w:after="0"/>
              <w:rPr>
                <w:sz w:val="20"/>
                <w:szCs w:val="20"/>
                <w:color w:val="auto"/>
              </w:rPr>
            </w:pPr>
            <w:r>
              <w:rPr>
                <w:rFonts w:ascii="Arial" w:cs="Arial" w:eastAsia="Arial" w:hAnsi="Arial"/>
                <w:sz w:val="14"/>
                <w:szCs w:val="14"/>
                <w:color w:val="auto"/>
              </w:rPr>
              <w:t>10-Year Swap</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1.90%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0.72%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0.64%</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0.71%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0.93%</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1.40%</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30-Year Fixed Rate Agency Price:</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N/A</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N/A</w:t>
            </w: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N/A</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$100.66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$101.05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$94.89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$100.91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$102.33</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$103.39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$103.88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+$8.99</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$98.89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$103.59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$104.26</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$104.90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$105.41</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+$6.52</w:t>
            </w: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$101.42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$104.83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$105.33</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$104.75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$104.77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+$3.35</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$102.86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$105.70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$105.18</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$105.40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$105.66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+$2.80</w:t>
            </w: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$104.01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$106.67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$105.98</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$106.64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$106.78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+$2.77</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15-Year Fixed Rate Agency Price:</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rPr>
              <w:t>N/A</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rPr>
              <w:t>N/A</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$101.83</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$102.31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$102.89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$98.68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$102.66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$103.46</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$103.95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$104.55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+$5.87</w:t>
            </w: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$100.91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$103.72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$104.70</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$104.44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$104.30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+$3.39</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$102.50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$104.61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$105.09</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$104.94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$104.97</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+$2.47</w:t>
            </w:r>
          </w:p>
        </w:tc>
        <w:tc>
          <w:tcPr>
            <w:tcW w:w="0" w:type="dxa"/>
            <w:vAlign w:val="bottom"/>
          </w:tcPr>
          <w:p>
            <w:pPr>
              <w:spacing w:after="0"/>
              <w:rPr>
                <w:sz w:val="1"/>
                <w:szCs w:val="1"/>
                <w:color w:val="auto"/>
              </w:rPr>
            </w:pPr>
          </w:p>
        </w:tc>
      </w:tr>
      <w:tr>
        <w:trPr>
          <w:trHeight w:val="186"/>
        </w:trPr>
        <w:tc>
          <w:tcPr>
            <w:tcW w:w="5200" w:type="dxa"/>
            <w:vAlign w:val="bottom"/>
          </w:tcPr>
          <w:p>
            <w:pPr>
              <w:ind w:left="18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$103.69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$105.06</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$105.81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$106.03</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+$2.34</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$104.28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$105.75</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$106.15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$106.28</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+$2.00</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35" w:lineRule="exact"/>
        <w:rPr>
          <w:sz w:val="20"/>
          <w:szCs w:val="20"/>
          <w:color w:val="auto"/>
        </w:rPr>
      </w:pPr>
    </w:p>
    <w:p>
      <w:pPr>
        <w:ind w:left="660" w:hanging="328"/>
        <w:spacing w:after="0" w:line="273"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in the table above were obtained from Barclays. Interest and LIBOR rates were obtained from Bloomberg.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December 31, 2020 and 2019, our investment portfolio consisted of $66.4 billion and $100.4 billion of investment securities, at fair value, respectively, and $31.5 billion and $7.4 billion of TBA securities, at fair value, respectively. The following table is a summary of our investment portfolio as of December 31, 2020 and 2019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2019</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Portfolio (Includes TBAs)</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0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2.48 %</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CCEEFF"/>
            </w:tcBorders>
            <w:gridSpan w:val="2"/>
          </w:tcPr>
          <w:p>
            <w:pPr>
              <w:ind w:left="260"/>
              <w:spacing w:after="0" w:line="189" w:lineRule="exact"/>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18"/>
                <w:szCs w:val="18"/>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6,980</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1.74 %</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3"/>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86"/>
        </w:trPr>
        <w:tc>
          <w:tcPr>
            <w:tcW w:w="350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2.58 %</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3 %</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gridSpan w:val="2"/>
          </w:tcPr>
          <w:p>
            <w:pPr>
              <w:ind w:left="260"/>
              <w:spacing w:after="0"/>
              <w:rPr>
                <w:sz w:val="20"/>
                <w:szCs w:val="20"/>
                <w:color w:val="auto"/>
              </w:rPr>
            </w:pPr>
            <w:r>
              <w:rPr>
                <w:rFonts w:ascii="Arial" w:cs="Arial" w:eastAsia="Arial" w:hAnsi="Arial"/>
                <w:sz w:val="14"/>
                <w:szCs w:val="14"/>
                <w:color w:val="auto"/>
              </w:rPr>
              <w:t>30-year RMBS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50,312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52,663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3.55 %</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54 %</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89,483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91,062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60"/>
              <w:spacing w:after="0" w:line="193" w:lineRule="exact"/>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24,499</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5,203</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79"/>
        </w:trPr>
        <w:tc>
          <w:tcPr>
            <w:tcW w:w="35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77,162</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3.06 %</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79 %</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94,665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96,265</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8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93,181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96,094</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2.89 %</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103,779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105,503</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79"/>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2.35 %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Multifamily</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CMO Agency RMBS: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CMO</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3.30 %</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3500" w:type="dxa"/>
            <w:vAlign w:val="bottom"/>
            <w:gridSpan w:val="2"/>
          </w:tcPr>
          <w:p>
            <w:pPr>
              <w:ind w:left="260"/>
              <w:spacing w:after="0"/>
              <w:rPr>
                <w:sz w:val="20"/>
                <w:szCs w:val="20"/>
                <w:color w:val="auto"/>
              </w:rPr>
            </w:pPr>
            <w:r>
              <w:rPr>
                <w:rFonts w:ascii="Arial" w:cs="Arial" w:eastAsia="Arial" w:hAnsi="Arial"/>
                <w:sz w:val="14"/>
                <w:szCs w:val="14"/>
                <w:color w:val="auto"/>
              </w:rPr>
              <w:t>Interest-only strips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5.57 %</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Principal-only strips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CMO Agency RMBS</w:t>
            </w: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4.10 %</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3.48 %</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 and TBA securities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93,661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96,610</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104,563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106,316</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179"/>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4.28 %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4.05 %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4.13 %</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3.43 %</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1"/>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portfolio</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97,893</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2.91 %</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106,074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107,871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TBA securities are presented net of long and short positions. For further details of our TBA securities refer to Note 5 of our Consolidated Financial Statements in this Form 10-K..</w:t>
      </w:r>
    </w:p>
    <w:p>
      <w:pPr>
        <w:spacing w:after="0" w:line="1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December 31, 2020 and 2019, our TBA positions had a net carrying value of $275 million and $25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2020 and 2019, the weighted average yield on our investment securities (excluding TBA securities) was 2.33% and 3.07%,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p>
      <w:pPr>
        <w:ind w:right="20" w:firstLine="445"/>
        <w:spacing w:after="0" w:line="277" w:lineRule="auto"/>
        <w:rPr>
          <w:sz w:val="20"/>
          <w:szCs w:val="20"/>
          <w:color w:val="auto"/>
        </w:rPr>
      </w:pPr>
      <w:r>
        <w:rPr>
          <w:rFonts w:ascii="Arial" w:cs="Arial" w:eastAsia="Arial" w:hAnsi="Arial"/>
          <w:sz w:val="18"/>
          <w:szCs w:val="18"/>
          <w:color w:val="auto"/>
        </w:rPr>
        <w:t>The following tables summarize certain characteristics of our fixed rate Agency RMBS portfolio, inclusive of TBAs, as of December 31, 2020 and 2019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Excludes Net TBA Position</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rPr>
                <w:sz w:val="15"/>
                <w:szCs w:val="15"/>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WAC </w:t>
            </w:r>
            <w:r>
              <w:rPr>
                <w:rFonts w:ascii="Arial" w:cs="Arial" w:eastAsia="Arial" w:hAnsi="Arial"/>
                <w:sz w:val="18"/>
                <w:szCs w:val="18"/>
                <w:b w:val="1"/>
                <w:bCs w:val="1"/>
                <w:color w:val="auto"/>
                <w:w w:val="95"/>
                <w:vertAlign w:val="superscript"/>
              </w:rPr>
              <w:t>2</w:t>
            </w:r>
          </w:p>
        </w:tc>
        <w:tc>
          <w:tcPr>
            <w:tcW w:w="140" w:type="dxa"/>
            <w:vAlign w:val="bottom"/>
          </w:tcPr>
          <w:p>
            <w:pPr>
              <w:spacing w:after="0"/>
              <w:rPr>
                <w:sz w:val="15"/>
                <w:szCs w:val="15"/>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continue"/>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8"/>
                <w:szCs w:val="18"/>
                <w:b w:val="1"/>
                <w:bCs w:val="1"/>
                <w:color w:val="auto"/>
                <w:w w:val="95"/>
                <w:vertAlign w:val="superscript"/>
              </w:rPr>
              <w:t>1</w:t>
            </w:r>
          </w:p>
        </w:tc>
        <w:tc>
          <w:tcPr>
            <w:tcW w:w="2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Cost Basis</w:t>
            </w: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CPR</w:t>
            </w:r>
          </w:p>
        </w:tc>
        <w:tc>
          <w:tcPr>
            <w:tcW w:w="300" w:type="dxa"/>
            <w:vAlign w:val="bottom"/>
          </w:tcPr>
          <w:p>
            <w:pPr>
              <w:jc w:val="right"/>
              <w:ind w:right="237"/>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0.91%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59%</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94%</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101.5%</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3.55%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4.0%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4.63%</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16,462</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103.1%</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3.09%</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1.59%</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20-year: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2.0%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3.28%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20%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101.6%</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89</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4.73%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20%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20-year: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2,335</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2,470</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23%</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103.2%</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3.34%</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30-year: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2.0%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23,805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24,628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2.89%</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3,709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17%</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3.74%</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22%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15,734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21%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71,882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74,600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77,162</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48%</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104.3%</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4.17%</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89,936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96,094</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43%</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104.0%</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3.98%</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2.28%</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both"/>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December 31, 2020, lower balance specified pools had a weighted average original loan balance of $117,000 and $117,000 for 15-year and 30-year securities, respectively, and HARP pools had a weighted average original LTV of 126% and 137%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Excludes Net TBA Position</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36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Fixed Rate Agency RMBS and</w:t>
            </w:r>
          </w:p>
        </w:tc>
        <w:tc>
          <w:tcPr>
            <w:tcW w:w="8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0"/>
                <w:szCs w:val="10"/>
                <w:color w:val="auto"/>
              </w:rPr>
            </w:pPr>
          </w:p>
        </w:tc>
        <w:tc>
          <w:tcPr>
            <w:tcW w:w="940" w:type="dxa"/>
            <w:vAlign w:val="bottom"/>
            <w:gridSpan w:val="2"/>
          </w:tcPr>
          <w:p>
            <w:pPr>
              <w:ind w:left="40"/>
              <w:spacing w:after="0" w:line="122" w:lineRule="exact"/>
              <w:rPr>
                <w:sz w:val="20"/>
                <w:szCs w:val="20"/>
                <w:color w:val="auto"/>
              </w:rPr>
            </w:pPr>
            <w:r>
              <w:rPr>
                <w:rFonts w:ascii="Arial" w:cs="Arial" w:eastAsia="Arial" w:hAnsi="Arial"/>
                <w:sz w:val="14"/>
                <w:szCs w:val="14"/>
                <w:b w:val="1"/>
                <w:bCs w:val="1"/>
                <w:color w:val="auto"/>
              </w:rPr>
              <w:t>Amortized</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ind w:left="20"/>
              <w:spacing w:after="0" w:line="122" w:lineRule="exact"/>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0"/>
                <w:szCs w:val="10"/>
                <w:color w:val="auto"/>
              </w:rPr>
            </w:pPr>
          </w:p>
        </w:tc>
        <w:tc>
          <w:tcPr>
            <w:tcW w:w="1160" w:type="dxa"/>
            <w:vAlign w:val="bottom"/>
            <w:gridSpan w:val="2"/>
          </w:tcPr>
          <w:p>
            <w:pPr>
              <w:jc w:val="center"/>
              <w:ind w:right="140"/>
              <w:spacing w:after="0" w:line="122" w:lineRule="exact"/>
              <w:rPr>
                <w:sz w:val="20"/>
                <w:szCs w:val="20"/>
                <w:color w:val="auto"/>
              </w:rPr>
            </w:pPr>
            <w:r>
              <w:rPr>
                <w:rFonts w:ascii="Arial" w:cs="Arial" w:eastAsia="Arial" w:hAnsi="Arial"/>
                <w:sz w:val="14"/>
                <w:szCs w:val="14"/>
                <w:b w:val="1"/>
                <w:bCs w:val="1"/>
                <w:color w:val="auto"/>
                <w:w w:val="96"/>
              </w:rPr>
              <w:t>Amortized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WAC </w:t>
            </w:r>
            <w:r>
              <w:rPr>
                <w:rFonts w:ascii="Arial" w:cs="Arial" w:eastAsia="Arial" w:hAnsi="Arial"/>
                <w:sz w:val="18"/>
                <w:szCs w:val="18"/>
                <w:b w:val="1"/>
                <w:bCs w:val="1"/>
                <w:color w:val="auto"/>
                <w:w w:val="95"/>
                <w:vertAlign w:val="superscript"/>
              </w:rPr>
              <w:t>2</w:t>
            </w:r>
          </w:p>
        </w:tc>
        <w:tc>
          <w:tcPr>
            <w:tcW w:w="14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gridSpan w:val="2"/>
          </w:tcPr>
          <w:p>
            <w:pPr>
              <w:jc w:val="right"/>
              <w:ind w:right="137"/>
              <w:spacing w:after="0" w:line="122" w:lineRule="exact"/>
              <w:rPr>
                <w:sz w:val="20"/>
                <w:szCs w:val="20"/>
                <w:color w:val="auto"/>
              </w:rPr>
            </w:pPr>
            <w:r>
              <w:rPr>
                <w:rFonts w:ascii="Arial" w:cs="Arial" w:eastAsia="Arial" w:hAnsi="Arial"/>
                <w:sz w:val="14"/>
                <w:szCs w:val="14"/>
                <w:b w:val="1"/>
                <w:bCs w:val="1"/>
                <w:color w:val="auto"/>
              </w:rPr>
              <w:t>Projected</w:t>
            </w:r>
          </w:p>
        </w:tc>
        <w:tc>
          <w:tcPr>
            <w:tcW w:w="0" w:type="dxa"/>
            <w:vAlign w:val="bottom"/>
          </w:tcPr>
          <w:p>
            <w:pPr>
              <w:spacing w:after="0"/>
              <w:rPr>
                <w:sz w:val="1"/>
                <w:szCs w:val="1"/>
                <w:color w:val="auto"/>
              </w:rPr>
            </w:pPr>
          </w:p>
        </w:tc>
      </w:tr>
      <w:tr>
        <w:trPr>
          <w:trHeight w:val="189"/>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TBA Securities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20" w:type="dxa"/>
            <w:vAlign w:val="bottom"/>
            <w:gridSpan w:val="3"/>
            <w:vMerge w:val="continue"/>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 xml:space="preserve"> 1</w:t>
            </w:r>
          </w:p>
        </w:tc>
        <w:tc>
          <w:tcPr>
            <w:tcW w:w="2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Cost Basis</w:t>
            </w: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CPR</w:t>
            </w:r>
          </w:p>
        </w:tc>
        <w:tc>
          <w:tcPr>
            <w:tcW w:w="300" w:type="dxa"/>
            <w:vAlign w:val="bottom"/>
          </w:tcPr>
          <w:p>
            <w:pPr>
              <w:jc w:val="right"/>
              <w:ind w:right="237"/>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83"/>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60" w:type="dxa"/>
            <w:vAlign w:val="bottom"/>
            <w:gridSpan w:val="2"/>
          </w:tcPr>
          <w:p>
            <w:pPr>
              <w:ind w:left="22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2.5%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3,067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59%</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101.7%</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3.52%</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4.04%</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36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84%</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4.60%</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4.87%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111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 5.0%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6.55%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146</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8,465</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63%</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102.0%</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3.82%</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2.65%</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60" w:type="dxa"/>
            <w:vAlign w:val="bottom"/>
            <w:gridSpan w:val="2"/>
          </w:tcPr>
          <w:p>
            <w:pPr>
              <w:ind w:left="180"/>
              <w:spacing w:after="0"/>
              <w:rPr>
                <w:sz w:val="20"/>
                <w:szCs w:val="20"/>
                <w:color w:val="auto"/>
              </w:rPr>
            </w:pPr>
            <w:r>
              <w:rPr>
                <w:rFonts w:ascii="Arial" w:cs="Arial" w:eastAsia="Arial" w:hAnsi="Arial"/>
                <w:sz w:val="14"/>
                <w:szCs w:val="14"/>
                <w:color w:val="auto"/>
              </w:rPr>
              <w:t>20-year:</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36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103.3%</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4.45%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5.00%</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 5.0%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5.95%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141</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20-year: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90%</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103.2%</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4.40%</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3.05%</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60" w:type="dxa"/>
            <w:vAlign w:val="bottom"/>
            <w:gridSpan w:val="2"/>
          </w:tcPr>
          <w:p>
            <w:pPr>
              <w:ind w:left="180"/>
              <w:spacing w:after="0"/>
              <w:rPr>
                <w:sz w:val="20"/>
                <w:szCs w:val="20"/>
                <w:color w:val="auto"/>
              </w:rPr>
            </w:pPr>
            <w:r>
              <w:rPr>
                <w:rFonts w:ascii="Arial" w:cs="Arial" w:eastAsia="Arial" w:hAnsi="Arial"/>
                <w:sz w:val="14"/>
                <w:szCs w:val="14"/>
                <w:color w:val="auto"/>
              </w:rPr>
              <w:t>30-year:</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3.0%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36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24,902</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60%</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103.3%</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36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13,831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93%</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4.98%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23</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108.0%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5.50%</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 5.5%</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109.6%</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6.18%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158</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91,731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94,665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96,265</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103.3%</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4.29%</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3.07%</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100,603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103,723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105,447</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56%</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103.3%</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4.26%</w:t>
            </w:r>
          </w:p>
        </w:tc>
        <w:tc>
          <w:tcPr>
            <w:tcW w:w="140" w:type="dxa"/>
            <w:vAlign w:val="bottom"/>
          </w:tcPr>
          <w:p>
            <w:pPr>
              <w:spacing w:after="0"/>
              <w:rPr>
                <w:sz w:val="15"/>
                <w:szCs w:val="15"/>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60" w:lineRule="auto"/>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2019, lower balance specified pools had a weighted average original loan balance of $115,000 and $118,000 for 15-year and 30-year securities, respectively, and HARP pools had a weighted average original LTV of 119% and 136% for 15-year and 30-year securities, respectively.</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2019.</w:t>
      </w:r>
    </w:p>
    <w:p>
      <w:pPr>
        <w:spacing w:after="0" w:line="15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For additional details regarding our CRT and non-Agency securities, including credit ratings, as of December 31, 2020 and 2019, please refer to Note 3 of our Consolidated Financial Statements in this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critical accounting estimates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For additional information regarding our significant accounting policies please refer to Note 2 to our Consolidated Financial Statements included under Item 8 of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effective yield on our Agency RMBS and non-Agency securities of high credit quality is highly impacted by our estimate of future prepayments. We accrue interest income based on the outstanding principal amount and contractual terms of these securities, and we amortize or accrete premiums and discounts associated with our purchase of these securities into interest income over their projected lives, taking into account scheduled contractual payments and estimated prepayments, using the interest method. The weighted average cost basis of our securities as of December 31, 2020 was 104.0% of par value; therefore, faster actual or projected prepayments than our estimates could significantly reduce the yield on our assets.</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Future prepayment rates are difficult to predict, and we rely on a third-party service provider and our experience and analysis of historical and current market data to arrive at what we believe to be reasonable estimates. Our third-party service provider estimates prepayment speeds using models that incorporate the forward yield curve, current mortgage rates, mortgage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jc w:val="both"/>
        <w:spacing w:after="0" w:line="311" w:lineRule="auto"/>
        <w:rPr>
          <w:sz w:val="20"/>
          <w:szCs w:val="20"/>
          <w:color w:val="auto"/>
        </w:rPr>
      </w:pPr>
      <w:r>
        <w:rPr>
          <w:rFonts w:ascii="Arial" w:cs="Arial" w:eastAsia="Arial" w:hAnsi="Arial"/>
          <w:sz w:val="16"/>
          <w:szCs w:val="16"/>
          <w:color w:val="auto"/>
        </w:rPr>
        <w:t>rates on the outstanding loans, age and size of the outstanding loans, loan-to-value ratios, interest rate volatility and other factors. We review the prepayment speeds estimated and compare the results to market consensus prepayment speeds, if available. We also consider historical prepayment speeds and current market conditions to validate the reasonableness of the third-party estimates and, based on our judgment, we may adjust the estimates.</w:t>
      </w:r>
    </w:p>
    <w:p>
      <w:pPr>
        <w:spacing w:after="0" w:line="9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review our actual and anticipated prepayment experience on at least a quarterly basis, and effective yields are recalculated when differences arise between (i) our previous estimate of future prepayments and (ii) actual prepayments to date and current estimates of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03"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The most significant factor impacting prepayment rates on our securities is changes to long-term interest rates. Prepayment rates generally increase when interest rates fall and decrease when interest rates rise. However, there are a variety of other factors that may impact the rate of prepayments on our securities. Consequently, under different conditions, we could report materially different amounts. Item 7A. </w:t>
      </w:r>
      <w:r>
        <w:rPr>
          <w:rFonts w:ascii="Arial" w:cs="Arial" w:eastAsia="Arial" w:hAnsi="Arial"/>
          <w:sz w:val="16"/>
          <w:szCs w:val="16"/>
          <w:i w:val="1"/>
          <w:iCs w:val="1"/>
          <w:color w:val="auto"/>
        </w:rPr>
        <w:t>Quantitative and Qualitative 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Market Risk </w:t>
      </w:r>
      <w:r>
        <w:rPr>
          <w:rFonts w:ascii="Arial" w:cs="Arial" w:eastAsia="Arial" w:hAnsi="Arial"/>
          <w:sz w:val="16"/>
          <w:szCs w:val="16"/>
          <w:color w:val="auto"/>
        </w:rPr>
        <w:t>in this Form 10-K includes the estimated change in the weighted average projected CPR of our investments and in the corresponding 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yield on our investments should interest rates instantaneously go up or down by 50, 75 and 100 basis points.</w:t>
      </w:r>
    </w:p>
    <w:p>
      <w:pPr>
        <w:spacing w:after="0" w:line="10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At the time we purchase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and our judgment about interest rates, prepayment rates, timing and amount of estimated credit losses, and other factors. Any resulting changes in effective yield are recognized prospectively based on the current amortized cost of the investment as adjusted for credit impairment,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w:t>
      </w:r>
    </w:p>
    <w:p>
      <w:pPr>
        <w:spacing w:after="0" w:line="10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that we are required to distribute to maintain our REIT qualification status.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5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The following selected financial data is derived from our annual financial statements for the three years ended December 31, 2020. The selected financial data should be read in conjunction with the more detailed information contained in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and in this Item 7.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(in millions,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8"/>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r>
      <w:tr>
        <w:trPr>
          <w:trHeight w:val="208"/>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Investment securities, at fair value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66,414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100,442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84,287</w:t>
            </w:r>
          </w:p>
        </w:tc>
      </w:tr>
      <w:tr>
        <w:trPr>
          <w:trHeight w:val="219"/>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113,082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109,241</w:t>
            </w:r>
          </w:p>
        </w:tc>
      </w:tr>
      <w:tr>
        <w:trPr>
          <w:trHeight w:val="213"/>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Repurchase agreements and other debt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52,543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89,410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75,992</w:t>
            </w:r>
          </w:p>
        </w:tc>
      </w:tr>
      <w:tr>
        <w:trPr>
          <w:trHeight w:val="219"/>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102,041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99,335</w:t>
            </w:r>
          </w:p>
        </w:tc>
      </w:tr>
      <w:tr>
        <w:trPr>
          <w:trHeight w:val="213"/>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9,906</w:t>
            </w:r>
          </w:p>
        </w:tc>
      </w:tr>
      <w:tr>
        <w:trPr>
          <w:trHeight w:val="219"/>
        </w:trPr>
        <w:tc>
          <w:tcPr>
            <w:tcW w:w="69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w:t>
            </w:r>
          </w:p>
        </w:tc>
      </w:tr>
      <w:tr>
        <w:trPr>
          <w:trHeight w:val="279"/>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16.56</w:t>
            </w:r>
          </w:p>
        </w:tc>
      </w:tr>
      <w:tr>
        <w:trPr>
          <w:trHeight w:val="255"/>
        </w:trPr>
        <w:tc>
          <w:tcPr>
            <w:tcW w:w="6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188"/>
        </w:trPr>
        <w:tc>
          <w:tcPr>
            <w:tcW w:w="6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Statement of Comprehensive Income Data</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r>
      <w:tr>
        <w:trPr>
          <w:trHeight w:val="211"/>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w:t>
            </w:r>
          </w:p>
        </w:tc>
      </w:tr>
      <w:tr>
        <w:trPr>
          <w:trHeight w:val="213"/>
        </w:trPr>
        <w:tc>
          <w:tcPr>
            <w:tcW w:w="6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w:t>
            </w:r>
          </w:p>
        </w:tc>
      </w:tr>
      <w:tr>
        <w:trPr>
          <w:trHeight w:val="210"/>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r>
      <w:tr>
        <w:trPr>
          <w:trHeight w:val="209"/>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Other gain (loss),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(547)</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9"/>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6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Issuance cost of redeemed preferred stock</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6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6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comprehensive income (loss), net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r>
      <w:tr>
        <w:trPr>
          <w:trHeight w:val="21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13"/>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Dividends on preferred stock</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cost of redeemed preferred stock</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260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1,668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551.6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540.6</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541.4</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441.4</w:t>
            </w:r>
          </w:p>
        </w:tc>
      </w:tr>
      <w:tr>
        <w:trPr>
          <w:trHeight w:val="20"/>
        </w:trPr>
        <w:tc>
          <w:tcPr>
            <w:tcW w:w="6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(0.66)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0.21</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r>
      <w:tr>
        <w:trPr>
          <w:trHeight w:val="20"/>
        </w:trPr>
        <w:tc>
          <w:tcPr>
            <w:tcW w:w="6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0"/>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per common share - basic</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0.47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per common share - diluted</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6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0"/>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Dividends declared per common share</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1.56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70,077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89,234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60,733</w:t>
            </w:r>
          </w:p>
        </w:tc>
      </w:tr>
      <w:tr>
        <w:trPr>
          <w:trHeight w:val="213"/>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Average investment securities - at cost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72,543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92,207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63,348</w:t>
            </w:r>
          </w:p>
        </w:tc>
      </w:tr>
      <w:tr>
        <w:trPr>
          <w:trHeight w:val="21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TBA dollar roll position - at par (as of period end)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7,322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7,152</w:t>
            </w:r>
          </w:p>
        </w:tc>
      </w:tr>
      <w:tr>
        <w:trPr>
          <w:trHeight w:val="213"/>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Net TBA dollar roll position - at cost (as of period end)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31,204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7,404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7,252</w:t>
            </w:r>
          </w:p>
        </w:tc>
      </w:tr>
      <w:tr>
        <w:trPr>
          <w:trHeight w:val="21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TBA dollar roll position - at market value (as of period end)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7,429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7,322</w:t>
            </w: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 xml:space="preserve">Net TBA dollar roll position - at carrying value (as of period end) </w:t>
            </w:r>
            <w:r>
              <w:rPr>
                <w:rFonts w:ascii="Arial" w:cs="Arial" w:eastAsia="Arial" w:hAnsi="Arial"/>
                <w:sz w:val="18"/>
                <w:szCs w:val="18"/>
                <w:color w:val="auto"/>
                <w:vertAlign w:val="superscript"/>
              </w:rPr>
              <w:t>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70</w:t>
            </w: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TBA portfolio - at cost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9,262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14,697</w:t>
            </w:r>
          </w:p>
        </w:tc>
      </w:tr>
      <w:tr>
        <w:trPr>
          <w:trHeight w:val="213"/>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Average total assets - at fair value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88,403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110,112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79,094</w:t>
            </w:r>
          </w:p>
        </w:tc>
      </w:tr>
      <w:tr>
        <w:trPr>
          <w:trHeight w:val="21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18"/>
                <w:szCs w:val="18"/>
                <w:color w:val="auto"/>
                <w:vertAlign w:val="superscript"/>
              </w:rPr>
              <w:t>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69,370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86,231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55,592</w:t>
            </w: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18"/>
                <w:szCs w:val="18"/>
                <w:color w:val="auto"/>
                <w:vertAlign w:val="superscript"/>
              </w:rPr>
              <w:t>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10,684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10,380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9,050</w:t>
            </w: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18"/>
                <w:szCs w:val="18"/>
                <w:color w:val="auto"/>
                <w:vertAlign w:val="superscript"/>
              </w:rPr>
              <w:t>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18"/>
                <w:szCs w:val="18"/>
                <w:color w:val="auto"/>
                <w:vertAlign w:val="superscript"/>
              </w:rPr>
              <w:t>7</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w:t>
            </w:r>
            <w:r>
              <w:rPr>
                <w:rFonts w:ascii="Arial" w:cs="Arial" w:eastAsia="Arial" w:hAnsi="Arial"/>
                <w:sz w:val="18"/>
                <w:szCs w:val="18"/>
                <w:color w:val="auto"/>
                <w:vertAlign w:val="superscript"/>
              </w:rPr>
              <w:t>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 xml:space="preserve">Expenses % of average total assets </w:t>
            </w:r>
            <w:r>
              <w:rPr>
                <w:rFonts w:ascii="Arial" w:cs="Arial" w:eastAsia="Arial" w:hAnsi="Arial"/>
                <w:sz w:val="18"/>
                <w:szCs w:val="18"/>
                <w:color w:val="auto"/>
                <w:vertAlign w:val="superscript"/>
              </w:rPr>
              <w:t>9</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0.08 %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0.09 %</w:t>
            </w: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Expenses % of average assets, including average net TBA position </w:t>
            </w:r>
            <w:r>
              <w:rPr>
                <w:rFonts w:ascii="Arial" w:cs="Arial" w:eastAsia="Arial" w:hAnsi="Arial"/>
                <w:sz w:val="18"/>
                <w:szCs w:val="18"/>
                <w:color w:val="auto"/>
                <w:vertAlign w:val="superscript"/>
              </w:rPr>
              <w:t>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r>
      <w:tr>
        <w:trPr>
          <w:trHeight w:val="261"/>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 xml:space="preserve">Expenses % of average stockholders' equity </w:t>
            </w:r>
            <w:r>
              <w:rPr>
                <w:rFonts w:ascii="Arial" w:cs="Arial" w:eastAsia="Arial" w:hAnsi="Arial"/>
                <w:sz w:val="18"/>
                <w:szCs w:val="18"/>
                <w:color w:val="auto"/>
                <w:vertAlign w:val="superscript"/>
              </w:rPr>
              <w:t>9</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0.87 %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0.80 %</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0.81 %</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carrying value of our net TBA position represents the difference between the market value and the cost basis of the TBA contract as of period-end and is reported in derivative assets/(liabilities), at fair value on our accompanying consolidated balances sheets.</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 excludes U.S. Treasury repurchase agreements and TBA contracts. Other debt includes debt of consolidated VIEs.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repurchase agreements used to fund our investment securities, other debt and TBA securities (at cost) (together "mortgage borrowings") outstanding for the period by the sum of average stockholders' equity adjusted to exclude goodwill for the period. Leverage excludes U.S. Treasury repurchase agreements.</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mortgage borrowings outstanding and receivable/payable for unsettled investment securities as of period end (at cost) by the sum of total stockholders' equity adjusted to exclude goodwill as of period end. Leverage excludes U.S. Treasury repurchase agreements.</w:t>
      </w:r>
    </w:p>
    <w:p>
      <w:pPr>
        <w:ind w:left="660" w:right="2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jc w:val="both"/>
        <w:ind w:left="660" w:hanging="328"/>
        <w:spacing w:after="0" w:line="248"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Expenses for fiscal year 2018 have been adjusted to exclude $27 million of non-recurring expenses associated with the sale of MTGE Investment Corp., an entity we previously managed, and corresponding termination of MTGE's management agreement. Excluded amounts include the write-off of our intangible asset associated with our acquisition of the MTGE management agreement and other miscellaneous expenses.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fiscal years 2020, 2019 and 2018,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b w:val="1"/>
                <w:bCs w:val="1"/>
                <w:color w:val="auto"/>
              </w:rPr>
              <w:t>Fiscal Year 2020</w:t>
            </w:r>
          </w:p>
        </w:tc>
        <w:tc>
          <w:tcPr>
            <w:tcW w:w="120" w:type="dxa"/>
            <w:vAlign w:val="bottom"/>
          </w:tcPr>
          <w:p>
            <w:pPr>
              <w:spacing w:after="0"/>
              <w:rPr>
                <w:sz w:val="16"/>
                <w:szCs w:val="16"/>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b w:val="1"/>
                <w:bCs w:val="1"/>
                <w:color w:val="auto"/>
              </w:rPr>
              <w:t>Fiscal Year 2019</w:t>
            </w:r>
          </w:p>
        </w:tc>
        <w:tc>
          <w:tcPr>
            <w:tcW w:w="120" w:type="dxa"/>
            <w:vAlign w:val="bottom"/>
          </w:tcPr>
          <w:p>
            <w:pPr>
              <w:spacing w:after="0"/>
              <w:rPr>
                <w:sz w:val="16"/>
                <w:szCs w:val="16"/>
                <w:color w:val="auto"/>
              </w:rPr>
            </w:pPr>
          </w:p>
        </w:tc>
        <w:tc>
          <w:tcPr>
            <w:tcW w:w="16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Fiscal Year 2018</w:t>
            </w:r>
          </w:p>
        </w:tc>
        <w:tc>
          <w:tcPr>
            <w:tcW w:w="0" w:type="dxa"/>
            <w:vAlign w:val="bottom"/>
          </w:tcPr>
          <w:p>
            <w:pPr>
              <w:spacing w:after="0"/>
              <w:rPr>
                <w:sz w:val="1"/>
                <w:szCs w:val="1"/>
                <w:color w:val="auto"/>
              </w:rPr>
            </w:pPr>
          </w:p>
        </w:tc>
      </w:tr>
      <w:tr>
        <w:trPr>
          <w:trHeight w:val="186"/>
        </w:trPr>
        <w:tc>
          <w:tcPr>
            <w:tcW w:w="57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67"/>
        </w:trPr>
        <w:tc>
          <w:tcPr>
            <w:tcW w:w="57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2,601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3.76 %</w:t>
            </w:r>
          </w:p>
        </w:tc>
        <w:tc>
          <w:tcPr>
            <w:tcW w:w="0" w:type="dxa"/>
            <w:vAlign w:val="bottom"/>
          </w:tcPr>
          <w:p>
            <w:pPr>
              <w:spacing w:after="0"/>
              <w:rPr>
                <w:sz w:val="1"/>
                <w:szCs w:val="1"/>
                <w:color w:val="auto"/>
              </w:rPr>
            </w:pPr>
          </w:p>
        </w:tc>
      </w:tr>
      <w:tr>
        <w:trPr>
          <w:trHeight w:val="186"/>
        </w:trPr>
        <w:tc>
          <w:tcPr>
            <w:tcW w:w="57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(1,082)</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(601)</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8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1,949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3.08 %</w:t>
            </w:r>
          </w:p>
        </w:tc>
        <w:tc>
          <w:tcPr>
            <w:tcW w:w="0" w:type="dxa"/>
            <w:vAlign w:val="bottom"/>
          </w:tcPr>
          <w:p>
            <w:pPr>
              <w:spacing w:after="0"/>
              <w:rPr>
                <w:sz w:val="1"/>
                <w:szCs w:val="1"/>
                <w:color w:val="auto"/>
              </w:rPr>
            </w:pPr>
          </w:p>
        </w:tc>
      </w:tr>
      <w:tr>
        <w:trPr>
          <w:trHeight w:val="186"/>
        </w:trPr>
        <w:tc>
          <w:tcPr>
            <w:tcW w:w="57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0.63 %</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8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1,976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2,946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1,926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3.04 %</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18"/>
                <w:szCs w:val="18"/>
                <w:color w:val="auto"/>
                <w:vertAlign w:val="superscript"/>
              </w:rPr>
              <w:t>1,2</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1.73 %</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3.40 %</w:t>
            </w:r>
          </w:p>
        </w:tc>
        <w:tc>
          <w:tcPr>
            <w:tcW w:w="0" w:type="dxa"/>
            <w:vAlign w:val="bottom"/>
          </w:tcPr>
          <w:p>
            <w:pPr>
              <w:spacing w:after="0"/>
              <w:rPr>
                <w:sz w:val="1"/>
                <w:szCs w:val="1"/>
                <w:color w:val="auto"/>
              </w:rPr>
            </w:pPr>
          </w:p>
        </w:tc>
      </w:tr>
      <w:tr>
        <w:trPr>
          <w:trHeight w:val="208"/>
        </w:trPr>
        <w:tc>
          <w:tcPr>
            <w:tcW w:w="570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Economic interest income, excluding "catch-up" amortization (non-GAAP measure) </w:t>
            </w:r>
            <w:r>
              <w:rPr>
                <w:rFonts w:ascii="Arial" w:cs="Arial" w:eastAsia="Arial" w:hAnsi="Arial"/>
                <w:sz w:val="18"/>
                <w:szCs w:val="18"/>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2,341</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3,252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2,426</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3.11 %</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actual portfolio CPR for investment securities held during the period</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20"/>
              <w:spacing w:after="0" w:line="135" w:lineRule="exact"/>
              <w:rPr>
                <w:sz w:val="20"/>
                <w:szCs w:val="20"/>
                <w:color w:val="auto"/>
              </w:rPr>
            </w:pPr>
            <w:r>
              <w:rPr>
                <w:rFonts w:ascii="Arial" w:cs="Arial" w:eastAsia="Arial" w:hAnsi="Arial"/>
                <w:sz w:val="14"/>
                <w:szCs w:val="14"/>
                <w:color w:val="auto"/>
              </w:rPr>
              <w:t>Weighted average projected CPR for the remaining life of investment securities held as of</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17.6 %</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7.9 %</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700" w:type="dxa"/>
            <w:vAlign w:val="bottom"/>
          </w:tcPr>
          <w:p>
            <w:pPr>
              <w:ind w:left="20"/>
              <w:spacing w:after="0"/>
              <w:rPr>
                <w:sz w:val="20"/>
                <w:szCs w:val="20"/>
                <w:color w:val="auto"/>
              </w:rPr>
            </w:pPr>
            <w:r>
              <w:rPr>
                <w:rFonts w:ascii="Arial" w:cs="Arial" w:eastAsia="Arial" w:hAnsi="Arial"/>
                <w:sz w:val="14"/>
                <w:szCs w:val="14"/>
                <w:color w:val="auto"/>
              </w:rPr>
              <w:t>period end</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18"/>
                <w:szCs w:val="18"/>
                <w:color w:val="auto"/>
                <w:vertAlign w:val="superscript"/>
              </w:rPr>
              <w:t>4</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2.67 %</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3.74 %</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4.55 %</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70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0.92 %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2.68 %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fiscal years 2020 and 2019 compared to the prior year period (in millions):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31"/>
        </w:trPr>
        <w:tc>
          <w:tcPr>
            <w:tcW w:w="6720" w:type="dxa"/>
            <w:vAlign w:val="bottom"/>
            <w:gridSpan w:val="2"/>
            <w:vMerge w:val="restart"/>
          </w:tcPr>
          <w:p>
            <w:pPr>
              <w:ind w:left="2560"/>
              <w:spacing w:after="0"/>
              <w:rPr>
                <w:sz w:val="20"/>
                <w:szCs w:val="20"/>
                <w:color w:val="auto"/>
              </w:rPr>
            </w:pPr>
            <w:r>
              <w:rPr>
                <w:rFonts w:ascii="Arial" w:cs="Arial" w:eastAsia="Arial" w:hAnsi="Arial"/>
                <w:sz w:val="14"/>
                <w:szCs w:val="14"/>
                <w:b w:val="1"/>
                <w:bCs w:val="1"/>
                <w:color w:val="auto"/>
              </w:rPr>
              <w:t>Fiscal Year 2020 vs 2019</w:t>
            </w: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2"/>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7"/>
              </w:rPr>
              <w:t>Portfolio</w:t>
            </w:r>
          </w:p>
        </w:tc>
        <w:tc>
          <w:tcPr>
            <w:tcW w:w="320" w:type="dxa"/>
            <w:vAlign w:val="bottom"/>
          </w:tcPr>
          <w:p>
            <w:pPr>
              <w:spacing w:after="0"/>
              <w:rPr>
                <w:sz w:val="11"/>
                <w:szCs w:val="11"/>
                <w:color w:val="auto"/>
              </w:rPr>
            </w:pPr>
          </w:p>
        </w:tc>
        <w:tc>
          <w:tcPr>
            <w:tcW w:w="1120" w:type="dxa"/>
            <w:vAlign w:val="bottom"/>
          </w:tcPr>
          <w:p>
            <w:pPr>
              <w:ind w:left="240"/>
              <w:spacing w:after="0" w:line="131"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8"/>
        </w:trPr>
        <w:tc>
          <w:tcPr>
            <w:tcW w:w="6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0"/>
        </w:trPr>
        <w:tc>
          <w:tcPr>
            <w:tcW w:w="6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(1,323)</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center"/>
              <w:ind w:left="688"/>
              <w:spacing w:after="0"/>
              <w:rPr>
                <w:sz w:val="20"/>
                <w:szCs w:val="20"/>
                <w:color w:val="auto"/>
              </w:rPr>
            </w:pPr>
            <w:r>
              <w:rPr>
                <w:rFonts w:ascii="Arial" w:cs="Arial" w:eastAsia="Arial" w:hAnsi="Arial"/>
                <w:sz w:val="14"/>
                <w:szCs w:val="14"/>
                <w:color w:val="auto"/>
                <w:w w:val="97"/>
              </w:rPr>
              <w:t>(717)</w:t>
            </w:r>
          </w:p>
        </w:tc>
        <w:tc>
          <w:tcPr>
            <w:tcW w:w="0" w:type="dxa"/>
            <w:vAlign w:val="bottom"/>
          </w:tcPr>
          <w:p>
            <w:pPr>
              <w:spacing w:after="0"/>
              <w:rPr>
                <w:sz w:val="1"/>
                <w:szCs w:val="1"/>
                <w:color w:val="auto"/>
              </w:rPr>
            </w:pPr>
          </w:p>
        </w:tc>
      </w:tr>
      <w:tr>
        <w:trPr>
          <w:trHeight w:val="192"/>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left="708"/>
              <w:spacing w:after="0"/>
              <w:rPr>
                <w:sz w:val="20"/>
                <w:szCs w:val="20"/>
                <w:color w:val="auto"/>
              </w:rPr>
            </w:pPr>
            <w:r>
              <w:rPr>
                <w:rFonts w:ascii="Arial" w:cs="Arial" w:eastAsia="Arial" w:hAnsi="Arial"/>
                <w:sz w:val="14"/>
                <w:szCs w:val="14"/>
                <w:color w:val="auto"/>
                <w:w w:val="94"/>
              </w:rPr>
              <w:t>353</w:t>
            </w:r>
          </w:p>
        </w:tc>
        <w:tc>
          <w:tcPr>
            <w:tcW w:w="0" w:type="dxa"/>
            <w:vAlign w:val="bottom"/>
          </w:tcPr>
          <w:p>
            <w:pPr>
              <w:spacing w:after="0"/>
              <w:rPr>
                <w:sz w:val="1"/>
                <w:szCs w:val="1"/>
                <w:color w:val="auto"/>
              </w:rPr>
            </w:pPr>
          </w:p>
        </w:tc>
      </w:tr>
      <w:tr>
        <w:trPr>
          <w:trHeight w:val="179"/>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left="688"/>
              <w:spacing w:after="0"/>
              <w:rPr>
                <w:sz w:val="20"/>
                <w:szCs w:val="20"/>
                <w:color w:val="auto"/>
              </w:rPr>
            </w:pPr>
            <w:r>
              <w:rPr>
                <w:rFonts w:ascii="Arial" w:cs="Arial" w:eastAsia="Arial" w:hAnsi="Arial"/>
                <w:sz w:val="14"/>
                <w:szCs w:val="14"/>
                <w:color w:val="auto"/>
                <w:w w:val="97"/>
              </w:rPr>
              <w:t>(364)</w:t>
            </w:r>
          </w:p>
        </w:tc>
        <w:tc>
          <w:tcPr>
            <w:tcW w:w="0" w:type="dxa"/>
            <w:vAlign w:val="bottom"/>
          </w:tcPr>
          <w:p>
            <w:pPr>
              <w:spacing w:after="0"/>
              <w:rPr>
                <w:sz w:val="1"/>
                <w:szCs w:val="1"/>
                <w:color w:val="auto"/>
              </w:rPr>
            </w:pPr>
          </w:p>
        </w:tc>
      </w:tr>
      <w:tr>
        <w:trPr>
          <w:trHeight w:val="18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ind w:left="688"/>
              <w:spacing w:after="0"/>
              <w:rPr>
                <w:sz w:val="20"/>
                <w:szCs w:val="20"/>
                <w:color w:val="auto"/>
              </w:rPr>
            </w:pPr>
            <w:r>
              <w:rPr>
                <w:rFonts w:ascii="Arial" w:cs="Arial" w:eastAsia="Arial" w:hAnsi="Arial"/>
                <w:sz w:val="14"/>
                <w:szCs w:val="14"/>
                <w:color w:val="auto"/>
                <w:w w:val="97"/>
              </w:rPr>
              <w:t>(336)</w:t>
            </w:r>
          </w:p>
        </w:tc>
        <w:tc>
          <w:tcPr>
            <w:tcW w:w="0" w:type="dxa"/>
            <w:vAlign w:val="bottom"/>
          </w:tcPr>
          <w:p>
            <w:pPr>
              <w:spacing w:after="0"/>
              <w:rPr>
                <w:sz w:val="1"/>
                <w:szCs w:val="1"/>
                <w:color w:val="auto"/>
              </w:rPr>
            </w:pPr>
          </w:p>
        </w:tc>
      </w:tr>
      <w:tr>
        <w:trPr>
          <w:trHeight w:val="186"/>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color w:val="auto"/>
                <w:w w:val="97"/>
              </w:rPr>
              <w:t>(700)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8920"/>
        <w:spacing w:after="0"/>
        <w:rPr>
          <w:sz w:val="20"/>
          <w:szCs w:val="20"/>
          <w:color w:val="auto"/>
        </w:rPr>
      </w:pPr>
      <w:r>
        <w:rPr>
          <w:rFonts w:ascii="Arial" w:cs="Arial" w:eastAsia="Arial" w:hAnsi="Arial"/>
          <w:sz w:val="14"/>
          <w:szCs w:val="14"/>
          <w:b w:val="1"/>
          <w:bCs w:val="1"/>
          <w:color w:val="auto"/>
        </w:rPr>
        <w:t>Due to Change in Average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720" w:type="dxa"/>
            <w:vAlign w:val="bottom"/>
            <w:tcBorders>
              <w:top w:val="single" w:sz="8" w:color="CCEEFF"/>
            </w:tcBorders>
            <w:gridSpan w:val="2"/>
            <w:vMerge w:val="restart"/>
            <w:shd w:val="clear" w:color="auto" w:fill="CCEEFF"/>
          </w:tcPr>
          <w:p>
            <w:pPr>
              <w:ind w:left="2560"/>
              <w:spacing w:after="0"/>
              <w:rPr>
                <w:sz w:val="20"/>
                <w:szCs w:val="20"/>
                <w:color w:val="auto"/>
              </w:rPr>
            </w:pPr>
            <w:r>
              <w:rPr>
                <w:rFonts w:ascii="Arial" w:cs="Arial" w:eastAsia="Arial" w:hAnsi="Arial"/>
                <w:sz w:val="14"/>
                <w:szCs w:val="14"/>
                <w:b w:val="1"/>
                <w:bCs w:val="1"/>
                <w:color w:val="auto"/>
              </w:rPr>
              <w:t>Fiscal Year 2019 vs 2018</w:t>
            </w:r>
          </w:p>
        </w:tc>
        <w:tc>
          <w:tcPr>
            <w:tcW w:w="16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gridSpan w:val="2"/>
            <w:shd w:val="clear" w:color="auto" w:fill="CCEEFF"/>
          </w:tcPr>
          <w:p>
            <w:pPr>
              <w:jc w:val="center"/>
              <w:ind w:right="280"/>
              <w:spacing w:after="0" w:line="141" w:lineRule="exact"/>
              <w:rPr>
                <w:sz w:val="20"/>
                <w:szCs w:val="20"/>
                <w:color w:val="auto"/>
              </w:rPr>
            </w:pPr>
            <w:r>
              <w:rPr>
                <w:rFonts w:ascii="Arial" w:cs="Arial" w:eastAsia="Arial" w:hAnsi="Arial"/>
                <w:sz w:val="14"/>
                <w:szCs w:val="14"/>
                <w:b w:val="1"/>
                <w:bCs w:val="1"/>
                <w:color w:val="auto"/>
                <w:w w:val="92"/>
              </w:rPr>
              <w:t>Total Increase /</w:t>
            </w:r>
          </w:p>
        </w:tc>
        <w:tc>
          <w:tcPr>
            <w:tcW w:w="2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gridSpan w:val="2"/>
            <w:shd w:val="clear" w:color="auto" w:fill="CCEEFF"/>
          </w:tcPr>
          <w:p>
            <w:pPr>
              <w:jc w:val="center"/>
              <w:ind w:right="360"/>
              <w:spacing w:after="0" w:line="141" w:lineRule="exact"/>
              <w:rPr>
                <w:sz w:val="20"/>
                <w:szCs w:val="20"/>
                <w:color w:val="auto"/>
              </w:rPr>
            </w:pPr>
            <w:r>
              <w:rPr>
                <w:rFonts w:ascii="Arial" w:cs="Arial" w:eastAsia="Arial" w:hAnsi="Arial"/>
                <w:sz w:val="14"/>
                <w:szCs w:val="14"/>
                <w:b w:val="1"/>
                <w:bCs w:val="1"/>
                <w:color w:val="auto"/>
                <w:w w:val="97"/>
              </w:rPr>
              <w:t>Portfolio</w:t>
            </w:r>
          </w:p>
        </w:tc>
        <w:tc>
          <w:tcPr>
            <w:tcW w:w="3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488"/>
              <w:spacing w:after="0" w:line="141"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9"/>
        </w:trPr>
        <w:tc>
          <w:tcPr>
            <w:tcW w:w="6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9"/>
        </w:trPr>
        <w:tc>
          <w:tcPr>
            <w:tcW w:w="6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2"/>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9"/>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Our average investment portfolio, inclusive of TBAs (at cost), decreased 8% for fiscal year 2020 and increased 30% for fiscal year 2019, compared to the prior year periods, largely due to shifts in our targeted operating leverage and changes to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7"/>
          <w:szCs w:val="17"/>
          <w:color w:val="auto"/>
        </w:rPr>
        <w:t>total stockholders equity outstanding as a result of new equity issuances, a preferred stock redemption and common stock repurchases. (See Note 9 of our Consolidated Financial Statements in this Form 10-K for additional information regarding our equity capital markets transactions). The decrease in our average investment portfolio for fiscal year 2020 was in particular impacted by the decline in our tangible net stockholders' equity in the first quarter due to the COVID-19 financial crisis and our decision to operate with somewhat lower leverage for the balance of the year as compared to 2019. The decrease in our average asset yield for fiscal year 2020 was due to changes in asset composition and faster actual and projected CPRs resulting from historically low mortgage rates resulting from the Fed's unprecedented monetary stimulus measures. The moderate increase in our asset yield during 2019 was due to changes in asset composition and somewhat slower CPR projections.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assets.</w:t>
      </w:r>
    </w:p>
    <w:p>
      <w:pPr>
        <w:spacing w:after="0" w:line="9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for further discussion of TBA securities and dollar roll transactions). Repurchase agreements used to fund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8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6"/>
          </w:tcPr>
          <w:p>
            <w:pPr>
              <w:jc w:val="center"/>
              <w:ind w:left="469"/>
              <w:spacing w:after="0"/>
              <w:rPr>
                <w:sz w:val="20"/>
                <w:szCs w:val="20"/>
                <w:color w:val="auto"/>
              </w:rPr>
            </w:pPr>
            <w:r>
              <w:rPr>
                <w:rFonts w:ascii="Arial" w:cs="Arial" w:eastAsia="Arial" w:hAnsi="Arial"/>
                <w:sz w:val="13"/>
                <w:szCs w:val="13"/>
                <w:b w:val="1"/>
                <w:bCs w:val="1"/>
                <w:color w:val="auto"/>
                <w:w w:val="84"/>
              </w:rPr>
              <w:t>Repurchase Agreements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jc w:val="right"/>
              <w:ind w:right="389"/>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Tangible Net Book</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rPr>
              <w:t xml:space="preserve">and Other Debt </w:t>
            </w:r>
            <w:r>
              <w:rPr>
                <w:rFonts w:ascii="Arial" w:cs="Arial" w:eastAsia="Arial" w:hAnsi="Arial"/>
                <w:sz w:val="14"/>
                <w:szCs w:val="14"/>
                <w:b w:val="1"/>
                <w:bCs w:val="1"/>
                <w:color w:val="auto"/>
                <w:vertAlign w:val="superscript"/>
              </w:rPr>
              <w:t>1</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69"/>
              <w:spacing w:after="0" w:line="122" w:lineRule="exact"/>
              <w:rPr>
                <w:sz w:val="20"/>
                <w:szCs w:val="20"/>
                <w:color w:val="auto"/>
              </w:rPr>
            </w:pPr>
            <w:r>
              <w:rPr>
                <w:rFonts w:ascii="Arial" w:cs="Arial" w:eastAsia="Arial" w:hAnsi="Arial"/>
                <w:sz w:val="11"/>
                <w:szCs w:val="11"/>
                <w:b w:val="1"/>
                <w:bCs w:val="1"/>
                <w:color w:val="auto"/>
              </w:rPr>
              <w:t xml:space="preserve">Long/(Short) </w:t>
            </w:r>
            <w:r>
              <w:rPr>
                <w:rFonts w:ascii="Arial" w:cs="Arial" w:eastAsia="Arial" w:hAnsi="Arial"/>
                <w:sz w:val="14"/>
                <w:szCs w:val="14"/>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w w:val="94"/>
              </w:rPr>
              <w:t>Average Tangible Net</w:t>
            </w:r>
          </w:p>
        </w:tc>
        <w:tc>
          <w:tcPr>
            <w:tcW w:w="13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9"/>
              </w:rPr>
              <w:t>Value "At Risk"</w:t>
            </w:r>
          </w:p>
        </w:tc>
        <w:tc>
          <w:tcPr>
            <w:tcW w:w="0" w:type="dxa"/>
            <w:vAlign w:val="bottom"/>
          </w:tcPr>
          <w:p>
            <w:pPr>
              <w:spacing w:after="0"/>
              <w:rPr>
                <w:sz w:val="1"/>
                <w:szCs w:val="1"/>
                <w:color w:val="auto"/>
              </w:rPr>
            </w:pPr>
          </w:p>
        </w:tc>
      </w:tr>
      <w:tr>
        <w:trPr>
          <w:trHeight w:val="34"/>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Average Daily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6"/>
              </w:rPr>
              <w:t>Ending</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w w:val="99"/>
              </w:rPr>
              <w:t>Ending</w:t>
            </w: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Book Value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22"/>
        </w:trPr>
        <w:tc>
          <w:tcPr>
            <w:tcW w:w="3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"At Risk" Leverage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176"/>
        </w:trPr>
        <w:tc>
          <w:tcPr>
            <w:tcW w:w="3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Daily Amount</w:t>
            </w:r>
          </w:p>
        </w:tc>
        <w:tc>
          <w:tcPr>
            <w:tcW w:w="16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720" w:type="dxa"/>
            <w:vAlign w:val="bottom"/>
          </w:tcPr>
          <w:p>
            <w:pPr>
              <w:jc w:val="right"/>
              <w:ind w:right="149"/>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5"/>
                <w:szCs w:val="15"/>
                <w:color w:val="auto"/>
              </w:rPr>
            </w:pPr>
          </w:p>
        </w:tc>
        <w:tc>
          <w:tcPr>
            <w:tcW w:w="1400" w:type="dxa"/>
            <w:vAlign w:val="bottom"/>
            <w:gridSpan w:val="2"/>
          </w:tcPr>
          <w:p>
            <w:pPr>
              <w:jc w:val="center"/>
              <w:ind w:right="120"/>
              <w:spacing w:after="0" w:line="175" w:lineRule="exact"/>
              <w:rPr>
                <w:sz w:val="20"/>
                <w:szCs w:val="20"/>
                <w:color w:val="auto"/>
              </w:rPr>
            </w:pPr>
            <w:r>
              <w:rPr>
                <w:rFonts w:ascii="Arial" w:cs="Arial" w:eastAsia="Arial" w:hAnsi="Arial"/>
                <w:sz w:val="13"/>
                <w:szCs w:val="13"/>
                <w:b w:val="1"/>
                <w:bCs w:val="1"/>
                <w:color w:val="auto"/>
                <w:w w:val="88"/>
              </w:rPr>
              <w:t xml:space="preserve">during the Period </w:t>
            </w:r>
            <w:r>
              <w:rPr>
                <w:rFonts w:ascii="Arial" w:cs="Arial" w:eastAsia="Arial" w:hAnsi="Arial"/>
                <w:sz w:val="16"/>
                <w:szCs w:val="16"/>
                <w:b w:val="1"/>
                <w:bCs w:val="1"/>
                <w:color w:val="auto"/>
                <w:w w:val="88"/>
                <w:vertAlign w:val="superscript"/>
              </w:rPr>
              <w:t>3</w:t>
            </w:r>
          </w:p>
        </w:tc>
        <w:tc>
          <w:tcPr>
            <w:tcW w:w="130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6"/>
              </w:rPr>
              <w:t xml:space="preserve">Period End </w:t>
            </w:r>
            <w:r>
              <w:rPr>
                <w:rFonts w:ascii="Arial" w:cs="Arial" w:eastAsia="Arial" w:hAnsi="Arial"/>
                <w:sz w:val="16"/>
                <w:szCs w:val="16"/>
                <w:b w:val="1"/>
                <w:bCs w:val="1"/>
                <w:color w:val="auto"/>
                <w:w w:val="86"/>
                <w:vertAlign w:val="superscript"/>
              </w:rPr>
              <w:t>4</w:t>
            </w:r>
          </w:p>
        </w:tc>
        <w:tc>
          <w:tcPr>
            <w:tcW w:w="0" w:type="dxa"/>
            <w:vAlign w:val="bottom"/>
          </w:tcPr>
          <w:p>
            <w:pPr>
              <w:spacing w:after="0"/>
              <w:rPr>
                <w:sz w:val="1"/>
                <w:szCs w:val="1"/>
                <w:color w:val="auto"/>
              </w:rPr>
            </w:pPr>
          </w:p>
        </w:tc>
      </w:tr>
      <w:tr>
        <w:trPr>
          <w:trHeight w:val="18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December 31, 2020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53,645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55,249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52,543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33,753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31,204</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8.4:1</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8.5:1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September 30, 2020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61,008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69,628</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54,558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27,785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29,460</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8.9:1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8.8:1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2020</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72,399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15,662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20,413</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8.8:1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9.2:1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March 31, 2020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93,538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104,773</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63,241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7,487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20,648</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9.9:1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31, 2019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92,672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7,404</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9.5:1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September 30, 2019</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87,938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92,420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90,462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10,146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1,820</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10.0:1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9.8:1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86,969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11,086</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2"/>
              </w:rPr>
              <w:t>10.0:1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9.8:1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March 31, 2019</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82,070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87,877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86,590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8,002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6,885</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9.3:1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31, 2018</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77,442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8,066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7,252</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8.4:1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9.0:1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September 30, 2018</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56,265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66,969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65,975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18,270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9,436</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8.5:1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8.2:1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2018</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49,892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16,912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19,898</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8.0:1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8.3:1</w:t>
            </w:r>
          </w:p>
        </w:tc>
        <w:tc>
          <w:tcPr>
            <w:tcW w:w="0" w:type="dxa"/>
            <w:vAlign w:val="bottom"/>
          </w:tcPr>
          <w:p>
            <w:pPr>
              <w:spacing w:after="0"/>
              <w:rPr>
                <w:sz w:val="1"/>
                <w:szCs w:val="1"/>
                <w:color w:val="auto"/>
              </w:rPr>
            </w:pPr>
          </w:p>
        </w:tc>
      </w:tr>
      <w:tr>
        <w:trPr>
          <w:trHeight w:val="182"/>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March 31, 2018</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49,567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50,645</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49,292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15,585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13,529</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8.2:1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8.2:1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tangible net book value "at risk" leverage during the period represents the sum of our daily weighted average repurchase agreements and other debt used to fund acquisitions of investment securities and net TBA position outstanding divided by the sum of our average month-ended stockholders' equity, adjusted to exclude goodwill.</w:t>
      </w:r>
    </w:p>
    <w:p>
      <w:pPr>
        <w:jc w:val="both"/>
        <w:ind w:left="660" w:hanging="328"/>
        <w:spacing w:after="0" w:line="248"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position (at cost) and net receivable/payable for unsettled investment securities outstanding as of period end divided by total stockholders' equity, adjusted to exclude goodwill as of period end.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summarizes our economic interest expense and aggregate cost of funds (non-GAAP measures) for fiscal years 2020, 2019 and 2018 (dollars in millions), which includes the combination of interest expense on Agency repurchase agreements and other debt (GAAP measure), implied financing cost (benefit) of our TBA securities and interest rate swap periodic interest cost (income):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ind w:left="260"/>
              <w:spacing w:after="0"/>
              <w:rPr>
                <w:sz w:val="20"/>
                <w:szCs w:val="20"/>
                <w:color w:val="auto"/>
              </w:rPr>
            </w:pPr>
            <w:r>
              <w:rPr>
                <w:rFonts w:ascii="Arial" w:cs="Arial" w:eastAsia="Arial" w:hAnsi="Arial"/>
                <w:sz w:val="14"/>
                <w:szCs w:val="14"/>
                <w:b w:val="1"/>
                <w:bCs w:val="1"/>
                <w:color w:val="auto"/>
              </w:rPr>
              <w:t>Fiscal Year 2020</w:t>
            </w:r>
          </w:p>
        </w:tc>
        <w:tc>
          <w:tcPr>
            <w:tcW w:w="120" w:type="dxa"/>
            <w:vAlign w:val="bottom"/>
          </w:tcPr>
          <w:p>
            <w:pPr>
              <w:spacing w:after="0"/>
              <w:rPr>
                <w:sz w:val="16"/>
                <w:szCs w:val="16"/>
                <w:color w:val="auto"/>
              </w:rPr>
            </w:pPr>
          </w:p>
        </w:tc>
        <w:tc>
          <w:tcPr>
            <w:tcW w:w="1740" w:type="dxa"/>
            <w:vAlign w:val="bottom"/>
            <w:gridSpan w:val="4"/>
          </w:tcPr>
          <w:p>
            <w:pPr>
              <w:ind w:left="260"/>
              <w:spacing w:after="0"/>
              <w:rPr>
                <w:sz w:val="20"/>
                <w:szCs w:val="20"/>
                <w:color w:val="auto"/>
              </w:rPr>
            </w:pPr>
            <w:r>
              <w:rPr>
                <w:rFonts w:ascii="Arial" w:cs="Arial" w:eastAsia="Arial" w:hAnsi="Arial"/>
                <w:sz w:val="14"/>
                <w:szCs w:val="14"/>
                <w:b w:val="1"/>
                <w:bCs w:val="1"/>
                <w:color w:val="auto"/>
              </w:rPr>
              <w:t>Fiscal Year 2019</w:t>
            </w:r>
          </w:p>
        </w:tc>
        <w:tc>
          <w:tcPr>
            <w:tcW w:w="100" w:type="dxa"/>
            <w:vAlign w:val="bottom"/>
          </w:tcPr>
          <w:p>
            <w:pPr>
              <w:spacing w:after="0"/>
              <w:rPr>
                <w:sz w:val="16"/>
                <w:szCs w:val="16"/>
                <w:color w:val="auto"/>
              </w:rPr>
            </w:pPr>
          </w:p>
        </w:tc>
        <w:tc>
          <w:tcPr>
            <w:tcW w:w="164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Fiscal Year 2018</w:t>
            </w:r>
          </w:p>
        </w:tc>
        <w:tc>
          <w:tcPr>
            <w:tcW w:w="0" w:type="dxa"/>
            <w:vAlign w:val="bottom"/>
          </w:tcPr>
          <w:p>
            <w:pPr>
              <w:spacing w:after="0"/>
              <w:rPr>
                <w:sz w:val="1"/>
                <w:szCs w:val="1"/>
                <w:color w:val="auto"/>
              </w:rPr>
            </w:pPr>
          </w:p>
        </w:tc>
      </w:tr>
      <w:tr>
        <w:trPr>
          <w:trHeight w:val="135"/>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18"/>
                <w:szCs w:val="18"/>
                <w:b w:val="1"/>
                <w:bCs w:val="1"/>
                <w:color w:val="auto"/>
                <w:vertAlign w:val="superscript"/>
              </w:rPr>
              <w:t>1</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Cost of</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top w:val="single" w:sz="8" w:color="auto"/>
            </w:tcBorders>
          </w:tcPr>
          <w:p>
            <w:pPr>
              <w:jc w:val="right"/>
              <w:ind w:right="148"/>
              <w:spacing w:after="0" w:line="135" w:lineRule="exact"/>
              <w:rPr>
                <w:sz w:val="20"/>
                <w:szCs w:val="20"/>
                <w:color w:val="auto"/>
              </w:rPr>
            </w:pPr>
            <w:r>
              <w:rPr>
                <w:rFonts w:ascii="Arial" w:cs="Arial" w:eastAsia="Arial" w:hAnsi="Arial"/>
                <w:sz w:val="14"/>
                <w:szCs w:val="14"/>
                <w:b w:val="1"/>
                <w:bCs w:val="1"/>
                <w:color w:val="auto"/>
              </w:rPr>
              <w:t>Cost of</w:t>
            </w:r>
          </w:p>
        </w:tc>
        <w:tc>
          <w:tcPr>
            <w:tcW w:w="0" w:type="dxa"/>
            <w:vAlign w:val="bottom"/>
          </w:tcPr>
          <w:p>
            <w:pPr>
              <w:spacing w:after="0"/>
              <w:rPr>
                <w:sz w:val="1"/>
                <w:szCs w:val="1"/>
                <w:color w:val="auto"/>
              </w:rPr>
            </w:pPr>
          </w:p>
        </w:tc>
      </w:tr>
      <w:tr>
        <w:trPr>
          <w:trHeight w:val="189"/>
        </w:trPr>
        <w:tc>
          <w:tcPr>
            <w:tcW w:w="5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Funds</w:t>
            </w: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Funds</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Funds</w:t>
            </w:r>
          </w:p>
        </w:tc>
        <w:tc>
          <w:tcPr>
            <w:tcW w:w="0" w:type="dxa"/>
            <w:vAlign w:val="bottom"/>
          </w:tcPr>
          <w:p>
            <w:pPr>
              <w:spacing w:after="0"/>
              <w:rPr>
                <w:sz w:val="1"/>
                <w:szCs w:val="1"/>
                <w:color w:val="auto"/>
              </w:rPr>
            </w:pPr>
          </w:p>
        </w:tc>
      </w:tr>
      <w:tr>
        <w:trPr>
          <w:trHeight w:val="183"/>
        </w:trPr>
        <w:tc>
          <w:tcPr>
            <w:tcW w:w="5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 and other debt - interest expense (GAAP measure)</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0.96 %</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2.46 %</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2.11 %</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 xml:space="preserve">TBA dollar roll income - implied interest expense (benefit) </w:t>
            </w:r>
            <w:r>
              <w:rPr>
                <w:rFonts w:ascii="Arial" w:cs="Arial" w:eastAsia="Arial" w:hAnsi="Arial"/>
                <w:sz w:val="18"/>
                <w:szCs w:val="18"/>
                <w:color w:val="auto"/>
                <w:vertAlign w:val="superscript"/>
              </w:rPr>
              <w:t>2,3</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2.26 %</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183"/>
        </w:trPr>
        <w:tc>
          <w:tcPr>
            <w:tcW w:w="580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4"/>
                <w:szCs w:val="14"/>
                <w:color w:val="auto"/>
              </w:rPr>
              <w:t xml:space="preserve">Economic interest expense - before interest rate swap periodic cost (income), net </w:t>
            </w:r>
            <w:r>
              <w:rPr>
                <w:rFonts w:ascii="Arial" w:cs="Arial" w:eastAsia="Arial" w:hAnsi="Arial"/>
                <w:sz w:val="18"/>
                <w:szCs w:val="18"/>
                <w:color w:val="auto"/>
                <w:vertAlign w:val="superscript"/>
              </w:rPr>
              <w:t>4</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0.67 %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2.06 %</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 xml:space="preserve">Interest rate swap periodic interest cost (income), net </w:t>
            </w:r>
            <w:r>
              <w:rPr>
                <w:rFonts w:ascii="Arial" w:cs="Arial" w:eastAsia="Arial" w:hAnsi="Arial"/>
                <w:sz w:val="18"/>
                <w:szCs w:val="18"/>
                <w:color w:val="auto"/>
                <w:vertAlign w:val="superscript"/>
              </w:rPr>
              <w:t>2,5</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0.05 %</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08"/>
        </w:trPr>
        <w:tc>
          <w:tcPr>
            <w:tcW w:w="5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economic interest expense (non-GAAP measure)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0.72 %</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2.02 %</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1.84 %</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repurchase agreement termination fees, forward starting swaps and the impact of other supplemental hedges, such as swaptions and U.S. Treasury positions.</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Interest rate swap periodic interest (income) cost is measured as a percent of average mortgage borrowings outstanding for the period.</w:t>
      </w:r>
    </w:p>
    <w:p>
      <w:pPr>
        <w:spacing w:after="0" w:line="23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fiscal years 2020 and 2019 compared to the prior year period (in millions):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740" w:type="dxa"/>
            <w:vAlign w:val="bottom"/>
            <w:tcBorders>
              <w:top w:val="single" w:sz="8" w:color="auto"/>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31"/>
        </w:trPr>
        <w:tc>
          <w:tcPr>
            <w:tcW w:w="622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rPr>
              <w:t>Fiscal Year 2020 vs 2019</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2"/>
              </w:rPr>
              <w:t>Borrowing / Swap</w:t>
            </w:r>
          </w:p>
        </w:tc>
        <w:tc>
          <w:tcPr>
            <w:tcW w:w="120" w:type="dxa"/>
            <w:vAlign w:val="bottom"/>
          </w:tcPr>
          <w:p>
            <w:pPr>
              <w:spacing w:after="0"/>
              <w:rPr>
                <w:sz w:val="11"/>
                <w:szCs w:val="11"/>
                <w:color w:val="auto"/>
              </w:rPr>
            </w:pPr>
          </w:p>
        </w:tc>
        <w:tc>
          <w:tcPr>
            <w:tcW w:w="1260" w:type="dxa"/>
            <w:vAlign w:val="bottom"/>
          </w:tcPr>
          <w:p>
            <w:pPr>
              <w:jc w:val="right"/>
              <w:ind w:right="68"/>
              <w:spacing w:after="0" w:line="131" w:lineRule="exact"/>
              <w:rPr>
                <w:sz w:val="20"/>
                <w:szCs w:val="20"/>
                <w:color w:val="auto"/>
              </w:rPr>
            </w:pPr>
            <w:r>
              <w:rPr>
                <w:rFonts w:ascii="Arial" w:cs="Arial" w:eastAsia="Arial" w:hAnsi="Arial"/>
                <w:sz w:val="14"/>
                <w:szCs w:val="14"/>
                <w:b w:val="1"/>
                <w:bCs w:val="1"/>
                <w:color w:val="auto"/>
                <w:w w:val="92"/>
              </w:rPr>
              <w:t>Borrowing / Swap</w:t>
            </w:r>
          </w:p>
        </w:tc>
        <w:tc>
          <w:tcPr>
            <w:tcW w:w="0" w:type="dxa"/>
            <w:vAlign w:val="bottom"/>
          </w:tcPr>
          <w:p>
            <w:pPr>
              <w:spacing w:after="0"/>
              <w:rPr>
                <w:sz w:val="1"/>
                <w:szCs w:val="1"/>
                <w:color w:val="auto"/>
              </w:rPr>
            </w:pPr>
          </w:p>
        </w:tc>
      </w:tr>
      <w:tr>
        <w:trPr>
          <w:trHeight w:val="188"/>
        </w:trPr>
        <w:tc>
          <w:tcPr>
            <w:tcW w:w="6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84"/>
        </w:trPr>
        <w:tc>
          <w:tcPr>
            <w:tcW w:w="6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86"/>
        </w:trPr>
        <w:tc>
          <w:tcPr>
            <w:tcW w:w="6220" w:type="dxa"/>
            <w:vAlign w:val="bottom"/>
            <w:gridSpan w:val="2"/>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9"/>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86"/>
        </w:trPr>
        <w:tc>
          <w:tcPr>
            <w:tcW w:w="6220" w:type="dxa"/>
            <w:vAlign w:val="bottom"/>
            <w:gridSpan w:val="2"/>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8660"/>
        <w:spacing w:after="0"/>
        <w:rPr>
          <w:sz w:val="20"/>
          <w:szCs w:val="20"/>
          <w:color w:val="auto"/>
        </w:rPr>
      </w:pPr>
      <w:r>
        <w:rPr>
          <w:rFonts w:ascii="Arial" w:cs="Arial" w:eastAsia="Arial" w:hAnsi="Arial"/>
          <w:sz w:val="14"/>
          <w:szCs w:val="14"/>
          <w:b w:val="1"/>
          <w:bCs w:val="1"/>
          <w:color w:val="auto"/>
        </w:rPr>
        <w:t>Due to Change in Average</w: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140"/>
        </w:trPr>
        <w:tc>
          <w:tcPr>
            <w:tcW w:w="6220" w:type="dxa"/>
            <w:vAlign w:val="bottom"/>
            <w:tcBorders>
              <w:top w:val="single" w:sz="8" w:color="CCEEFF"/>
            </w:tcBorders>
            <w:gridSpan w:val="2"/>
            <w:vMerge w:val="restart"/>
            <w:shd w:val="clear" w:color="auto" w:fill="CCEEFF"/>
          </w:tcPr>
          <w:p>
            <w:pPr>
              <w:ind w:left="2300"/>
              <w:spacing w:after="0"/>
              <w:rPr>
                <w:sz w:val="20"/>
                <w:szCs w:val="20"/>
                <w:color w:val="auto"/>
              </w:rPr>
            </w:pPr>
            <w:r>
              <w:rPr>
                <w:rFonts w:ascii="Arial" w:cs="Arial" w:eastAsia="Arial" w:hAnsi="Arial"/>
                <w:sz w:val="14"/>
                <w:szCs w:val="14"/>
                <w:b w:val="1"/>
                <w:bCs w:val="1"/>
                <w:color w:val="auto"/>
              </w:rPr>
              <w:t>Fiscal Year 2019 vs 2018</w:t>
            </w:r>
          </w:p>
        </w:tc>
        <w:tc>
          <w:tcPr>
            <w:tcW w:w="1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gridSpan w:val="2"/>
            <w:shd w:val="clear" w:color="auto" w:fill="CCEEFF"/>
          </w:tcPr>
          <w:p>
            <w:pPr>
              <w:jc w:val="center"/>
              <w:ind w:right="240"/>
              <w:spacing w:after="0" w:line="141"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gridSpan w:val="2"/>
            <w:shd w:val="clear" w:color="auto" w:fill="CCEEFF"/>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Borrowing / Swap</w:t>
            </w:r>
          </w:p>
        </w:tc>
        <w:tc>
          <w:tcPr>
            <w:tcW w:w="1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ind w:right="68"/>
              <w:spacing w:after="0" w:line="141" w:lineRule="exact"/>
              <w:rPr>
                <w:sz w:val="20"/>
                <w:szCs w:val="20"/>
                <w:color w:val="auto"/>
              </w:rPr>
            </w:pPr>
            <w:r>
              <w:rPr>
                <w:rFonts w:ascii="Arial" w:cs="Arial" w:eastAsia="Arial" w:hAnsi="Arial"/>
                <w:sz w:val="14"/>
                <w:szCs w:val="14"/>
                <w:b w:val="1"/>
                <w:bCs w:val="1"/>
                <w:color w:val="auto"/>
                <w:w w:val="92"/>
              </w:rPr>
              <w:t>Borrowing / Swap</w:t>
            </w:r>
          </w:p>
        </w:tc>
        <w:tc>
          <w:tcPr>
            <w:tcW w:w="0" w:type="dxa"/>
            <w:vAlign w:val="bottom"/>
          </w:tcPr>
          <w:p>
            <w:pPr>
              <w:spacing w:after="0"/>
              <w:rPr>
                <w:sz w:val="1"/>
                <w:szCs w:val="1"/>
                <w:color w:val="auto"/>
              </w:rPr>
            </w:pPr>
          </w:p>
        </w:tc>
      </w:tr>
      <w:tr>
        <w:trPr>
          <w:trHeight w:val="189"/>
        </w:trPr>
        <w:tc>
          <w:tcPr>
            <w:tcW w:w="6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9"/>
        </w:trPr>
        <w:tc>
          <w:tcPr>
            <w:tcW w:w="6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92"/>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6"/>
        </w:trPr>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11"/>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average mortgage borrowings, inclusive of TBAs, decreased 5% and increased 36% for fiscal years 2020 and 2019, respectively, largely due to shifts in our targeted operating leverage and changes to our total stockholders equity outstanding due to equity capital markets transactions. The decline in our average interest rate (actual and implied) on our mortgage borrowings during fiscal year 2020 was largely due to a decline in the Fed Funds target rate to the zero bound range early in the COVID-19 financial crisis, compared to moderate increases in the Fed Funds rate in the prior two year periods. TBA implied funding rates particularly benefited from a significant volume of new Agency RMBS issuance and the Fed's purchases of Agency RMBS through the TBA market. Additionally, during fiscal year 2020, we terminated $3.7 billion of longer-dated repurchase agreements and replaced them with shorter duration repurchase agreements at lower prevailing market rates. We recognized losses on debt extinguishment totaling $146 million in other gain (loss) during the period associated with the terminated agreements, which is excluded from economic interest expense in the tables above. We did not terminate any repurchase agreements during fiscal years 2019 or 2018.</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our interest rate swap periodic cost for fiscal year 2020 was largely due to a decline in the average floating rate received, consistent with lower short-term interest rates, which was partly offset by a decline in the average fixed rate paid on our interest rate swaps and a decline in our average swap balance outstanding. The decrease in our interest rate swap cost during fiscal year 2019, was largely due to the combination of an increase in the average floating rate received and a decrease in the average fixed-rate paid on our interest rate swaps. During fiscal years 2020 and 2019, we also adjusted the duration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composition of our interest rates swaps, taking advantage of favorable repricing events in the interest rate swap markets, benefiting our interest rate swap cost. For additional details regarding our interest rate swaps as of December 31, 2020 and 2019, please refer to Note 5 of our Consolidated Financial Statements in this Form 10-K.</w:t>
      </w:r>
    </w:p>
    <w:p>
      <w:pPr>
        <w:spacing w:after="0" w:line="13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 presents a summary of the ratio of our average interest rates swaps outstanding, excluding forward starting swaps, to our average mortgage borrowings and the weighted average pay-fixed / receive-floating rates on our interest rate swaps for fiscal years 2020, 2019 and 2018 (dollars in millions):</w:t>
      </w:r>
    </w:p>
    <w:p>
      <w:pPr>
        <w:spacing w:after="0" w:line="2"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6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Average Ratio of Interest Rate Swaps (Excluding Forward Starting Swaps) to Mortgage Borrowings</w:t>
            </w:r>
          </w:p>
        </w:tc>
        <w:tc>
          <w:tcPr>
            <w:tcW w:w="240" w:type="dxa"/>
            <w:vAlign w:val="bottom"/>
          </w:tcPr>
          <w:p>
            <w:pPr>
              <w:spacing w:after="0"/>
              <w:rPr>
                <w:sz w:val="10"/>
                <w:szCs w:val="10"/>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668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69,370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86,231</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55,592</w:t>
            </w:r>
          </w:p>
        </w:tc>
        <w:tc>
          <w:tcPr>
            <w:tcW w:w="0" w:type="dxa"/>
            <w:vAlign w:val="bottom"/>
          </w:tcPr>
          <w:p>
            <w:pPr>
              <w:spacing w:after="0"/>
              <w:rPr>
                <w:sz w:val="1"/>
                <w:szCs w:val="1"/>
                <w:color w:val="auto"/>
              </w:rPr>
            </w:pPr>
          </w:p>
        </w:tc>
      </w:tr>
      <w:tr>
        <w:trPr>
          <w:trHeight w:val="186"/>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outstanding - at cost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21,224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9,262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14,697</w:t>
            </w:r>
          </w:p>
        </w:tc>
        <w:tc>
          <w:tcPr>
            <w:tcW w:w="0" w:type="dxa"/>
            <w:vAlign w:val="bottom"/>
          </w:tcPr>
          <w:p>
            <w:pPr>
              <w:spacing w:after="0"/>
              <w:rPr>
                <w:sz w:val="1"/>
                <w:szCs w:val="1"/>
                <w:color w:val="auto"/>
              </w:rPr>
            </w:pPr>
          </w:p>
        </w:tc>
      </w:tr>
      <w:tr>
        <w:trPr>
          <w:trHeight w:val="18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90,594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95,493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70,289</w:t>
            </w:r>
          </w:p>
        </w:tc>
        <w:tc>
          <w:tcPr>
            <w:tcW w:w="0" w:type="dxa"/>
            <w:vAlign w:val="bottom"/>
          </w:tcPr>
          <w:p>
            <w:pPr>
              <w:spacing w:after="0"/>
              <w:rPr>
                <w:sz w:val="1"/>
                <w:szCs w:val="1"/>
                <w:color w:val="auto"/>
              </w:rPr>
            </w:pPr>
          </w:p>
        </w:tc>
      </w:tr>
      <w:tr>
        <w:trPr>
          <w:trHeight w:val="182"/>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49,978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63,890</w:t>
            </w:r>
          </w:p>
        </w:tc>
        <w:tc>
          <w:tcPr>
            <w:tcW w:w="8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43,137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14"/>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1.83 %</w:t>
            </w:r>
          </w:p>
        </w:tc>
      </w:tr>
      <w:tr>
        <w:trPr>
          <w:trHeight w:val="18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r>
      <w:tr>
        <w:trPr>
          <w:trHeight w:val="211"/>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0.10 %</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 fiscal years 2020, 2019 and 2018, we had an average forward starting swap balance of $0.8 billion, $3.0 billion and $4.5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fiscal years 2020, 2019 and 2018 was 56%, 70% and 68%,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fiscal years 2020, 2019 and 2018:</w:t>
      </w:r>
    </w:p>
    <w:p>
      <w:pPr>
        <w:spacing w:after="0" w:line="148"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6"/>
                <w:szCs w:val="16"/>
                <w:color w:val="auto"/>
              </w:rPr>
            </w:pPr>
          </w:p>
        </w:tc>
      </w:tr>
      <w:tr>
        <w:trPr>
          <w:trHeight w:val="188"/>
        </w:trPr>
        <w:tc>
          <w:tcPr>
            <w:tcW w:w="6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184"/>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3.11 %</w:t>
            </w:r>
          </w:p>
        </w:tc>
      </w:tr>
      <w:tr>
        <w:trPr>
          <w:trHeight w:val="186"/>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r>
      <w:tr>
        <w:trPr>
          <w:trHeight w:val="211"/>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1.78 %</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fiscal years 2020, 2019 and 2018 (dollars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Interest rate swap periodic (cost) income, net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4"/>
                <w:szCs w:val="14"/>
                <w:color w:val="auto"/>
              </w:rPr>
              <w:t xml:space="preserve">Other interest and dividend income </w:t>
            </w:r>
            <w:r>
              <w:rPr>
                <w:rFonts w:ascii="Arial" w:cs="Arial" w:eastAsia="Arial" w:hAnsi="Arial"/>
                <w:sz w:val="18"/>
                <w:szCs w:val="18"/>
                <w:color w:val="auto"/>
                <w:vertAlign w:val="superscript"/>
              </w:rPr>
              <w:t>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186"/>
        </w:trPr>
        <w:tc>
          <w:tcPr>
            <w:tcW w:w="7860" w:type="dxa"/>
            <w:vAlign w:val="bottom"/>
          </w:tcPr>
          <w:p>
            <w:pPr>
              <w:ind w:left="20"/>
              <w:spacing w:after="0"/>
              <w:rPr>
                <w:sz w:val="20"/>
                <w:szCs w:val="20"/>
                <w:color w:val="auto"/>
              </w:rPr>
            </w:pPr>
            <w:r>
              <w:rPr>
                <w:rFonts w:ascii="Arial" w:cs="Arial" w:eastAsia="Arial" w:hAnsi="Arial"/>
                <w:sz w:val="14"/>
                <w:szCs w:val="14"/>
                <w:color w:val="auto"/>
              </w:rPr>
              <w:t>Other operating income (expense)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6"/>
        </w:trPr>
        <w:tc>
          <w:tcPr>
            <w:tcW w:w="7860" w:type="dxa"/>
            <w:vAlign w:val="bottom"/>
          </w:tcPr>
          <w:p>
            <w:pPr>
              <w:ind w:left="140"/>
              <w:spacing w:after="0"/>
              <w:rPr>
                <w:sz w:val="20"/>
                <w:szCs w:val="20"/>
                <w:color w:val="auto"/>
              </w:rPr>
            </w:pPr>
            <w:r>
              <w:rPr>
                <w:rFonts w:ascii="Arial" w:cs="Arial" w:eastAsia="Arial" w:hAnsi="Arial"/>
                <w:sz w:val="14"/>
                <w:szCs w:val="14"/>
                <w:color w:val="auto"/>
              </w:rPr>
              <w:t>Less non-recurring write-off of intangible asset and other expenses associated with termination of management agreement</w:t>
            </w:r>
          </w:p>
        </w:tc>
        <w:tc>
          <w:tcPr>
            <w:tcW w:w="2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Management fee income</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6"/>
        </w:trPr>
        <w:tc>
          <w:tcPr>
            <w:tcW w:w="7860" w:type="dxa"/>
            <w:vAlign w:val="bottom"/>
          </w:tcPr>
          <w:p>
            <w:pPr>
              <w:ind w:left="140"/>
              <w:spacing w:after="0"/>
              <w:rPr>
                <w:sz w:val="20"/>
                <w:szCs w:val="20"/>
                <w:color w:val="auto"/>
              </w:rPr>
            </w:pPr>
            <w:r>
              <w:rPr>
                <w:rFonts w:ascii="Arial" w:cs="Arial" w:eastAsia="Arial" w:hAnsi="Arial"/>
                <w:sz w:val="14"/>
                <w:szCs w:val="14"/>
                <w:color w:val="auto"/>
              </w:rPr>
              <w:t>Less non-recurring management agreement termination fee income</w:t>
            </w:r>
          </w:p>
        </w:tc>
        <w:tc>
          <w:tcPr>
            <w:tcW w:w="2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other operating income (expense), net</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4"/>
                <w:szCs w:val="14"/>
                <w:color w:val="auto"/>
              </w:rPr>
              <w:t>Net spread and dollar roll income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 on preferred stock</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15"/>
        </w:trPr>
        <w:tc>
          <w:tcPr>
            <w:tcW w:w="7860" w:type="dxa"/>
            <w:vAlign w:val="bottom"/>
          </w:tcPr>
          <w:p>
            <w:pPr>
              <w:ind w:left="20"/>
              <w:spacing w:after="0" w:line="115" w:lineRule="exact"/>
              <w:rPr>
                <w:sz w:val="20"/>
                <w:szCs w:val="20"/>
                <w:color w:val="auto"/>
              </w:rPr>
            </w:pPr>
            <w:r>
              <w:rPr>
                <w:rFonts w:ascii="Arial" w:cs="Arial" w:eastAsia="Arial" w:hAnsi="Arial"/>
                <w:sz w:val="13"/>
                <w:szCs w:val="13"/>
                <w:color w:val="auto"/>
              </w:rPr>
              <w:t>Net spread and dollar roll income, excluding "catch-up" premium amortization, available to common stockholders (non-GAAP</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1,493</w:t>
            </w:r>
          </w:p>
        </w:tc>
        <w:tc>
          <w:tcPr>
            <w:tcW w:w="1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1,170</w:t>
            </w:r>
          </w:p>
        </w:tc>
        <w:tc>
          <w:tcPr>
            <w:tcW w:w="140" w:type="dxa"/>
            <w:vAlign w:val="bottom"/>
          </w:tcPr>
          <w:p>
            <w:pPr>
              <w:spacing w:after="0"/>
              <w:rPr>
                <w:sz w:val="10"/>
                <w:szCs w:val="10"/>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67"/>
        </w:trPr>
        <w:tc>
          <w:tcPr>
            <w:tcW w:w="7860" w:type="dxa"/>
            <w:vAlign w:val="bottom"/>
          </w:tcPr>
          <w:p>
            <w:pPr>
              <w:ind w:left="20"/>
              <w:spacing w:after="0"/>
              <w:rPr>
                <w:sz w:val="20"/>
                <w:szCs w:val="20"/>
                <w:color w:val="auto"/>
              </w:rPr>
            </w:pPr>
            <w:r>
              <w:rPr>
                <w:rFonts w:ascii="Arial" w:cs="Arial" w:eastAsia="Arial" w:hAnsi="Arial"/>
                <w:sz w:val="14"/>
                <w:szCs w:val="14"/>
                <w:color w:val="auto"/>
              </w:rPr>
              <w:t>measure)</w:t>
            </w:r>
          </w:p>
        </w:tc>
        <w:tc>
          <w:tcPr>
            <w:tcW w:w="2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551.6</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540.6</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541.4</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is a summary of our net gain (loss) on investment securities for fiscal years 2020, 2019 and 2018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9"/>
        </w:trPr>
        <w:tc>
          <w:tcPr>
            <w:tcW w:w="792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18"/>
                <w:szCs w:val="18"/>
                <w:b w:val="1"/>
                <w:bCs w:val="1"/>
                <w:color w:val="auto"/>
                <w:vertAlign w:val="superscript"/>
              </w:rPr>
              <w:t>1</w:t>
            </w: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r>
      <w:tr>
        <w:trPr>
          <w:trHeight w:val="183"/>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Gain (loss) on sale of investment securities, net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189"/>
        </w:trPr>
        <w:tc>
          <w:tcPr>
            <w:tcW w:w="79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18"/>
                <w:szCs w:val="18"/>
                <w:color w:val="auto"/>
                <w:vertAlign w:val="superscript"/>
              </w:rPr>
              <w:t>2</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186"/>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r>
      <w:tr>
        <w:trPr>
          <w:trHeight w:val="186"/>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Total gain (loss) on investment securities, net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w:t>
            </w: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3 of our Consolidated Financial Statements in this Form 10-K).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fiscal years 2020, 2019 and 2018 (in millions):</w:t>
      </w:r>
    </w:p>
    <w:p>
      <w:pPr>
        <w:spacing w:after="0" w:line="81"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87"/>
        </w:trPr>
        <w:tc>
          <w:tcPr>
            <w:tcW w:w="7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r>
      <w:tr>
        <w:trPr>
          <w:trHeight w:val="184"/>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 periodic income (cost),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66"/>
        </w:trPr>
        <w:tc>
          <w:tcPr>
            <w:tcW w:w="706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 - dollar roll income,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r>
      <w:tr>
        <w:trPr>
          <w:trHeight w:val="186"/>
        </w:trPr>
        <w:tc>
          <w:tcPr>
            <w:tcW w:w="7060" w:type="dxa"/>
            <w:vAlign w:val="bottom"/>
          </w:tcPr>
          <w:p>
            <w:pPr>
              <w:ind w:left="180"/>
              <w:spacing w:after="0"/>
              <w:rPr>
                <w:sz w:val="20"/>
                <w:szCs w:val="20"/>
                <w:color w:val="auto"/>
              </w:rPr>
            </w:pPr>
            <w:r>
              <w:rPr>
                <w:rFonts w:ascii="Arial" w:cs="Arial" w:eastAsia="Arial" w:hAnsi="Arial"/>
                <w:sz w:val="14"/>
                <w:szCs w:val="14"/>
                <w:color w:val="auto"/>
              </w:rPr>
              <w:t>TBA securities - mark-to-market net gain (loss)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(592)</w:t>
            </w:r>
          </w:p>
        </w:tc>
      </w:tr>
      <w:tr>
        <w:trPr>
          <w:trHeight w:val="19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Payer swaptions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6"/>
        </w:trPr>
        <w:tc>
          <w:tcPr>
            <w:tcW w:w="7060" w:type="dxa"/>
            <w:vAlign w:val="bottom"/>
          </w:tcPr>
          <w:p>
            <w:pPr>
              <w:ind w:left="180"/>
              <w:spacing w:after="0"/>
              <w:rPr>
                <w:sz w:val="20"/>
                <w:szCs w:val="20"/>
                <w:color w:val="auto"/>
              </w:rPr>
            </w:pPr>
            <w:r>
              <w:rPr>
                <w:rFonts w:ascii="Arial" w:cs="Arial" w:eastAsia="Arial" w:hAnsi="Arial"/>
                <w:sz w:val="14"/>
                <w:szCs w:val="14"/>
                <w:color w:val="auto"/>
              </w:rPr>
              <w:t>U.S. Treasury securities - long position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securities - short position</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86"/>
        </w:trPr>
        <w:tc>
          <w:tcPr>
            <w:tcW w:w="7060" w:type="dxa"/>
            <w:vAlign w:val="bottom"/>
          </w:tcPr>
          <w:p>
            <w:pPr>
              <w:ind w:left="180"/>
              <w:spacing w:after="0"/>
              <w:rPr>
                <w:sz w:val="20"/>
                <w:szCs w:val="20"/>
                <w:color w:val="auto"/>
              </w:rPr>
            </w:pPr>
            <w:r>
              <w:rPr>
                <w:rFonts w:ascii="Arial" w:cs="Arial" w:eastAsia="Arial" w:hAnsi="Arial"/>
                <w:sz w:val="14"/>
                <w:szCs w:val="14"/>
                <w:color w:val="auto"/>
              </w:rPr>
              <w:t>U.S. Treasury futures - short position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9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86"/>
        </w:trPr>
        <w:tc>
          <w:tcPr>
            <w:tcW w:w="7060" w:type="dxa"/>
            <w:vAlign w:val="bottom"/>
          </w:tcPr>
          <w:p>
            <w:pPr>
              <w:ind w:left="180"/>
              <w:spacing w:after="0"/>
              <w:rPr>
                <w:sz w:val="20"/>
                <w:szCs w:val="20"/>
                <w:color w:val="auto"/>
              </w:rPr>
            </w:pPr>
            <w:r>
              <w:rPr>
                <w:rFonts w:ascii="Arial" w:cs="Arial" w:eastAsia="Arial" w:hAnsi="Arial"/>
                <w:sz w:val="14"/>
                <w:szCs w:val="14"/>
                <w:color w:val="auto"/>
              </w:rPr>
              <w:t>Losses on debt extinguishment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7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17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6"/>
        </w:trPr>
        <w:tc>
          <w:tcPr>
            <w:tcW w:w="7060" w:type="dxa"/>
            <w:vAlign w:val="bottom"/>
          </w:tcPr>
          <w:p>
            <w:pPr>
              <w:ind w:left="180"/>
              <w:spacing w:after="0"/>
              <w:rPr>
                <w:sz w:val="20"/>
                <w:szCs w:val="20"/>
                <w:color w:val="auto"/>
              </w:rPr>
            </w:pPr>
            <w:r>
              <w:rPr>
                <w:rFonts w:ascii="Arial" w:cs="Arial" w:eastAsia="Arial" w:hAnsi="Arial"/>
                <w:sz w:val="14"/>
                <w:szCs w:val="14"/>
                <w:color w:val="auto"/>
              </w:rPr>
              <w:t>TBA securities - mark-to-market net gain (loss)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9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6"/>
        </w:trPr>
        <w:tc>
          <w:tcPr>
            <w:tcW w:w="7060" w:type="dxa"/>
            <w:vAlign w:val="bottom"/>
          </w:tcPr>
          <w:p>
            <w:pPr>
              <w:ind w:left="180"/>
              <w:spacing w:after="0"/>
              <w:rPr>
                <w:sz w:val="20"/>
                <w:szCs w:val="20"/>
                <w:color w:val="auto"/>
              </w:rPr>
            </w:pPr>
            <w:r>
              <w:rPr>
                <w:rFonts w:ascii="Arial" w:cs="Arial" w:eastAsia="Arial" w:hAnsi="Arial"/>
                <w:sz w:val="14"/>
                <w:szCs w:val="14"/>
                <w:color w:val="auto"/>
              </w:rPr>
              <w:t>Payer swaptions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9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securities - long position</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60" w:type="dxa"/>
            <w:vAlign w:val="bottom"/>
          </w:tcPr>
          <w:p>
            <w:pPr>
              <w:ind w:left="180"/>
              <w:spacing w:after="0"/>
              <w:rPr>
                <w:sz w:val="20"/>
                <w:szCs w:val="20"/>
                <w:color w:val="auto"/>
              </w:rPr>
            </w:pPr>
            <w:r>
              <w:rPr>
                <w:rFonts w:ascii="Arial" w:cs="Arial" w:eastAsia="Arial" w:hAnsi="Arial"/>
                <w:sz w:val="14"/>
                <w:szCs w:val="14"/>
                <w:color w:val="auto"/>
              </w:rPr>
              <w:t>U.S. Treasury securities - short position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192"/>
        </w:trPr>
        <w:tc>
          <w:tcPr>
            <w:tcW w:w="7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futures - short position</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6"/>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8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7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For the fiscal years 2020, 2019 and 2018, we had estimated taxable income available to common stockholders of $745 million, $620 million and $490 million, or $1.35, $1.15 and $1.11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fiscal years 2020, 2019 and 2018 (dollars in millions, except per share amounts):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tbl>
      <w:tblPr>
        <w:tblLayout w:type="fixed"/>
        <w:tblInd w:w="9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7"/>
        </w:trPr>
        <w:tc>
          <w:tcPr>
            <w:tcW w:w="64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184"/>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86"/>
        </w:trPr>
        <w:tc>
          <w:tcPr>
            <w:tcW w:w="642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Premium amortization, net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86"/>
        </w:trPr>
        <w:tc>
          <w:tcPr>
            <w:tcW w:w="6420" w:type="dxa"/>
            <w:vAlign w:val="bottom"/>
          </w:tcPr>
          <w:p>
            <w:pPr>
              <w:ind w:left="140"/>
              <w:spacing w:after="0"/>
              <w:rPr>
                <w:sz w:val="20"/>
                <w:szCs w:val="20"/>
                <w:color w:val="auto"/>
              </w:rPr>
            </w:pPr>
            <w:r>
              <w:rPr>
                <w:rFonts w:ascii="Arial" w:cs="Arial" w:eastAsia="Arial" w:hAnsi="Arial"/>
                <w:sz w:val="14"/>
                <w:szCs w:val="14"/>
                <w:color w:val="auto"/>
              </w:rPr>
              <w:t>Realized gain/loss,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(236)</w:t>
            </w:r>
          </w:p>
        </w:tc>
      </w:tr>
      <w:tr>
        <w:trPr>
          <w:trHeight w:val="192"/>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capital loss/(utilization of net capital loss carryforward)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186"/>
        </w:trPr>
        <w:tc>
          <w:tcPr>
            <w:tcW w:w="6420" w:type="dxa"/>
            <w:vAlign w:val="bottom"/>
          </w:tcPr>
          <w:p>
            <w:pPr>
              <w:ind w:left="140"/>
              <w:spacing w:after="0"/>
              <w:rPr>
                <w:sz w:val="20"/>
                <w:szCs w:val="20"/>
                <w:color w:val="auto"/>
              </w:rPr>
            </w:pPr>
            <w:r>
              <w:rPr>
                <w:rFonts w:ascii="Arial" w:cs="Arial" w:eastAsia="Arial" w:hAnsi="Arial"/>
                <w:sz w:val="14"/>
                <w:szCs w:val="14"/>
                <w:color w:val="auto"/>
              </w:rPr>
              <w:t>Unrealized (gain)/loss,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192"/>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79"/>
        </w:trPr>
        <w:tc>
          <w:tcPr>
            <w:tcW w:w="64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book to tax differences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r>
      <w:tr>
        <w:trPr>
          <w:trHeight w:val="186"/>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r>
      <w:tr>
        <w:trPr>
          <w:trHeight w:val="186"/>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Dividends on preferred stock</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1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2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540.6</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441.1</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20" w:type="dxa"/>
            <w:vAlign w:val="bottom"/>
          </w:tcPr>
          <w:p>
            <w:pPr>
              <w:ind w:left="20"/>
              <w:spacing w:after="0"/>
              <w:rPr>
                <w:sz w:val="20"/>
                <w:szCs w:val="20"/>
                <w:color w:val="auto"/>
              </w:rPr>
            </w:pPr>
            <w:r>
              <w:rPr>
                <w:rFonts w:ascii="Arial" w:cs="Arial" w:eastAsia="Arial" w:hAnsi="Arial"/>
                <w:sz w:val="14"/>
                <w:szCs w:val="14"/>
                <w:color w:val="auto"/>
              </w:rPr>
              <w:t>Estimated REIT taxable income per common share - basic</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diluted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r>
      <w:tr>
        <w:trPr>
          <w:trHeight w:val="18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Increase (decrease) in net capital loss carryforward</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r>
      <w:tr>
        <w:trPr>
          <w:trHeight w:val="186"/>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common share</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r>
      <w:tr>
        <w:trPr>
          <w:trHeight w:val="21"/>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December 31, 2020, 2019 and 2018, we had distributed all our estimated taxable income for fiscal years 2020, 2019 and 2018, respectively. Accordingly, we do not expect to incur an income tax or excise tax liability on our 2020 taxable income, nor did we incur such liabilities on our 2019 and 2018 taxable income. Please refer to Note 9 to our Consolidated Financial Statements included in this Form 10-K for a summary of dividends declared on our common and preferred stock during fiscal years 2020, 2019 and 2018.</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w:t>
      </w:r>
    </w:p>
    <w:p>
      <w:pPr>
        <w:spacing w:after="0" w:line="10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 xml:space="preserve">We believe that we have sufficient liquidity and capital resources available to meet our obligations and execute our business strategy. In assessing our liquidity, we consider a number of factors, including our current leverage, collateral levels, access to capital markets, overall market conditions, and the sensitivity of our tangible net book value over a range of scenarios. However, these and other factors impacting our liquidity are subject to numerous risks and uncertainties, including as described in the </w:t>
      </w:r>
      <w:r>
        <w:rPr>
          <w:rFonts w:ascii="Arial" w:cs="Arial" w:eastAsia="Arial" w:hAnsi="Arial"/>
          <w:sz w:val="16"/>
          <w:szCs w:val="16"/>
          <w:i w:val="1"/>
          <w:iCs w:val="1"/>
          <w:color w:val="auto"/>
        </w:rPr>
        <w:t>Quantitative and Qualitative Disclosures of Market Risks</w:t>
      </w:r>
      <w:r>
        <w:rPr>
          <w:rFonts w:ascii="Arial" w:cs="Arial" w:eastAsia="Arial" w:hAnsi="Arial"/>
          <w:sz w:val="16"/>
          <w:szCs w:val="16"/>
          <w:color w:val="auto"/>
        </w:rPr>
        <w:t xml:space="preserve"> and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sections of this Form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and Financing Sources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8.5x and 9.4x as of December 31, 2020 and 2019, respectively. The following table includes a summary of our mortgage borrowings outstanding as of December 31, 2020 and 2019 (dollars in millions). For additional details of our mortgage borrowings refer to Notes 2, 4 and 5 to our Consolidated Financial Statements in this Form 10-K.</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0"/>
              </w:rPr>
              <w:t>December 31, 2020</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0"/>
              </w:rPr>
              <w:t>December 31, 2019</w:t>
            </w:r>
          </w:p>
        </w:tc>
        <w:tc>
          <w:tcPr>
            <w:tcW w:w="720" w:type="dxa"/>
            <w:vAlign w:val="bottom"/>
            <w:tcBorders>
              <w:bottom w:val="single" w:sz="8" w:color="auto"/>
            </w:tcBorders>
          </w:tcPr>
          <w:p>
            <w:pPr>
              <w:spacing w:after="0"/>
              <w:rPr>
                <w:sz w:val="16"/>
                <w:szCs w:val="16"/>
                <w:color w:val="auto"/>
              </w:rPr>
            </w:pPr>
          </w:p>
        </w:tc>
      </w:tr>
      <w:tr>
        <w:trPr>
          <w:trHeight w:val="188"/>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Mortgage Borrowings</w:t>
            </w:r>
          </w:p>
        </w:tc>
        <w:tc>
          <w:tcPr>
            <w:tcW w:w="22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r>
      <w:tr>
        <w:trPr>
          <w:trHeight w:val="184"/>
        </w:trPr>
        <w:tc>
          <w:tcPr>
            <w:tcW w:w="568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18"/>
                <w:szCs w:val="18"/>
                <w:color w:val="auto"/>
                <w:vertAlign w:val="superscript"/>
              </w:rPr>
              <w:t>1,2</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52,366</w:t>
            </w: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89,085</w:t>
            </w: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92 %</w:t>
            </w:r>
          </w:p>
        </w:tc>
      </w:tr>
      <w:tr>
        <w:trPr>
          <w:trHeight w:val="186"/>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52,543</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89,313</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92 %</w:t>
            </w:r>
          </w:p>
        </w:tc>
      </w:tr>
      <w:tr>
        <w:trPr>
          <w:trHeight w:val="186"/>
        </w:trPr>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TBA position, at cost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w:t>
            </w:r>
          </w:p>
        </w:tc>
      </w:tr>
      <w:tr>
        <w:trPr>
          <w:trHeight w:val="211"/>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mortgage borrowings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83,747</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96,717</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 excludes $97 million of repurchase agreements used to fund purchases of U.S. Treasury securities as of December 31, 2019.</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of December 31, 2020 and 2019, 46% and 38%, respectively, of our repurchase agreement funding was through the GCF Repo service.</w:t>
      </w:r>
    </w:p>
    <w:p>
      <w:pPr>
        <w:spacing w:after="0" w:line="15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staggered maturity profile and utilization of interest rate hedging strategies. We also use TBA dollar roll transactions as a means of synthetically financing Agency RMBS.</w:t>
      </w:r>
    </w:p>
    <w:p>
      <w:pPr>
        <w:spacing w:after="0" w:line="13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2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Collateral Requirements and Unencumbered Assets</w:t>
      </w:r>
    </w:p>
    <w:p>
      <w:pPr>
        <w:spacing w:after="0" w:line="17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December 31, 2020, we had met all our margin requirements.</w:t>
      </w:r>
    </w:p>
    <w:p>
      <w:pPr>
        <w:spacing w:after="0" w:line="138"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December 31, 2020, our portfolio largely consisted of lower coupon 30 and 15-year TBA securities, which are not subject to monthly principal pay-downs, and higher coupon holdings concentrated in high quality, specified Agency RMBS pools, which have a lower risk of prepayment than similar coupon generic Agency RMBS.</w:t>
      </w:r>
    </w:p>
    <w:p>
      <w:pPr>
        <w:spacing w:after="0" w:line="11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Collateral requirements under our derivative agreements are subject to our counterparties' assessment of their maximum risk of loss associated with the derivative instrument measured over a certain period of time, referred to as the initial or minimum margin requirement.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and, if applicable, by our third-party brokerage agreements, which may establish margin levels in excess of the MBSD.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4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Haircut levels and minimum margin requirements imposed by our counterparties reduce the amount of our unencumbered assets and limit the amount we can borrow against our investment securities. During fiscal year 2020, haircuts on Agency RMBS collateral remained stable. Haircuts and funding levels for our less liquid, credit-oriented securities were adversely impacted by the dislocation in the financial markets in the first quarter, but subsequently rebounded to levels consistent with historical norms. As of December 31, 2020, the weighted average haircut on our repurchase agreements was approximately 4.6% of the value of our collateral, largely unchanged from December 31, 2019.</w:t>
      </w:r>
    </w:p>
    <w:p>
      <w:pPr>
        <w:spacing w:after="0" w:line="12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To mitigate the risk of future margins calls, we seek to maintain excess liquidity by holding unencumbered liquid assets that can be used to satisfy collateral requirements, collateralize additional borrowings or sold for cash. As of December 31, 2020, our unencumbered assets totaled 60% of our tangible net equity, compared to 54% as of December 31, 2019. The majority of our liquidity is held at AGNC, but we also maintain capital and excess liquidity at Bethesda Securities to meet regulatory standards, satisfy counterparty and clearing organization expectations, and for risk management purposes. As of December 31, 2020, we had cash and unencumbered Agency RMBS totaling $5.4 billion, which excludes unencumbered CRT securities, non-Agency securities and assets held at Bethesda Securities.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17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11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of December 31, 2020, our maximum amount at risk (or the excess value of collateral pledged over our repurchase liabilities) with any of our repurchase agreement counterparties, excluding the FICC, was less than 2% of our tangible stockholders' equity, with our top five repo counterparties, excluding the FICC, representing less than 6% of our tangible stockholders' equity. As of December 31, 2020, approximately 9% of our tangible stockholder's equity was at risk with the FICC. Excluding central clearing exchanges, as of December 31, 2020, our amount at risk with any counterparty to our derivative agreements was less than 1% of our stockholders'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Agency RMBS securities are among the most liquid fixed income securities, and the TBA market is the second most liquid market (after the U.S. Treasury market). The vitality of these markets enables us to sell assets under most market conditions to generate liquidity through direct sales or delivery into TBA contracts, subject to "good delivery" provisions promulgated by the Securities Industry and Financial Markets Association ("SIFMA"). Under certain market conditions, however, we may be unable to realize the full "pay-up" value of our specified pool securities, or premium relative to generic Agency RMBS. We attempt to manage this risk by maintaining a minimum level of securities that trade at or near TBA values that in our estimation enhances our portfolio liquidity across a wide range of market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when the price of our common stock trades below our tangible net book value or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10-K for further details regarding our recent equity capital transactions and our stock repurchase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December 31, 2020,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December 31, 2020,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 on our liquidity and cash flows from contractual obligations for repurchase agreements and related interest expense (in millions):</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6"/>
        </w:trPr>
        <w:tc>
          <w:tcPr>
            <w:tcW w:w="39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r>
      <w:tr>
        <w:trPr>
          <w:trHeight w:val="256"/>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agreements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52,366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52,366</w:t>
            </w:r>
          </w:p>
        </w:tc>
      </w:tr>
      <w:tr>
        <w:trPr>
          <w:trHeight w:val="270"/>
        </w:trPr>
        <w:tc>
          <w:tcPr>
            <w:tcW w:w="4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8"/>
                <w:szCs w:val="18"/>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r>
      <w:tr>
        <w:trPr>
          <w:trHeight w:val="23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52,385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8255</wp:posOffset>
            </wp:positionV>
            <wp:extent cx="32746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Interest expense is calculated based on the weighted average interest rates on our repurchase agreements as of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statements contained in this Annual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“intend,” “outlook,” “potential,” “forecast,” “estimate,” “will,” “could,” “should,” “likely” and other similar, correlative or comparable words and expressions.</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Annual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95" w:lineRule="exact"/>
        <w:rPr>
          <w:sz w:val="20"/>
          <w:szCs w:val="20"/>
          <w:color w:val="auto"/>
        </w:rPr>
      </w:pPr>
    </w:p>
    <w:p>
      <w:pPr>
        <w:ind w:left="660" w:hanging="247"/>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the COVID-19 pandemic and of measures taken in response to the COVID-19 pandemic by various governmental authorities, businesses and other third parties;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actions by the federal, state, or local governments to stabilize the economy, the housing sector or financial markets;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U.S. monetary policy or interest rates, including Fed purchases of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yield curve;</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mortgage prepayment rates on the loans underlying our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and terms of financing;</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 value of our assets, including from changes in net interest spreads, and changes in market liquidity or depth;</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risk mitigation strategies;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conditions in the market for Agency RMBS and other mortgage securities;</w:t>
      </w:r>
    </w:p>
    <w:p>
      <w:pPr>
        <w:spacing w:after="0" w:line="6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legislative or regulatory changes that affect our status as a REIT, our exemption from the Investment Company Act of 1940 or the mortgage markets in which we participate; and</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risks discussed under the heading “Risk Factors” herein and in our Annual Report on Form 10-K.</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this document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We caution readers not to place undue reliance on our forward-looking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2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color w:val="auto"/>
        </w:rPr>
        <w:t>and decrease when interest rates fall. This "negative convexity" generally increases the interest rate exposure of our investment portfolio in excess of what is measured by duration alone.</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estimate the duration and convexity of our assets using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December 31, 2020 and 2019 should interest rates go up or down by 50, 75 and 100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December 31, 2020 and 2019.</w:t>
      </w:r>
    </w:p>
    <w:p>
      <w:pPr>
        <w:spacing w:after="0" w:line="13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1,2</w:t>
      </w:r>
    </w:p>
    <w:tbl>
      <w:tblPr>
        <w:tblLayout w:type="fixed"/>
        <w:tblInd w:w="1240" w:type="dxa"/>
        <w:tblCellMar>
          <w:top w:w="0" w:type="dxa"/>
          <w:left w:w="0" w:type="dxa"/>
          <w:bottom w:w="0" w:type="dxa"/>
          <w:right w:w="0" w:type="dxa"/>
        </w:tblCellMar>
      </w:tblPr>
      <w:tr>
        <w:trPr>
          <w:trHeight w:val="183"/>
        </w:trPr>
        <w:tc>
          <w:tcPr>
            <w:tcW w:w="29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December 31, 2020</w:t>
            </w:r>
          </w:p>
        </w:tc>
        <w:tc>
          <w:tcPr>
            <w:tcW w:w="2780" w:type="dxa"/>
            <w:vAlign w:val="bottom"/>
            <w:tcBorders>
              <w:top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Estimated Change in</w:t>
            </w:r>
          </w:p>
        </w:tc>
        <w:tc>
          <w:tcPr>
            <w:tcW w:w="1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1420" w:type="dxa"/>
            <w:vAlign w:val="bottom"/>
            <w:gridSpan w:val="2"/>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in 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Portfolio Market</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8"/>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4"/>
        </w:trPr>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-1.2%</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-12.6%</w:t>
            </w:r>
          </w:p>
        </w:tc>
        <w:tc>
          <w:tcPr>
            <w:tcW w:w="1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-6.0%</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-0.9%</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-3.0%</w:t>
            </w:r>
          </w:p>
        </w:tc>
        <w:tc>
          <w:tcPr>
            <w:tcW w:w="0" w:type="dxa"/>
            <w:vAlign w:val="bottom"/>
          </w:tcPr>
          <w:p>
            <w:pPr>
              <w:spacing w:after="0"/>
              <w:rPr>
                <w:sz w:val="1"/>
                <w:szCs w:val="1"/>
                <w:color w:val="auto"/>
              </w:rPr>
            </w:pPr>
          </w:p>
        </w:tc>
      </w:tr>
      <w:tr>
        <w:trPr>
          <w:trHeight w:val="19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-5.8%</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-0.9%</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-4.7%</w:t>
            </w:r>
          </w:p>
        </w:tc>
        <w:tc>
          <w:tcPr>
            <w:tcW w:w="0" w:type="dxa"/>
            <w:vAlign w:val="bottom"/>
          </w:tcPr>
          <w:p>
            <w:pPr>
              <w:spacing w:after="0"/>
              <w:rPr>
                <w:sz w:val="1"/>
                <w:szCs w:val="1"/>
                <w:color w:val="auto"/>
              </w:rPr>
            </w:pPr>
          </w:p>
        </w:tc>
      </w:tr>
      <w:tr>
        <w:trPr>
          <w:trHeight w:val="19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-0.4%</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-4.0%</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-0.8%</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-9.1%</w:t>
            </w:r>
          </w:p>
        </w:tc>
        <w:tc>
          <w:tcPr>
            <w:tcW w:w="0" w:type="dxa"/>
            <w:vAlign w:val="bottom"/>
          </w:tcPr>
          <w:p>
            <w:pPr>
              <w:spacing w:after="0"/>
              <w:rPr>
                <w:sz w:val="1"/>
                <w:szCs w:val="1"/>
                <w:color w:val="auto"/>
              </w:rPr>
            </w:pPr>
          </w:p>
        </w:tc>
      </w:tr>
      <w:tr>
        <w:trPr>
          <w:trHeight w:val="182"/>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-0.8%</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-1.3%</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-14.8%</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 Interest rates are assumed to be floored at 0% in down rate scenarios.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Extension risk is the risk that our assets will be repaid at a slower rate than anticipated and generally increases when interest rates rise. In rising or higher interest rate environment,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jc w:val="both"/>
        <w:ind w:firstLine="445"/>
        <w:spacing w:after="0" w:line="279" w:lineRule="auto"/>
        <w:rPr>
          <w:sz w:val="20"/>
          <w:szCs w:val="20"/>
          <w:color w:val="auto"/>
        </w:rPr>
      </w:pPr>
      <w:r>
        <w:rPr>
          <w:rFonts w:ascii="Arial" w:cs="Arial" w:eastAsia="Arial" w:hAnsi="Arial"/>
          <w:sz w:val="17"/>
          <w:szCs w:val="17"/>
          <w:color w:val="auto"/>
        </w:rPr>
        <w:t>As of December 31, 2020 and 2019, our investment securities (excluding TBAs) had a weighted average projected CPR of 17.6% and 10.8%, respectively, and a weighted average yield of 2.33% and 3.07%, respectively. The table below presents estimated weighted average projected CPRs and yields for our investment securities should interest rates go up or down instantaneously by 50, 75 and 100 basis points. Estimated yields exclude the impact of retroactive "catch-up" premium amortization adjustments from prior periods due to changes in the projected CPR assumption.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w:t>
      </w:r>
    </w:p>
    <w:tbl>
      <w:tblPr>
        <w:tblLayout w:type="fixed"/>
        <w:tblInd w:w="1280" w:type="dxa"/>
        <w:tblCellMar>
          <w:top w:w="0" w:type="dxa"/>
          <w:left w:w="0" w:type="dxa"/>
          <w:bottom w:w="0" w:type="dxa"/>
          <w:right w:w="0" w:type="dxa"/>
        </w:tblCellMar>
      </w:tblPr>
      <w:tr>
        <w:trPr>
          <w:trHeight w:val="183"/>
        </w:trPr>
        <w:tc>
          <w:tcPr>
            <w:tcW w:w="3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December 31, 2020</w:t>
            </w:r>
          </w:p>
        </w:tc>
        <w:tc>
          <w:tcPr>
            <w:tcW w:w="2680" w:type="dxa"/>
            <w:vAlign w:val="bottom"/>
            <w:tcBorders>
              <w:top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28"/>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2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3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9"/>
        </w:trPr>
        <w:tc>
          <w:tcPr>
            <w:tcW w:w="318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Projected CPR</w:t>
            </w:r>
          </w:p>
        </w:tc>
        <w:tc>
          <w:tcPr>
            <w:tcW w:w="1440" w:type="dxa"/>
            <w:vAlign w:val="bottom"/>
            <w:gridSpan w:val="2"/>
          </w:tcPr>
          <w:p>
            <w:pPr>
              <w:jc w:val="center"/>
              <w:ind w:right="160"/>
              <w:spacing w:after="0" w:line="189" w:lineRule="exact"/>
              <w:rPr>
                <w:sz w:val="20"/>
                <w:szCs w:val="20"/>
                <w:color w:val="auto"/>
              </w:rPr>
            </w:pPr>
            <w:r>
              <w:rPr>
                <w:rFonts w:ascii="Arial" w:cs="Arial" w:eastAsia="Arial" w:hAnsi="Arial"/>
                <w:sz w:val="14"/>
                <w:szCs w:val="14"/>
                <w:b w:val="1"/>
                <w:bCs w:val="1"/>
                <w:color w:val="auto"/>
                <w:w w:val="88"/>
              </w:rPr>
              <w:t xml:space="preserve">Asset Yield </w:t>
            </w:r>
            <w:r>
              <w:rPr>
                <w:rFonts w:ascii="Arial" w:cs="Arial" w:eastAsia="Arial" w:hAnsi="Arial"/>
                <w:sz w:val="18"/>
                <w:szCs w:val="18"/>
                <w:b w:val="1"/>
                <w:bCs w:val="1"/>
                <w:color w:val="auto"/>
                <w:w w:val="88"/>
                <w:vertAlign w:val="superscript"/>
              </w:rPr>
              <w:t>2</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Projected CPR</w:t>
            </w:r>
          </w:p>
        </w:tc>
        <w:tc>
          <w:tcPr>
            <w:tcW w:w="13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18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25.6%</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1.91%</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20.3%</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1.99%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2.82%</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21.9%</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2.09%</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2.90%</w:t>
            </w:r>
          </w:p>
        </w:tc>
        <w:tc>
          <w:tcPr>
            <w:tcW w:w="0" w:type="dxa"/>
            <w:vAlign w:val="bottom"/>
          </w:tcPr>
          <w:p>
            <w:pPr>
              <w:spacing w:after="0"/>
              <w:rPr>
                <w:sz w:val="1"/>
                <w:szCs w:val="1"/>
                <w:color w:val="auto"/>
              </w:rPr>
            </w:pPr>
          </w:p>
        </w:tc>
      </w:tr>
      <w:tr>
        <w:trPr>
          <w:trHeight w:val="186"/>
        </w:trPr>
        <w:tc>
          <w:tcPr>
            <w:tcW w:w="3180" w:type="dxa"/>
            <w:vAlign w:val="bottom"/>
            <w:gridSpan w:val="2"/>
          </w:tcPr>
          <w:p>
            <w:pPr>
              <w:ind w:left="80"/>
              <w:spacing w:after="0"/>
              <w:rPr>
                <w:sz w:val="20"/>
                <w:szCs w:val="20"/>
                <w:color w:val="auto"/>
              </w:rPr>
            </w:pPr>
            <w:r>
              <w:rPr>
                <w:rFonts w:ascii="Arial" w:cs="Arial" w:eastAsia="Arial" w:hAnsi="Arial"/>
                <w:sz w:val="14"/>
                <w:szCs w:val="14"/>
                <w:color w:val="auto"/>
              </w:rPr>
              <w:t>Actual as of Period End</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17.6%</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2.33%</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10.8%</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14.3%</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2.45%</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3.12%</w:t>
            </w:r>
          </w:p>
        </w:tc>
        <w:tc>
          <w:tcPr>
            <w:tcW w:w="0" w:type="dxa"/>
            <w:vAlign w:val="bottom"/>
          </w:tcPr>
          <w:p>
            <w:pPr>
              <w:spacing w:after="0"/>
              <w:rPr>
                <w:sz w:val="1"/>
                <w:szCs w:val="1"/>
                <w:color w:val="auto"/>
              </w:rPr>
            </w:pPr>
          </w:p>
        </w:tc>
      </w:t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13.0%</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2.51%</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7.5%</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11.9%</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2.56%</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6.8%</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3.16%</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and assumes a static portfolio. Actual results could differ materially from these estimates. Table excludes TBA securities.</w:t>
      </w: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Consequently,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December 31, 2020 and 2019 should spreads widen or tighten by 10, 25 and 50 basis points. The estimated impact of changes in spreads is in addition to our interest rate shock sensitivity included in the interest rate shock table above. The table below assumes a spread duration of 4.4 and 5.0 years as of December 31, 2020 and 2019,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18"/>
          <w:szCs w:val="18"/>
          <w:b w:val="1"/>
          <w:bCs w:val="1"/>
          <w:color w:val="auto"/>
          <w:vertAlign w:val="superscript"/>
        </w:rPr>
        <w:t>1,2</w:t>
      </w:r>
    </w:p>
    <w:tbl>
      <w:tblPr>
        <w:tblLayout w:type="fixed"/>
        <w:tblInd w:w="1240" w:type="dxa"/>
        <w:tblCellMar>
          <w:top w:w="0" w:type="dxa"/>
          <w:left w:w="0" w:type="dxa"/>
          <w:bottom w:w="0" w:type="dxa"/>
          <w:right w:w="0" w:type="dxa"/>
        </w:tblCellMar>
      </w:tblPr>
      <w:tr>
        <w:trPr>
          <w:trHeight w:val="183"/>
        </w:trPr>
        <w:tc>
          <w:tcPr>
            <w:tcW w:w="30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December 31, 2020</w:t>
            </w:r>
          </w:p>
        </w:tc>
        <w:tc>
          <w:tcPr>
            <w:tcW w:w="2720" w:type="dxa"/>
            <w:vAlign w:val="bottom"/>
            <w:tcBorders>
              <w:top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1400" w:type="dxa"/>
            <w:vAlign w:val="bottom"/>
            <w:gridSpan w:val="2"/>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in 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in Portfolio Market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8"/>
        </w:trPr>
        <w:tc>
          <w:tcPr>
            <w:tcW w:w="316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4"/>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+2.2%</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+23.9%</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+2.5%</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+28.0%</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+11.9%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+1.2%</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+14.0%</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+0.4%</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+4.8%</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+5.6%</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-4.8%</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-5.6%</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-11.9%</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-14.0%</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-2.2%</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-23.9%</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-28.0%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which fluctuates with changes in interest rates and liquidity conditions within the commercial banking and mortgage finance industries.</w:t>
      </w:r>
    </w:p>
    <w:p>
      <w:pPr>
        <w:spacing w:after="0" w:line="133"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 xml:space="preserve">As of December 31, 2020, we believe that we have sufficient liquidity and capital resources available to execute our business strategy (see </w:t>
      </w:r>
      <w:r>
        <w:rPr>
          <w:rFonts w:ascii="Arial" w:cs="Arial" w:eastAsia="Arial" w:hAnsi="Arial"/>
          <w:sz w:val="16"/>
          <w:szCs w:val="16"/>
          <w:i w:val="1"/>
          <w:iCs w:val="1"/>
          <w:color w:val="auto"/>
        </w:rPr>
        <w:t>Liquidity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Capital Resources </w:t>
      </w:r>
      <w:r>
        <w:rPr>
          <w:rFonts w:ascii="Arial" w:cs="Arial" w:eastAsia="Arial" w:hAnsi="Arial"/>
          <w:sz w:val="16"/>
          <w:szCs w:val="16"/>
          <w:color w:val="auto"/>
        </w:rPr>
        <w:t>in this Form 10-K for additional details). However, should the value of our collateral or the value of our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12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central clearing exchanges, as of December 31, 2020, our maximum amount at risk with any counterparty related to our repurchase agreements was less than 2% of tangible stockholders' equity and related to our derivative agreements was less than 1% of tangible stockholders' equity.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w:t>
      </w:r>
    </w:p>
    <w:p>
      <w:pPr>
        <w:spacing w:after="0" w:line="17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63"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consolidated financial statements as of December 31, 2020 and 2019 and fiscal years 2020, 2019 and 2018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 For further information refer to the Ernst &amp; Young LLP audit opinion included in this Item 8 of our Annual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7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Management assessed the effectiveness of our internal control over financial reporting as of December 31, 2020,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2020. The effectiveness of our internal control over financial reporting as of December 31, 2020 has been audited by Ernst &amp; Young LLP, our independent registered public accounting firm, as stated in their attestation report included in this Form 10-K.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0" w:name="page51"/>
    <w:bookmarkEnd w:id="5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AGNC Investment Corp.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AGNC Investment Corp.’s internal control over financial reporting as of December 31, 2020, based on criteria established in Internal Control Integrated Framework issued by the Committee of Sponsoring Organizations of the Treadway Commission (2013 framework) (the COSO criteria). In our opinion, AGNC Investment Corp. maintained, in all material respects, effective internal control over financial reporting as of December 31, 2020, based on the COSO criteria</w:t>
      </w:r>
      <w:r>
        <w:rPr>
          <w:rFonts w:ascii="Arial" w:cs="Arial" w:eastAsia="Arial" w:hAnsi="Arial"/>
          <w:sz w:val="18"/>
          <w:szCs w:val="18"/>
          <w:b w:val="1"/>
          <w:bCs w:val="1"/>
          <w:color w:val="auto"/>
        </w:rPr>
        <w: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AGNC Investment Corp. as of December 31, 2020 and 2019, and the related consolidated statements of comprehensive income, stockholders’ equity, and cash flows for each of the three years in the period ended December 31, 2020, and the related notes, and our report dated February 26,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AGNC Investment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AGNC Investment Corp.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51" w:name="page52"/>
    <w:bookmarkEnd w:id="51"/>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AGNC Investment Corp.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AGNC Investment Corp. as of December 31, 2020 and 2019, and the related consolidated statements of comprehensive income,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AGNC Investment Corp. at December 31, 2020 and 2019, and the results of its operations and its cash flows for each of the three years in the period ended December 31, 2020, in conformity with U.S. generally accepted accounting principles.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AGNC Investment Corp.’s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AGNC Investment Corp.'s management. Our responsibility is to express an opinion on these financial statements based on our audits. We are a public accounting firm registered with the PCAOB and are required to be independent with respect to AGNC Investment Corp.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financial statement presentation.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2" w:name="page53"/>
    <w:bookmarkEnd w:id="52"/>
    <w:p>
      <w:pPr>
        <w:ind w:left="2440"/>
        <w:spacing w:after="0"/>
        <w:rPr>
          <w:sz w:val="20"/>
          <w:szCs w:val="20"/>
          <w:color w:val="auto"/>
        </w:rPr>
      </w:pPr>
      <w:r>
        <w:rPr>
          <w:rFonts w:ascii="Arial" w:cs="Arial" w:eastAsia="Arial" w:hAnsi="Arial"/>
          <w:sz w:val="15"/>
          <w:szCs w:val="15"/>
          <w:b w:val="1"/>
          <w:bCs w:val="1"/>
          <w:i w:val="1"/>
          <w:iCs w:val="1"/>
          <w:color w:val="auto"/>
        </w:rPr>
        <w:t>Agency securities and non-agency securities of high credit quality net premium amortization</w:t>
      </w:r>
    </w:p>
    <w:p>
      <w:pPr>
        <w:sectPr>
          <w:pgSz w:w="11900" w:h="16838" w:orient="portrait"/>
          <w:cols w:equalWidth="0" w:num="1">
            <w:col w:w="11200"/>
          </w:cols>
          <w:pgMar w:left="320" w:top="1030" w:right="379" w:bottom="1440" w:gutter="0" w:footer="0" w:header="0"/>
        </w:sectPr>
      </w:pP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Description</w:t>
      </w:r>
    </w:p>
    <w:p>
      <w:pPr>
        <w:ind w:left="40"/>
        <w:spacing w:after="0"/>
        <w:rPr>
          <w:sz w:val="20"/>
          <w:szCs w:val="20"/>
          <w:color w:val="auto"/>
        </w:rPr>
      </w:pPr>
      <w:r>
        <w:rPr>
          <w:rFonts w:ascii="Arial" w:cs="Arial" w:eastAsia="Arial" w:hAnsi="Arial"/>
          <w:sz w:val="16"/>
          <w:szCs w:val="16"/>
          <w:i w:val="1"/>
          <w:iCs w:val="1"/>
          <w:color w:val="auto"/>
        </w:rPr>
        <w:t>of the Matter</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of December 31, 2020, the Company’s investment securities had a net unamortized premium balance of $2.3 billion, including interest and principal-only securities, and it recorded $1.1 billion of net premium amortization for the year then ended. As explained in Note 2 to the financial statements, premiums or discounts associated with the purchase of Agency residential mortgage-backed securities (“Agency RMBS") and non-Agency mortgage-backed securities of high credit quality are amortized or accreted into interest income, respectively, over the projected lives of the securities, including contractual payments and estimated prepayments using the effective interest method. The effective yield on the Company’s Agency RMBS and non-Agency mortgage-backed securities of high credit quality is highly impacted by the Company’s estimate of future prepayments. The Company estimates long-term prepayment speeds of such securities using a third-party service provider and market data. The third-party service provider estimates long-term prepayment speeds using models that incorporate the forward yield curve, current mortgage rates, mortgage rates of the outstanding loans, age and size of the outstanding loans, loan-to-value ratios, interest rate volatility and other factors.</w:t>
      </w:r>
    </w:p>
    <w:p>
      <w:pPr>
        <w:spacing w:after="0" w:line="123" w:lineRule="exact"/>
        <w:rPr>
          <w:sz w:val="20"/>
          <w:szCs w:val="20"/>
          <w:color w:val="auto"/>
        </w:rPr>
      </w:pPr>
    </w:p>
    <w:p>
      <w:pPr>
        <w:sectPr>
          <w:pgSz w:w="11900" w:h="16838" w:orient="portrait"/>
          <w:cols w:equalWidth="0" w:num="2">
            <w:col w:w="1720" w:space="720"/>
            <w:col w:w="8760"/>
          </w:cols>
          <w:pgMar w:left="320" w:top="1030" w:right="379" w:bottom="1440" w:gutter="0" w:footer="0" w:header="0"/>
          <w:type w:val="continuous"/>
        </w:sectPr>
      </w:pPr>
    </w:p>
    <w:p>
      <w:pPr>
        <w:jc w:val="both"/>
        <w:ind w:left="2440"/>
        <w:spacing w:after="0" w:line="219" w:lineRule="auto"/>
        <w:rPr>
          <w:sz w:val="20"/>
          <w:szCs w:val="20"/>
          <w:color w:val="auto"/>
        </w:rPr>
      </w:pPr>
      <w:r>
        <w:rPr>
          <w:rFonts w:ascii="Arial" w:cs="Arial" w:eastAsia="Arial" w:hAnsi="Arial"/>
          <w:sz w:val="18"/>
          <w:szCs w:val="18"/>
          <w:color w:val="auto"/>
        </w:rPr>
        <w:t>Auditing the Company's estimation of long-term prepayment speeds used for the amortization of premiums and accretion of discounts is subjective due to the significant judgments and estimates required by management and the third-party service provider, as inputs into prepayment models are prone to fluctuation based on changing macroeconomic conditions.</w:t>
      </w:r>
    </w:p>
    <w:p>
      <w:pPr>
        <w:sectPr>
          <w:pgSz w:w="11900" w:h="16838" w:orient="portrait"/>
          <w:cols w:equalWidth="0" w:num="1">
            <w:col w:w="11200"/>
          </w:cols>
          <w:pgMar w:left="320" w:top="1030" w:right="379" w:bottom="1440" w:gutter="0" w:footer="0" w:header="0"/>
          <w:type w:val="continuous"/>
        </w:sectPr>
      </w:pPr>
    </w:p>
    <w:p>
      <w:pPr>
        <w:spacing w:after="0" w:line="1" w:lineRule="exact"/>
        <w:rPr>
          <w:sz w:val="20"/>
          <w:szCs w:val="20"/>
          <w:color w:val="auto"/>
        </w:rPr>
      </w:pPr>
    </w:p>
    <w:p>
      <w:pPr>
        <w:ind w:left="40" w:right="20"/>
        <w:spacing w:after="0" w:line="288"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obtained an understanding, evaluated the design and tested the operating effectiveness of internal controls over the</w:t>
      </w:r>
    </w:p>
    <w:p>
      <w:pPr>
        <w:spacing w:after="0" w:line="223" w:lineRule="auto"/>
        <w:rPr>
          <w:sz w:val="20"/>
          <w:szCs w:val="20"/>
          <w:color w:val="auto"/>
        </w:rPr>
      </w:pPr>
      <w:r>
        <w:rPr>
          <w:rFonts w:ascii="Arial" w:cs="Arial" w:eastAsia="Arial" w:hAnsi="Arial"/>
          <w:sz w:val="17"/>
          <w:szCs w:val="17"/>
          <w:color w:val="auto"/>
        </w:rPr>
        <w:t>estimation of long-term prepayment speeds, including management’s review of the estimated prepayment speeds</w:t>
      </w:r>
    </w:p>
    <w:p>
      <w:pPr>
        <w:spacing w:after="0" w:line="204" w:lineRule="auto"/>
        <w:rPr>
          <w:sz w:val="20"/>
          <w:szCs w:val="20"/>
          <w:color w:val="auto"/>
        </w:rPr>
      </w:pPr>
      <w:r>
        <w:rPr>
          <w:rFonts w:ascii="Arial" w:cs="Arial" w:eastAsia="Arial" w:hAnsi="Arial"/>
          <w:sz w:val="18"/>
          <w:szCs w:val="18"/>
          <w:color w:val="auto"/>
        </w:rPr>
        <w:t>provided by the third-party service provider.</w:t>
      </w:r>
    </w:p>
    <w:p>
      <w:pPr>
        <w:spacing w:after="0" w:line="215" w:lineRule="auto"/>
        <w:rPr>
          <w:sz w:val="20"/>
          <w:szCs w:val="20"/>
          <w:color w:val="auto"/>
        </w:rPr>
      </w:pPr>
      <w:r>
        <w:rPr>
          <w:rFonts w:ascii="Arial" w:cs="Arial" w:eastAsia="Arial" w:hAnsi="Arial"/>
          <w:sz w:val="17"/>
          <w:szCs w:val="17"/>
          <w:color w:val="auto"/>
        </w:rPr>
        <w:t>Our audit procedures included, among others, performing comparative analyses between the Company’s long-term</w:t>
      </w:r>
    </w:p>
    <w:p>
      <w:pPr>
        <w:spacing w:after="0" w:line="216" w:lineRule="auto"/>
        <w:rPr>
          <w:sz w:val="20"/>
          <w:szCs w:val="20"/>
          <w:color w:val="auto"/>
        </w:rPr>
      </w:pPr>
      <w:r>
        <w:rPr>
          <w:rFonts w:ascii="Arial" w:cs="Arial" w:eastAsia="Arial" w:hAnsi="Arial"/>
          <w:sz w:val="17"/>
          <w:szCs w:val="17"/>
          <w:color w:val="auto"/>
        </w:rPr>
        <w:t>prepayment speed estimates and long-term prepayment speed estimates data from independent third-party sources,</w:t>
      </w:r>
    </w:p>
    <w:p>
      <w:pPr>
        <w:spacing w:after="0" w:line="229" w:lineRule="auto"/>
        <w:rPr>
          <w:sz w:val="20"/>
          <w:szCs w:val="20"/>
          <w:color w:val="auto"/>
        </w:rPr>
      </w:pPr>
      <w:r>
        <w:rPr>
          <w:rFonts w:ascii="Arial" w:cs="Arial" w:eastAsia="Arial" w:hAnsi="Arial"/>
          <w:sz w:val="16"/>
          <w:szCs w:val="16"/>
          <w:color w:val="auto"/>
        </w:rPr>
        <w:t>reconciling the Company’s estimates of long-term prepayment speeds to source prepayment speeds data provided by</w:t>
      </w:r>
    </w:p>
    <w:p>
      <w:pPr>
        <w:spacing w:after="0" w:line="215" w:lineRule="auto"/>
        <w:rPr>
          <w:sz w:val="20"/>
          <w:szCs w:val="20"/>
          <w:color w:val="auto"/>
        </w:rPr>
      </w:pPr>
      <w:r>
        <w:rPr>
          <w:rFonts w:ascii="Arial" w:cs="Arial" w:eastAsia="Arial" w:hAnsi="Arial"/>
          <w:sz w:val="17"/>
          <w:szCs w:val="17"/>
          <w:color w:val="auto"/>
        </w:rPr>
        <w:t>management’s third-party service provider, evaluating the competency and objectivity of management’s third-party</w:t>
      </w:r>
    </w:p>
    <w:p>
      <w:pPr>
        <w:spacing w:after="0" w:line="215" w:lineRule="auto"/>
        <w:rPr>
          <w:sz w:val="20"/>
          <w:szCs w:val="20"/>
          <w:color w:val="auto"/>
        </w:rPr>
      </w:pPr>
      <w:r>
        <w:rPr>
          <w:rFonts w:ascii="Arial" w:cs="Arial" w:eastAsia="Arial" w:hAnsi="Arial"/>
          <w:sz w:val="17"/>
          <w:szCs w:val="17"/>
          <w:color w:val="auto"/>
        </w:rPr>
        <w:t>service provider, and identifying potential sources of contrary information, with the assistance of an internal valuation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specialist.</w:t>
      </w:r>
    </w:p>
    <w:p>
      <w:pPr>
        <w:spacing w:after="0" w:line="200" w:lineRule="exact"/>
        <w:rPr>
          <w:sz w:val="20"/>
          <w:szCs w:val="20"/>
          <w:color w:val="auto"/>
        </w:rPr>
      </w:pPr>
    </w:p>
    <w:p>
      <w:pPr>
        <w:sectPr>
          <w:pgSz w:w="11900" w:h="16838" w:orient="portrait"/>
          <w:cols w:equalWidth="0" w:num="2">
            <w:col w:w="1720" w:space="720"/>
            <w:col w:w="8760"/>
          </w:cols>
          <w:pgMar w:left="320" w:top="1030" w:right="379" w:bottom="1440" w:gutter="0" w:footer="0" w:header="0"/>
          <w:type w:val="continuous"/>
        </w:sect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/s/ Ernst &amp; Young LLP</w:t>
      </w:r>
    </w:p>
    <w:p>
      <w:pPr>
        <w:sectPr>
          <w:pgSz w:w="11900" w:h="16838" w:orient="portrait"/>
          <w:cols w:equalWidth="0" w:num="1">
            <w:col w:w="11200"/>
          </w:cols>
          <w:pgMar w:left="320" w:top="1030" w:right="37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AGNC Investment Corp.’s auditor since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0" w:right="379" w:bottom="1440" w:gutter="0" w:footer="0" w:header="0"/>
          <w:type w:val="continuous"/>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0"/>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Agency securities, at fair value (including pledged securities of $53,698 and $92,608, respectively)</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98,516</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Credit risk transfer securities, at fair value (including pledged securities of $455 and $309, respectively)</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Non-Agency securities, at fair value (including pledged securities of $458 and $0, respectively)</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Treasury securities, at fair value (including pledged securities of $0 and $97, respectively)</w:t>
            </w: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Derivative assets, at fair value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 for investment securities sold (including pledged securities of $207 and $0, respectively)</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Receivable under reverse repurchase agreements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10,181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81,817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113,082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agreements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89,182</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Debt of consolidated variable interest entities, at fair value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Payable for investment securities purchased</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Derivative liabilities, at fair value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payable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11,727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other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07"/>
        </w:trPr>
        <w:tc>
          <w:tcPr>
            <w:tcW w:w="79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liabilities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102,041</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Preferred Stock - aggregate liquidation preference of $1,538 and $963, respectively</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1,489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169"/>
        </w:trPr>
        <w:tc>
          <w:tcPr>
            <w:tcW w:w="79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2"/>
              </w:rPr>
              <w:t>Common stock - $0.01 par value; 1,500 and 900 shares authorized, respectively; 539.5 and 540.9 shares issued and</w:t>
            </w:r>
          </w:p>
        </w:tc>
        <w:tc>
          <w:tcPr>
            <w:tcW w:w="10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outstanding, respectively</w:t>
            </w:r>
          </w:p>
        </w:tc>
        <w:tc>
          <w:tcPr>
            <w:tcW w:w="10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13,893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deficit</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stockholders' equity</w:t>
            </w: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11,041</w:t>
            </w:r>
          </w:p>
        </w:tc>
        <w:tc>
          <w:tcPr>
            <w:tcW w:w="0" w:type="dxa"/>
            <w:vAlign w:val="bottom"/>
          </w:tcPr>
          <w:p>
            <w:pPr>
              <w:spacing w:after="0"/>
              <w:rPr>
                <w:sz w:val="1"/>
                <w:szCs w:val="1"/>
                <w:color w:val="auto"/>
              </w:rPr>
            </w:pPr>
          </w:p>
        </w:tc>
      </w:tr>
      <w:tr>
        <w:trPr>
          <w:trHeight w:val="213"/>
        </w:trPr>
        <w:tc>
          <w:tcPr>
            <w:tcW w:w="7900" w:type="dxa"/>
            <w:vAlign w:val="bottom"/>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81,817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113,082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6"/>
                <w:szCs w:val="16"/>
                <w:b w:val="1"/>
                <w:bCs w:val="1"/>
                <w:color w:val="auto"/>
                <w:w w:val="96"/>
              </w:rPr>
              <w:t>For the year ended December 31,</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interest income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340"/>
              <w:spacing w:after="0"/>
              <w:rPr>
                <w:sz w:val="20"/>
                <w:szCs w:val="20"/>
                <w:color w:val="auto"/>
              </w:rPr>
            </w:pPr>
            <w:r>
              <w:rPr>
                <w:rFonts w:ascii="Arial" w:cs="Arial" w:eastAsia="Arial" w:hAnsi="Arial"/>
                <w:sz w:val="18"/>
                <w:szCs w:val="18"/>
                <w:color w:val="auto"/>
              </w:rPr>
              <w:t>Gain (loss) on sale of investment securities, net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Unrealized gain (loss) on investment securities measured at fair value through net income, net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7200" w:type="dxa"/>
            <w:vAlign w:val="bottom"/>
          </w:tcPr>
          <w:p>
            <w:pPr>
              <w:ind w:left="340"/>
              <w:spacing w:after="0"/>
              <w:rPr>
                <w:sz w:val="20"/>
                <w:szCs w:val="20"/>
                <w:color w:val="auto"/>
              </w:rPr>
            </w:pPr>
            <w:r>
              <w:rPr>
                <w:rFonts w:ascii="Arial" w:cs="Arial" w:eastAsia="Arial" w:hAnsi="Arial"/>
                <w:sz w:val="18"/>
                <w:szCs w:val="18"/>
                <w:color w:val="auto"/>
              </w:rPr>
              <w:t>Loss on derivative instruments and other securities, net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 income</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7200" w:type="dxa"/>
            <w:vAlign w:val="bottom"/>
          </w:tcPr>
          <w:p>
            <w:pPr>
              <w:ind w:left="660"/>
              <w:spacing w:after="0"/>
              <w:rPr>
                <w:sz w:val="20"/>
                <w:szCs w:val="20"/>
                <w:color w:val="auto"/>
              </w:rPr>
            </w:pPr>
            <w:r>
              <w:rPr>
                <w:rFonts w:ascii="Arial" w:cs="Arial" w:eastAsia="Arial" w:hAnsi="Arial"/>
                <w:sz w:val="18"/>
                <w:szCs w:val="18"/>
                <w:color w:val="auto"/>
              </w:rPr>
              <w:t>Total other gain (loss), net:</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34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7200" w:type="dxa"/>
            <w:vAlign w:val="bottom"/>
          </w:tcPr>
          <w:p>
            <w:pPr>
              <w:ind w:left="340"/>
              <w:spacing w:after="0"/>
              <w:rPr>
                <w:sz w:val="20"/>
                <w:szCs w:val="20"/>
                <w:color w:val="auto"/>
              </w:rPr>
            </w:pPr>
            <w:r>
              <w:rPr>
                <w:rFonts w:ascii="Arial" w:cs="Arial" w:eastAsia="Arial" w:hAnsi="Arial"/>
                <w:sz w:val="18"/>
                <w:szCs w:val="18"/>
                <w:color w:val="auto"/>
              </w:rPr>
              <w:t>Dividends on preferred stock</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costs of redeemed preferred stock</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75"/>
        </w:trPr>
        <w:tc>
          <w:tcPr>
            <w:tcW w:w="72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Unrealized gain (loss) on investment securities measured at fair value through other</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 net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on preferred stock</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200" w:type="dxa"/>
            <w:vAlign w:val="bottom"/>
          </w:tcPr>
          <w:p>
            <w:pPr>
              <w:ind w:left="340"/>
              <w:spacing w:after="0"/>
              <w:rPr>
                <w:sz w:val="20"/>
                <w:szCs w:val="20"/>
                <w:color w:val="auto"/>
              </w:rPr>
            </w:pPr>
            <w:r>
              <w:rPr>
                <w:rFonts w:ascii="Arial" w:cs="Arial" w:eastAsia="Arial" w:hAnsi="Arial"/>
                <w:sz w:val="18"/>
                <w:szCs w:val="18"/>
                <w:color w:val="auto"/>
              </w:rPr>
              <w:t>Issuance costs of redeemed preferred stock</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Weighted average number of common shares outstanding - diluted</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541.4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common share - 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Net income (loss) per common share - diluted</w:t>
            </w: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840" w:top="891" w:right="859" w:bottom="1440" w:gutter="0" w:footer="0" w:header="0"/>
        </w:sectPr>
      </w:pPr>
    </w:p>
    <w:bookmarkStart w:id="55" w:name="page56"/>
    <w:bookmarkEnd w:id="55"/>
    <w:p>
      <w:pPr>
        <w:jc w:val="center"/>
        <w:ind w:right="-27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Preferred</w:t>
            </w:r>
          </w:p>
        </w:tc>
        <w:tc>
          <w:tcPr>
            <w:tcW w:w="18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6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8"/>
                <w:szCs w:val="8"/>
                <w:color w:val="auto"/>
              </w:rPr>
            </w:pPr>
          </w:p>
        </w:tc>
        <w:tc>
          <w:tcPr>
            <w:tcW w:w="12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8,754</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360"/>
              <w:spacing w:after="0"/>
              <w:rPr>
                <w:sz w:val="20"/>
                <w:szCs w:val="20"/>
                <w:color w:val="auto"/>
              </w:rPr>
            </w:pPr>
            <w:r>
              <w:rPr>
                <w:rFonts w:ascii="Arial" w:cs="Arial" w:eastAsia="Arial" w:hAnsi="Arial"/>
                <w:sz w:val="14"/>
                <w:szCs w:val="14"/>
                <w:color w:val="auto"/>
              </w:rPr>
              <w:t>Unrealized loss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Issuance of common stock, net of offering costs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8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536.3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9,906</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36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Issuance of preferred stock, net of offering cost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Redemption of preferred stock</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Issuance of common stock, net of offering cost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179"/>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540.9</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13,893</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(3,886)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11,041</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preferred stock, net of offering cost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Issuance of common stock, net of offering cost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539.5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13,972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(5,106)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11,079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891" w:right="61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6"/>
                <w:szCs w:val="16"/>
                <w:color w:val="auto"/>
              </w:rPr>
            </w:pPr>
          </w:p>
        </w:tc>
      </w:tr>
      <w:tr>
        <w:trPr>
          <w:trHeight w:val="187"/>
        </w:trPr>
        <w:tc>
          <w:tcPr>
            <w:tcW w:w="7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r>
      <w:tr>
        <w:trPr>
          <w:trHeight w:val="197"/>
        </w:trPr>
        <w:tc>
          <w:tcPr>
            <w:tcW w:w="7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3"/>
        </w:trPr>
        <w:tc>
          <w:tcPr>
            <w:tcW w:w="746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9"/>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loss on sale of investment securities, net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derivative instruments and other securities, net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(Increase) decrease in 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7"/>
        </w:trPr>
        <w:tc>
          <w:tcPr>
            <w:tcW w:w="7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r>
      <w:tr>
        <w:trPr>
          <w:trHeight w:val="199"/>
        </w:trPr>
        <w:tc>
          <w:tcPr>
            <w:tcW w:w="7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Purchases of Agency mortgage-backed securities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(47,548)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(42,586)</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credit risk transfer and non-Agency securities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Proceeds from sale of Agency mortgage-backed securities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8,132</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Principal collections on Agency mortgage-backed securities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7,170</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Payments on U.S. Treasury securities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(10,829)</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U.S. Treasury securities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21,308</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Net proceeds from (payments on) reverse repurchase agreements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(10,571)</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proceeds from (payments on) derivative instruments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Net proceeds from other investing activity</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(27,936)</w:t>
            </w:r>
          </w:p>
        </w:tc>
      </w:tr>
      <w:tr>
        <w:trPr>
          <w:trHeight w:val="193"/>
        </w:trPr>
        <w:tc>
          <w:tcPr>
            <w:tcW w:w="74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repurchase arrangements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2,031,463</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Payments on repurchase agreements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(3,169,824)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(4,221,507)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5"/>
              </w:rPr>
              <w:t>(2,006,042)</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debt of consolidated variable interest entities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Net proceeds from preferred stock issuances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preferred stock repurchases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Net proceeds from common stock issuances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2,611</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common stock repurchases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dividends paid</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r>
      <w:tr>
        <w:trPr>
          <w:trHeight w:val="212"/>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26,980</w:t>
            </w:r>
          </w:p>
        </w:tc>
      </w:tr>
      <w:tr>
        <w:trPr>
          <w:trHeight w:val="206"/>
        </w:trPr>
        <w:tc>
          <w:tcPr>
            <w:tcW w:w="7460" w:type="dxa"/>
            <w:vAlign w:val="bottom"/>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213"/>
        </w:trPr>
        <w:tc>
          <w:tcPr>
            <w:tcW w:w="746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7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460" w:type="dxa"/>
            <w:vAlign w:val="bottom"/>
          </w:tcPr>
          <w:p>
            <w:pPr>
              <w:spacing w:after="0"/>
              <w:rPr>
                <w:sz w:val="20"/>
                <w:szCs w:val="20"/>
                <w:color w:val="auto"/>
              </w:rPr>
            </w:pPr>
            <w:r>
              <w:rPr>
                <w:rFonts w:ascii="Arial" w:cs="Arial" w:eastAsia="Arial" w:hAnsi="Arial"/>
                <w:sz w:val="16"/>
                <w:szCs w:val="16"/>
                <w:b w:val="1"/>
                <w:bCs w:val="1"/>
                <w:color w:val="auto"/>
              </w:rPr>
              <w:t>Supplemental disclosure to cash flow information:</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paid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internally managed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Non-Agency RMBS and CMBS (together, "Non-Agency MBS") are backed by residential and commercial mortgage loans, respectively, packaged and securitized by a private institution, such as a commercial bank. Non-Agency MBS typically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benefit from credit enhancements derived from structural elements, such as subordination, overcollateralization or insurance, but nonetheless carry a higher level of credit exposure than Agency RMBS.</w:t>
      </w:r>
    </w:p>
    <w:p>
      <w:pPr>
        <w:spacing w:after="0" w:line="11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 xml:space="preserve">All of our securities are reported at fair value on our consolidated balance sheet. Accounting Standards Codification ("ASC") Topic 320,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held-to-maturity, available-for-sale or trading, depending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1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1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We finance the acquisition of securities for our investment portfolio primarily through repurchase agreements with financial institutions. Repurchase arrangements involve the sale and a simultaneous agreement to repurchase the transferred assets at a future date. We maintain a beneficial interest in the specific securities pledged during the term of each repurchase arrangement and we receive the related principal and interest payments. Pursuant to ASC Topic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we account for repurchase agreements as collateralized financing transactions, which are carried at their contractual amounts (cost), plus accrued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repurchase agreements typically have maturities of less than one year but may extend up to five years or more.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Overnight Index Swap Rate ("OIS") or three-month London Interbank Offered Rate ("LIBOR"). Our interest rate swaps typically have terms from one to 10 years but may extend up to 20 years or more. Our interest rate swaps are centrally cleared through a registered commodities exchange. The clearing exchange requires that we post an "initial margin" amount determined by the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0" w:name="page61"/>
    <w:bookmarkEnd w:id="60"/>
    <w:p>
      <w:pPr>
        <w:jc w:val="both"/>
        <w:ind w:right="20"/>
        <w:spacing w:after="0" w:line="277" w:lineRule="auto"/>
        <w:rPr>
          <w:sz w:val="20"/>
          <w:szCs w:val="20"/>
          <w:color w:val="auto"/>
        </w:rPr>
      </w:pPr>
      <w:r>
        <w:rPr>
          <w:rFonts w:ascii="Arial" w:cs="Arial" w:eastAsia="Arial" w:hAnsi="Arial"/>
          <w:sz w:val="18"/>
          <w:szCs w:val="18"/>
          <w:color w:val="auto"/>
        </w:rPr>
        <w:t>realized gain or loss on the swaption would be equal to the difference between the cash or the fair value of the underlying interest rate swap and the premium paid.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would indicate and we cannot obtain an understanding from the third-party source as to the significant inputs used to determine the price.</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is a description of the valuation methodologies used for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securities and derivative instruments to those actively traded enable our pricing sources and us to observe quoted prices in the market and utilize those prices as a basis for formulating fair value measurements.</w:t>
      </w:r>
    </w:p>
    <w:p>
      <w:pPr>
        <w:spacing w:after="0" w:line="103"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i w:val="1"/>
          <w:iCs w:val="1"/>
          <w:color w:val="auto"/>
        </w:rPr>
        <w:t xml:space="preserve">Investment securities </w:t>
      </w:r>
      <w:r>
        <w:rPr>
          <w:rFonts w:ascii="Arial" w:cs="Arial" w:eastAsia="Arial" w:hAnsi="Arial"/>
          <w:sz w:val="17"/>
          <w:szCs w:val="17"/>
          <w:color w:val="auto"/>
        </w:rPr>
        <w:t>- are valued based on prices obtained from multiple third-party pricing sources. The pricing sources utilize various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8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are valued using the daily settlement price, or fair value, determined by the clearing exchange based on a pricing model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observable market inputs, including current benchmark rates and the forward yield curve.</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Interest rate swaptions </w:t>
      </w:r>
      <w:r>
        <w:rPr>
          <w:rFonts w:ascii="Arial" w:cs="Arial" w:eastAsia="Arial" w:hAnsi="Arial"/>
          <w:sz w:val="18"/>
          <w:szCs w:val="18"/>
          <w:color w:val="auto"/>
        </w:rPr>
        <w:t>- are valued using prices obtained from the counterparty and other third-party pricing models. The pricing models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Treasury securities and futures are valued based on quoted prices for identical instruments in active markets and are classified as Level 1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financial instruments are classified as Level 3 inputs.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 xml:space="preserve">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requires an enterprise to consolidate a variable interest entity ("VIE") if it is deemed the primary beneficiary of the VIE. As of December 31, 2020 and 2019, our consolidated financial statements reflect the consolidation of certain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and cash equivalents include cash held in bank accounts and cash held in money market funds on an overnight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Restricted cash includes cash pledged as collateral for clearing and executing trades, repurchase agreements and other borrowings, and interest rate swaps and other derivative instruments.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Goodwill is the cost of an acquisition in excess of the fair value of identified assets acquired and liabilities assumed and is recognized as an asset on our consolidated balance sheets. As of December 31, 2020 and 2019, we had $526 million of goodwill related to our acquisition of AGNC Management, LLC, our former manager, on July 1, 2016. Goodwill is not subject to amortization but must be tested for impairment at least annually and at interim periods when events or circumstances may make it more likely than not that an impairment has occurred. If a qualitative analysis indicates that there may be an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impairment, a quantitative analysis is performed. The quantitative analysis requires that we compare the carrying value of the identified reporting unit comprising the goodwill to the reporting unit's fair value. If the reporting units' carrying value is greater than its fair value, an impairment charge is recognized to the extent the carrying amount of the reporting unit exceeds its fair value. During fiscal years 2020, 2019, and 2018, we did not recognize a goodwill impairment charge.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Under our 2016 AGNC Investment Corp. Equity and Incentive Compensation Plan (the "2016 Equity Plan" or "the Plan"), we may grant equity-based compensation to our officers and other employees and non-employee directors for the purpose of providing incentives and rewards for service or performance. Stock-based awards issued under the Plan include time-based and performance-based restricted stock unit awards ("RSU" and "PSU" awards, respectively), but may include other forms of equity-based compensation. RSU and PSU awards are an agreement to issue an equivalent number of shares of our common stock, plus any equivalent shares for dividends declared on our common stock, at the time the award vests, or later if distribution of such shares has been deferred beyond the vesting date. RSU awards vest over a specified service period. PSU awards vest over a specified service period subject to achieving long-term performance criteria.</w:t>
      </w:r>
    </w:p>
    <w:p>
      <w:pPr>
        <w:spacing w:after="0" w:line="14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measure and recognize compensation expense for all stock-based payment awards made to employees and non-employee directors based on their fair values. We value RSU and PSU awards based on the fair value of our common stock on the date of grant. Compensation expense is recognized over each award’s respective service period. In the case of PSU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w:t>
      </w:r>
    </w:p>
    <w:p>
      <w:pPr>
        <w:spacing w:after="0" w:line="10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Shares underlying RSU and PSU awards are issued on the vesting dates, or later if distribution of such shares has been deferred beyond the vesting date, net of shares withheld for minimum statutory tax withholdings to be paid by us on behalf of our employees. As a result, the actual number of shares issued will be fewer than the actual number of awards outstanding. When shares are withheld for statutory tax withholdings, we record a liability for tax withholding amounts to be paid by us as a reduction to additional paid-in capital.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7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As of December 31, 2020 and 2019, our investment portfolio consisted of $66.4 billion and $100.4 billion of investment securities, at fair value, respectively, and $31.5 billion and $7.4 billion of net TBA securities, at fair value, respectively. Our net TBA position is reported at its net carrying value of $275 million and $25 million as of December 31, 2020 and 2019,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2020 and 2019, our investment securities had a net unamortized premium balance of $2.4 billion and $3.1 billion,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3" w:name="page64"/>
    <w:bookmarkEnd w:id="63"/>
    <w:p>
      <w:pPr>
        <w:ind w:right="20"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December 31, 2020 and 2019, excluding TBA securities, (dollars in millions). Details of our TBA securities as of each of the respective dates are included in Note 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5"/>
              </w:rPr>
              <w:t>December 31, 2019</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right"/>
              <w:ind w:right="260"/>
              <w:spacing w:after="0" w:line="135"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jc w:val="right"/>
              <w:ind w:right="189"/>
              <w:spacing w:after="0" w:line="135"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61,977</w:t>
            </w:r>
          </w:p>
        </w:tc>
        <w:tc>
          <w:tcPr>
            <w:tcW w:w="3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64,615</w:t>
            </w:r>
          </w:p>
        </w:tc>
        <w:tc>
          <w:tcPr>
            <w:tcW w:w="700" w:type="dxa"/>
            <w:vAlign w:val="bottom"/>
            <w:gridSpan w:val="2"/>
          </w:tcPr>
          <w:p>
            <w:pPr>
              <w:jc w:val="right"/>
              <w:ind w:right="374"/>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96,375</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98,074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289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301</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126</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Multifamily</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62,457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65,131</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97,159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188</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358</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 securities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733</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737</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securities</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63,701</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66,414</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98,670</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574"/>
              <w:spacing w:after="0"/>
              <w:rPr>
                <w:sz w:val="20"/>
                <w:szCs w:val="20"/>
                <w:color w:val="auto"/>
              </w:rPr>
            </w:pPr>
            <w:r>
              <w:rPr>
                <w:rFonts w:ascii="Arial" w:cs="Arial" w:eastAsia="Arial" w:hAnsi="Arial"/>
                <w:sz w:val="14"/>
                <w:szCs w:val="14"/>
                <w:b w:val="1"/>
                <w:bCs w:val="1"/>
                <w:color w:val="auto"/>
              </w:rPr>
              <w:t>Non-Agency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Fannie Mae</w:t>
            </w:r>
          </w:p>
        </w:tc>
        <w:tc>
          <w:tcPr>
            <w:tcW w:w="80" w:type="dxa"/>
            <w:vAlign w:val="bottom"/>
          </w:tcPr>
          <w:p>
            <w:pPr>
              <w:spacing w:after="0"/>
              <w:rPr>
                <w:sz w:val="11"/>
                <w:szCs w:val="11"/>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80" w:type="dxa"/>
            <w:vAlign w:val="bottom"/>
          </w:tcPr>
          <w:p>
            <w:pPr>
              <w:spacing w:after="0"/>
              <w:rPr>
                <w:sz w:val="11"/>
                <w:szCs w:val="11"/>
                <w:color w:val="auto"/>
              </w:rPr>
            </w:pPr>
          </w:p>
        </w:tc>
        <w:tc>
          <w:tcPr>
            <w:tcW w:w="800" w:type="dxa"/>
            <w:vAlign w:val="bottom"/>
          </w:tcPr>
          <w:p>
            <w:pPr>
              <w:jc w:val="right"/>
              <w:ind w:right="213"/>
              <w:spacing w:after="0" w:line="130"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RMBS</w:t>
            </w:r>
          </w:p>
        </w:tc>
        <w:tc>
          <w:tcPr>
            <w:tcW w:w="28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CMBS</w:t>
            </w:r>
          </w:p>
        </w:tc>
        <w:tc>
          <w:tcPr>
            <w:tcW w:w="100" w:type="dxa"/>
            <w:vAlign w:val="bottom"/>
          </w:tcPr>
          <w:p>
            <w:pPr>
              <w:spacing w:after="0"/>
              <w:rPr>
                <w:sz w:val="11"/>
                <w:szCs w:val="11"/>
                <w:color w:val="auto"/>
              </w:rPr>
            </w:pPr>
          </w:p>
        </w:tc>
        <w:tc>
          <w:tcPr>
            <w:tcW w:w="9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CRT</w:t>
            </w:r>
          </w:p>
        </w:tc>
        <w:tc>
          <w:tcPr>
            <w:tcW w:w="260" w:type="dxa"/>
            <w:vAlign w:val="bottom"/>
          </w:tcPr>
          <w:p>
            <w:pPr>
              <w:spacing w:after="0"/>
              <w:rPr>
                <w:sz w:val="11"/>
                <w:szCs w:val="11"/>
                <w:color w:val="auto"/>
              </w:rPr>
            </w:pPr>
          </w:p>
        </w:tc>
        <w:tc>
          <w:tcPr>
            <w:tcW w:w="7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9,325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3,416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12,743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389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541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9,710</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3,567</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13,279</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539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719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gridSpan w:val="3"/>
          </w:tcPr>
          <w:p>
            <w:pPr>
              <w:jc w:val="right"/>
              <w:ind w:right="280"/>
              <w:spacing w:after="0"/>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10,249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3,747</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2</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13,998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tcPr>
          <w:p>
            <w:pPr>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32,824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14,447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331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w w:val="82"/>
              </w:rPr>
              <w:t>735</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48,527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5"/>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Arial" w:cs="Arial" w:eastAsia="Arial" w:hAnsi="Arial"/>
                <w:sz w:val="13"/>
                <w:szCs w:val="13"/>
                <w:color w:val="auto"/>
                <w:w w:val="86"/>
              </w:rPr>
              <w:t>(12)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1,314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1,941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34,120</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15,053</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94"/>
              <w:spacing w:after="0"/>
              <w:rPr>
                <w:sz w:val="20"/>
                <w:szCs w:val="20"/>
                <w:color w:val="auto"/>
              </w:rPr>
            </w:pPr>
            <w:r>
              <w:rPr>
                <w:rFonts w:ascii="Arial" w:cs="Arial" w:eastAsia="Arial" w:hAnsi="Arial"/>
                <w:sz w:val="13"/>
                <w:szCs w:val="13"/>
                <w:color w:val="auto"/>
              </w:rPr>
              <w:t>334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ind w:right="88"/>
              <w:spacing w:after="0"/>
              <w:rPr>
                <w:sz w:val="20"/>
                <w:szCs w:val="20"/>
                <w:color w:val="auto"/>
              </w:rPr>
            </w:pPr>
            <w:r>
              <w:rPr>
                <w:rFonts w:ascii="Arial" w:cs="Arial" w:eastAsia="Arial" w:hAnsi="Arial"/>
                <w:sz w:val="13"/>
                <w:szCs w:val="13"/>
                <w:color w:val="auto"/>
                <w:w w:val="82"/>
              </w:rPr>
              <w:t>733</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50,422</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1,280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2,014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35,395</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15,735</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3</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188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358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3"/>
            <w:shd w:val="clear" w:color="auto" w:fill="CCEEFF"/>
          </w:tcPr>
          <w:p>
            <w:pPr>
              <w:jc w:val="right"/>
              <w:ind w:right="88"/>
              <w:spacing w:after="0"/>
              <w:rPr>
                <w:sz w:val="20"/>
                <w:szCs w:val="20"/>
                <w:color w:val="auto"/>
              </w:rPr>
            </w:pPr>
            <w:r>
              <w:rPr>
                <w:rFonts w:ascii="Arial" w:cs="Arial" w:eastAsia="Arial" w:hAnsi="Arial"/>
                <w:sz w:val="13"/>
                <w:szCs w:val="13"/>
                <w:color w:val="auto"/>
                <w:w w:val="82"/>
              </w:rPr>
              <w:t>737</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52,416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45,644</w:t>
            </w:r>
          </w:p>
        </w:tc>
        <w:tc>
          <w:tcPr>
            <w:tcW w:w="12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19,482</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3"/>
                <w:szCs w:val="13"/>
                <w:color w:val="auto"/>
              </w:rPr>
              <w:t>358</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color w:val="auto"/>
                <w:w w:val="82"/>
              </w:rPr>
              <w:t>737</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66,414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coupon as of December 31, 2020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3.56 %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4.73 %</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4.13 %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3.43 %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Weighted average yield as of December 31, 2020 </w:t>
            </w:r>
            <w:r>
              <w:rPr>
                <w:rFonts w:ascii="Arial" w:cs="Arial" w:eastAsia="Arial" w:hAnsi="Arial"/>
                <w:sz w:val="16"/>
                <w:szCs w:val="16"/>
                <w:color w:val="auto"/>
                <w:vertAlign w:val="superscript"/>
              </w:rPr>
              <w:t>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2.25 %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2.39 %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2.46 %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4.29 %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3.71 %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17.6% based on forward rates as of December 31, 2020.</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80" w:type="dxa"/>
            <w:vAlign w:val="bottom"/>
          </w:tcPr>
          <w:p>
            <w:pPr>
              <w:spacing w:after="0"/>
              <w:rPr>
                <w:sz w:val="11"/>
                <w:szCs w:val="11"/>
                <w:color w:val="auto"/>
              </w:rPr>
            </w:pPr>
          </w:p>
        </w:tc>
        <w:tc>
          <w:tcPr>
            <w:tcW w:w="920" w:type="dxa"/>
            <w:vAlign w:val="bottom"/>
            <w:gridSpan w:val="2"/>
          </w:tcPr>
          <w:p>
            <w:pPr>
              <w:ind w:left="100"/>
              <w:spacing w:after="0" w:line="130" w:lineRule="exact"/>
              <w:rPr>
                <w:sz w:val="20"/>
                <w:szCs w:val="20"/>
                <w:color w:val="auto"/>
              </w:rPr>
            </w:pPr>
            <w:r>
              <w:rPr>
                <w:rFonts w:ascii="Arial" w:cs="Arial" w:eastAsia="Arial" w:hAnsi="Arial"/>
                <w:sz w:val="14"/>
                <w:szCs w:val="14"/>
                <w:b w:val="1"/>
                <w:bCs w:val="1"/>
                <w:color w:val="auto"/>
              </w:rPr>
              <w:t>Fannie</w:t>
            </w:r>
          </w:p>
        </w:tc>
        <w:tc>
          <w:tcPr>
            <w:tcW w:w="8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80" w:type="dxa"/>
            <w:vAlign w:val="bottom"/>
          </w:tcPr>
          <w:p>
            <w:pPr>
              <w:spacing w:after="0"/>
              <w:rPr>
                <w:sz w:val="11"/>
                <w:szCs w:val="11"/>
                <w:color w:val="auto"/>
              </w:rPr>
            </w:pPr>
          </w:p>
        </w:tc>
        <w:tc>
          <w:tcPr>
            <w:tcW w:w="800" w:type="dxa"/>
            <w:vAlign w:val="bottom"/>
          </w:tcPr>
          <w:p>
            <w:pPr>
              <w:jc w:val="right"/>
              <w:ind w:right="236"/>
              <w:spacing w:after="0" w:line="130" w:lineRule="exact"/>
              <w:rPr>
                <w:sz w:val="20"/>
                <w:szCs w:val="20"/>
                <w:color w:val="auto"/>
              </w:rPr>
            </w:pPr>
            <w:r>
              <w:rPr>
                <w:rFonts w:ascii="Arial" w:cs="Arial" w:eastAsia="Arial" w:hAnsi="Arial"/>
                <w:sz w:val="14"/>
                <w:szCs w:val="14"/>
                <w:b w:val="1"/>
                <w:bCs w:val="1"/>
                <w:color w:val="auto"/>
              </w:rPr>
              <w:t>Ginnie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RMBS</w:t>
            </w:r>
          </w:p>
        </w:tc>
        <w:tc>
          <w:tcPr>
            <w:tcW w:w="20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CMBS</w:t>
            </w:r>
          </w:p>
        </w:tc>
        <w:tc>
          <w:tcPr>
            <w:tcW w:w="20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CRT</w:t>
            </w:r>
          </w:p>
        </w:tc>
        <w:tc>
          <w:tcPr>
            <w:tcW w:w="200" w:type="dxa"/>
            <w:vAlign w:val="bottom"/>
          </w:tcPr>
          <w:p>
            <w:pPr>
              <w:spacing w:after="0"/>
              <w:rPr>
                <w:sz w:val="11"/>
                <w:szCs w:val="11"/>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Mae</w:t>
            </w: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Par value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14,301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4,762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w:t>
            </w: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19,081</w:t>
            </w:r>
          </w:p>
        </w:tc>
        <w:tc>
          <w:tcPr>
            <w:tcW w:w="0" w:type="dxa"/>
            <w:vAlign w:val="bottom"/>
          </w:tcPr>
          <w:p>
            <w:pPr>
              <w:spacing w:after="0"/>
              <w:rPr>
                <w:sz w:val="1"/>
                <w:szCs w:val="1"/>
                <w:color w:val="auto"/>
              </w:rPr>
            </w:pPr>
          </w:p>
        </w:tc>
      </w:tr>
      <w:tr>
        <w:trPr>
          <w:trHeight w:val="168"/>
        </w:trPr>
        <w:tc>
          <w:tcPr>
            <w:tcW w:w="3780" w:type="dxa"/>
            <w:vAlign w:val="bottom"/>
            <w:gridSpan w:val="2"/>
          </w:tcPr>
          <w:p>
            <w:pPr>
              <w:ind w:left="180"/>
              <w:spacing w:after="0"/>
              <w:rPr>
                <w:sz w:val="20"/>
                <w:szCs w:val="20"/>
                <w:color w:val="auto"/>
              </w:rPr>
            </w:pPr>
            <w:r>
              <w:rPr>
                <w:rFonts w:ascii="Arial" w:cs="Arial" w:eastAsia="Arial" w:hAnsi="Arial"/>
                <w:sz w:val="13"/>
                <w:szCs w:val="13"/>
                <w:color w:val="auto"/>
              </w:rPr>
              <w:t>Unamortized discount</w:t>
            </w:r>
          </w:p>
        </w:tc>
        <w:tc>
          <w:tcPr>
            <w:tcW w:w="1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Unamortized premium</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161"/>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color w:val="auto"/>
              </w:rPr>
              <w:t>15,002</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5,036</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20,056</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Gross unrealized gains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9"/>
        </w:trPr>
        <w:tc>
          <w:tcPr>
            <w:tcW w:w="3780" w:type="dxa"/>
            <w:vAlign w:val="bottom"/>
            <w:gridSpan w:val="2"/>
          </w:tcPr>
          <w:p>
            <w:pPr>
              <w:ind w:left="180"/>
              <w:spacing w:after="0"/>
              <w:rPr>
                <w:sz w:val="20"/>
                <w:szCs w:val="20"/>
                <w:color w:val="auto"/>
              </w:rPr>
            </w:pPr>
            <w:r>
              <w:rPr>
                <w:rFonts w:ascii="Arial" w:cs="Arial" w:eastAsia="Arial" w:hAnsi="Arial"/>
                <w:sz w:val="13"/>
                <w:szCs w:val="13"/>
                <w:color w:val="auto"/>
              </w:rPr>
              <w:t>Gross unrealized losses</w:t>
            </w:r>
          </w:p>
        </w:tc>
        <w:tc>
          <w:tcPr>
            <w:tcW w:w="1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76"/>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15,094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5,040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20,153</w:t>
            </w:r>
          </w:p>
        </w:tc>
        <w:tc>
          <w:tcPr>
            <w:tcW w:w="0" w:type="dxa"/>
            <w:vAlign w:val="bottom"/>
          </w:tcPr>
          <w:p>
            <w:pPr>
              <w:spacing w:after="0"/>
              <w:rPr>
                <w:sz w:val="1"/>
                <w:szCs w:val="1"/>
                <w:color w:val="auto"/>
              </w:rPr>
            </w:pPr>
          </w:p>
        </w:tc>
      </w:tr>
      <w:tr>
        <w:trPr>
          <w:trHeight w:val="148"/>
        </w:trPr>
        <w:tc>
          <w:tcPr>
            <w:tcW w:w="378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 value</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45,106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29,881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937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76,480</w:t>
            </w:r>
          </w:p>
        </w:tc>
        <w:tc>
          <w:tcPr>
            <w:tcW w:w="0" w:type="dxa"/>
            <w:vAlign w:val="bottom"/>
          </w:tcPr>
          <w:p>
            <w:pPr>
              <w:spacing w:after="0"/>
              <w:rPr>
                <w:sz w:val="1"/>
                <w:szCs w:val="1"/>
                <w:color w:val="auto"/>
              </w:rPr>
            </w:pPr>
          </w:p>
        </w:tc>
      </w:tr>
      <w:tr>
        <w:trPr>
          <w:trHeight w:val="168"/>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Unamortized discount</w:t>
            </w:r>
          </w:p>
        </w:tc>
        <w:tc>
          <w:tcPr>
            <w:tcW w:w="1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Unamortized premium</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1,218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967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2,219</w:t>
            </w:r>
          </w:p>
        </w:tc>
        <w:tc>
          <w:tcPr>
            <w:tcW w:w="0" w:type="dxa"/>
            <w:vAlign w:val="bottom"/>
          </w:tcPr>
          <w:p>
            <w:pPr>
              <w:spacing w:after="0"/>
              <w:rPr>
                <w:sz w:val="1"/>
                <w:szCs w:val="1"/>
                <w:color w:val="auto"/>
              </w:rPr>
            </w:pPr>
          </w:p>
        </w:tc>
      </w:tr>
      <w:tr>
        <w:trPr>
          <w:trHeight w:val="161"/>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8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color w:val="auto"/>
              </w:rPr>
              <w:t>46,256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30,846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961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78,614</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Gross unrealized gains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1,729</w:t>
            </w:r>
          </w:p>
        </w:tc>
        <w:tc>
          <w:tcPr>
            <w:tcW w:w="0" w:type="dxa"/>
            <w:vAlign w:val="bottom"/>
          </w:tcPr>
          <w:p>
            <w:pPr>
              <w:spacing w:after="0"/>
              <w:rPr>
                <w:sz w:val="1"/>
                <w:szCs w:val="1"/>
                <w:color w:val="auto"/>
              </w:rPr>
            </w:pPr>
          </w:p>
        </w:tc>
      </w:tr>
      <w:tr>
        <w:trPr>
          <w:trHeight w:val="169"/>
        </w:trPr>
        <w:tc>
          <w:tcPr>
            <w:tcW w:w="3780" w:type="dxa"/>
            <w:vAlign w:val="bottom"/>
            <w:gridSpan w:val="2"/>
          </w:tcPr>
          <w:p>
            <w:pPr>
              <w:ind w:left="220"/>
              <w:spacing w:after="0"/>
              <w:rPr>
                <w:sz w:val="20"/>
                <w:szCs w:val="20"/>
                <w:color w:val="auto"/>
              </w:rPr>
            </w:pPr>
            <w:r>
              <w:rPr>
                <w:rFonts w:ascii="Arial" w:cs="Arial" w:eastAsia="Arial" w:hAnsi="Arial"/>
                <w:sz w:val="13"/>
                <w:szCs w:val="13"/>
                <w:color w:val="auto"/>
              </w:rPr>
              <w:t>Gross unrealized losses</w:t>
            </w:r>
          </w:p>
        </w:tc>
        <w:tc>
          <w:tcPr>
            <w:tcW w:w="1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6"/>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47,215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31,519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209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370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976</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80,289</w:t>
            </w:r>
          </w:p>
        </w:tc>
        <w:tc>
          <w:tcPr>
            <w:tcW w:w="0" w:type="dxa"/>
            <w:vAlign w:val="bottom"/>
          </w:tcPr>
          <w:p>
            <w:pPr>
              <w:spacing w:after="0"/>
              <w:rPr>
                <w:sz w:val="1"/>
                <w:szCs w:val="1"/>
                <w:color w:val="auto"/>
              </w:rPr>
            </w:pPr>
          </w:p>
        </w:tc>
      </w:tr>
      <w:tr>
        <w:trPr>
          <w:trHeight w:val="169"/>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62,309</w:t>
            </w:r>
          </w:p>
        </w:tc>
        <w:tc>
          <w:tcPr>
            <w:tcW w:w="10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36,559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370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976</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100,442</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3.68 %</w:t>
            </w:r>
          </w:p>
        </w:tc>
        <w:tc>
          <w:tcPr>
            <w:tcW w:w="0" w:type="dxa"/>
            <w:vAlign w:val="bottom"/>
          </w:tcPr>
          <w:p>
            <w:pPr>
              <w:spacing w:after="0"/>
              <w:rPr>
                <w:sz w:val="1"/>
                <w:szCs w:val="1"/>
                <w:color w:val="auto"/>
              </w:rPr>
            </w:pPr>
          </w:p>
        </w:tc>
      </w:tr>
      <w:tr>
        <w:trPr>
          <w:trHeight w:val="214"/>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2019 </w:t>
            </w:r>
            <w:r>
              <w:rPr>
                <w:rFonts w:ascii="Arial" w:cs="Arial" w:eastAsia="Arial" w:hAnsi="Arial"/>
                <w:sz w:val="16"/>
                <w:szCs w:val="16"/>
                <w:color w:val="auto"/>
                <w:vertAlign w:val="superscript"/>
              </w:rPr>
              <w:t>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3.03 %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3.07 %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10.8% based on forward rates as of December 31, 2019.</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and 2019, our investments in CRT and non-Agency securities had the following credit ratings: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9"/>
        </w:trPr>
        <w:tc>
          <w:tcPr>
            <w:tcW w:w="406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18"/>
                <w:szCs w:val="18"/>
                <w:b w:val="1"/>
                <w:bCs w:val="1"/>
                <w:color w:val="auto"/>
                <w:vertAlign w:val="superscript"/>
              </w:rPr>
              <w:t>1</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RMBS</w:t>
            </w:r>
          </w:p>
        </w:tc>
        <w:tc>
          <w:tcPr>
            <w:tcW w:w="2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RMBS</w:t>
            </w:r>
          </w:p>
        </w:tc>
        <w:tc>
          <w:tcPr>
            <w:tcW w:w="2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r>
      <w:tr>
        <w:trPr>
          <w:trHeight w:val="183"/>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w:t>
            </w:r>
          </w:p>
        </w:tc>
      </w:tr>
      <w:tr>
        <w:trPr>
          <w:trHeight w:val="21"/>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w:t>
      </w:r>
    </w:p>
    <w:p>
      <w:pPr>
        <w:spacing w:after="0" w:line="11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December 31, 2020 and 2019, the weighted average expected constant prepayment rate ("CPR") over the remaining life of our Agency and high credit quality non-Agency RMBS investment portfolio was 17.6% and 10.8%, respectively. Our estimates can differ materially for different securities and thus our individual holdings have a wide range of projected CPRs. The following table summarizes our investments as of December 31, 2020 and 2019 according to their estimated weighted average life classification (dollars in millions):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2020</w:t>
            </w: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Weighted Average Life of</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Weighted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Average</w:t>
            </w: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Coupon</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Yield</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84"/>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3 years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3,569</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3.56%</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2.15%</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2.61%</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&gt; 3 years and ≤ 5 years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47,740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45,578</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3.54%</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2.42%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10,822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10,563</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3.85%</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3.20%</w:t>
            </w:r>
          </w:p>
        </w:tc>
        <w:tc>
          <w:tcPr>
            <w:tcW w:w="0" w:type="dxa"/>
            <w:vAlign w:val="bottom"/>
          </w:tcPr>
          <w:p>
            <w:pPr>
              <w:spacing w:after="0"/>
              <w:rPr>
                <w:sz w:val="1"/>
                <w:szCs w:val="1"/>
                <w:color w:val="auto"/>
              </w:rPr>
            </w:pPr>
          </w:p>
        </w:tc>
      </w:tr>
      <w:tr>
        <w:trPr>
          <w:trHeight w:val="192"/>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&gt; 5 years and ≤10 years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86,492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&gt; 10 years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5.56%</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3.59%</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3.31%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3.06%</w:t>
            </w:r>
          </w:p>
        </w:tc>
        <w:tc>
          <w:tcPr>
            <w:tcW w:w="0" w:type="dxa"/>
            <w:vAlign w:val="bottom"/>
          </w:tcPr>
          <w:p>
            <w:pPr>
              <w:spacing w:after="0"/>
              <w:rPr>
                <w:sz w:val="1"/>
                <w:szCs w:val="1"/>
                <w:color w:val="auto"/>
              </w:rPr>
            </w:pPr>
          </w:p>
        </w:tc>
      </w:tr>
      <w:tr>
        <w:trPr>
          <w:trHeight w:val="21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66,414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63,701</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3.39%</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100,442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98,670</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3.68%</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486"/>
        <w:spacing w:after="0" w:line="269"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December 31, 2020 and 2019 (in millions):</w:t>
      </w:r>
    </w:p>
    <w:tbl>
      <w:tblPr>
        <w:tblLayout w:type="fixed"/>
        <w:tblInd w:w="4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Unrealized Loss Position For</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12 Months or More</w:t>
            </w: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Securities Classified as Available-for-Sale</w:t>
            </w: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68"/>
              <w:spacing w:after="0" w:line="130"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88"/>
              <w:spacing w:after="0" w:line="130"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08"/>
              <w:spacing w:after="0" w:line="130"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8"/>
        </w:trPr>
        <w:tc>
          <w:tcPr>
            <w:tcW w:w="4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4"/>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December 31, 2020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center"/>
              <w:ind w:left="628"/>
              <w:spacing w:after="0"/>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center"/>
              <w:ind w:left="608"/>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center"/>
              <w:ind w:left="6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4000" w:type="dxa"/>
            <w:vAlign w:val="bottom"/>
            <w:gridSpan w:val="2"/>
          </w:tcPr>
          <w:p>
            <w:pPr>
              <w:spacing w:after="0"/>
              <w:rPr>
                <w:sz w:val="20"/>
                <w:szCs w:val="20"/>
                <w:color w:val="auto"/>
              </w:rPr>
            </w:pPr>
            <w:r>
              <w:rPr>
                <w:rFonts w:ascii="Arial" w:cs="Arial" w:eastAsia="Arial" w:hAnsi="Arial"/>
                <w:sz w:val="14"/>
                <w:szCs w:val="14"/>
                <w:color w:val="auto"/>
              </w:rPr>
              <w:t>December 31, 2019</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1,653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6,984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8,637</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fiscal years 2020, 2019 and 2018 by investment classification of accounting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Fiscal Year 2020</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Fiscal Year 2019</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Fiscal Year 2018</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91"/>
              </w:rPr>
              <w:t>Available-for-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0"/>
              </w:rPr>
              <w:t>Fair Value</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0"/>
              </w:rPr>
              <w:t>Fair Value</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93"/>
              </w:rPr>
              <w:t>Fair Value</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0"/>
                <w:szCs w:val="10"/>
                <w:color w:val="auto"/>
              </w:rPr>
            </w:pPr>
          </w:p>
        </w:tc>
        <w:tc>
          <w:tcPr>
            <w:tcW w:w="760" w:type="dxa"/>
            <w:vAlign w:val="bottom"/>
          </w:tcPr>
          <w:p>
            <w:pPr>
              <w:jc w:val="center"/>
              <w:ind w:right="50"/>
              <w:spacing w:after="0" w:line="122" w:lineRule="exact"/>
              <w:rPr>
                <w:sz w:val="20"/>
                <w:szCs w:val="20"/>
                <w:color w:val="auto"/>
              </w:rPr>
            </w:pPr>
            <w:r>
              <w:rPr>
                <w:rFonts w:ascii="Arial" w:cs="Arial" w:eastAsia="Arial" w:hAnsi="Arial"/>
                <w:sz w:val="13"/>
                <w:szCs w:val="13"/>
                <w:b w:val="1"/>
                <w:bCs w:val="1"/>
                <w:color w:val="auto"/>
                <w:w w:val="89"/>
              </w:rPr>
              <w:t>Sale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0"/>
                <w:szCs w:val="10"/>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740" w:type="dxa"/>
            <w:vAlign w:val="bottom"/>
          </w:tcPr>
          <w:p>
            <w:pPr>
              <w:jc w:val="center"/>
              <w:ind w:right="50"/>
              <w:spacing w:after="0" w:line="122" w:lineRule="exact"/>
              <w:rPr>
                <w:sz w:val="20"/>
                <w:szCs w:val="20"/>
                <w:color w:val="auto"/>
              </w:rPr>
            </w:pPr>
            <w:r>
              <w:rPr>
                <w:rFonts w:ascii="Arial" w:cs="Arial" w:eastAsia="Arial" w:hAnsi="Arial"/>
                <w:sz w:val="13"/>
                <w:szCs w:val="13"/>
                <w:b w:val="1"/>
                <w:bCs w:val="1"/>
                <w:color w:val="auto"/>
                <w:w w:val="82"/>
              </w:rPr>
              <w:t>Sale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0"/>
                <w:szCs w:val="10"/>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740" w:type="dxa"/>
            <w:vAlign w:val="bottom"/>
          </w:tcPr>
          <w:p>
            <w:pPr>
              <w:jc w:val="center"/>
              <w:ind w:right="50"/>
              <w:spacing w:after="0" w:line="122" w:lineRule="exact"/>
              <w:rPr>
                <w:sz w:val="20"/>
                <w:szCs w:val="20"/>
                <w:color w:val="auto"/>
              </w:rPr>
            </w:pPr>
            <w:r>
              <w:rPr>
                <w:rFonts w:ascii="Arial" w:cs="Arial" w:eastAsia="Arial" w:hAnsi="Arial"/>
                <w:sz w:val="13"/>
                <w:szCs w:val="13"/>
                <w:b w:val="1"/>
                <w:bCs w:val="1"/>
                <w:color w:val="auto"/>
                <w:w w:val="82"/>
              </w:rPr>
              <w:t>Sale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180" w:type="dxa"/>
            <w:vAlign w:val="bottom"/>
          </w:tcPr>
          <w:p>
            <w:pPr>
              <w:spacing w:after="0"/>
              <w:rPr>
                <w:sz w:val="10"/>
                <w:szCs w:val="10"/>
                <w:color w:val="auto"/>
              </w:rPr>
            </w:pPr>
          </w:p>
        </w:tc>
        <w:tc>
          <w:tcPr>
            <w:tcW w:w="68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Securities</w:t>
            </w: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Securities</w:t>
            </w: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50"/>
              <w:spacing w:after="0" w:line="175" w:lineRule="exact"/>
              <w:rPr>
                <w:sz w:val="20"/>
                <w:szCs w:val="20"/>
                <w:color w:val="auto"/>
              </w:rPr>
            </w:pPr>
            <w:r>
              <w:rPr>
                <w:rFonts w:ascii="Arial" w:cs="Arial" w:eastAsia="Arial" w:hAnsi="Arial"/>
                <w:sz w:val="13"/>
                <w:szCs w:val="13"/>
                <w:b w:val="1"/>
                <w:bCs w:val="1"/>
                <w:color w:val="auto"/>
                <w:w w:val="80"/>
              </w:rPr>
              <w:t xml:space="preserve">Securities </w:t>
            </w:r>
            <w:r>
              <w:rPr>
                <w:rFonts w:ascii="Arial" w:cs="Arial" w:eastAsia="Arial" w:hAnsi="Arial"/>
                <w:sz w:val="16"/>
                <w:szCs w:val="16"/>
                <w:b w:val="1"/>
                <w:bCs w:val="1"/>
                <w:color w:val="auto"/>
                <w:w w:val="80"/>
                <w:vertAlign w:val="superscript"/>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Securities</w:t>
            </w: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(74,964)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(77,274)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(23,040)</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(23,772)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(5,344)</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(9,650)</w:t>
            </w:r>
          </w:p>
        </w:tc>
        <w:tc>
          <w:tcPr>
            <w:tcW w:w="0" w:type="dxa"/>
            <w:vAlign w:val="bottom"/>
          </w:tcPr>
          <w:p>
            <w:pPr>
              <w:spacing w:after="0"/>
              <w:rPr>
                <w:sz w:val="1"/>
                <w:szCs w:val="1"/>
                <w:color w:val="auto"/>
              </w:rPr>
            </w:pPr>
          </w:p>
        </w:tc>
      </w:tr>
      <w:tr>
        <w:trPr>
          <w:trHeight w:val="192"/>
        </w:trPr>
        <w:tc>
          <w:tcPr>
            <w:tcW w:w="270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2,391</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76,009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78,400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24,160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9,513</w:t>
            </w:r>
          </w:p>
        </w:tc>
        <w:tc>
          <w:tcPr>
            <w:tcW w:w="0" w:type="dxa"/>
            <w:vAlign w:val="bottom"/>
          </w:tcPr>
          <w:p>
            <w:pPr>
              <w:spacing w:after="0"/>
              <w:rPr>
                <w:sz w:val="1"/>
                <w:szCs w:val="1"/>
                <w:color w:val="auto"/>
              </w:rPr>
            </w:pPr>
          </w:p>
        </w:tc>
      </w:tr>
      <w:tr>
        <w:trPr>
          <w:trHeight w:val="115"/>
        </w:trPr>
        <w:tc>
          <w:tcPr>
            <w:tcW w:w="2700" w:type="dxa"/>
            <w:vAlign w:val="bottom"/>
            <w:gridSpan w:val="2"/>
          </w:tcPr>
          <w:p>
            <w:pPr>
              <w:ind w:left="20"/>
              <w:spacing w:after="0" w:line="115" w:lineRule="exact"/>
              <w:rPr>
                <w:sz w:val="20"/>
                <w:szCs w:val="20"/>
                <w:color w:val="auto"/>
              </w:rPr>
            </w:pPr>
            <w:r>
              <w:rPr>
                <w:rFonts w:ascii="Arial" w:cs="Arial" w:eastAsia="Arial" w:hAnsi="Arial"/>
                <w:sz w:val="13"/>
                <w:szCs w:val="13"/>
                <w:color w:val="auto"/>
              </w:rPr>
              <w:t>Net gain (loss) on sale of investment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81</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1"/>
              <w:spacing w:after="0"/>
              <w:rPr>
                <w:sz w:val="20"/>
                <w:szCs w:val="20"/>
                <w:color w:val="auto"/>
              </w:rPr>
            </w:pPr>
            <w:r>
              <w:rPr>
                <w:rFonts w:ascii="Arial" w:cs="Arial" w:eastAsia="Arial" w:hAnsi="Arial"/>
                <w:sz w:val="14"/>
                <w:szCs w:val="14"/>
                <w:color w:val="auto"/>
              </w:rPr>
              <w:t>1,045</w:t>
            </w:r>
          </w:p>
        </w:tc>
        <w:tc>
          <w:tcPr>
            <w:tcW w:w="80" w:type="dxa"/>
            <w:vAlign w:val="bottom"/>
          </w:tcPr>
          <w:p>
            <w:pPr>
              <w:spacing w:after="0"/>
              <w:rPr>
                <w:sz w:val="10"/>
                <w:szCs w:val="10"/>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0"/>
                <w:szCs w:val="10"/>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0"/>
                <w:szCs w:val="10"/>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securities</w:t>
            </w: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tcPr>
          <w:p>
            <w:pPr>
              <w:ind w:left="20"/>
              <w:spacing w:after="0"/>
              <w:rPr>
                <w:sz w:val="20"/>
                <w:szCs w:val="20"/>
                <w:color w:val="auto"/>
              </w:rPr>
            </w:pPr>
            <w:r>
              <w:rPr>
                <w:rFonts w:ascii="Arial" w:cs="Arial" w:eastAsia="Arial" w:hAnsi="Arial"/>
                <w:sz w:val="14"/>
                <w:szCs w:val="14"/>
                <w:color w:val="auto"/>
                <w:w w:val="99"/>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81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15"/>
        </w:trPr>
        <w:tc>
          <w:tcPr>
            <w:tcW w:w="2700" w:type="dxa"/>
            <w:vAlign w:val="bottom"/>
            <w:gridSpan w:val="2"/>
          </w:tcPr>
          <w:p>
            <w:pPr>
              <w:ind w:left="20"/>
              <w:spacing w:after="0" w:line="115" w:lineRule="exact"/>
              <w:rPr>
                <w:sz w:val="20"/>
                <w:szCs w:val="20"/>
                <w:color w:val="auto"/>
              </w:rPr>
            </w:pPr>
            <w:r>
              <w:rPr>
                <w:rFonts w:ascii="Arial" w:cs="Arial" w:eastAsia="Arial" w:hAnsi="Arial"/>
                <w:sz w:val="13"/>
                <w:szCs w:val="13"/>
                <w:color w:val="auto"/>
              </w:rPr>
              <w:t>Net gain (loss) on sale of investment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81</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1"/>
              <w:spacing w:after="0"/>
              <w:rPr>
                <w:sz w:val="20"/>
                <w:szCs w:val="20"/>
                <w:color w:val="auto"/>
              </w:rPr>
            </w:pPr>
            <w:r>
              <w:rPr>
                <w:rFonts w:ascii="Arial" w:cs="Arial" w:eastAsia="Arial" w:hAnsi="Arial"/>
                <w:sz w:val="14"/>
                <w:szCs w:val="14"/>
                <w:color w:val="auto"/>
              </w:rPr>
              <w:t>1,045</w:t>
            </w:r>
          </w:p>
        </w:tc>
        <w:tc>
          <w:tcPr>
            <w:tcW w:w="80" w:type="dxa"/>
            <w:vAlign w:val="bottom"/>
          </w:tcPr>
          <w:p>
            <w:pPr>
              <w:spacing w:after="0"/>
              <w:rPr>
                <w:sz w:val="10"/>
                <w:szCs w:val="10"/>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0"/>
                <w:szCs w:val="10"/>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0"/>
                <w:szCs w:val="10"/>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securities</w:t>
            </w: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See Note 9 for a summary of changes in accumulated OCI.</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Repurchase Agreements and Reverse Repurchase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2020, we had met all margin call requirements. For additional information regarding our pledged assets, please refer to Note 6.</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2020 and 2019, we had $52.4 billion and $89.2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may have floating interest rates based on an index plus or minus a fixed spread.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following table summarizes our borrowings under repurchase agreements by their remaining maturities as of December 31, 2020 and 2019 (dollars in millions):</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11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Weighted</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Interest</w:t>
            </w:r>
          </w:p>
        </w:tc>
        <w:tc>
          <w:tcPr>
            <w:tcW w:w="16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 Days</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Interest</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88"/>
        </w:trPr>
        <w:tc>
          <w:tcPr>
            <w:tcW w:w="24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11"/>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 1 month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29,505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0.22 %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56,664</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1 to ≤ 3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13,434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&gt; 3 to ≤ 6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7,317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0.28 %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5,683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6 to ≤ 9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&gt; 9 to ≤ 12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0.15 %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354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2,152</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2.41 %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12 to ≤ 24 months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&gt; 24 to ≤ 36 months</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6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13"/>
        </w:trPr>
        <w:tc>
          <w:tcPr>
            <w:tcW w:w="29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Agency repo</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52,366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0.24 %</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89,085</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1 day to ≤ 1 month</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52,366</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0.24 %</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54</w:t>
            </w:r>
          </w:p>
        </w:tc>
        <w:tc>
          <w:tcPr>
            <w:tcW w:w="4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89,182</w:t>
            </w:r>
          </w:p>
        </w:tc>
        <w:tc>
          <w:tcPr>
            <w:tcW w:w="1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2.17 %</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As of December 31, 2020 and 2019, $11.2 billion and $17.0 billion, respectively, of our repurchase agreements had a remaining maturity of one business day and none of our repurchase agreements were due on demand. As of December 31, 2020, we had $2.9 billion of forward commitments to enter into repurchase agreements, with a weighted average forward start date of 4 days and a weighted average interest rate of 0.12%. As of 2019, we had $4.5 billion of forward commitments to enter into repurchase agreements, with a weighted average forward start date of 12 days and a weighted average interest rate of 1.60%. As of December 31, 2020 and 2019, 47% and 40%,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46% and 38% of our repurchase agreement funding outstanding as of December 31, 2020 and 2019, respectively.</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 2020, we terminated $3.7 billion of repurchase agreements with a weighted average interest rate of 2.11% and a weighted average remaining maturity of 2.2 years. The terminated agreements were replaced with shorter duration repurchase agreements at lower prevailing market rates. We recognized losses on debt extinguishment of $146 million in other gain (loss), net for fiscal year 2020 associated with the terminated repurchase agreements. We did not terminate any repurchase agreements during the prior two 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2020 and 2019, we had $11.7 billion and $10.2 billion, respectively, of reverse repurchase agreements outstanding used primarily to borrow securities to cover short sales of U.S. Treasury securities, for which we had associated obligations to return borrowed securities at fair value of $11.7 billion and $9.5 billion, respectively. As of December 31, 2020 and 2019, $3.6 billion and $5.4 billion, respectively, of our reverse repurchase agreements were with the FICC sourced through BES.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and Other Hedging Instruments</w:t>
      </w:r>
    </w:p>
    <w:p>
      <w:pPr>
        <w:spacing w:after="0" w:line="175"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assets/(liabilities) as of December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00" w:type="dxa"/>
            <w:vAlign w:val="bottom"/>
            <w:tcBorders>
              <w:bottom w:val="single" w:sz="8" w:color="CCEEFF"/>
            </w:tcBorders>
          </w:tcPr>
          <w:p>
            <w:pPr>
              <w:spacing w:after="0"/>
              <w:rPr>
                <w:sz w:val="24"/>
                <w:szCs w:val="24"/>
                <w:color w:val="auto"/>
              </w:rPr>
            </w:pPr>
          </w:p>
        </w:tc>
        <w:tc>
          <w:tcPr>
            <w:tcW w:w="41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Swaptions</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TBA securities</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8"/>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assets, at fair value</w:t>
            </w:r>
          </w:p>
        </w:tc>
        <w:tc>
          <w:tcPr>
            <w:tcW w:w="4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 short</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derivative liabilities,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69"/>
        </w:trPr>
        <w:tc>
          <w:tcPr>
            <w:tcW w:w="4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U.S. Treasury securities - short</w:t>
            </w:r>
          </w:p>
        </w:tc>
        <w:tc>
          <w:tcPr>
            <w:tcW w:w="42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Obligation to return securities borrowed under reverse</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(11,727)</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209"/>
        </w:trPr>
        <w:tc>
          <w:tcPr>
            <w:tcW w:w="4440" w:type="dxa"/>
            <w:vAlign w:val="bottom"/>
            <w:gridSpan w:val="2"/>
            <w:vMerge w:val="continue"/>
            <w:shd w:val="clear" w:color="auto" w:fill="CCEEFF"/>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U.S. Treasury securities, net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(11,727)</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(9,446)</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summarize certain characteristics of our derivative and other hedging instruments outstanding as of December 31, 2020 and 2019 (dollars in millions):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2019</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 Fixed / Receive Variable Interest</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Receive</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Receive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Rate Swaps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0.10%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1.17%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1.55%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3.8</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1.70%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0.28%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1.36%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1.58%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8.9</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0.07%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14.2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1.64%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1.78%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15.4</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43,225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0.15%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79,075</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1.29%</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1.59%</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Pay Fixed / Receive Variable Interest Rate Swaps by</w:t>
            </w:r>
          </w:p>
        </w:tc>
        <w:tc>
          <w:tcPr>
            <w:tcW w:w="16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vMerge w:val="restart"/>
          </w:tcPr>
          <w:p>
            <w:pPr>
              <w:spacing w:after="0"/>
              <w:rPr>
                <w:sz w:val="14"/>
                <w:szCs w:val="14"/>
                <w:color w:val="auto"/>
              </w:rPr>
            </w:pPr>
          </w:p>
        </w:tc>
        <w:tc>
          <w:tcPr>
            <w:tcW w:w="16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 Index (% of Notional Amount)</w:t>
            </w:r>
          </w:p>
        </w:tc>
        <w:tc>
          <w:tcPr>
            <w:tcW w:w="2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SOFR</w:t>
            </w:r>
          </w:p>
        </w:tc>
        <w:tc>
          <w:tcPr>
            <w:tcW w:w="1620" w:type="dxa"/>
            <w:vAlign w:val="bottom"/>
          </w:tcPr>
          <w:p>
            <w:pPr>
              <w:jc w:val="right"/>
              <w:spacing w:after="0"/>
              <w:rPr>
                <w:sz w:val="20"/>
                <w:szCs w:val="20"/>
                <w:color w:val="auto"/>
              </w:rPr>
            </w:pPr>
            <w:r>
              <w:rPr>
                <w:rFonts w:ascii="Arial" w:cs="Arial" w:eastAsia="Arial" w:hAnsi="Arial"/>
                <w:sz w:val="16"/>
                <w:szCs w:val="16"/>
                <w:color w:val="auto"/>
              </w:rPr>
              <w:t>71 %</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OIS</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3M LIBOR</w:t>
            </w:r>
          </w:p>
        </w:tc>
        <w:tc>
          <w:tcPr>
            <w:tcW w:w="1840" w:type="dxa"/>
            <w:vAlign w:val="bottom"/>
            <w:gridSpan w:val="2"/>
          </w:tcPr>
          <w:p>
            <w:pPr>
              <w:jc w:val="right"/>
              <w:ind w:right="240"/>
              <w:spacing w:after="0"/>
              <w:rPr>
                <w:sz w:val="20"/>
                <w:szCs w:val="20"/>
                <w:color w:val="auto"/>
              </w:rPr>
            </w:pPr>
            <w:r>
              <w:rPr>
                <w:rFonts w:ascii="Arial" w:cs="Arial" w:eastAsia="Arial" w:hAnsi="Arial"/>
                <w:sz w:val="16"/>
                <w:szCs w:val="16"/>
                <w:color w:val="auto"/>
              </w:rPr>
              <w:t>— %</w:t>
            </w:r>
          </w:p>
        </w:tc>
        <w:tc>
          <w:tcPr>
            <w:tcW w:w="162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37"/>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2"/>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center"/>
              <w:ind w:left="621"/>
              <w:spacing w:after="0"/>
              <w:rPr>
                <w:sz w:val="20"/>
                <w:szCs w:val="20"/>
                <w:color w:val="auto"/>
              </w:rPr>
            </w:pPr>
            <w:r>
              <w:rPr>
                <w:rFonts w:ascii="Arial" w:cs="Arial" w:eastAsia="Arial" w:hAnsi="Arial"/>
                <w:sz w:val="14"/>
                <w:szCs w:val="14"/>
                <w:b w:val="1"/>
                <w:bCs w:val="1"/>
                <w:color w:val="auto"/>
                <w:w w:val="93"/>
              </w:rPr>
              <w:t>Underlying Payer Swap</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left="22"/>
              <w:spacing w:after="0" w:line="135"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Average Fixed</w:t>
            </w:r>
          </w:p>
        </w:tc>
        <w:tc>
          <w:tcPr>
            <w:tcW w:w="90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2"/>
              <w:spacing w:after="0" w:line="135" w:lineRule="exact"/>
              <w:rPr>
                <w:sz w:val="20"/>
                <w:szCs w:val="20"/>
                <w:color w:val="auto"/>
              </w:rPr>
            </w:pPr>
            <w:r>
              <w:rPr>
                <w:rFonts w:ascii="Arial" w:cs="Arial" w:eastAsia="Arial" w:hAnsi="Arial"/>
                <w:sz w:val="14"/>
                <w:szCs w:val="14"/>
                <w:b w:val="1"/>
                <w:bCs w:val="1"/>
                <w:color w:val="auto"/>
                <w:w w:val="95"/>
              </w:rPr>
              <w:t>Months to</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40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Option Expiration Date</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Basis</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tcPr>
          <w:p>
            <w:pPr>
              <w:jc w:val="center"/>
              <w:ind w:left="2"/>
              <w:spacing w:after="0" w:line="135" w:lineRule="exact"/>
              <w:rPr>
                <w:sz w:val="20"/>
                <w:szCs w:val="20"/>
                <w:color w:val="auto"/>
              </w:rPr>
            </w:pPr>
            <w:r>
              <w:rPr>
                <w:rFonts w:ascii="Arial" w:cs="Arial" w:eastAsia="Arial" w:hAnsi="Arial"/>
                <w:sz w:val="14"/>
                <w:szCs w:val="14"/>
                <w:b w:val="1"/>
                <w:bCs w:val="1"/>
                <w:color w:val="auto"/>
                <w:w w:val="96"/>
              </w:rPr>
              <w:t>Current Option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Pay</w:t>
            </w:r>
          </w:p>
        </w:tc>
        <w:tc>
          <w:tcPr>
            <w:tcW w:w="9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9"/>
        </w:trPr>
        <w:tc>
          <w:tcPr>
            <w:tcW w:w="4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97"/>
              </w:rPr>
              <w:t>Expiration Date</w:t>
            </w: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jc w:val="center"/>
              <w:ind w:right="300"/>
              <w:spacing w:after="0" w:line="189" w:lineRule="exact"/>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18"/>
                <w:szCs w:val="18"/>
                <w:b w:val="1"/>
                <w:bCs w:val="1"/>
                <w:color w:val="auto"/>
                <w:w w:val="92"/>
                <w:vertAlign w:val="superscript"/>
              </w:rPr>
              <w:t>2</w:t>
            </w: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9"/>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40" w:type="dxa"/>
            <w:vAlign w:val="bottom"/>
          </w:tcPr>
          <w:p>
            <w:pPr>
              <w:jc w:val="center"/>
              <w:ind w:left="2"/>
              <w:spacing w:after="0"/>
              <w:rPr>
                <w:sz w:val="20"/>
                <w:szCs w:val="20"/>
                <w:color w:val="auto"/>
              </w:rPr>
            </w:pPr>
            <w:r>
              <w:rPr>
                <w:rFonts w:ascii="Arial" w:cs="Arial" w:eastAsia="Arial" w:hAnsi="Arial"/>
                <w:sz w:val="16"/>
                <w:szCs w:val="16"/>
                <w:color w:val="auto"/>
                <w:w w:val="89"/>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6"/>
                <w:szCs w:val="16"/>
                <w:color w:val="auto"/>
                <w:w w:val="89"/>
              </w:rPr>
              <w:t>9.2</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89"/>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&gt; 2 year ≤ 3 years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040" w:type="dxa"/>
            <w:vAlign w:val="bottom"/>
          </w:tcPr>
          <w:p>
            <w:pPr>
              <w:jc w:val="center"/>
              <w:ind w:left="2"/>
              <w:spacing w:after="0"/>
              <w:rPr>
                <w:sz w:val="20"/>
                <w:szCs w:val="20"/>
                <w:color w:val="auto"/>
              </w:rPr>
            </w:pPr>
            <w:r>
              <w:rPr>
                <w:rFonts w:ascii="Arial" w:cs="Arial" w:eastAsia="Arial" w:hAnsi="Arial"/>
                <w:sz w:val="16"/>
                <w:szCs w:val="16"/>
                <w:color w:val="auto"/>
                <w:w w:val="89"/>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3 year ≤ 4 years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2"/>
              <w:spacing w:after="0"/>
              <w:rPr>
                <w:sz w:val="20"/>
                <w:szCs w:val="20"/>
                <w:color w:val="auto"/>
              </w:rPr>
            </w:pPr>
            <w:r>
              <w:rPr>
                <w:rFonts w:ascii="Arial" w:cs="Arial" w:eastAsia="Arial" w:hAnsi="Arial"/>
                <w:sz w:val="16"/>
                <w:szCs w:val="16"/>
                <w:color w:val="auto"/>
                <w:w w:val="89"/>
              </w:rPr>
              <w:t>40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color w:val="auto"/>
                <w:w w:val="89"/>
              </w:rPr>
              <w:t>15</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10,400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1.84%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89"/>
              </w:rPr>
              <w:t>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9.3</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color w:val="auto"/>
                <w:w w:val="89"/>
              </w:rPr>
              <w:t>16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3,200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left="2"/>
              <w:spacing w:after="0"/>
              <w:rPr>
                <w:sz w:val="20"/>
                <w:szCs w:val="20"/>
                <w:color w:val="auto"/>
              </w:rPr>
            </w:pPr>
            <w:r>
              <w:rPr>
                <w:rFonts w:ascii="Arial" w:cs="Arial" w:eastAsia="Arial" w:hAnsi="Arial"/>
                <w:sz w:val="16"/>
                <w:szCs w:val="16"/>
                <w:color w:val="auto"/>
                <w:w w:val="89"/>
              </w:rPr>
              <w:t>11</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8,850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of December 31, 2020 and 2019, ≤ 1 year notional amount includes $700 million of Bermudan swaptions where the options may be exercised on predetermined dates up to their final exercise date, which is six months prior to the underlying swaps' maturity date.</w:t>
      </w:r>
    </w:p>
    <w:p>
      <w:pPr>
        <w:ind w:left="660" w:hanging="328"/>
        <w:spacing w:after="0" w:line="255" w:lineRule="auto"/>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of December 31, 2020, 33% and 67% of the underlying swap receive rates were tied to 3-Month LIBOR and SOFR, respectively, and, as of 2019, 100% of the underlying payer swap receive rates were tied to 3-Month LIBOR.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 Treasury Securities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Face Amount</w:t>
            </w:r>
          </w:p>
        </w:tc>
        <w:tc>
          <w:tcPr>
            <w:tcW w:w="160" w:type="dxa"/>
            <w:vAlign w:val="bottom"/>
          </w:tcPr>
          <w:p>
            <w:pPr>
              <w:spacing w:after="0"/>
              <w:rPr>
                <w:sz w:val="11"/>
                <w:szCs w:val="11"/>
                <w:color w:val="auto"/>
              </w:rPr>
            </w:pPr>
          </w:p>
        </w:tc>
        <w:tc>
          <w:tcPr>
            <w:tcW w:w="10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18"/>
                <w:szCs w:val="18"/>
                <w:b w:val="1"/>
                <w:bCs w:val="1"/>
                <w:color w:val="auto"/>
                <w:w w:val="94"/>
                <w:vertAlign w:val="superscript"/>
              </w:rPr>
              <w:t>1</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2"/>
              <w:spacing w:after="0" w:line="135" w:lineRule="exact"/>
              <w:rPr>
                <w:sz w:val="20"/>
                <w:szCs w:val="20"/>
                <w:color w:val="auto"/>
              </w:rPr>
            </w:pPr>
            <w:r>
              <w:rPr>
                <w:rFonts w:ascii="Arial" w:cs="Arial" w:eastAsia="Arial" w:hAnsi="Arial"/>
                <w:sz w:val="14"/>
                <w:szCs w:val="14"/>
                <w:b w:val="1"/>
                <w:bCs w:val="1"/>
                <w:color w:val="auto"/>
                <w:w w:val="99"/>
              </w:rPr>
              <w:t>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1"/>
              </w:rPr>
              <w:t xml:space="preserve">Cost Basis </w:t>
            </w:r>
            <w:r>
              <w:rPr>
                <w:rFonts w:ascii="Arial" w:cs="Arial" w:eastAsia="Arial" w:hAnsi="Arial"/>
                <w:sz w:val="18"/>
                <w:szCs w:val="18"/>
                <w:b w:val="1"/>
                <w:bCs w:val="1"/>
                <w:color w:val="auto"/>
                <w:w w:val="91"/>
                <w:vertAlign w:val="superscript"/>
              </w:rPr>
              <w:t>1</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9"/>
              </w:rPr>
              <w:t>Long/(Short)</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Long/(Short)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7 years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 years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Total U.S. Treasury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(11,288)</w:t>
            </w:r>
          </w:p>
        </w:tc>
        <w:tc>
          <w:tcPr>
            <w:tcW w:w="1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(11,368)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(11,727)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(9,129)</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(9,234)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(9,446)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2020 and 2019, short U.S. Treasury securities had a weighted average yield of 1.20% and 2.19%, respectively, and, as of 2019, long U.S. Treasury securities had a weighted average yield of 2.21%.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U.S. Treasury Futures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21"/>
        </w:trPr>
        <w:tc>
          <w:tcPr>
            <w:tcW w:w="2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Maturity</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9"/>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 years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0"/>
                <w:szCs w:val="10"/>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9"/>
              </w:rPr>
              <w:t>Net Carrying</w:t>
            </w:r>
          </w:p>
        </w:tc>
        <w:tc>
          <w:tcPr>
            <w:tcW w:w="0" w:type="dxa"/>
            <w:vAlign w:val="bottom"/>
          </w:tcPr>
          <w:p>
            <w:pPr>
              <w:spacing w:after="0"/>
              <w:rPr>
                <w:sz w:val="1"/>
                <w:szCs w:val="1"/>
                <w:color w:val="auto"/>
              </w:rPr>
            </w:pPr>
          </w:p>
        </w:tc>
      </w:tr>
      <w:tr>
        <w:trPr>
          <w:trHeight w:val="122"/>
        </w:trPr>
        <w:tc>
          <w:tcPr>
            <w:tcW w:w="2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TBA Securities by Coupon</w:t>
            </w: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18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840" w:type="dxa"/>
            <w:vAlign w:val="bottom"/>
          </w:tcPr>
          <w:p>
            <w:pPr>
              <w:jc w:val="right"/>
              <w:ind w:right="209"/>
              <w:spacing w:after="0" w:line="175"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8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6,540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6,708</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6,771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63</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6,980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64</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30-Year TBA securities: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2.0%</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20,480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4.5%</w:t>
            </w: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24,288</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24,499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211</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30,364</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31,204</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31,479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275</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fiscal years 2020, 2019 and 2018 (in millions):</w:t>
      </w:r>
    </w:p>
    <w:tbl>
      <w:tblPr>
        <w:tblLayout w:type="fixed"/>
        <w:tblInd w:w="0" w:type="dxa"/>
        <w:tblCellMar>
          <w:top w:w="0" w:type="dxa"/>
          <w:left w:w="0" w:type="dxa"/>
          <w:bottom w:w="0" w:type="dxa"/>
          <w:right w:w="0" w:type="dxa"/>
        </w:tblCellMar>
      </w:tblPr>
      <w:tr>
        <w:trPr>
          <w:trHeight w:val="144"/>
        </w:trPr>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0"/>
              </w:rPr>
              <w:t>Settlement,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w w:val="99"/>
              </w:rPr>
              <w:t>Beginning</w:t>
            </w:r>
          </w:p>
        </w:tc>
        <w:tc>
          <w:tcPr>
            <w:tcW w:w="1240" w:type="dxa"/>
            <w:vAlign w:val="bottom"/>
          </w:tcPr>
          <w:p>
            <w:pPr>
              <w:spacing w:after="0"/>
              <w:rPr>
                <w:sz w:val="11"/>
                <w:szCs w:val="11"/>
                <w:color w:val="auto"/>
              </w:rPr>
            </w:pPr>
          </w:p>
        </w:tc>
        <w:tc>
          <w:tcPr>
            <w:tcW w:w="120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95"/>
              </w:rPr>
              <w:t>Termination,</w:t>
            </w:r>
          </w:p>
        </w:tc>
        <w:tc>
          <w:tcPr>
            <w:tcW w:w="300" w:type="dxa"/>
            <w:vAlign w:val="bottom"/>
          </w:tcPr>
          <w:p>
            <w:pPr>
              <w:spacing w:after="0"/>
              <w:rPr>
                <w:sz w:val="11"/>
                <w:szCs w:val="11"/>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1"/>
                <w:szCs w:val="11"/>
                <w:color w:val="auto"/>
              </w:rPr>
            </w:pPr>
          </w:p>
        </w:tc>
        <w:tc>
          <w:tcPr>
            <w:tcW w:w="12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9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Additions</w:t>
            </w:r>
          </w:p>
        </w:tc>
        <w:tc>
          <w:tcPr>
            <w:tcW w:w="120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97"/>
              </w:rPr>
              <w:t>Expiration or</w:t>
            </w:r>
          </w:p>
        </w:tc>
        <w:tc>
          <w:tcPr>
            <w:tcW w:w="3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2"/>
              </w:rPr>
              <w:t>Other Securities,</w:t>
            </w:r>
          </w:p>
        </w:tc>
        <w:tc>
          <w:tcPr>
            <w:tcW w:w="0" w:type="dxa"/>
            <w:vAlign w:val="bottom"/>
          </w:tcPr>
          <w:p>
            <w:pPr>
              <w:spacing w:after="0"/>
              <w:rPr>
                <w:sz w:val="1"/>
                <w:szCs w:val="1"/>
                <w:color w:val="auto"/>
              </w:rPr>
            </w:pPr>
          </w:p>
        </w:tc>
      </w:tr>
      <w:tr>
        <w:trPr>
          <w:trHeight w:val="189"/>
        </w:trPr>
        <w:tc>
          <w:tcPr>
            <w:tcW w:w="3860" w:type="dxa"/>
            <w:vAlign w:val="bottom"/>
            <w:vMerge w:val="continue"/>
          </w:tcPr>
          <w:p>
            <w:pPr>
              <w:spacing w:after="0"/>
              <w:rPr>
                <w:sz w:val="16"/>
                <w:szCs w:val="16"/>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Notional Amount</w:t>
            </w:r>
          </w:p>
        </w:tc>
        <w:tc>
          <w:tcPr>
            <w:tcW w:w="1240" w:type="dxa"/>
            <w:vAlign w:val="bottom"/>
            <w:vMerge w:val="continue"/>
          </w:tcPr>
          <w:p>
            <w:pPr>
              <w:spacing w:after="0"/>
              <w:rPr>
                <w:sz w:val="16"/>
                <w:szCs w:val="16"/>
                <w:color w:val="auto"/>
              </w:rPr>
            </w:pPr>
          </w:p>
        </w:tc>
        <w:tc>
          <w:tcPr>
            <w:tcW w:w="1200" w:type="dxa"/>
            <w:vAlign w:val="bottom"/>
          </w:tcPr>
          <w:p>
            <w:pPr>
              <w:jc w:val="center"/>
              <w:ind w:right="1"/>
              <w:spacing w:after="0"/>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Notional Amount</w:t>
            </w:r>
          </w:p>
        </w:tc>
        <w:tc>
          <w:tcPr>
            <w:tcW w:w="120" w:type="dxa"/>
            <w:vAlign w:val="bottom"/>
          </w:tcPr>
          <w:p>
            <w:pPr>
              <w:spacing w:after="0"/>
              <w:rPr>
                <w:sz w:val="16"/>
                <w:szCs w:val="16"/>
                <w:color w:val="auto"/>
              </w:rPr>
            </w:pPr>
          </w:p>
        </w:tc>
        <w:tc>
          <w:tcPr>
            <w:tcW w:w="1200" w:type="dxa"/>
            <w:vAlign w:val="bottom"/>
          </w:tcPr>
          <w:p>
            <w:pPr>
              <w:jc w:val="center"/>
              <w:ind w:right="61"/>
              <w:spacing w:after="0" w:line="189" w:lineRule="exact"/>
              <w:rPr>
                <w:sz w:val="20"/>
                <w:szCs w:val="20"/>
                <w:color w:val="auto"/>
              </w:rPr>
            </w:pPr>
            <w:r>
              <w:rPr>
                <w:rFonts w:ascii="Arial" w:cs="Arial" w:eastAsia="Arial" w:hAnsi="Arial"/>
                <w:sz w:val="14"/>
                <w:szCs w:val="14"/>
                <w:b w:val="1"/>
                <w:bCs w:val="1"/>
                <w:color w:val="auto"/>
                <w:w w:val="90"/>
              </w:rPr>
              <w:t xml:space="preserve">Net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2020:</w:t>
            </w: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7,322</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286,586</w:t>
            </w:r>
          </w:p>
        </w:tc>
        <w:tc>
          <w:tcPr>
            <w:tcW w:w="1200" w:type="dxa"/>
            <w:vAlign w:val="bottom"/>
          </w:tcPr>
          <w:p>
            <w:pPr>
              <w:jc w:val="right"/>
              <w:spacing w:after="0"/>
              <w:rPr>
                <w:sz w:val="20"/>
                <w:szCs w:val="20"/>
                <w:color w:val="auto"/>
              </w:rPr>
            </w:pPr>
            <w:r>
              <w:rPr>
                <w:rFonts w:ascii="Arial" w:cs="Arial" w:eastAsia="Arial" w:hAnsi="Arial"/>
                <w:sz w:val="16"/>
                <w:szCs w:val="16"/>
                <w:color w:val="auto"/>
              </w:rPr>
              <w:t>(263,544)</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30,364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79,075</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101,950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43,225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Payer swaptions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8,850</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7,000</w:t>
            </w:r>
          </w:p>
        </w:tc>
        <w:tc>
          <w:tcPr>
            <w:tcW w:w="1200" w:type="dxa"/>
            <w:vAlign w:val="bottom"/>
          </w:tcPr>
          <w:p>
            <w:pPr>
              <w:jc w:val="right"/>
              <w:spacing w:after="0"/>
              <w:rPr>
                <w:sz w:val="20"/>
                <w:szCs w:val="20"/>
                <w:color w:val="auto"/>
              </w:rPr>
            </w:pPr>
            <w:r>
              <w:rPr>
                <w:rFonts w:ascii="Arial" w:cs="Arial" w:eastAsia="Arial" w:hAnsi="Arial"/>
                <w:sz w:val="16"/>
                <w:szCs w:val="16"/>
                <w:color w:val="auto"/>
              </w:rPr>
              <w:t>(5,450)</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10,400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(9,224)</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(18,912)</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16,849</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(11,287)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95</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7,011</w:t>
            </w:r>
          </w:p>
        </w:tc>
        <w:tc>
          <w:tcPr>
            <w:tcW w:w="1200" w:type="dxa"/>
            <w:vAlign w:val="bottom"/>
          </w:tcPr>
          <w:p>
            <w:pPr>
              <w:jc w:val="right"/>
              <w:spacing w:after="0"/>
              <w:rPr>
                <w:sz w:val="20"/>
                <w:szCs w:val="20"/>
                <w:color w:val="auto"/>
              </w:rPr>
            </w:pPr>
            <w:r>
              <w:rPr>
                <w:rFonts w:ascii="Arial" w:cs="Arial" w:eastAsia="Arial" w:hAnsi="Arial"/>
                <w:sz w:val="16"/>
                <w:szCs w:val="16"/>
                <w:color w:val="auto"/>
              </w:rPr>
              <w:t>(7,106)</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(4,000)</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2019:</w:t>
            </w:r>
          </w:p>
        </w:tc>
        <w:tc>
          <w:tcPr>
            <w:tcW w:w="9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7,152</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95,169</w:t>
            </w:r>
          </w:p>
        </w:tc>
        <w:tc>
          <w:tcPr>
            <w:tcW w:w="1200" w:type="dxa"/>
            <w:vAlign w:val="bottom"/>
          </w:tcPr>
          <w:p>
            <w:pPr>
              <w:jc w:val="right"/>
              <w:spacing w:after="0"/>
              <w:rPr>
                <w:sz w:val="20"/>
                <w:szCs w:val="20"/>
                <w:color w:val="auto"/>
              </w:rPr>
            </w:pPr>
            <w:r>
              <w:rPr>
                <w:rFonts w:ascii="Arial" w:cs="Arial" w:eastAsia="Arial" w:hAnsi="Arial"/>
                <w:sz w:val="16"/>
                <w:szCs w:val="16"/>
                <w:color w:val="auto"/>
              </w:rPr>
              <w:t>(94,999)</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7,322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51,625</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166,975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(139,525)</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79,075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Interest rate swaps - receiver</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(175)</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175</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3,500</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7,650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(21,345)</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(12,601)</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24,722</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(9,224)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45</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1,776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rPr>
              <w:t>(1,650)</w:t>
            </w:r>
          </w:p>
        </w:tc>
        <w:tc>
          <w:tcPr>
            <w:tcW w:w="12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(5,300)</w:t>
            </w:r>
          </w:p>
        </w:tc>
        <w:tc>
          <w:tcPr>
            <w:tcW w:w="12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5,950</w:t>
            </w:r>
          </w:p>
        </w:tc>
        <w:tc>
          <w:tcPr>
            <w:tcW w:w="3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right w:val="single" w:sz="8" w:color="auto"/>
            </w:tcBorders>
          </w:tcPr>
          <w:p>
            <w:pPr>
              <w:jc w:val="right"/>
              <w:ind w:right="6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2018:</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15,474</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194,534</w:t>
            </w:r>
          </w:p>
        </w:tc>
        <w:tc>
          <w:tcPr>
            <w:tcW w:w="1040" w:type="dxa"/>
            <w:vAlign w:val="bottom"/>
          </w:tcPr>
          <w:p>
            <w:pPr>
              <w:jc w:val="right"/>
              <w:spacing w:after="0"/>
              <w:rPr>
                <w:sz w:val="20"/>
                <w:szCs w:val="20"/>
                <w:color w:val="auto"/>
              </w:rPr>
            </w:pPr>
            <w:r>
              <w:rPr>
                <w:rFonts w:ascii="Arial" w:cs="Arial" w:eastAsia="Arial" w:hAnsi="Arial"/>
                <w:sz w:val="16"/>
                <w:szCs w:val="16"/>
                <w:color w:val="auto"/>
              </w:rPr>
              <w:t>(202,856)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7,152</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43,700</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14,350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51,625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Payer swaptions</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6,650</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1,250</w:t>
            </w:r>
          </w:p>
        </w:tc>
        <w:tc>
          <w:tcPr>
            <w:tcW w:w="1040" w:type="dxa"/>
            <w:vAlign w:val="bottom"/>
          </w:tcPr>
          <w:p>
            <w:pPr>
              <w:jc w:val="right"/>
              <w:spacing w:after="0"/>
              <w:rPr>
                <w:sz w:val="20"/>
                <w:szCs w:val="20"/>
                <w:color w:val="auto"/>
              </w:rPr>
            </w:pPr>
            <w:r>
              <w:rPr>
                <w:rFonts w:ascii="Arial" w:cs="Arial" w:eastAsia="Arial" w:hAnsi="Arial"/>
                <w:sz w:val="16"/>
                <w:szCs w:val="16"/>
                <w:color w:val="auto"/>
              </w:rPr>
              <w:t>(4,400)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(10,699)</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(19,278)</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8,632</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(21,345)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1,949</w:t>
            </w:r>
          </w:p>
        </w:tc>
        <w:tc>
          <w:tcPr>
            <w:tcW w:w="1040" w:type="dxa"/>
            <w:vAlign w:val="bottom"/>
          </w:tcPr>
          <w:p>
            <w:pPr>
              <w:jc w:val="right"/>
              <w:spacing w:after="0"/>
              <w:rPr>
                <w:sz w:val="20"/>
                <w:szCs w:val="20"/>
                <w:color w:val="auto"/>
              </w:rPr>
            </w:pPr>
            <w:r>
              <w:rPr>
                <w:rFonts w:ascii="Arial" w:cs="Arial" w:eastAsia="Arial" w:hAnsi="Arial"/>
                <w:sz w:val="16"/>
                <w:szCs w:val="16"/>
                <w:color w:val="auto"/>
              </w:rPr>
              <w:t>(1,904)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(2,910)</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(7,859)</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9,119</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(1,650)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50"/>
        </w:trPr>
        <w:tc>
          <w:tcPr>
            <w:tcW w:w="3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exclude $146 million of losses on debt extinguishment for fiscal year 2020 (see Note 4) and other miscellaneous gains and losses for all periods presented recognized in gain (loss) on derivative instruments and other securities, net in our consolidated statements of comprehensive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2020, our maximum amount at risk with any counterparty related to our repurchase agreements, excluding the Fixed Income Clearing Corporation, was less than 2% of our tangible stockholders' equity (measured as the excess of the value of collateral pledged over the amount of our repurchase liabilities). As of December 31, 2020, approximately 9% of our tangible stockholder's equity was at risk with the Fixed Income Clearing Corporation.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45"/>
        <w:spacing w:after="0" w:line="269" w:lineRule="auto"/>
        <w:rPr>
          <w:sz w:val="20"/>
          <w:szCs w:val="20"/>
          <w:color w:val="auto"/>
        </w:rPr>
      </w:pPr>
      <w:r>
        <w:rPr>
          <w:rFonts w:ascii="Arial" w:cs="Arial" w:eastAsia="Arial" w:hAnsi="Arial"/>
          <w:sz w:val="18"/>
          <w:szCs w:val="18"/>
          <w:color w:val="auto"/>
        </w:rPr>
        <w:t>The following tables summarize our assets pledged as collateral under our funding, derivative and brokerage and clearing agreements by type, including securities pledged related to securities sold but not yet settled, as of December 31, 2020 and 2019 (in millions):</w:t>
      </w: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Repurchase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Debt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Brokerage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Clearing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Agreements</w:t>
            </w:r>
          </w:p>
        </w:tc>
        <w:tc>
          <w:tcPr>
            <w:tcW w:w="400" w:type="dxa"/>
            <w:vAlign w:val="bottom"/>
            <w:tcBorders>
              <w:bottom w:val="single" w:sz="8" w:color="auto"/>
            </w:tcBorders>
          </w:tcPr>
          <w:p>
            <w:pPr>
              <w:jc w:val="right"/>
              <w:ind w:right="253"/>
              <w:spacing w:after="0"/>
              <w:rPr>
                <w:sz w:val="20"/>
                <w:szCs w:val="20"/>
                <w:color w:val="auto"/>
              </w:rPr>
            </w:pPr>
            <w:r>
              <w:rPr>
                <w:rFonts w:ascii="Arial" w:cs="Arial" w:eastAsia="Arial" w:hAnsi="Arial"/>
                <w:sz w:val="9"/>
                <w:szCs w:val="9"/>
                <w:b w:val="1"/>
                <w:bCs w:val="1"/>
                <w:color w:val="auto"/>
              </w:rPr>
              <w:t>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Consolidated VIEs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Agreements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9"/>
              </w:rPr>
              <w:t xml:space="preserve">Agreements </w:t>
            </w:r>
            <w:r>
              <w:rPr>
                <w:rFonts w:ascii="Arial" w:cs="Arial" w:eastAsia="Arial" w:hAnsi="Arial"/>
                <w:sz w:val="18"/>
                <w:szCs w:val="18"/>
                <w:b w:val="1"/>
                <w:bCs w:val="1"/>
                <w:color w:val="auto"/>
                <w:w w:val="89"/>
                <w:vertAlign w:val="superscript"/>
              </w:rPr>
              <w:t>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53,401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54,319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7"/>
                <w:szCs w:val="17"/>
                <w:color w:val="auto"/>
              </w:rPr>
            </w:pPr>
          </w:p>
        </w:tc>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54,878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56,689</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Repurchase</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Debt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Brokerage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Clearing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Agreements</w:t>
            </w:r>
          </w:p>
        </w:tc>
        <w:tc>
          <w:tcPr>
            <w:tcW w:w="400" w:type="dxa"/>
            <w:vAlign w:val="bottom"/>
          </w:tcPr>
          <w:p>
            <w:pPr>
              <w:jc w:val="right"/>
              <w:ind w:right="273"/>
              <w:spacing w:after="0"/>
              <w:rPr>
                <w:sz w:val="20"/>
                <w:szCs w:val="20"/>
                <w:color w:val="auto"/>
              </w:rPr>
            </w:pPr>
            <w:r>
              <w:rPr>
                <w:rFonts w:ascii="Arial" w:cs="Arial" w:eastAsia="Arial" w:hAnsi="Arial"/>
                <w:sz w:val="9"/>
                <w:szCs w:val="9"/>
                <w:b w:val="1"/>
                <w:bCs w:val="1"/>
                <w:color w:val="auto"/>
                <w:w w:val="78"/>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Consolidated VIEs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Agreements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80"/>
              <w:spacing w:after="0" w:line="189" w:lineRule="exact"/>
              <w:rPr>
                <w:sz w:val="20"/>
                <w:szCs w:val="20"/>
                <w:color w:val="auto"/>
              </w:rPr>
            </w:pPr>
            <w:r>
              <w:rPr>
                <w:rFonts w:ascii="Arial" w:cs="Arial" w:eastAsia="Arial" w:hAnsi="Arial"/>
                <w:sz w:val="14"/>
                <w:szCs w:val="14"/>
                <w:b w:val="1"/>
                <w:bCs w:val="1"/>
                <w:color w:val="auto"/>
                <w:w w:val="89"/>
              </w:rPr>
              <w:t xml:space="preserve">Agreements </w:t>
            </w:r>
            <w:r>
              <w:rPr>
                <w:rFonts w:ascii="Arial" w:cs="Arial" w:eastAsia="Arial" w:hAnsi="Arial"/>
                <w:sz w:val="18"/>
                <w:szCs w:val="18"/>
                <w:b w:val="1"/>
                <w:bCs w:val="1"/>
                <w:color w:val="auto"/>
                <w:w w:val="89"/>
                <w:vertAlign w:val="superscript"/>
              </w:rPr>
              <w:t>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92,142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CRT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U.S. Treasury securities - fair value</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Accrued interest on pledged securities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93,282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94,634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 and securities sold but not yet settled.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$119 million and $144 million of retained interests in our consolidated VIEs pledged as collateral under repurchase agreements as of December 31, 2020 and 2019, respectively.</w:t>
      </w:r>
    </w:p>
    <w:p>
      <w:pPr>
        <w:ind w:left="660" w:hanging="328"/>
        <w:spacing w:after="0"/>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5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December 31, 2020 and 2019 (in millions). For the corresponding borrowings associated with the following amounts and the interest rates thereon, refer to Note 4</w:t>
      </w:r>
      <w:r>
        <w:rPr>
          <w:rFonts w:ascii="Arial" w:cs="Arial" w:eastAsia="Arial" w:hAnsi="Arial"/>
          <w:sz w:val="18"/>
          <w:szCs w:val="18"/>
          <w:i w:val="1"/>
          <w:iCs w:val="1"/>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35"/>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40" w:type="dxa"/>
            <w:vAlign w:val="bottom"/>
          </w:tcPr>
          <w:p>
            <w:pPr>
              <w:spacing w:after="0"/>
              <w:rPr>
                <w:sz w:val="11"/>
                <w:szCs w:val="11"/>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Fair Value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Interest on</w:t>
            </w:r>
          </w:p>
        </w:tc>
        <w:tc>
          <w:tcPr>
            <w:tcW w:w="160" w:type="dxa"/>
            <w:vAlign w:val="bottom"/>
          </w:tcPr>
          <w:p>
            <w:pPr>
              <w:spacing w:after="0"/>
              <w:rPr>
                <w:sz w:val="11"/>
                <w:szCs w:val="11"/>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35"/>
        </w:trPr>
        <w:tc>
          <w:tcPr>
            <w:tcW w:w="3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18"/>
                <w:szCs w:val="18"/>
                <w:b w:val="1"/>
                <w:bCs w:val="1"/>
                <w:color w:val="auto"/>
                <w:vertAlign w:val="superscript"/>
              </w:rPr>
              <w:t>1,2</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Pledged Securities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9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83"/>
        </w:trPr>
        <w:tc>
          <w:tcPr>
            <w:tcW w:w="3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29,674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56,990</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55,951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6"/>
        </w:trPr>
        <w:tc>
          <w:tcPr>
            <w:tcW w:w="392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14,410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3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10,068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1"/>
        </w:trPr>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54,314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92,547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90,887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660" w:hanging="328"/>
        <w:spacing w:after="0" w:line="241"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$119 million and $144 million of retained interests in our consolidated VIEs pledged as collateral under repurchase agreements as of December 31, 2020 and 2019, respectively.</w:t>
      </w:r>
    </w:p>
    <w:p>
      <w:pPr>
        <w:ind w:left="660" w:hanging="328"/>
        <w:spacing w:after="0"/>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$357 million of repledged U.S. Treasury securities received as collateral from counterparties as of December 31,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December 31, 2020 and 2019, we had assets pledged to us from counterparties as collateral under our reverse repurchase and derivative agreements summarized in the tables below (in millions).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U.S. Treasury securities - fair value</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3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11,740</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10,099</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10,100</w:t>
            </w: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ind w:left="180"/>
              <w:spacing w:after="0"/>
              <w:rPr>
                <w:sz w:val="20"/>
                <w:szCs w:val="20"/>
                <w:color w:val="auto"/>
              </w:rPr>
            </w:pPr>
            <w:r>
              <w:rPr>
                <w:rFonts w:ascii="Arial" w:cs="Arial" w:eastAsia="Arial" w:hAnsi="Arial"/>
                <w:sz w:val="9"/>
                <w:szCs w:val="9"/>
                <w:b w:val="1"/>
                <w:bCs w:val="1"/>
                <w:color w:val="auto"/>
              </w:rPr>
              <w:t>1</w:t>
            </w: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Cash</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11"/>
        </w:trPr>
        <w:tc>
          <w:tcPr>
            <w:tcW w:w="2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December 31, 2019, $357 million of U.S. Treasury securities received from counterparties were repledged as collateral and, as of December 31, 2020 and 2019, $11.7 billion and $9.5 billion, respectively, were used to cover short sales of U.S. Treasury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2020 and 2019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14"/>
          </w:tcPr>
          <w:p>
            <w:pPr>
              <w:jc w:val="right"/>
              <w:ind w:right="68"/>
              <w:spacing w:after="0"/>
              <w:rPr>
                <w:sz w:val="20"/>
                <w:szCs w:val="20"/>
                <w:color w:val="auto"/>
              </w:rPr>
            </w:pPr>
            <w:r>
              <w:rPr>
                <w:rFonts w:ascii="Arial" w:cs="Arial" w:eastAsia="Arial" w:hAnsi="Arial"/>
                <w:sz w:val="14"/>
                <w:szCs w:val="14"/>
                <w:b w:val="1"/>
                <w:bCs w:val="1"/>
                <w:color w:val="auto"/>
              </w:rPr>
              <w:t>Offsetting of Financial and Derivative Assets</w:t>
            </w: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7"/>
          </w:tcPr>
          <w:p>
            <w:pPr>
              <w:ind w:left="200"/>
              <w:spacing w:after="0"/>
              <w:rPr>
                <w:sz w:val="20"/>
                <w:szCs w:val="20"/>
                <w:color w:val="auto"/>
              </w:rPr>
            </w:pPr>
            <w:r>
              <w:rPr>
                <w:rFonts w:ascii="Arial" w:cs="Arial" w:eastAsia="Arial" w:hAnsi="Arial"/>
                <w:sz w:val="14"/>
                <w:szCs w:val="14"/>
                <w:b w:val="1"/>
                <w:bCs w:val="1"/>
                <w:color w:val="auto"/>
              </w:rPr>
              <w:t>Gross Amounts Not Offset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ind w:right="68"/>
              <w:spacing w:after="0" w:line="135" w:lineRule="exact"/>
              <w:rPr>
                <w:sz w:val="20"/>
                <w:szCs w:val="20"/>
                <w:color w:val="auto"/>
              </w:rPr>
            </w:pPr>
            <w:r>
              <w:rPr>
                <w:rFonts w:ascii="Arial" w:cs="Arial" w:eastAsia="Arial" w:hAnsi="Arial"/>
                <w:sz w:val="14"/>
                <w:szCs w:val="14"/>
                <w:b w:val="1"/>
                <w:bCs w:val="1"/>
                <w:color w:val="auto"/>
              </w:rPr>
              <w:t>in the</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Net Amounts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4"/>
              </w:rPr>
              <w:t>Consolidated Balance Sheets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1220" w:type="dxa"/>
            <w:vAlign w:val="bottom"/>
            <w:gridSpan w:val="4"/>
          </w:tcPr>
          <w:p>
            <w:pPr>
              <w:jc w:val="center"/>
              <w:ind w:right="120"/>
              <w:spacing w:after="0" w:line="115" w:lineRule="exact"/>
              <w:rPr>
                <w:sz w:val="20"/>
                <w:szCs w:val="20"/>
                <w:color w:val="auto"/>
              </w:rPr>
            </w:pPr>
            <w:r>
              <w:rPr>
                <w:rFonts w:ascii="Arial" w:cs="Arial" w:eastAsia="Arial" w:hAnsi="Arial"/>
                <w:sz w:val="13"/>
                <w:szCs w:val="13"/>
                <w:b w:val="1"/>
                <w:bCs w:val="1"/>
                <w:color w:val="auto"/>
                <w:w w:val="96"/>
              </w:rPr>
              <w:t>Gross Amounts</w:t>
            </w:r>
          </w:p>
        </w:tc>
        <w:tc>
          <w:tcPr>
            <w:tcW w:w="1240" w:type="dxa"/>
            <w:vAlign w:val="bottom"/>
            <w:gridSpan w:val="5"/>
          </w:tcPr>
          <w:p>
            <w:pPr>
              <w:jc w:val="center"/>
              <w:ind w:right="100"/>
              <w:spacing w:after="0" w:line="115" w:lineRule="exact"/>
              <w:rPr>
                <w:sz w:val="20"/>
                <w:szCs w:val="20"/>
                <w:color w:val="auto"/>
              </w:rPr>
            </w:pPr>
            <w:r>
              <w:rPr>
                <w:rFonts w:ascii="Arial" w:cs="Arial" w:eastAsia="Arial" w:hAnsi="Arial"/>
                <w:sz w:val="13"/>
                <w:szCs w:val="13"/>
                <w:b w:val="1"/>
                <w:bCs w:val="1"/>
                <w:color w:val="auto"/>
                <w:w w:val="93"/>
              </w:rPr>
              <w:t>Assets Presented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in the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Financial</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Collateral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of Recognized</w:t>
            </w:r>
          </w:p>
        </w:tc>
        <w:tc>
          <w:tcPr>
            <w:tcW w:w="80" w:type="dxa"/>
            <w:vAlign w:val="bottom"/>
          </w:tcPr>
          <w:p>
            <w:pPr>
              <w:spacing w:after="0"/>
              <w:rPr>
                <w:sz w:val="11"/>
                <w:szCs w:val="11"/>
                <w:color w:val="auto"/>
              </w:rPr>
            </w:pPr>
          </w:p>
        </w:tc>
        <w:tc>
          <w:tcPr>
            <w:tcW w:w="114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Net Amount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Balance Sheets</w:t>
            </w:r>
          </w:p>
        </w:tc>
        <w:tc>
          <w:tcPr>
            <w:tcW w:w="80" w:type="dxa"/>
            <w:vAlign w:val="bottom"/>
          </w:tcPr>
          <w:p>
            <w:pPr>
              <w:spacing w:after="0"/>
              <w:rPr>
                <w:sz w:val="16"/>
                <w:szCs w:val="16"/>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Instruments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360"/>
              <w:spacing w:after="0" w:line="189" w:lineRule="exact"/>
              <w:rPr>
                <w:sz w:val="20"/>
                <w:szCs w:val="20"/>
                <w:color w:val="auto"/>
              </w:rPr>
            </w:pPr>
            <w:r>
              <w:rPr>
                <w:rFonts w:ascii="Arial" w:cs="Arial" w:eastAsia="Arial" w:hAnsi="Arial"/>
                <w:sz w:val="14"/>
                <w:szCs w:val="14"/>
                <w:b w:val="1"/>
                <w:bCs w:val="1"/>
                <w:color w:val="auto"/>
                <w:w w:val="85"/>
              </w:rPr>
              <w:t xml:space="preserve">Received </w:t>
            </w:r>
            <w:r>
              <w:rPr>
                <w:rFonts w:ascii="Arial" w:cs="Arial" w:eastAsia="Arial" w:hAnsi="Arial"/>
                <w:sz w:val="18"/>
                <w:szCs w:val="18"/>
                <w:b w:val="1"/>
                <w:bCs w:val="1"/>
                <w:color w:val="auto"/>
                <w:w w:val="85"/>
                <w:vertAlign w:val="superscript"/>
              </w:rPr>
              <w:t>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tcPr>
          <w:p>
            <w:pPr>
              <w:ind w:left="80"/>
              <w:spacing w:after="0" w:line="189"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15"/>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980" w:type="dxa"/>
            <w:vAlign w:val="bottom"/>
            <w:gridSpan w:val="2"/>
          </w:tcPr>
          <w:p>
            <w:pPr>
              <w:ind w:left="80"/>
              <w:spacing w:after="0"/>
              <w:rPr>
                <w:sz w:val="20"/>
                <w:szCs w:val="20"/>
                <w:color w:val="auto"/>
              </w:rPr>
            </w:pPr>
            <w:r>
              <w:rPr>
                <w:rFonts w:ascii="Arial" w:cs="Arial" w:eastAsia="Arial" w:hAnsi="Arial"/>
                <w:sz w:val="14"/>
                <w:szCs w:val="14"/>
                <w:color w:val="auto"/>
              </w:rPr>
              <w:t>Receivable under reverse repurchase agreements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11,748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9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tcPr>
          <w:p>
            <w:pPr>
              <w:ind w:left="80"/>
              <w:spacing w:after="0" w:line="189"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15"/>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980" w:type="dxa"/>
            <w:vAlign w:val="bottom"/>
            <w:gridSpan w:val="2"/>
          </w:tcPr>
          <w:p>
            <w:pPr>
              <w:ind w:left="80"/>
              <w:spacing w:after="0"/>
              <w:rPr>
                <w:sz w:val="20"/>
                <w:szCs w:val="20"/>
                <w:color w:val="auto"/>
              </w:rPr>
            </w:pPr>
            <w:r>
              <w:rPr>
                <w:rFonts w:ascii="Arial" w:cs="Arial" w:eastAsia="Arial" w:hAnsi="Arial"/>
                <w:sz w:val="14"/>
                <w:szCs w:val="14"/>
                <w:color w:val="auto"/>
              </w:rPr>
              <w:t>Receivable under reverse repurchase agreements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9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4"/>
          </w:tcPr>
          <w:p>
            <w:pPr>
              <w:ind w:left="880"/>
              <w:spacing w:after="0"/>
              <w:rPr>
                <w:sz w:val="20"/>
                <w:szCs w:val="20"/>
                <w:color w:val="auto"/>
              </w:rPr>
            </w:pPr>
            <w:r>
              <w:rPr>
                <w:rFonts w:ascii="Arial" w:cs="Arial" w:eastAsia="Arial" w:hAnsi="Arial"/>
                <w:sz w:val="14"/>
                <w:szCs w:val="14"/>
                <w:b w:val="1"/>
                <w:bCs w:val="1"/>
                <w:color w:val="auto"/>
                <w:w w:val="93"/>
              </w:rPr>
              <w:t>Offsetting of Financial and Derivative Liabilities</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Gross Amounts Not Offset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ind w:right="8"/>
              <w:spacing w:after="0" w:line="135" w:lineRule="exact"/>
              <w:rPr>
                <w:sz w:val="20"/>
                <w:szCs w:val="20"/>
                <w:color w:val="auto"/>
              </w:rPr>
            </w:pPr>
            <w:r>
              <w:rPr>
                <w:rFonts w:ascii="Arial" w:cs="Arial" w:eastAsia="Arial" w:hAnsi="Arial"/>
                <w:sz w:val="14"/>
                <w:szCs w:val="14"/>
                <w:b w:val="1"/>
                <w:bCs w:val="1"/>
                <w:color w:val="auto"/>
              </w:rPr>
              <w:t>in the</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Net Amounts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80" w:type="dxa"/>
            <w:vAlign w:val="bottom"/>
          </w:tcPr>
          <w:p>
            <w:pPr>
              <w:spacing w:after="0"/>
              <w:rPr>
                <w:sz w:val="10"/>
                <w:szCs w:val="10"/>
                <w:color w:val="auto"/>
              </w:rPr>
            </w:pPr>
          </w:p>
        </w:tc>
        <w:tc>
          <w:tcPr>
            <w:tcW w:w="1140" w:type="dxa"/>
            <w:vAlign w:val="bottom"/>
            <w:gridSpan w:val="3"/>
          </w:tcPr>
          <w:p>
            <w:pPr>
              <w:jc w:val="center"/>
              <w:ind w:right="140"/>
              <w:spacing w:after="0" w:line="115" w:lineRule="exact"/>
              <w:rPr>
                <w:sz w:val="20"/>
                <w:szCs w:val="20"/>
                <w:color w:val="auto"/>
              </w:rPr>
            </w:pPr>
            <w:r>
              <w:rPr>
                <w:rFonts w:ascii="Arial" w:cs="Arial" w:eastAsia="Arial" w:hAnsi="Arial"/>
                <w:sz w:val="13"/>
                <w:szCs w:val="13"/>
                <w:b w:val="1"/>
                <w:bCs w:val="1"/>
                <w:color w:val="auto"/>
                <w:w w:val="98"/>
              </w:rPr>
              <w:t>Gross Amounts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120"/>
              <w:spacing w:after="0" w:line="115" w:lineRule="exact"/>
              <w:rPr>
                <w:sz w:val="20"/>
                <w:szCs w:val="20"/>
                <w:color w:val="auto"/>
              </w:rPr>
            </w:pPr>
            <w:r>
              <w:rPr>
                <w:rFonts w:ascii="Arial" w:cs="Arial" w:eastAsia="Arial" w:hAnsi="Arial"/>
                <w:sz w:val="13"/>
                <w:szCs w:val="13"/>
                <w:b w:val="1"/>
                <w:bCs w:val="1"/>
                <w:color w:val="auto"/>
                <w:w w:val="99"/>
              </w:rPr>
              <w:t>Liabilities</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1"/>
                <w:szCs w:val="11"/>
                <w:color w:val="auto"/>
              </w:rPr>
            </w:pPr>
          </w:p>
        </w:tc>
        <w:tc>
          <w:tcPr>
            <w:tcW w:w="116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Financial</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Collateral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of Recognized</w:t>
            </w:r>
          </w:p>
        </w:tc>
        <w:tc>
          <w:tcPr>
            <w:tcW w:w="80" w:type="dxa"/>
            <w:vAlign w:val="bottom"/>
          </w:tcPr>
          <w:p>
            <w:pPr>
              <w:spacing w:after="0"/>
              <w:rPr>
                <w:sz w:val="11"/>
                <w:szCs w:val="11"/>
                <w:color w:val="auto"/>
              </w:rPr>
            </w:pPr>
          </w:p>
        </w:tc>
        <w:tc>
          <w:tcPr>
            <w:tcW w:w="11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Net Amount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Liabilities</w:t>
            </w:r>
          </w:p>
        </w:tc>
        <w:tc>
          <w:tcPr>
            <w:tcW w:w="8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Balance Sheets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Instruments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360"/>
              <w:spacing w:after="0" w:line="189" w:lineRule="exact"/>
              <w:rPr>
                <w:sz w:val="20"/>
                <w:szCs w:val="20"/>
                <w:color w:val="auto"/>
              </w:rPr>
            </w:pPr>
            <w:r>
              <w:rPr>
                <w:rFonts w:ascii="Arial" w:cs="Arial" w:eastAsia="Arial" w:hAnsi="Arial"/>
                <w:sz w:val="14"/>
                <w:szCs w:val="14"/>
                <w:b w:val="1"/>
                <w:bCs w:val="1"/>
                <w:color w:val="auto"/>
                <w:w w:val="95"/>
              </w:rPr>
              <w:t xml:space="preserve">Pledged </w:t>
            </w:r>
            <w:r>
              <w:rPr>
                <w:rFonts w:ascii="Arial" w:cs="Arial" w:eastAsia="Arial" w:hAnsi="Arial"/>
                <w:sz w:val="18"/>
                <w:szCs w:val="18"/>
                <w:b w:val="1"/>
                <w:bCs w:val="1"/>
                <w:color w:val="auto"/>
                <w:w w:val="95"/>
                <w:vertAlign w:val="superscript"/>
              </w:rPr>
              <w:t>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18"/>
                <w:szCs w:val="18"/>
                <w:color w:val="auto"/>
                <w:vertAlign w:val="superscript"/>
              </w:rPr>
              <w:t>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Repurchase agreements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52,366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52,366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(45,844)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7"/>
                <w:szCs w:val="17"/>
                <w:color w:val="auto"/>
              </w:rPr>
            </w:pPr>
          </w:p>
        </w:tc>
        <w:tc>
          <w:tcPr>
            <w:tcW w:w="39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52,366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(45,844)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18"/>
                <w:szCs w:val="18"/>
                <w:color w:val="auto"/>
                <w:vertAlign w:val="superscript"/>
              </w:rPr>
              <w:t>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Repurchase agreements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89,182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89,182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(79,330)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7"/>
                <w:szCs w:val="17"/>
                <w:color w:val="auto"/>
              </w:rPr>
            </w:pPr>
          </w:p>
        </w:tc>
        <w:tc>
          <w:tcPr>
            <w:tcW w:w="39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89,188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(79,330)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3" w:name="page74"/>
    <w:bookmarkEnd w:id="73"/>
    <w:p>
      <w:pPr>
        <w:spacing w:after="0"/>
        <w:rPr>
          <w:sz w:val="20"/>
          <w:szCs w:val="20"/>
          <w:color w:val="auto"/>
        </w:rPr>
      </w:pPr>
      <w:r>
        <w:rPr>
          <w:rFonts w:ascii="Arial" w:cs="Arial" w:eastAsia="Arial" w:hAnsi="Arial"/>
          <w:sz w:val="11"/>
          <w:szCs w:val="11"/>
          <w:color w:val="auto"/>
        </w:rPr>
        <w:t>________________________________</w:t>
      </w:r>
    </w:p>
    <w:p>
      <w:pPr>
        <w:ind w:left="660" w:right="160" w:hanging="328"/>
        <w:spacing w:after="0" w:line="241"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400" w:hanging="328"/>
        <w:spacing w:after="0" w:line="255"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December 31, 2020 and 2019, based on their categorization within the valuation hierarchy (in millions). There were no transfers between valuation hierarchy levels during fiscal years 2020 and 2019.</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Agency securities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64,836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98,516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securities transferred to consolidated VIEs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Credit risk transfer securities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Non-Agency securities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U.S. Treasury securities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Swaptions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securities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U.S. Treasury futures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of consolidated VIEs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4660" w:type="dxa"/>
            <w:vAlign w:val="bottom"/>
          </w:tcPr>
          <w:p>
            <w:pPr>
              <w:ind w:left="180"/>
              <w:spacing w:after="0" w:line="135" w:lineRule="exact"/>
              <w:rPr>
                <w:sz w:val="20"/>
                <w:szCs w:val="20"/>
                <w:color w:val="auto"/>
              </w:rPr>
            </w:pPr>
            <w:r>
              <w:rPr>
                <w:rFonts w:ascii="Arial" w:cs="Arial" w:eastAsia="Arial" w:hAnsi="Arial"/>
                <w:sz w:val="14"/>
                <w:szCs w:val="14"/>
                <w:color w:val="auto"/>
              </w:rPr>
              <w:t>Obligation to return U.S. Treasury securities borrowed under reverse</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11,727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9,543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repurchase agreements</w:t>
            </w: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TBA securities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futures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11,729</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9,543</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Excluded from the table above are financial instruments presented in our consolidated financial statements at cost. The fair value of our repurchase agreements approximated cost as of December 31, 2020 and 2019, as the rates on our outstanding repurchase agreements largely corresponded to prevailing rates observed in the repo market. The fair value of cash and cash equivalents, restricted cash, receivables and other payables were determined to approximate cost as of December 31, 2020 and 2019 due to their short duration. We estimate the fair value of these instruments carried at cost using "Level 1" or "Level 2"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Income (Loss) Per Common Share</w:t>
      </w:r>
    </w:p>
    <w:p>
      <w:pPr>
        <w:spacing w:after="0" w:line="25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7"/>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r>
      <w:tr>
        <w:trPr>
          <w:trHeight w:val="184"/>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w:t>
            </w:r>
          </w:p>
        </w:tc>
      </w:tr>
      <w:tr>
        <w:trPr>
          <w:trHeight w:val="186"/>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18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441.1</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1"/>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320" w:type="dxa"/>
            <w:vAlign w:val="bottom"/>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320" w:type="dxa"/>
            <w:vAlign w:val="bottom"/>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r>
      <w:tr>
        <w:trPr>
          <w:trHeight w:val="21"/>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fiscal year 2020, 1.1 million of potentially dilutive unvested time and performance based RSUs outstanding were excluded from the computation of diluted net income (loss) per common share because to do so would have been anti-dilutive for the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are authorized to designate and issue up to 10.0 million shares of preferred stock in one or more classes or series. As of December 31, 2019, 13,800, 10,350, and 16,100 shares of preferred stock were designated as 7.00% Series C Fixed-to-Floating Rate Cumulative Redeemable Preferred Stock, 6.875% Series D Fixed-to-Floating Rate Cumulative Redeemable Preferred Stock, and 6.50% Series E Fixed-to-Floating Rate Cumulative Redeemable Preferred Stock, respectively, (referred to as "Series C, D, and E Preferred Stock", respectively). As of December 31, 2020, an additional 23,000 shares were designated as 6.125% Series F Fixed-to-Floating Rate Cumulative Redeemable Preferred Stock (referred to as "Series F Preferred Stock"). As of December 31, 2019, 13,000, 9,400, and 16,100 shares of Series C, D, and E Preferred Stock, respectively, were issued and outstanding. As of December 31, 2020, an additional 23,000 shares of Series F Preferred Stock were issued and outstanding. Each share of preferred stock is represented by 1,000 depositary shares. Each share of preferred stock has a liquidation preference of $25,000 per share (or $25 per depositary share).</w:t>
      </w:r>
    </w:p>
    <w:p>
      <w:pPr>
        <w:spacing w:after="0" w:line="1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includes a summary of preferred stock depositary shares issued and outstanding as of December 31, 2020 (dollars and shares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Depositary</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Fixed-to-Floating</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Fixed-to-Floating Rate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w w:val="89"/>
              </w:rPr>
              <w:t>Aggregate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Optional</w:t>
            </w:r>
          </w:p>
        </w:tc>
        <w:tc>
          <w:tcPr>
            <w:tcW w:w="122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3"/>
              </w:rPr>
              <w:t>Issuance</w:t>
            </w: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Fixed</w:t>
            </w:r>
          </w:p>
        </w:tc>
        <w:tc>
          <w:tcPr>
            <w:tcW w:w="116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Rate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Floating</w:t>
            </w:r>
          </w:p>
        </w:tc>
        <w:tc>
          <w:tcPr>
            <w:tcW w:w="0" w:type="dxa"/>
            <w:vAlign w:val="bottom"/>
          </w:tcPr>
          <w:p>
            <w:pPr>
              <w:spacing w:after="0"/>
              <w:rPr>
                <w:sz w:val="1"/>
                <w:szCs w:val="1"/>
                <w:color w:val="auto"/>
              </w:rPr>
            </w:pPr>
          </w:p>
        </w:tc>
      </w:tr>
      <w:tr>
        <w:trPr>
          <w:trHeight w:val="135"/>
        </w:trPr>
        <w:tc>
          <w:tcPr>
            <w:tcW w:w="20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Cumulative Redeemable</w:t>
            </w:r>
          </w:p>
        </w:tc>
        <w:tc>
          <w:tcPr>
            <w:tcW w:w="118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0"/>
              <w:spacing w:after="0" w:line="135"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vMerge w:val="continue"/>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Redemption</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Conversion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8"/>
              </w:rPr>
              <w:t>Preference</w:t>
            </w:r>
          </w:p>
        </w:tc>
        <w:tc>
          <w:tcPr>
            <w:tcW w:w="102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 xml:space="preserve">Date </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Annual Rate</w:t>
            </w:r>
          </w:p>
        </w:tc>
        <w:tc>
          <w:tcPr>
            <w:tcW w:w="0" w:type="dxa"/>
            <w:vAlign w:val="bottom"/>
          </w:tcPr>
          <w:p>
            <w:pPr>
              <w:spacing w:after="0"/>
              <w:rPr>
                <w:sz w:val="1"/>
                <w:szCs w:val="1"/>
                <w:color w:val="auto"/>
              </w:rPr>
            </w:pPr>
          </w:p>
        </w:tc>
      </w:tr>
      <w:tr>
        <w:trPr>
          <w:trHeight w:val="128"/>
        </w:trPr>
        <w:tc>
          <w:tcPr>
            <w:tcW w:w="20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Series C</w:t>
            </w: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August 22, 2017</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7.000%</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2022</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2022</w:t>
            </w:r>
          </w:p>
        </w:tc>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80"/>
        </w:trPr>
        <w:tc>
          <w:tcPr>
            <w:tcW w:w="1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40"/>
              <w:spacing w:after="0"/>
              <w:rPr>
                <w:sz w:val="20"/>
                <w:szCs w:val="20"/>
                <w:color w:val="auto"/>
              </w:rPr>
            </w:pPr>
            <w:r>
              <w:rPr>
                <w:rFonts w:ascii="Arial" w:cs="Arial" w:eastAsia="Arial" w:hAnsi="Arial"/>
                <w:sz w:val="14"/>
                <w:szCs w:val="14"/>
                <w:color w:val="auto"/>
              </w:rPr>
              <w:t>Series D</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March 6, 2019</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6.875%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2024</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4.332%</w:t>
            </w:r>
          </w:p>
        </w:tc>
        <w:tc>
          <w:tcPr>
            <w:tcW w:w="0" w:type="dxa"/>
            <w:vAlign w:val="bottom"/>
          </w:tcPr>
          <w:p>
            <w:pPr>
              <w:spacing w:after="0"/>
              <w:rPr>
                <w:sz w:val="1"/>
                <w:szCs w:val="1"/>
                <w:color w:val="auto"/>
              </w:rPr>
            </w:pPr>
          </w:p>
        </w:tc>
      </w:tr>
      <w:tr>
        <w:trPr>
          <w:trHeight w:val="74"/>
        </w:trPr>
        <w:tc>
          <w:tcPr>
            <w:tcW w:w="1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Series E</w:t>
            </w:r>
          </w:p>
        </w:tc>
        <w:tc>
          <w:tcPr>
            <w:tcW w:w="11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9"/>
              </w:rPr>
              <w:t>October 3, 2019</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6.500%</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2024</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2024</w:t>
            </w:r>
          </w:p>
        </w:tc>
        <w:tc>
          <w:tcPr>
            <w:tcW w:w="12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4.993%</w:t>
            </w:r>
          </w:p>
        </w:tc>
        <w:tc>
          <w:tcPr>
            <w:tcW w:w="0" w:type="dxa"/>
            <w:vAlign w:val="bottom"/>
          </w:tcPr>
          <w:p>
            <w:pPr>
              <w:spacing w:after="0"/>
              <w:rPr>
                <w:sz w:val="1"/>
                <w:szCs w:val="1"/>
                <w:color w:val="auto"/>
              </w:rPr>
            </w:pPr>
          </w:p>
        </w:tc>
      </w:tr>
      <w:tr>
        <w:trPr>
          <w:trHeight w:val="80"/>
        </w:trPr>
        <w:tc>
          <w:tcPr>
            <w:tcW w:w="1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40"/>
              <w:spacing w:after="0"/>
              <w:rPr>
                <w:sz w:val="20"/>
                <w:szCs w:val="20"/>
                <w:color w:val="auto"/>
              </w:rPr>
            </w:pPr>
            <w:r>
              <w:rPr>
                <w:rFonts w:ascii="Arial" w:cs="Arial" w:eastAsia="Arial" w:hAnsi="Arial"/>
                <w:sz w:val="14"/>
                <w:szCs w:val="14"/>
                <w:color w:val="auto"/>
              </w:rPr>
              <w:t>Series F</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February 11, 2020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6.125%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2025</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2025</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4.697%</w:t>
            </w:r>
          </w:p>
        </w:tc>
        <w:tc>
          <w:tcPr>
            <w:tcW w:w="0" w:type="dxa"/>
            <w:vAlign w:val="bottom"/>
          </w:tcPr>
          <w:p>
            <w:pPr>
              <w:spacing w:after="0"/>
              <w:rPr>
                <w:sz w:val="1"/>
                <w:szCs w:val="1"/>
                <w:color w:val="auto"/>
              </w:rPr>
            </w:pPr>
          </w:p>
        </w:tc>
      </w:tr>
      <w:tr>
        <w:trPr>
          <w:trHeight w:val="74"/>
        </w:trPr>
        <w:tc>
          <w:tcPr>
            <w:tcW w:w="19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75" w:name="page76"/>
    <w:bookmarkEnd w:id="75"/>
    <w:p>
      <w:pPr>
        <w:jc w:val="both"/>
        <w:ind w:firstLine="405"/>
        <w:spacing w:after="0" w:line="296" w:lineRule="auto"/>
        <w:rPr>
          <w:sz w:val="20"/>
          <w:szCs w:val="20"/>
          <w:color w:val="auto"/>
        </w:rPr>
      </w:pPr>
      <w:r>
        <w:rPr>
          <w:rFonts w:ascii="Arial" w:cs="Arial" w:eastAsia="Arial" w:hAnsi="Arial"/>
          <w:sz w:val="16"/>
          <w:szCs w:val="16"/>
          <w:color w:val="auto"/>
        </w:rPr>
        <w:t>In November 2019, we redeemed all of the outstanding shares (and corresponding depositary shares) of our Series B Preferred Stock for $175 million (or $25.00 per depositary share), plus accrued and unpaid dividends to, but not including, the redemption date. In December, 2019, we filed a Certificate of Elimination of our Series B Preferred Stock with the Secretary of State of the State of Delaware, which eliminated the designation of Series B Preferred Stock from our amended and restated certificate of incorporation. Prior to the redemption date, holders of Series B Preferred Stock were entitled to receive cumulative cash dividends at a fixed rate of 7.750% per annum of their $25.00 per depositary share liquidation preference.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fiscal years 2020 and 2019, we did not complete a follow-on public offering of our common stock. During fiscal year 2018, we completed three follow-on public offerings of our common stock summarized in the table below (in millions, except for per share data).</w:t>
      </w:r>
    </w:p>
    <w:p>
      <w:pPr>
        <w:spacing w:after="0" w:line="13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Follow-On Public Offerings</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Price Received Per</w:t>
            </w:r>
          </w:p>
        </w:tc>
        <w:tc>
          <w:tcPr>
            <w:tcW w:w="16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 Proceeds</w:t>
            </w:r>
          </w:p>
        </w:tc>
        <w:tc>
          <w:tcPr>
            <w:tcW w:w="0" w:type="dxa"/>
            <w:vAlign w:val="bottom"/>
          </w:tcPr>
          <w:p>
            <w:pPr>
              <w:spacing w:after="0"/>
              <w:rPr>
                <w:sz w:val="1"/>
                <w:szCs w:val="1"/>
                <w:color w:val="auto"/>
              </w:rPr>
            </w:pPr>
          </w:p>
        </w:tc>
      </w:tr>
      <w:tr>
        <w:trPr>
          <w:trHeight w:val="188"/>
        </w:trPr>
        <w:tc>
          <w:tcPr>
            <w:tcW w:w="2800" w:type="dxa"/>
            <w:vAlign w:val="bottom"/>
            <w:gridSpan w:val="2"/>
            <w:vMerge w:val="continue"/>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 Net</w:t>
            </w: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Fiscal Year 2018:</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00" w:type="dxa"/>
            <w:vAlign w:val="bottom"/>
            <w:gridSpan w:val="2"/>
          </w:tcPr>
          <w:p>
            <w:pPr>
              <w:spacing w:after="0"/>
              <w:rPr>
                <w:sz w:val="20"/>
                <w:szCs w:val="20"/>
                <w:color w:val="auto"/>
              </w:rPr>
            </w:pPr>
            <w:r>
              <w:rPr>
                <w:rFonts w:ascii="Arial" w:cs="Arial" w:eastAsia="Arial" w:hAnsi="Arial"/>
                <w:sz w:val="14"/>
                <w:szCs w:val="14"/>
                <w:color w:val="auto"/>
              </w:rPr>
              <w:t>May 2018</w:t>
            </w: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$18.35</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92"/>
        </w:trPr>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August 2018</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$18.68</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86"/>
        </w:trPr>
        <w:tc>
          <w:tcPr>
            <w:tcW w:w="2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November 2018</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$17.09</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11"/>
        </w:trPr>
        <w:tc>
          <w:tcPr>
            <w:tcW w:w="2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fiscal year 2018</w:t>
            </w: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sold under sales the agreements during fiscal years 2020, 2019 and 2018. As of December 31, 2020, shares of our common stock with an aggregate offering price of $26 million remained authorized for issuance under this program through June 14, 2021.</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ATM Offerings</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Price Received</w:t>
            </w:r>
          </w:p>
        </w:tc>
        <w:tc>
          <w:tcPr>
            <w:tcW w:w="16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 Proceeds</w:t>
            </w:r>
          </w:p>
        </w:tc>
        <w:tc>
          <w:tcPr>
            <w:tcW w:w="0" w:type="dxa"/>
            <w:vAlign w:val="bottom"/>
          </w:tcPr>
          <w:p>
            <w:pPr>
              <w:spacing w:after="0"/>
              <w:rPr>
                <w:sz w:val="1"/>
                <w:szCs w:val="1"/>
                <w:color w:val="auto"/>
              </w:rPr>
            </w:pPr>
          </w:p>
        </w:tc>
      </w:tr>
      <w:tr>
        <w:trPr>
          <w:trHeight w:val="188"/>
        </w:trPr>
        <w:tc>
          <w:tcPr>
            <w:tcW w:w="2800" w:type="dxa"/>
            <w:vAlign w:val="bottom"/>
            <w:gridSpan w:val="2"/>
            <w:vMerge w:val="continue"/>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 Share, Net</w:t>
            </w: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Fiscal Year 2020</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$16.46</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86"/>
        </w:trPr>
        <w:tc>
          <w:tcPr>
            <w:tcW w:w="2800" w:type="dxa"/>
            <w:vAlign w:val="bottom"/>
            <w:gridSpan w:val="2"/>
          </w:tcPr>
          <w:p>
            <w:pPr>
              <w:spacing w:after="0"/>
              <w:rPr>
                <w:sz w:val="20"/>
                <w:szCs w:val="20"/>
                <w:color w:val="auto"/>
              </w:rPr>
            </w:pPr>
            <w:r>
              <w:rPr>
                <w:rFonts w:ascii="Arial" w:cs="Arial" w:eastAsia="Arial" w:hAnsi="Arial"/>
                <w:sz w:val="14"/>
                <w:szCs w:val="14"/>
                <w:color w:val="auto"/>
              </w:rPr>
              <w:t>Fiscal Year 2019</w:t>
            </w: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$16.67</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2"/>
        </w:trPr>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Fiscal Year 2018</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$18.03</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authorized by our Board of Directors to repurchase shares of our common stock under certain conditions. In October 2020, our Board of Directors terminated its existing stock repurchase authorization that was due to expire on December 31, 2020 and replaced it with a new authorization to repurchase up to $1 billion of common stock through December 31, 2021. The following table includes a summary of shares of our common stock repurchased during fiscal years 2020 and 2019. We did not repurchase shares of our common stock during fiscal year 2018. As of December 31, 2020, we had $0.9 billion of common stock remaining available for repurchase.</w:t>
      </w:r>
    </w:p>
    <w:p>
      <w:pPr>
        <w:spacing w:after="0" w:line="14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 Stock Repurchases</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Average Price Paid Per</w:t>
            </w:r>
          </w:p>
        </w:tc>
        <w:tc>
          <w:tcPr>
            <w:tcW w:w="16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2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Net Cost</w:t>
            </w:r>
          </w:p>
        </w:tc>
        <w:tc>
          <w:tcPr>
            <w:tcW w:w="0" w:type="dxa"/>
            <w:vAlign w:val="bottom"/>
          </w:tcPr>
          <w:p>
            <w:pPr>
              <w:spacing w:after="0"/>
              <w:rPr>
                <w:sz w:val="1"/>
                <w:szCs w:val="1"/>
                <w:color w:val="auto"/>
              </w:rPr>
            </w:pPr>
          </w:p>
        </w:tc>
      </w:tr>
      <w:tr>
        <w:trPr>
          <w:trHeight w:val="189"/>
        </w:trPr>
        <w:tc>
          <w:tcPr>
            <w:tcW w:w="2820" w:type="dxa"/>
            <w:vAlign w:val="bottom"/>
            <w:gridSpan w:val="2"/>
            <w:vMerge w:val="continue"/>
          </w:tcPr>
          <w:p>
            <w:pPr>
              <w:spacing w:after="0"/>
              <w:rPr>
                <w:sz w:val="16"/>
                <w:szCs w:val="16"/>
                <w:color w:val="auto"/>
              </w:rPr>
            </w:pPr>
          </w:p>
        </w:tc>
        <w:tc>
          <w:tcPr>
            <w:tcW w:w="160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88"/>
              </w:rPr>
              <w:t xml:space="preserve">Share </w:t>
            </w:r>
            <w:r>
              <w:rPr>
                <w:rFonts w:ascii="Arial" w:cs="Arial" w:eastAsia="Arial" w:hAnsi="Arial"/>
                <w:sz w:val="18"/>
                <w:szCs w:val="18"/>
                <w:b w:val="1"/>
                <w:bCs w:val="1"/>
                <w:color w:val="auto"/>
                <w:w w:val="88"/>
                <w:vertAlign w:val="superscript"/>
              </w:rPr>
              <w:t>1</w:t>
            </w:r>
          </w:p>
        </w:tc>
        <w:tc>
          <w:tcPr>
            <w:tcW w:w="1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4"/>
                <w:szCs w:val="14"/>
                <w:color w:val="auto"/>
              </w:rPr>
              <w:t xml:space="preserve">Fiscal Year 2020 </w:t>
            </w:r>
            <w:r>
              <w:rPr>
                <w:rFonts w:ascii="Arial" w:cs="Arial" w:eastAsia="Arial" w:hAnsi="Arial"/>
                <w:sz w:val="18"/>
                <w:szCs w:val="18"/>
                <w:color w:val="auto"/>
                <w:vertAlign w:val="superscript"/>
              </w:rPr>
              <w:t>2</w:t>
            </w: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$13.33</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82"/>
        </w:trPr>
        <w:tc>
          <w:tcPr>
            <w:tcW w:w="2820" w:type="dxa"/>
            <w:vAlign w:val="bottom"/>
            <w:gridSpan w:val="2"/>
          </w:tcPr>
          <w:p>
            <w:pPr>
              <w:spacing w:after="0"/>
              <w:rPr>
                <w:sz w:val="20"/>
                <w:szCs w:val="20"/>
                <w:color w:val="auto"/>
              </w:rPr>
            </w:pPr>
            <w:r>
              <w:rPr>
                <w:rFonts w:ascii="Arial" w:cs="Arial" w:eastAsia="Arial" w:hAnsi="Arial"/>
                <w:sz w:val="14"/>
                <w:szCs w:val="14"/>
                <w:color w:val="auto"/>
              </w:rPr>
              <w:t>Fiscal Year 2019</w:t>
            </w: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$14.90</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Average price paid per share includes transaction costs.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Excludes December 2020 share repurchases settling in January 2021 totaling $24 million, or 1.6 million shares.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Distributions to Stockholders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dividends declared during fiscal years 2020, 2019 and 2018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5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Dividends Declared</w:t>
            </w:r>
          </w:p>
        </w:tc>
        <w:tc>
          <w:tcPr>
            <w:tcW w:w="20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Dividends Declared</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59"/>
              <w:spacing w:after="0" w:line="216" w:lineRule="exact"/>
              <w:rPr>
                <w:sz w:val="20"/>
                <w:szCs w:val="20"/>
                <w:color w:val="auto"/>
              </w:rPr>
            </w:pPr>
            <w:r>
              <w:rPr>
                <w:rFonts w:ascii="Arial" w:cs="Arial" w:eastAsia="Arial" w:hAnsi="Arial"/>
                <w:sz w:val="16"/>
                <w:szCs w:val="16"/>
                <w:b w:val="1"/>
                <w:bCs w:val="1"/>
                <w:color w:val="auto"/>
              </w:rPr>
              <w:t xml:space="preserve">Per Share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Series B Preferred Stock</w:t>
            </w:r>
          </w:p>
        </w:tc>
        <w:tc>
          <w:tcPr>
            <w:tcW w:w="3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Fiscal year 2019</w:t>
            </w:r>
          </w:p>
        </w:tc>
        <w:tc>
          <w:tcPr>
            <w:tcW w:w="3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1.673785</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Fiscal year 2018</w:t>
            </w:r>
          </w:p>
        </w:tc>
        <w:tc>
          <w:tcPr>
            <w:tcW w:w="3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1.937500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C Preferred Stock</w:t>
            </w:r>
          </w:p>
        </w:tc>
        <w:tc>
          <w:tcPr>
            <w:tcW w:w="3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Fiscal year 2020</w:t>
            </w:r>
          </w:p>
        </w:tc>
        <w:tc>
          <w:tcPr>
            <w:tcW w:w="3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Fiscal year 2019</w:t>
            </w:r>
          </w:p>
        </w:tc>
        <w:tc>
          <w:tcPr>
            <w:tcW w:w="3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Fiscal year 2018</w:t>
            </w:r>
          </w:p>
        </w:tc>
        <w:tc>
          <w:tcPr>
            <w:tcW w:w="3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D Preferred Stock</w:t>
            </w:r>
          </w:p>
        </w:tc>
        <w:tc>
          <w:tcPr>
            <w:tcW w:w="3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Fiscal year 2020</w:t>
            </w:r>
          </w:p>
        </w:tc>
        <w:tc>
          <w:tcPr>
            <w:tcW w:w="3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1.718750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Fiscal year 2019</w:t>
            </w:r>
          </w:p>
        </w:tc>
        <w:tc>
          <w:tcPr>
            <w:tcW w:w="3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1.475263</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Series E Preferred Stock</w:t>
            </w: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Fiscal year 2020</w:t>
            </w:r>
          </w:p>
        </w:tc>
        <w:tc>
          <w:tcPr>
            <w:tcW w:w="3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1.625000</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Fiscal year 2019</w:t>
            </w:r>
          </w:p>
        </w:tc>
        <w:tc>
          <w:tcPr>
            <w:tcW w:w="3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0.460420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F Preferred Stock</w:t>
            </w:r>
          </w:p>
        </w:tc>
        <w:tc>
          <w:tcPr>
            <w:tcW w:w="3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Fiscal year 2020</w:t>
            </w:r>
          </w:p>
        </w:tc>
        <w:tc>
          <w:tcPr>
            <w:tcW w:w="3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1.420658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3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Arial" w:cs="Arial" w:eastAsia="Arial" w:hAnsi="Arial"/>
                <w:sz w:val="16"/>
                <w:szCs w:val="16"/>
                <w:color w:val="auto"/>
              </w:rPr>
              <w:t>Fiscal year 2020</w:t>
            </w:r>
          </w:p>
        </w:tc>
        <w:tc>
          <w:tcPr>
            <w:tcW w:w="3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1.560000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Fiscal year 2019</w:t>
            </w:r>
          </w:p>
        </w:tc>
        <w:tc>
          <w:tcPr>
            <w:tcW w:w="3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0" w:type="dxa"/>
            <w:vAlign w:val="bottom"/>
          </w:tcPr>
          <w:p>
            <w:pPr>
              <w:spacing w:after="0"/>
              <w:rPr>
                <w:sz w:val="1"/>
                <w:szCs w:val="1"/>
                <w:color w:val="auto"/>
              </w:rPr>
            </w:pPr>
          </w:p>
        </w:tc>
      </w:tr>
      <w:tr>
        <w:trPr>
          <w:trHeight w:val="206"/>
        </w:trPr>
        <w:tc>
          <w:tcPr>
            <w:tcW w:w="4800" w:type="dxa"/>
            <w:vAlign w:val="bottom"/>
          </w:tcPr>
          <w:p>
            <w:pPr>
              <w:ind w:left="180"/>
              <w:spacing w:after="0"/>
              <w:rPr>
                <w:sz w:val="20"/>
                <w:szCs w:val="20"/>
                <w:color w:val="auto"/>
              </w:rPr>
            </w:pPr>
            <w:r>
              <w:rPr>
                <w:rFonts w:ascii="Arial" w:cs="Arial" w:eastAsia="Arial" w:hAnsi="Arial"/>
                <w:sz w:val="16"/>
                <w:szCs w:val="16"/>
                <w:color w:val="auto"/>
              </w:rPr>
              <w:t>Fiscal year 2018</w:t>
            </w:r>
          </w:p>
        </w:tc>
        <w:tc>
          <w:tcPr>
            <w:tcW w:w="3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2.160000</w:t>
            </w:r>
          </w:p>
        </w:tc>
        <w:tc>
          <w:tcPr>
            <w:tcW w:w="0" w:type="dxa"/>
            <w:vAlign w:val="bottom"/>
          </w:tcPr>
          <w:p>
            <w:pPr>
              <w:spacing w:after="0"/>
              <w:rPr>
                <w:sz w:val="1"/>
                <w:szCs w:val="1"/>
                <w:color w:val="auto"/>
              </w:rPr>
            </w:pPr>
          </w:p>
        </w:tc>
      </w:tr>
      <w:tr>
        <w:trPr>
          <w:trHeight w:val="125"/>
        </w:trPr>
        <w:tc>
          <w:tcPr>
            <w:tcW w:w="4800" w:type="dxa"/>
            <w:vAlign w:val="bottom"/>
          </w:tcPr>
          <w:p>
            <w:pPr>
              <w:spacing w:after="0" w:line="125" w:lineRule="exact"/>
              <w:rPr>
                <w:sz w:val="20"/>
                <w:szCs w:val="20"/>
                <w:color w:val="auto"/>
              </w:rPr>
            </w:pPr>
            <w:r>
              <w:rPr>
                <w:rFonts w:ascii="Arial" w:cs="Arial" w:eastAsia="Arial" w:hAnsi="Arial"/>
                <w:sz w:val="11"/>
                <w:szCs w:val="11"/>
                <w:color w:val="auto"/>
              </w:rPr>
              <w:t>________________________________</w:t>
            </w:r>
          </w:p>
        </w:tc>
        <w:tc>
          <w:tcPr>
            <w:tcW w:w="3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Preferred stock per share amounts are per depositary share.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77" w:name="page78"/>
    <w:bookmarkEnd w:id="77"/>
    <w:p>
      <w:pPr>
        <w:jc w:val="both"/>
        <w:ind w:firstLine="486"/>
        <w:spacing w:after="0" w:line="263" w:lineRule="auto"/>
        <w:rPr>
          <w:sz w:val="20"/>
          <w:szCs w:val="20"/>
          <w:color w:val="auto"/>
        </w:rPr>
      </w:pPr>
      <w:r>
        <w:rPr>
          <w:rFonts w:ascii="Arial" w:cs="Arial" w:eastAsia="Arial" w:hAnsi="Arial"/>
          <w:sz w:val="18"/>
          <w:szCs w:val="18"/>
          <w:color w:val="auto"/>
        </w:rPr>
        <w:t>The following table summarizes our tax characterization of distributions to stockholders for fiscal years 2020, 2019 and 2018. Distributions included in the table below are based on the fiscal tax year for which the distribution is attributed to for stockholders in accordance with rules promulgated under the Internal Revenue Code: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xml:space="preserve">Tax Characterization </w:t>
            </w:r>
            <w:r>
              <w:rPr>
                <w:rFonts w:ascii="Arial" w:cs="Arial" w:eastAsia="Arial" w:hAnsi="Arial"/>
                <w:sz w:val="18"/>
                <w:szCs w:val="18"/>
                <w:b w:val="1"/>
                <w:bCs w:val="1"/>
                <w:color w:val="auto"/>
                <w:w w:val="93"/>
                <w:vertAlign w:val="superscript"/>
              </w:rPr>
              <w:t>1</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Ordinary Dividend</w:t>
            </w:r>
          </w:p>
        </w:tc>
        <w:tc>
          <w:tcPr>
            <w:tcW w:w="260" w:type="dxa"/>
            <w:vAlign w:val="bottom"/>
          </w:tcPr>
          <w:p>
            <w:pPr>
              <w:spacing w:after="0"/>
              <w:rPr>
                <w:sz w:val="11"/>
                <w:szCs w:val="11"/>
                <w:color w:val="auto"/>
              </w:rPr>
            </w:pPr>
          </w:p>
        </w:tc>
        <w:tc>
          <w:tcPr>
            <w:tcW w:w="1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Qualified</w:t>
            </w:r>
          </w:p>
        </w:tc>
        <w:tc>
          <w:tcPr>
            <w:tcW w:w="280" w:type="dxa"/>
            <w:vAlign w:val="bottom"/>
          </w:tcPr>
          <w:p>
            <w:pPr>
              <w:spacing w:after="0"/>
              <w:rPr>
                <w:sz w:val="11"/>
                <w:szCs w:val="11"/>
                <w:color w:val="auto"/>
              </w:rPr>
            </w:pPr>
          </w:p>
        </w:tc>
        <w:tc>
          <w:tcPr>
            <w:tcW w:w="1160" w:type="dxa"/>
            <w:vAlign w:val="bottom"/>
          </w:tcPr>
          <w:p>
            <w:pPr>
              <w:jc w:val="center"/>
              <w:ind w:right="161"/>
              <w:spacing w:after="0" w:line="129" w:lineRule="exact"/>
              <w:rPr>
                <w:sz w:val="20"/>
                <w:szCs w:val="20"/>
                <w:color w:val="auto"/>
              </w:rPr>
            </w:pPr>
            <w:r>
              <w:rPr>
                <w:rFonts w:ascii="Arial" w:cs="Arial" w:eastAsia="Arial" w:hAnsi="Arial"/>
                <w:sz w:val="14"/>
                <w:szCs w:val="14"/>
                <w:b w:val="1"/>
                <w:bCs w:val="1"/>
                <w:color w:val="auto"/>
                <w:w w:val="97"/>
              </w:rPr>
              <w:t>Capital Gain</w:t>
            </w:r>
          </w:p>
        </w:tc>
        <w:tc>
          <w:tcPr>
            <w:tcW w:w="140" w:type="dxa"/>
            <w:vAlign w:val="bottom"/>
          </w:tcPr>
          <w:p>
            <w:pPr>
              <w:spacing w:after="0"/>
              <w:rPr>
                <w:sz w:val="11"/>
                <w:szCs w:val="11"/>
                <w:color w:val="auto"/>
              </w:rPr>
            </w:pPr>
          </w:p>
        </w:tc>
        <w:tc>
          <w:tcPr>
            <w:tcW w:w="11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8"/>
              </w:rPr>
              <w:t>Non-Dividend</w:t>
            </w:r>
          </w:p>
        </w:tc>
        <w:tc>
          <w:tcPr>
            <w:tcW w:w="220" w:type="dxa"/>
            <w:vAlign w:val="bottom"/>
          </w:tcPr>
          <w:p>
            <w:pPr>
              <w:spacing w:after="0"/>
              <w:rPr>
                <w:sz w:val="11"/>
                <w:szCs w:val="11"/>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5"/>
              </w:rPr>
              <w:t>Section 199A</w:t>
            </w:r>
          </w:p>
        </w:tc>
        <w:tc>
          <w:tcPr>
            <w:tcW w:w="0" w:type="dxa"/>
            <w:vAlign w:val="bottom"/>
          </w:tcPr>
          <w:p>
            <w:pPr>
              <w:spacing w:after="0"/>
              <w:rPr>
                <w:sz w:val="1"/>
                <w:szCs w:val="1"/>
                <w:color w:val="auto"/>
              </w:rPr>
            </w:pPr>
          </w:p>
        </w:tc>
      </w:tr>
      <w:tr>
        <w:trPr>
          <w:trHeight w:val="135"/>
        </w:trPr>
        <w:tc>
          <w:tcPr>
            <w:tcW w:w="274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Fiscal Tax Year</w:t>
            </w: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 xml:space="preserve">Distribution Rate </w:t>
            </w:r>
            <w:r>
              <w:rPr>
                <w:rFonts w:ascii="Arial" w:cs="Arial" w:eastAsia="Arial" w:hAnsi="Arial"/>
                <w:sz w:val="18"/>
                <w:szCs w:val="18"/>
                <w:b w:val="1"/>
                <w:bCs w:val="1"/>
                <w:color w:val="auto"/>
                <w:vertAlign w:val="superscript"/>
              </w:rPr>
              <w:t>1</w:t>
            </w:r>
          </w:p>
        </w:tc>
        <w:tc>
          <w:tcPr>
            <w:tcW w:w="12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3"/>
              </w:rPr>
              <w:t>Dividend Per</w:t>
            </w: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4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Per Share</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Dividends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9"/>
              </w:rPr>
              <w:t>Distributions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B Preferred Stock</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Arial" w:cs="Arial" w:eastAsia="Arial" w:hAnsi="Arial"/>
                <w:sz w:val="16"/>
                <w:szCs w:val="16"/>
                <w:color w:val="auto"/>
              </w:rPr>
              <w:t>Fiscal year 2019</w:t>
            </w: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2.158160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2.158160</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2.158160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Fiscal year 2018</w:t>
            </w:r>
          </w:p>
        </w:tc>
        <w:tc>
          <w:tcPr>
            <w:tcW w:w="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1.937500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1.937500</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1.937500</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Series C Preferred Stock</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Fiscal year 2020</w:t>
            </w:r>
          </w:p>
        </w:tc>
        <w:tc>
          <w:tcPr>
            <w:tcW w:w="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1.750000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0.570268</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1.179732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0.570268</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Arial" w:cs="Arial" w:eastAsia="Arial" w:hAnsi="Arial"/>
                <w:sz w:val="16"/>
                <w:szCs w:val="16"/>
                <w:color w:val="auto"/>
              </w:rPr>
              <w:t>Fiscal year 2019</w:t>
            </w: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1.750000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1.750000</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Fiscal year 2018</w:t>
            </w:r>
          </w:p>
        </w:tc>
        <w:tc>
          <w:tcPr>
            <w:tcW w:w="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1.750000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1.750000</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Series D Preferred Stock</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Fiscal year 2020</w:t>
            </w:r>
          </w:p>
        </w:tc>
        <w:tc>
          <w:tcPr>
            <w:tcW w:w="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1.718750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0.560086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1.158664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0.560086</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Arial" w:cs="Arial" w:eastAsia="Arial" w:hAnsi="Arial"/>
                <w:sz w:val="16"/>
                <w:szCs w:val="16"/>
                <w:color w:val="auto"/>
              </w:rPr>
              <w:t>Fiscal year 2019</w:t>
            </w: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1.045575</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1.045575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1.045575</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E Preferred Stock</w:t>
            </w: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Arial" w:cs="Arial" w:eastAsia="Arial" w:hAnsi="Arial"/>
                <w:sz w:val="16"/>
                <w:szCs w:val="16"/>
                <w:color w:val="auto"/>
              </w:rPr>
              <w:t>Fiscal year 2020</w:t>
            </w: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1.679170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0.547188</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1.131982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0.547188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F Preferred Stock</w:t>
            </w: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Arial" w:cs="Arial" w:eastAsia="Arial" w:hAnsi="Arial"/>
                <w:sz w:val="16"/>
                <w:szCs w:val="16"/>
                <w:color w:val="auto"/>
              </w:rPr>
              <w:t>Fiscal year 2020</w:t>
            </w: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1.037845</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0.338201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0.699644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0.338201</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Arial" w:cs="Arial" w:eastAsia="Arial" w:hAnsi="Arial"/>
                <w:sz w:val="16"/>
                <w:szCs w:val="16"/>
                <w:color w:val="auto"/>
              </w:rPr>
              <w:t>Fiscal year 2020</w:t>
            </w: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1.720000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0.560492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1.159508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0.560492</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Fiscal year 2019</w:t>
            </w:r>
          </w:p>
        </w:tc>
        <w:tc>
          <w:tcPr>
            <w:tcW w:w="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2.020000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1.159504</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0.860496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1.159504</w:t>
            </w: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Fiscal year 2018</w:t>
            </w: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2.160000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1.127208</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1.032792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1.127208</w:t>
            </w:r>
          </w:p>
        </w:tc>
        <w:tc>
          <w:tcPr>
            <w:tcW w:w="0" w:type="dxa"/>
            <w:vAlign w:val="bottom"/>
          </w:tcPr>
          <w:p>
            <w:pPr>
              <w:spacing w:after="0"/>
              <w:rPr>
                <w:sz w:val="1"/>
                <w:szCs w:val="1"/>
                <w:color w:val="auto"/>
              </w:rPr>
            </w:pPr>
          </w:p>
        </w:tc>
      </w:tr>
      <w:tr>
        <w:trPr>
          <w:trHeight w:val="125"/>
        </w:trPr>
        <w:tc>
          <w:tcPr>
            <w:tcW w:w="2740" w:type="dxa"/>
            <w:vAlign w:val="bottom"/>
          </w:tcPr>
          <w:p>
            <w:pPr>
              <w:spacing w:after="0" w:line="125" w:lineRule="exact"/>
              <w:rPr>
                <w:sz w:val="20"/>
                <w:szCs w:val="20"/>
                <w:color w:val="auto"/>
              </w:rPr>
            </w:pPr>
            <w:r>
              <w:rPr>
                <w:rFonts w:ascii="Arial" w:cs="Arial" w:eastAsia="Arial" w:hAnsi="Arial"/>
                <w:sz w:val="11"/>
                <w:szCs w:val="11"/>
                <w:color w:val="auto"/>
              </w:rPr>
              <w:t>________________________________</w:t>
            </w: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Preferred stock per share amounts are per depositary share.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fiscal years 2020, 2019 and 2018 (in millions):</w:t>
      </w:r>
    </w:p>
    <w:p>
      <w:pPr>
        <w:spacing w:after="0" w:line="12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200" w:type="dxa"/>
            <w:vAlign w:val="bottom"/>
          </w:tcPr>
          <w:p>
            <w:pPr>
              <w:spacing w:after="0"/>
              <w:rPr>
                <w:sz w:val="16"/>
                <w:szCs w:val="16"/>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7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90"/>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35"/>
        </w:trPr>
        <w:tc>
          <w:tcPr>
            <w:tcW w:w="7360" w:type="dxa"/>
            <w:vAlign w:val="bottom"/>
            <w:gridSpan w:val="2"/>
          </w:tcPr>
          <w:p>
            <w:pPr>
              <w:ind w:left="180"/>
              <w:spacing w:after="0" w:line="135" w:lineRule="exact"/>
              <w:rPr>
                <w:sz w:val="20"/>
                <w:szCs w:val="20"/>
                <w:color w:val="auto"/>
              </w:rPr>
            </w:pPr>
            <w:r>
              <w:rPr>
                <w:rFonts w:ascii="Arial" w:cs="Arial" w:eastAsia="Arial" w:hAnsi="Arial"/>
                <w:sz w:val="14"/>
                <w:szCs w:val="14"/>
                <w:color w:val="auto"/>
                <w:w w:val="99"/>
              </w:rPr>
              <w:t>Net loss amounts for available-for-sale securities reclassified from accumulated OCI to realized gain (loss) on sale of</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6"/>
        </w:trPr>
        <w:tc>
          <w:tcPr>
            <w:tcW w:w="7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investment securities, net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Incentive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Incentive Plans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The 2016 Equity Plan authorizes a total of 10 million shares of our common stock that may be used to satisfy awards under the Plan, subject to the share counting rules set forth within the Plan. During fiscal years 2020, 2019 and 2018, we granted RSU awards to employees with a grant date fair value of $7 million, $7 million and $4 million, respectively, which vest annually over a three-year period. Additionally, during fiscal year 2018, we granted fully vested RSU awards to employees with a grant date fair value of $4 million in exchange for satisfaction and conversion of AGNC's obligations of an equivalent value under outstanding long-term incentive compensation awards granted to employees under the MTGE Incentive Plan ("RSU Exchange Awards") (see </w:t>
      </w:r>
      <w:r>
        <w:rPr>
          <w:rFonts w:ascii="Arial" w:cs="Arial" w:eastAsia="Arial" w:hAnsi="Arial"/>
          <w:sz w:val="17"/>
          <w:szCs w:val="17"/>
          <w:i w:val="1"/>
          <w:iCs w:val="1"/>
          <w:color w:val="auto"/>
        </w:rPr>
        <w:t>Other Long-Term Incentive Compensation</w:t>
      </w:r>
      <w:r>
        <w:rPr>
          <w:rFonts w:ascii="Arial" w:cs="Arial" w:eastAsia="Arial" w:hAnsi="Arial"/>
          <w:sz w:val="17"/>
          <w:szCs w:val="17"/>
          <w:color w:val="auto"/>
        </w:rPr>
        <w:t xml:space="preserve"> below). During fiscal years 2020, 2019 and 2018, we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8" w:name="page79"/>
    <w:bookmarkEnd w:id="78"/>
    <w:p>
      <w:pPr>
        <w:spacing w:after="0" w:line="277" w:lineRule="auto"/>
        <w:rPr>
          <w:sz w:val="20"/>
          <w:szCs w:val="20"/>
          <w:color w:val="auto"/>
        </w:rPr>
      </w:pPr>
      <w:r>
        <w:rPr>
          <w:rFonts w:ascii="Arial" w:cs="Arial" w:eastAsia="Arial" w:hAnsi="Arial"/>
          <w:sz w:val="18"/>
          <w:szCs w:val="18"/>
          <w:color w:val="auto"/>
        </w:rPr>
        <w:t>granted RSU awards to independent directors of $0.8 million, $0.5 million and $0.5 million, respectively, which vest at the end of a one-year period from grant date.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RSU awards under our 2016 Equity Plan for fiscal years 2020, 2019 and 2018: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2016 Equity Incentive Plan</w:t>
            </w:r>
          </w:p>
        </w:tc>
        <w:tc>
          <w:tcPr>
            <w:tcW w:w="14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RSU Awards</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160" w:type="dxa"/>
            <w:vAlign w:val="bottom"/>
          </w:tcPr>
          <w:p>
            <w:pPr>
              <w:spacing w:after="0"/>
              <w:rPr>
                <w:sz w:val="11"/>
                <w:szCs w:val="11"/>
                <w:color w:val="auto"/>
              </w:rPr>
            </w:pPr>
          </w:p>
        </w:tc>
        <w:tc>
          <w:tcPr>
            <w:tcW w:w="1140" w:type="dxa"/>
            <w:vAlign w:val="bottom"/>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Vest Date Fair</w:t>
            </w:r>
          </w:p>
        </w:tc>
        <w:tc>
          <w:tcPr>
            <w:tcW w:w="0" w:type="dxa"/>
            <w:vAlign w:val="bottom"/>
          </w:tcPr>
          <w:p>
            <w:pPr>
              <w:spacing w:after="0"/>
              <w:rPr>
                <w:sz w:val="1"/>
                <w:szCs w:val="1"/>
                <w:color w:val="auto"/>
              </w:rPr>
            </w:pPr>
          </w:p>
        </w:tc>
      </w:tr>
      <w:tr>
        <w:trPr>
          <w:trHeight w:val="189"/>
        </w:trPr>
        <w:tc>
          <w:tcPr>
            <w:tcW w:w="710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8"/>
                <w:szCs w:val="18"/>
                <w:b w:val="1"/>
                <w:bCs w:val="1"/>
                <w:color w:val="auto"/>
                <w:w w:val="91"/>
                <w:vertAlign w:val="superscript"/>
              </w:rPr>
              <w:t>1</w:t>
            </w:r>
          </w:p>
        </w:tc>
        <w:tc>
          <w:tcPr>
            <w:tcW w:w="160" w:type="dxa"/>
            <w:vAlign w:val="bottom"/>
          </w:tcPr>
          <w:p>
            <w:pPr>
              <w:spacing w:after="0"/>
              <w:rPr>
                <w:sz w:val="16"/>
                <w:szCs w:val="16"/>
                <w:color w:val="auto"/>
              </w:rPr>
            </w:pPr>
          </w:p>
        </w:tc>
        <w:tc>
          <w:tcPr>
            <w:tcW w:w="114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2017</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335,228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6"/>
                <w:szCs w:val="16"/>
                <w:color w:val="auto"/>
              </w:rPr>
              <w:t>261,036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Accrued RSU dividend equivalents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6"/>
                <w:szCs w:val="16"/>
                <w:color w:val="auto"/>
              </w:rPr>
              <w:t>(150,423)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16.52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100" w:type="dxa"/>
            <w:vAlign w:val="bottom"/>
            <w:gridSpan w:val="2"/>
          </w:tcPr>
          <w:p>
            <w:pPr>
              <w:ind w:left="20"/>
              <w:spacing w:after="0"/>
              <w:rPr>
                <w:sz w:val="20"/>
                <w:szCs w:val="20"/>
                <w:color w:val="auto"/>
              </w:rPr>
            </w:pPr>
            <w:r>
              <w:rPr>
                <w:rFonts w:ascii="Arial" w:cs="Arial" w:eastAsia="Arial" w:hAnsi="Arial"/>
                <w:sz w:val="16"/>
                <w:szCs w:val="16"/>
                <w:b w:val="1"/>
                <w:bCs w:val="1"/>
                <w:color w:val="auto"/>
              </w:rPr>
              <w:t>Unvested balance as of December 31, 2018</w:t>
            </w:r>
          </w:p>
        </w:tc>
        <w:tc>
          <w:tcPr>
            <w:tcW w:w="1300" w:type="dxa"/>
            <w:vAlign w:val="bottom"/>
          </w:tcPr>
          <w:p>
            <w:pPr>
              <w:jc w:val="right"/>
              <w:spacing w:after="0"/>
              <w:rPr>
                <w:sz w:val="20"/>
                <w:szCs w:val="20"/>
                <w:color w:val="auto"/>
              </w:rPr>
            </w:pPr>
            <w:r>
              <w:rPr>
                <w:rFonts w:ascii="Arial" w:cs="Arial" w:eastAsia="Arial" w:hAnsi="Arial"/>
                <w:sz w:val="16"/>
                <w:szCs w:val="16"/>
                <w:color w:val="auto"/>
              </w:rPr>
              <w:t>501,913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16.08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gridSpan w:val="2"/>
          </w:tcPr>
          <w:p>
            <w:pPr>
              <w:ind w:left="180"/>
              <w:spacing w:after="0"/>
              <w:rPr>
                <w:sz w:val="20"/>
                <w:szCs w:val="20"/>
                <w:color w:val="auto"/>
              </w:rPr>
            </w:pPr>
            <w:r>
              <w:rPr>
                <w:rFonts w:ascii="Arial" w:cs="Arial" w:eastAsia="Arial" w:hAnsi="Arial"/>
                <w:sz w:val="16"/>
                <w:szCs w:val="16"/>
                <w:color w:val="auto"/>
              </w:rPr>
              <w:t>Accrued RSU dividend equivalents</w:t>
            </w:r>
          </w:p>
        </w:tc>
        <w:tc>
          <w:tcPr>
            <w:tcW w:w="1300" w:type="dxa"/>
            <w:vAlign w:val="bottom"/>
          </w:tcPr>
          <w:p>
            <w:pPr>
              <w:jc w:val="right"/>
              <w:spacing w:after="0"/>
              <w:rPr>
                <w:sz w:val="20"/>
                <w:szCs w:val="20"/>
                <w:color w:val="auto"/>
              </w:rPr>
            </w:pPr>
            <w:r>
              <w:rPr>
                <w:rFonts w:ascii="Arial" w:cs="Arial" w:eastAsia="Arial" w:hAnsi="Arial"/>
                <w:sz w:val="16"/>
                <w:szCs w:val="16"/>
                <w:color w:val="auto"/>
              </w:rPr>
              <w:t>83,355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13"/>
        </w:trPr>
        <w:tc>
          <w:tcPr>
            <w:tcW w:w="7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Forfeitures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758,230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300" w:type="dxa"/>
            <w:vAlign w:val="bottom"/>
          </w:tcPr>
          <w:p>
            <w:pPr>
              <w:jc w:val="right"/>
              <w:spacing w:after="0"/>
              <w:rPr>
                <w:sz w:val="20"/>
                <w:szCs w:val="20"/>
                <w:color w:val="auto"/>
              </w:rPr>
            </w:pPr>
            <w:r>
              <w:rPr>
                <w:rFonts w:ascii="Arial" w:cs="Arial" w:eastAsia="Arial" w:hAnsi="Arial"/>
                <w:sz w:val="16"/>
                <w:szCs w:val="16"/>
                <w:color w:val="auto"/>
              </w:rPr>
              <w:t>433,414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Accrued RSU dividend equivalents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gridSpan w:val="2"/>
          </w:tcPr>
          <w:p>
            <w:pPr>
              <w:ind w:left="180"/>
              <w:spacing w:after="0"/>
              <w:rPr>
                <w:sz w:val="20"/>
                <w:szCs w:val="20"/>
                <w:color w:val="auto"/>
              </w:rPr>
            </w:pPr>
            <w:r>
              <w:rPr>
                <w:rFonts w:ascii="Arial" w:cs="Arial" w:eastAsia="Arial" w:hAnsi="Arial"/>
                <w:sz w:val="16"/>
                <w:szCs w:val="16"/>
                <w:color w:val="auto"/>
              </w:rPr>
              <w:t>Vested</w:t>
            </w:r>
          </w:p>
        </w:tc>
        <w:tc>
          <w:tcPr>
            <w:tcW w:w="1300" w:type="dxa"/>
            <w:vAlign w:val="bottom"/>
          </w:tcPr>
          <w:p>
            <w:pPr>
              <w:jc w:val="right"/>
              <w:spacing w:after="0"/>
              <w:rPr>
                <w:sz w:val="20"/>
                <w:szCs w:val="20"/>
                <w:color w:val="auto"/>
              </w:rPr>
            </w:pPr>
            <w:r>
              <w:rPr>
                <w:rFonts w:ascii="Arial" w:cs="Arial" w:eastAsia="Arial" w:hAnsi="Arial"/>
                <w:sz w:val="16"/>
                <w:szCs w:val="16"/>
                <w:color w:val="auto"/>
              </w:rPr>
              <w:t>(377,244)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14.82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100" w:type="dxa"/>
            <w:vAlign w:val="bottom"/>
            <w:gridSpan w:val="2"/>
          </w:tcPr>
          <w:p>
            <w:pPr>
              <w:ind w:left="20"/>
              <w:spacing w:after="0"/>
              <w:rPr>
                <w:sz w:val="20"/>
                <w:szCs w:val="20"/>
                <w:color w:val="auto"/>
              </w:rPr>
            </w:pPr>
            <w:r>
              <w:rPr>
                <w:rFonts w:ascii="Arial" w:cs="Arial" w:eastAsia="Arial" w:hAnsi="Arial"/>
                <w:sz w:val="16"/>
                <w:szCs w:val="16"/>
                <w:b w:val="1"/>
                <w:bCs w:val="1"/>
                <w:color w:val="auto"/>
              </w:rPr>
              <w:t>Unvested balance as of December 31, 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908,984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70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7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Accrued RSU award dividend equivalents have a weighted average grant date fair value of $0.</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Excludes 185,285 of RSU Exchange Awards.</w:t>
      </w:r>
    </w:p>
    <w:p>
      <w:pPr>
        <w:spacing w:after="0" w:line="15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fiscal years 2020, 2019 and 2018, we granted PSU awards to employees under our 2016 Equity Plan, which vest at the end of a three-year period provided that specified performance criteria are met. The performance criteria are based on a formula tied to our achievement of long-term economic returns consisting of the change in tangible net book value and dividends paid per common share on an absolute basis and relative to a select group of our peers. The fair value of the PSU awards granted during fiscal years 2020, 2019 and 2018 as of the grant date was $10 million, $9 million and $5 million, respectively, assuming the target levels of performance are achieved. The actual value of the awards will vary within a range of 0% to 200% of the target based on the actual performance achieved relative to the targets. The following table summarizes PSU awards under our 2016 Equity Plan for fiscal years 2020, 2019 and 2018.</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9" w:name="page80"/>
    <w:bookmarkEnd w:id="79"/>
    <w:tbl>
      <w:tblPr>
        <w:tblLayout w:type="fixed"/>
        <w:tblInd w:w="18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PSUs</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54"/>
        </w:trPr>
        <w:tc>
          <w:tcPr>
            <w:tcW w:w="6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at Target</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2016 Equity Incentive Plan</w:t>
            </w: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 xml:space="preserve">Vest Date </w:t>
            </w:r>
            <w:r>
              <w:rPr>
                <w:rFonts w:ascii="Arial" w:cs="Arial" w:eastAsia="Arial" w:hAnsi="Arial"/>
                <w:sz w:val="18"/>
                <w:szCs w:val="18"/>
                <w:b w:val="1"/>
                <w:bCs w:val="1"/>
                <w:color w:val="auto"/>
                <w:w w:val="89"/>
                <w:vertAlign w:val="subscript"/>
              </w:rPr>
              <w:t>1</w:t>
            </w: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89"/>
        </w:trPr>
        <w:tc>
          <w:tcPr>
            <w:tcW w:w="67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Performance Level</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87"/>
              </w:rPr>
              <w:t xml:space="preserve">Value </w:t>
            </w:r>
            <w:r>
              <w:rPr>
                <w:rFonts w:ascii="Arial" w:cs="Arial" w:eastAsia="Arial" w:hAnsi="Arial"/>
                <w:sz w:val="18"/>
                <w:szCs w:val="18"/>
                <w:b w:val="1"/>
                <w:bCs w:val="1"/>
                <w:color w:val="auto"/>
                <w:w w:val="87"/>
                <w:vertAlign w:val="superscript"/>
              </w:rPr>
              <w:t>1</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2017</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272,228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17.98</w:t>
            </w:r>
          </w:p>
        </w:tc>
        <w:tc>
          <w:tcPr>
            <w:tcW w:w="8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Accrued PSU dividend equivalents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Vested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606,775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494,016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17.56</w:t>
            </w:r>
          </w:p>
        </w:tc>
        <w:tc>
          <w:tcPr>
            <w:tcW w:w="8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Accrued PSU dividend equivalents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Performance adjustment - 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95,427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19.39</w:t>
            </w:r>
          </w:p>
        </w:tc>
        <w:tc>
          <w:tcPr>
            <w:tcW w:w="8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Performance adjustment - Accrued PSU dividend equivalents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Vested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Unvested balance as of December 31, 2019</w:t>
            </w:r>
          </w:p>
        </w:tc>
        <w:tc>
          <w:tcPr>
            <w:tcW w:w="1320" w:type="dxa"/>
            <w:vAlign w:val="bottom"/>
          </w:tcPr>
          <w:p>
            <w:pPr>
              <w:jc w:val="right"/>
              <w:spacing w:after="0"/>
              <w:rPr>
                <w:sz w:val="20"/>
                <w:szCs w:val="20"/>
                <w:color w:val="auto"/>
              </w:rPr>
            </w:pPr>
            <w:r>
              <w:rPr>
                <w:rFonts w:ascii="Arial" w:cs="Arial" w:eastAsia="Arial" w:hAnsi="Arial"/>
                <w:sz w:val="16"/>
                <w:szCs w:val="16"/>
                <w:color w:val="auto"/>
              </w:rPr>
              <w:t>1,351,413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14.96</w:t>
            </w:r>
          </w:p>
        </w:tc>
        <w:tc>
          <w:tcPr>
            <w:tcW w:w="8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Accrued PSU dividend equivalents</w:t>
            </w:r>
          </w:p>
        </w:tc>
        <w:tc>
          <w:tcPr>
            <w:tcW w:w="1320" w:type="dxa"/>
            <w:vAlign w:val="bottom"/>
          </w:tcPr>
          <w:p>
            <w:pPr>
              <w:jc w:val="right"/>
              <w:spacing w:after="0"/>
              <w:rPr>
                <w:sz w:val="20"/>
                <w:szCs w:val="20"/>
                <w:color w:val="auto"/>
              </w:rPr>
            </w:pPr>
            <w:r>
              <w:rPr>
                <w:rFonts w:ascii="Arial" w:cs="Arial" w:eastAsia="Arial" w:hAnsi="Arial"/>
                <w:sz w:val="16"/>
                <w:szCs w:val="16"/>
                <w:color w:val="auto"/>
              </w:rPr>
              <w:t>160,442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Performance adjustment - 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Performance adjustment - Accrued PSU dividend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26,183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3"/>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Forfeitures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6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1,626,785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Accrued PSU award dividend equivalents have a weighted average grant date fair value of $0.</w:t>
      </w:r>
    </w:p>
    <w:p>
      <w:pPr>
        <w:spacing w:after="0" w:line="15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of December 31, 2020, 4.8 million shares remained available for awards under the 2016 Equity Plan. For purposes of determining the total number of shares available for awards under the 2016 Equity Plan, available shares are reduced by (i) shares issued for vested RSU awards, net of units withheld to cover minimum statutory tax withholding requirements paid by us in cash on behalf of the employee and (ii) outstanding unvested awards, (iii) outstanding previously vested awards, if distribution of such awards has been deferred beyond the vesting date ("deferred awards"), and (iv) accrued dividend equivalent units on outstanding awards through December 31, 2012. Unvested performance-based awards assume the maximum potential payout under the terms of the award. As of December 31, 2020, 1.2 million of deferred awards, including accrued DEUs, were outstanding.</w:t>
      </w:r>
    </w:p>
    <w:p>
      <w:pPr>
        <w:spacing w:after="0" w:line="1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years 2020, 2019 and 2018, we recognized compensation expense of $20.6 million, $13.7 million and $6.1 million, respectively, for stock-based awards to employees and we recognized other operating expense of $0.7 million, $0.5 million and $0.5 million, respectively, for stock-based awards to independent directors. As of December 31, 2020, we had unrecognized expense related to stock-based awards of approximately $13 million, which is expected to be recognized over a weighted average period of 1.4 years.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Long-Term Incentive Compensation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fiscal year 2018, we granted long-term incentive compensation awards to employees under our MTGE Incentive Plan (the "Incentive Plan"), with original grant date fair values of $2 million. During 2018, all outstanding awards under the Incentive Plan became fully vested and the Incentive Plan was terminated. Awards for which distribution of vested amounts had been deferred beyond the vesting date were exchanged for RSU awards granted under the 2016 Equity Plan of equal value. During fiscal year 2018, we recognized long-term incentive compensation expense associated with awards under the Incentive Plan of $5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of December 31, 2020, we have distributed all of our estimated taxable income for fiscal year 2020. Accordingly, we do not expect to incur an income tax liability on our 2020 taxable income. For fiscal years 2019 and 2018, we distributed all of our taxable income within the time limits prescribed by the Internal Revenue Code. Accordingly, we did not incur an income tax liability on our taxable income for such periods.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80" w:name="page81"/>
    <w:bookmarkEnd w:id="80"/>
    <w:p>
      <w:pPr>
        <w:jc w:val="both"/>
        <w:ind w:firstLine="445"/>
        <w:spacing w:after="0" w:line="311" w:lineRule="auto"/>
        <w:rPr>
          <w:sz w:val="20"/>
          <w:szCs w:val="20"/>
          <w:color w:val="auto"/>
        </w:rPr>
      </w:pPr>
      <w:r>
        <w:rPr>
          <w:rFonts w:ascii="Arial" w:cs="Arial" w:eastAsia="Arial" w:hAnsi="Arial"/>
          <w:sz w:val="16"/>
          <w:szCs w:val="16"/>
          <w:color w:val="auto"/>
        </w:rPr>
        <w:t>Based on our analysis of any potential uncertain income tax positions, we concluded that we do not have any uncertain tax positions that meet the recognition or measurement criteria of ASC 740 as of December 31, 2020 or prior periods. Our tax returns for tax years 2017 and forward are open to examination by the IRS. If we incur income tax related interest and penalties, our policy is to classify them as a component of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December 31, 2020. Based on the foregoing, our Chief Executive Officer and Chief Financial Officer concluded that our disclosure controls and procedures were effective.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Report on Internal Control over Financial Reporting is included in "Item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Registered Public Accounting Firm</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attestation report of our registered public accounting firm is included in "Item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our Proxy Statement for our 2021 Annual Meeting of Stockholders (the "2021 Proxy Statement") under the headings "PROPOSAL 1: ELECTION OF DIRECTORS", "EXECUTIVE OFFICERS", and "BOARD AND GOVERNANCE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2021 Proxy Statement under the headings "PROPOSAL 1: ELECTION OF DIRECTORS", "EXECUTIVE COMPENSATION", "COMPENSATION DISCUSSION AND ANALYSIS", "REPORT OF THE COMPENSATION AND CORPORATE GOVERNANCE COMMITTEE", and "COMPENSATION COMMITTEE INTERLOCKS AND INSIDER PARTICIPATION."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2021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OWNERSHIP OF MANAGEMENT AND CERTAIN BENEFICIAL OWNERS."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2021 Proxy Statement under the headings "CERTAIN TRANSACTIONS WITH RELATED PERSONS" and "PROPOSAL 1: ELECTION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2021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"PROPOSAL 4: RATIFICATION OF APPOINTMENT OF INDEPENDENT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PART IV.</w:t>
      </w:r>
    </w:p>
    <w:p>
      <w:pPr>
        <w:spacing w:after="0" w:line="36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List of documents filed as part of this report:</w:t>
      </w:r>
    </w:p>
    <w:p>
      <w:pPr>
        <w:spacing w:after="0" w:line="158" w:lineRule="exact"/>
        <w:rPr>
          <w:sz w:val="20"/>
          <w:szCs w:val="20"/>
          <w:color w:val="auto"/>
        </w:rPr>
      </w:pPr>
    </w:p>
    <w:p>
      <w:pPr>
        <w:ind w:left="1020"/>
        <w:spacing w:after="0"/>
        <w:tabs>
          <w:tab w:leader="none" w:pos="1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following financial statements are filed herewith:</w:t>
      </w:r>
    </w:p>
    <w:p>
      <w:pPr>
        <w:spacing w:after="0" w:line="15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Consolidated Balance Sheets as of December 31, 2020 and 2019</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Consolidated Statements of Comprehensive Income for fiscal years 2020, 2019 and 2018</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Consolidated Statements of Stockholders' Equity for fiscal years 2020, 2019 and 2018</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Consolidated Statements of Cash Flows for fiscal years 2020, 2019 and 2018</w:t>
      </w:r>
    </w:p>
    <w:p>
      <w:pPr>
        <w:spacing w:after="0" w:line="157" w:lineRule="exact"/>
        <w:rPr>
          <w:sz w:val="20"/>
          <w:szCs w:val="20"/>
          <w:color w:val="auto"/>
        </w:rPr>
      </w:pPr>
    </w:p>
    <w:p>
      <w:pPr>
        <w:ind w:left="1020"/>
        <w:spacing w:after="0"/>
        <w:tabs>
          <w:tab w:leader="none" w:pos="13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following exhibits are filed herewith or incorporated herein by reference</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1" w:lineRule="exact"/>
        <w:rPr>
          <w:sz w:val="20"/>
          <w:szCs w:val="20"/>
          <w:color w:val="auto"/>
        </w:rPr>
      </w:pPr>
    </w:p>
    <w:p>
      <w:pPr>
        <w:jc w:val="both"/>
        <w:ind w:left="500" w:right="20" w:hanging="1295"/>
        <w:spacing w:after="0" w:line="277" w:lineRule="auto"/>
        <w:tabs>
          <w:tab w:leader="none" w:pos="480" w:val="left"/>
        </w:tabs>
        <w:rPr>
          <w:rFonts w:ascii="Arial" w:cs="Arial" w:eastAsia="Arial" w:hAnsi="Arial"/>
          <w:sz w:val="18"/>
          <w:szCs w:val="18"/>
          <w:color w:val="auto"/>
        </w:rPr>
      </w:pPr>
      <w:hyperlink r:id="rId99">
        <w:r>
          <w:rPr>
            <w:rFonts w:ascii="Arial" w:cs="Arial" w:eastAsia="Arial" w:hAnsi="Arial"/>
            <w:sz w:val="18"/>
            <w:szCs w:val="18"/>
            <w:color w:val="auto"/>
          </w:rPr>
          <w:t>*3.1</w:t>
        </w:r>
      </w:hyperlink>
      <w:r>
        <w:rPr>
          <w:rFonts w:ascii="Arial" w:cs="Arial" w:eastAsia="Arial" w:hAnsi="Arial"/>
          <w:sz w:val="18"/>
          <w:szCs w:val="18"/>
          <w:color w:val="auto"/>
        </w:rPr>
        <w:tab/>
      </w:r>
      <w:hyperlink r:id="rId99">
        <w:r>
          <w:rPr>
            <w:rFonts w:ascii="Arial" w:cs="Arial" w:eastAsia="Arial" w:hAnsi="Arial"/>
            <w:sz w:val="18"/>
            <w:szCs w:val="18"/>
            <w:color w:val="auto"/>
          </w:rPr>
          <w:t>AGNC Investment Corp. Amended and Restated Certificate of Incorporation, as amended, incorporated by reference from Exhibit 3.1 of Form 10-Q</w:t>
        </w:r>
      </w:hyperlink>
      <w:r>
        <w:rPr>
          <w:rFonts w:ascii="Arial" w:cs="Arial" w:eastAsia="Arial" w:hAnsi="Arial"/>
          <w:sz w:val="18"/>
          <w:szCs w:val="18"/>
          <w:color w:val="auto"/>
        </w:rPr>
        <w:t xml:space="preserve"> </w:t>
      </w:r>
      <w:hyperlink r:id="rId99">
        <w:r>
          <w:rPr>
            <w:rFonts w:ascii="Arial" w:cs="Arial" w:eastAsia="Arial" w:hAnsi="Arial"/>
            <w:sz w:val="18"/>
            <w:szCs w:val="18"/>
            <w:color w:val="auto"/>
          </w:rPr>
          <w:t>for the quarter ended March 31, 2020 (File No. 001-34057), filed May 11, 2020.</w:t>
        </w:r>
      </w:hyperlink>
    </w:p>
    <w:p>
      <w:pPr>
        <w:spacing w:after="0" w:line="116" w:lineRule="exact"/>
        <w:rPr>
          <w:rFonts w:ascii="Arial" w:cs="Arial" w:eastAsia="Arial" w:hAnsi="Arial"/>
          <w:sz w:val="18"/>
          <w:szCs w:val="18"/>
          <w:color w:val="auto"/>
        </w:rPr>
      </w:pPr>
    </w:p>
    <w:p>
      <w:pPr>
        <w:jc w:val="both"/>
        <w:ind w:left="520" w:hanging="1295"/>
        <w:spacing w:after="0" w:line="277" w:lineRule="auto"/>
        <w:tabs>
          <w:tab w:leader="none" w:pos="500" w:val="left"/>
        </w:tabs>
        <w:rPr>
          <w:rFonts w:ascii="Arial" w:cs="Arial" w:eastAsia="Arial" w:hAnsi="Arial"/>
          <w:sz w:val="18"/>
          <w:szCs w:val="18"/>
          <w:color w:val="auto"/>
        </w:rPr>
      </w:pPr>
      <w:hyperlink r:id="rId100">
        <w:r>
          <w:rPr>
            <w:rFonts w:ascii="Arial" w:cs="Arial" w:eastAsia="Arial" w:hAnsi="Arial"/>
            <w:sz w:val="18"/>
            <w:szCs w:val="18"/>
            <w:color w:val="auto"/>
          </w:rPr>
          <w:t>*3.2</w:t>
        </w:r>
      </w:hyperlink>
      <w:r>
        <w:rPr>
          <w:rFonts w:ascii="Arial" w:cs="Arial" w:eastAsia="Arial" w:hAnsi="Arial"/>
          <w:sz w:val="18"/>
          <w:szCs w:val="18"/>
          <w:color w:val="auto"/>
        </w:rPr>
        <w:tab/>
      </w:r>
      <w:hyperlink r:id="rId100">
        <w:r>
          <w:rPr>
            <w:rFonts w:ascii="Arial" w:cs="Arial" w:eastAsia="Arial" w:hAnsi="Arial"/>
            <w:sz w:val="18"/>
            <w:szCs w:val="18"/>
            <w:color w:val="auto"/>
          </w:rPr>
          <w:t>AGNC Investment Corp. Third Amended and Restated Bylaws, as amended, incorporated herein by reference to Exhibit 3.2 of Form 10-Q for the</w:t>
        </w:r>
      </w:hyperlink>
      <w:r>
        <w:rPr>
          <w:rFonts w:ascii="Arial" w:cs="Arial" w:eastAsia="Arial" w:hAnsi="Arial"/>
          <w:sz w:val="18"/>
          <w:szCs w:val="18"/>
          <w:color w:val="auto"/>
        </w:rPr>
        <w:t xml:space="preserve"> </w:t>
      </w:r>
      <w:hyperlink r:id="rId100">
        <w:r>
          <w:rPr>
            <w:rFonts w:ascii="Arial" w:cs="Arial" w:eastAsia="Arial" w:hAnsi="Arial"/>
            <w:sz w:val="18"/>
            <w:szCs w:val="18"/>
            <w:color w:val="auto"/>
          </w:rPr>
          <w:t>quarter ended September 30, 2016 (File No. 001-34057), filed November 7, 2016.</w:t>
        </w:r>
      </w:hyperlink>
    </w:p>
    <w:p>
      <w:pPr>
        <w:spacing w:after="0" w:line="116" w:lineRule="exact"/>
        <w:rPr>
          <w:rFonts w:ascii="Arial" w:cs="Arial" w:eastAsia="Arial" w:hAnsi="Arial"/>
          <w:sz w:val="18"/>
          <w:szCs w:val="18"/>
          <w:color w:val="auto"/>
        </w:rPr>
      </w:pPr>
    </w:p>
    <w:p>
      <w:pPr>
        <w:jc w:val="both"/>
        <w:ind w:left="520" w:hanging="1295"/>
        <w:spacing w:after="0" w:line="277" w:lineRule="auto"/>
        <w:tabs>
          <w:tab w:leader="none" w:pos="500" w:val="left"/>
        </w:tabs>
        <w:rPr>
          <w:rFonts w:ascii="Arial" w:cs="Arial" w:eastAsia="Arial" w:hAnsi="Arial"/>
          <w:sz w:val="18"/>
          <w:szCs w:val="18"/>
          <w:color w:val="auto"/>
        </w:rPr>
      </w:pPr>
      <w:hyperlink r:id="rId101">
        <w:r>
          <w:rPr>
            <w:rFonts w:ascii="Arial" w:cs="Arial" w:eastAsia="Arial" w:hAnsi="Arial"/>
            <w:sz w:val="18"/>
            <w:szCs w:val="18"/>
            <w:color w:val="auto"/>
          </w:rPr>
          <w:t>*3.3</w:t>
        </w:r>
      </w:hyperlink>
      <w:r>
        <w:rPr>
          <w:rFonts w:ascii="Arial" w:cs="Arial" w:eastAsia="Arial" w:hAnsi="Arial"/>
          <w:sz w:val="18"/>
          <w:szCs w:val="18"/>
          <w:color w:val="auto"/>
        </w:rPr>
        <w:tab/>
      </w:r>
      <w:hyperlink r:id="rId101">
        <w:r>
          <w:rPr>
            <w:rFonts w:ascii="Arial" w:cs="Arial" w:eastAsia="Arial" w:hAnsi="Arial"/>
            <w:sz w:val="18"/>
            <w:szCs w:val="18"/>
            <w:color w:val="auto"/>
          </w:rPr>
          <w:t>Certificate of Designations of 7.00% Series C Fixed-to-Floating Rate Cumulative Redeemable Preferred Stock, incorporated herein by reference to</w:t>
        </w:r>
      </w:hyperlink>
      <w:r>
        <w:rPr>
          <w:rFonts w:ascii="Arial" w:cs="Arial" w:eastAsia="Arial" w:hAnsi="Arial"/>
          <w:sz w:val="18"/>
          <w:szCs w:val="18"/>
          <w:color w:val="auto"/>
        </w:rPr>
        <w:t xml:space="preserve"> </w:t>
      </w:r>
      <w:hyperlink r:id="rId101">
        <w:r>
          <w:rPr>
            <w:rFonts w:ascii="Arial" w:cs="Arial" w:eastAsia="Arial" w:hAnsi="Arial"/>
            <w:sz w:val="18"/>
            <w:szCs w:val="18"/>
            <w:color w:val="auto"/>
          </w:rPr>
          <w:t>Exhibit 3.5 of Form 8-A (File No. 001-34057), filed August 18, 2017.</w:t>
        </w:r>
      </w:hyperlink>
    </w:p>
    <w:p>
      <w:pPr>
        <w:spacing w:after="0" w:line="116" w:lineRule="exact"/>
        <w:rPr>
          <w:rFonts w:ascii="Arial" w:cs="Arial" w:eastAsia="Arial" w:hAnsi="Arial"/>
          <w:sz w:val="18"/>
          <w:szCs w:val="18"/>
          <w:color w:val="auto"/>
        </w:rPr>
      </w:pPr>
    </w:p>
    <w:p>
      <w:pPr>
        <w:jc w:val="both"/>
        <w:ind w:left="500" w:hanging="1295"/>
        <w:spacing w:after="0" w:line="277" w:lineRule="auto"/>
        <w:tabs>
          <w:tab w:leader="none" w:pos="480" w:val="left"/>
        </w:tabs>
        <w:rPr>
          <w:rFonts w:ascii="Arial" w:cs="Arial" w:eastAsia="Arial" w:hAnsi="Arial"/>
          <w:sz w:val="18"/>
          <w:szCs w:val="18"/>
          <w:color w:val="auto"/>
        </w:rPr>
      </w:pPr>
      <w:hyperlink r:id="rId102">
        <w:r>
          <w:rPr>
            <w:rFonts w:ascii="Arial" w:cs="Arial" w:eastAsia="Arial" w:hAnsi="Arial"/>
            <w:sz w:val="18"/>
            <w:szCs w:val="18"/>
            <w:color w:val="auto"/>
          </w:rPr>
          <w:t>*3.4</w:t>
        </w:r>
      </w:hyperlink>
      <w:r>
        <w:rPr>
          <w:rFonts w:ascii="Arial" w:cs="Arial" w:eastAsia="Arial" w:hAnsi="Arial"/>
          <w:sz w:val="18"/>
          <w:szCs w:val="18"/>
          <w:color w:val="auto"/>
        </w:rPr>
        <w:tab/>
      </w:r>
      <w:hyperlink r:id="rId102">
        <w:r>
          <w:rPr>
            <w:rFonts w:ascii="Arial" w:cs="Arial" w:eastAsia="Arial" w:hAnsi="Arial"/>
            <w:sz w:val="18"/>
            <w:szCs w:val="18"/>
            <w:color w:val="auto"/>
          </w:rPr>
          <w:t>Certificate of Elimination of 8.000% Series A Cumulative Redeemable Preferred Stock, incorporated herein by reference to Exhibit 3.1 of Form 8-K</w:t>
        </w:r>
      </w:hyperlink>
      <w:r>
        <w:rPr>
          <w:rFonts w:ascii="Arial" w:cs="Arial" w:eastAsia="Arial" w:hAnsi="Arial"/>
          <w:sz w:val="18"/>
          <w:szCs w:val="18"/>
          <w:color w:val="auto"/>
        </w:rPr>
        <w:t xml:space="preserve"> </w:t>
      </w:r>
      <w:hyperlink r:id="rId102">
        <w:r>
          <w:rPr>
            <w:rFonts w:ascii="Arial" w:cs="Arial" w:eastAsia="Arial" w:hAnsi="Arial"/>
            <w:sz w:val="18"/>
            <w:szCs w:val="18"/>
            <w:color w:val="auto"/>
          </w:rPr>
          <w:t>(File No 001-34057), filed October 26, 2017.</w:t>
        </w:r>
      </w:hyperlink>
    </w:p>
    <w:p>
      <w:pPr>
        <w:spacing w:after="0" w:line="116" w:lineRule="exact"/>
        <w:rPr>
          <w:rFonts w:ascii="Arial" w:cs="Arial" w:eastAsia="Arial" w:hAnsi="Arial"/>
          <w:sz w:val="18"/>
          <w:szCs w:val="18"/>
          <w:color w:val="auto"/>
        </w:rPr>
      </w:pPr>
    </w:p>
    <w:p>
      <w:pPr>
        <w:jc w:val="both"/>
        <w:ind w:left="500" w:hanging="1295"/>
        <w:spacing w:after="0" w:line="277" w:lineRule="auto"/>
        <w:tabs>
          <w:tab w:leader="none" w:pos="480" w:val="left"/>
        </w:tabs>
        <w:rPr>
          <w:rFonts w:ascii="Arial" w:cs="Arial" w:eastAsia="Arial" w:hAnsi="Arial"/>
          <w:sz w:val="18"/>
          <w:szCs w:val="18"/>
          <w:color w:val="auto"/>
        </w:rPr>
      </w:pPr>
      <w:hyperlink r:id="rId103">
        <w:r>
          <w:rPr>
            <w:rFonts w:ascii="Arial" w:cs="Arial" w:eastAsia="Arial" w:hAnsi="Arial"/>
            <w:sz w:val="18"/>
            <w:szCs w:val="18"/>
            <w:color w:val="auto"/>
          </w:rPr>
          <w:t>*3.5</w:t>
        </w:r>
      </w:hyperlink>
      <w:r>
        <w:rPr>
          <w:rFonts w:ascii="Arial" w:cs="Arial" w:eastAsia="Arial" w:hAnsi="Arial"/>
          <w:sz w:val="18"/>
          <w:szCs w:val="18"/>
          <w:color w:val="auto"/>
        </w:rPr>
        <w:tab/>
      </w:r>
      <w:hyperlink r:id="rId103">
        <w:r>
          <w:rPr>
            <w:rFonts w:ascii="Arial" w:cs="Arial" w:eastAsia="Arial" w:hAnsi="Arial"/>
            <w:sz w:val="18"/>
            <w:szCs w:val="18"/>
            <w:color w:val="auto"/>
          </w:rPr>
          <w:t>Certificate of Designations of 6.875% Series D Fixed-to-Floating Rate Cumulative Redeemable Preferred Stock, incorporated herein by reference to</w:t>
        </w:r>
      </w:hyperlink>
      <w:r>
        <w:rPr>
          <w:rFonts w:ascii="Arial" w:cs="Arial" w:eastAsia="Arial" w:hAnsi="Arial"/>
          <w:sz w:val="18"/>
          <w:szCs w:val="18"/>
          <w:color w:val="auto"/>
        </w:rPr>
        <w:t xml:space="preserve"> </w:t>
      </w:r>
      <w:hyperlink r:id="rId103">
        <w:r>
          <w:rPr>
            <w:rFonts w:ascii="Arial" w:cs="Arial" w:eastAsia="Arial" w:hAnsi="Arial"/>
            <w:sz w:val="18"/>
            <w:szCs w:val="18"/>
            <w:color w:val="auto"/>
          </w:rPr>
          <w:t>Exhibit 3.5 of Form 8-A (File No 001-34057), filed March 6,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104">
        <w:r>
          <w:rPr>
            <w:rFonts w:ascii="Arial" w:cs="Arial" w:eastAsia="Arial" w:hAnsi="Arial"/>
            <w:sz w:val="18"/>
            <w:szCs w:val="18"/>
            <w:color w:val="auto"/>
          </w:rPr>
          <w:t>*3.6</w:t>
        </w:r>
      </w:hyperlink>
      <w:r>
        <w:rPr>
          <w:rFonts w:ascii="Arial" w:cs="Arial" w:eastAsia="Arial" w:hAnsi="Arial"/>
          <w:sz w:val="18"/>
          <w:szCs w:val="18"/>
          <w:color w:val="auto"/>
        </w:rPr>
        <w:tab/>
      </w:r>
      <w:hyperlink r:id="rId104">
        <w:r>
          <w:rPr>
            <w:rFonts w:ascii="Arial" w:cs="Arial" w:eastAsia="Arial" w:hAnsi="Arial"/>
            <w:sz w:val="18"/>
            <w:szCs w:val="18"/>
            <w:color w:val="auto"/>
          </w:rPr>
          <w:t>Certificate of Designations of 6.50% Series E Fixed-to-Floating Rate Cumulative Redeemable Preferred Stock, incorporated herein by reference to</w:t>
        </w:r>
      </w:hyperlink>
      <w:r>
        <w:rPr>
          <w:rFonts w:ascii="Arial" w:cs="Arial" w:eastAsia="Arial" w:hAnsi="Arial"/>
          <w:sz w:val="18"/>
          <w:szCs w:val="18"/>
          <w:color w:val="auto"/>
        </w:rPr>
        <w:t xml:space="preserve"> </w:t>
      </w:r>
      <w:hyperlink r:id="rId104">
        <w:r>
          <w:rPr>
            <w:rFonts w:ascii="Arial" w:cs="Arial" w:eastAsia="Arial" w:hAnsi="Arial"/>
            <w:sz w:val="18"/>
            <w:szCs w:val="18"/>
            <w:color w:val="auto"/>
          </w:rPr>
          <w:t>Exhibit 3.6 of Form 8-A (File No 001-34057), filed October 3, 2019.</w:t>
        </w:r>
      </w:hyperlink>
    </w:p>
    <w:p>
      <w:pPr>
        <w:spacing w:after="0" w:line="116" w:lineRule="exact"/>
        <w:rPr>
          <w:rFonts w:ascii="Arial" w:cs="Arial" w:eastAsia="Arial" w:hAnsi="Arial"/>
          <w:sz w:val="18"/>
          <w:szCs w:val="18"/>
          <w:color w:val="auto"/>
        </w:rPr>
      </w:pPr>
    </w:p>
    <w:p>
      <w:pPr>
        <w:jc w:val="both"/>
        <w:ind w:left="500" w:right="20" w:hanging="1295"/>
        <w:spacing w:after="0" w:line="277" w:lineRule="auto"/>
        <w:tabs>
          <w:tab w:leader="none" w:pos="480" w:val="left"/>
        </w:tabs>
        <w:rPr>
          <w:rFonts w:ascii="Arial" w:cs="Arial" w:eastAsia="Arial" w:hAnsi="Arial"/>
          <w:sz w:val="18"/>
          <w:szCs w:val="18"/>
          <w:color w:val="auto"/>
        </w:rPr>
      </w:pPr>
      <w:hyperlink r:id="rId105">
        <w:r>
          <w:rPr>
            <w:rFonts w:ascii="Arial" w:cs="Arial" w:eastAsia="Arial" w:hAnsi="Arial"/>
            <w:sz w:val="18"/>
            <w:szCs w:val="18"/>
            <w:color w:val="auto"/>
          </w:rPr>
          <w:t>*3.7</w:t>
        </w:r>
      </w:hyperlink>
      <w:r>
        <w:rPr>
          <w:rFonts w:ascii="Arial" w:cs="Arial" w:eastAsia="Arial" w:hAnsi="Arial"/>
          <w:sz w:val="18"/>
          <w:szCs w:val="18"/>
          <w:color w:val="auto"/>
        </w:rPr>
        <w:tab/>
      </w:r>
      <w:hyperlink r:id="rId105">
        <w:r>
          <w:rPr>
            <w:rFonts w:ascii="Arial" w:cs="Arial" w:eastAsia="Arial" w:hAnsi="Arial"/>
            <w:sz w:val="18"/>
            <w:szCs w:val="18"/>
            <w:color w:val="auto"/>
          </w:rPr>
          <w:t>Certificate of Elimination of 7.750% Series B Cumulative Redeemable Preferred Stock, incorporated herein by reference to Exhibit 3.1 of Form 8-K</w:t>
        </w:r>
      </w:hyperlink>
      <w:r>
        <w:rPr>
          <w:rFonts w:ascii="Arial" w:cs="Arial" w:eastAsia="Arial" w:hAnsi="Arial"/>
          <w:sz w:val="18"/>
          <w:szCs w:val="18"/>
          <w:color w:val="auto"/>
        </w:rPr>
        <w:t xml:space="preserve"> </w:t>
      </w:r>
      <w:hyperlink r:id="rId105">
        <w:r>
          <w:rPr>
            <w:rFonts w:ascii="Arial" w:cs="Arial" w:eastAsia="Arial" w:hAnsi="Arial"/>
            <w:sz w:val="18"/>
            <w:szCs w:val="18"/>
            <w:color w:val="auto"/>
          </w:rPr>
          <w:t>(File No 001-34057), filed December 13,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106">
        <w:r>
          <w:rPr>
            <w:rFonts w:ascii="Arial" w:cs="Arial" w:eastAsia="Arial" w:hAnsi="Arial"/>
            <w:sz w:val="18"/>
            <w:szCs w:val="18"/>
            <w:color w:val="auto"/>
          </w:rPr>
          <w:t>*3.8</w:t>
        </w:r>
      </w:hyperlink>
      <w:r>
        <w:rPr>
          <w:rFonts w:ascii="Arial" w:cs="Arial" w:eastAsia="Arial" w:hAnsi="Arial"/>
          <w:sz w:val="18"/>
          <w:szCs w:val="18"/>
          <w:color w:val="auto"/>
        </w:rPr>
        <w:tab/>
      </w:r>
      <w:hyperlink r:id="rId106">
        <w:r>
          <w:rPr>
            <w:rFonts w:ascii="Arial" w:cs="Arial" w:eastAsia="Arial" w:hAnsi="Arial"/>
            <w:sz w:val="18"/>
            <w:szCs w:val="18"/>
            <w:color w:val="auto"/>
          </w:rPr>
          <w:t>Certificate of Designations of 6.125% Series F Fixed-to-Floating Rate Cumulative Redeemable Preferred Stock, incorporated herein by reference to</w:t>
        </w:r>
      </w:hyperlink>
      <w:r>
        <w:rPr>
          <w:rFonts w:ascii="Arial" w:cs="Arial" w:eastAsia="Arial" w:hAnsi="Arial"/>
          <w:sz w:val="18"/>
          <w:szCs w:val="18"/>
          <w:color w:val="auto"/>
        </w:rPr>
        <w:t xml:space="preserve"> </w:t>
      </w:r>
      <w:hyperlink r:id="rId106">
        <w:r>
          <w:rPr>
            <w:rFonts w:ascii="Arial" w:cs="Arial" w:eastAsia="Arial" w:hAnsi="Arial"/>
            <w:sz w:val="18"/>
            <w:szCs w:val="18"/>
            <w:color w:val="auto"/>
          </w:rPr>
          <w:t>Exhibit 3.6 of Form 8-A (File No 001-34057), filed February 11, 2020.</w:t>
        </w:r>
      </w:hyperlink>
    </w:p>
    <w:p>
      <w:pPr>
        <w:spacing w:after="0" w:line="116" w:lineRule="exact"/>
        <w:rPr>
          <w:rFonts w:ascii="Arial" w:cs="Arial" w:eastAsia="Arial" w:hAnsi="Arial"/>
          <w:sz w:val="18"/>
          <w:szCs w:val="18"/>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107">
        <w:r>
          <w:rPr>
            <w:rFonts w:ascii="Arial" w:cs="Arial" w:eastAsia="Arial" w:hAnsi="Arial"/>
            <w:sz w:val="18"/>
            <w:szCs w:val="18"/>
            <w:color w:val="auto"/>
          </w:rPr>
          <w:t>*4.1</w:t>
        </w:r>
      </w:hyperlink>
      <w:r>
        <w:rPr>
          <w:rFonts w:ascii="Arial" w:cs="Arial" w:eastAsia="Arial" w:hAnsi="Arial"/>
          <w:sz w:val="18"/>
          <w:szCs w:val="18"/>
          <w:color w:val="auto"/>
        </w:rPr>
        <w:tab/>
      </w:r>
      <w:hyperlink r:id="rId107">
        <w:r>
          <w:rPr>
            <w:rFonts w:ascii="Arial" w:cs="Arial" w:eastAsia="Arial" w:hAnsi="Arial"/>
            <w:sz w:val="18"/>
            <w:szCs w:val="18"/>
            <w:color w:val="auto"/>
          </w:rPr>
          <w:t>Instruments defining the rights of holders of securities: See Article IV of our Amended and Restated Certificate of Incorporation, as amended,</w:t>
        </w:r>
      </w:hyperlink>
      <w:r>
        <w:rPr>
          <w:rFonts w:ascii="Arial" w:cs="Arial" w:eastAsia="Arial" w:hAnsi="Arial"/>
          <w:sz w:val="18"/>
          <w:szCs w:val="18"/>
          <w:color w:val="auto"/>
        </w:rPr>
        <w:t xml:space="preserve"> </w:t>
      </w:r>
      <w:hyperlink r:id="rId107">
        <w:r>
          <w:rPr>
            <w:rFonts w:ascii="Arial" w:cs="Arial" w:eastAsia="Arial" w:hAnsi="Arial"/>
            <w:sz w:val="18"/>
            <w:szCs w:val="18"/>
            <w:color w:val="auto"/>
          </w:rPr>
          <w:t>incorporated herein by reference to Exhibit 3.1 of Form 10-Q for the quarter ended March 31, 2018 (File No. 001-34057) filed May 7,</w:t>
        </w:r>
      </w:hyperlink>
      <w:r>
        <w:rPr>
          <w:rFonts w:ascii="Arial" w:cs="Arial" w:eastAsia="Arial" w:hAnsi="Arial"/>
          <w:sz w:val="18"/>
          <w:szCs w:val="18"/>
          <w:color w:val="auto"/>
        </w:rPr>
        <w:t xml:space="preserve"> </w:t>
      </w:r>
      <w:hyperlink r:id="rId107">
        <w:r>
          <w:rPr>
            <w:rFonts w:ascii="Arial" w:cs="Arial" w:eastAsia="Arial" w:hAnsi="Arial"/>
            <w:sz w:val="18"/>
            <w:szCs w:val="18"/>
            <w:color w:val="auto"/>
          </w:rPr>
          <w:t>2018.</w:t>
        </w:r>
      </w:hyperlink>
    </w:p>
    <w:p>
      <w:pPr>
        <w:spacing w:after="0" w:line="130" w:lineRule="exact"/>
        <w:rPr>
          <w:rFonts w:ascii="Arial" w:cs="Arial" w:eastAsia="Arial" w:hAnsi="Arial"/>
          <w:sz w:val="18"/>
          <w:szCs w:val="18"/>
          <w:color w:val="auto"/>
        </w:rPr>
      </w:pPr>
    </w:p>
    <w:p>
      <w:pPr>
        <w:jc w:val="both"/>
        <w:ind w:left="500" w:right="20" w:hanging="1295"/>
        <w:spacing w:after="0" w:line="308" w:lineRule="auto"/>
        <w:tabs>
          <w:tab w:leader="none" w:pos="480" w:val="left"/>
        </w:tabs>
        <w:rPr>
          <w:rFonts w:ascii="Arial" w:cs="Arial" w:eastAsia="Arial" w:hAnsi="Arial"/>
          <w:sz w:val="17"/>
          <w:szCs w:val="17"/>
          <w:color w:val="auto"/>
        </w:rPr>
      </w:pPr>
      <w:hyperlink r:id="rId100">
        <w:r>
          <w:rPr>
            <w:rFonts w:ascii="Arial" w:cs="Arial" w:eastAsia="Arial" w:hAnsi="Arial"/>
            <w:sz w:val="18"/>
            <w:szCs w:val="18"/>
            <w:color w:val="auto"/>
          </w:rPr>
          <w:t>*4.2</w:t>
        </w:r>
      </w:hyperlink>
      <w:r>
        <w:rPr>
          <w:rFonts w:ascii="Arial" w:cs="Arial" w:eastAsia="Arial" w:hAnsi="Arial"/>
          <w:sz w:val="18"/>
          <w:szCs w:val="18"/>
          <w:color w:val="auto"/>
        </w:rPr>
        <w:tab/>
      </w:r>
      <w:hyperlink r:id="rId100">
        <w:r>
          <w:rPr>
            <w:rFonts w:ascii="Arial" w:cs="Arial" w:eastAsia="Arial" w:hAnsi="Arial"/>
            <w:sz w:val="17"/>
            <w:szCs w:val="17"/>
            <w:color w:val="auto"/>
          </w:rPr>
          <w:t>Instruments defining the rights of holders of securities: See Article VI of our Third Amended and Restated Bylaws, as amended, incorporated herein</w:t>
        </w:r>
      </w:hyperlink>
      <w:r>
        <w:rPr>
          <w:rFonts w:ascii="Arial" w:cs="Arial" w:eastAsia="Arial" w:hAnsi="Arial"/>
          <w:sz w:val="17"/>
          <w:szCs w:val="17"/>
          <w:color w:val="auto"/>
        </w:rPr>
        <w:t xml:space="preserve"> </w:t>
      </w:r>
      <w:hyperlink r:id="rId100">
        <w:r>
          <w:rPr>
            <w:rFonts w:ascii="Arial" w:cs="Arial" w:eastAsia="Arial" w:hAnsi="Arial"/>
            <w:sz w:val="17"/>
            <w:szCs w:val="17"/>
            <w:color w:val="auto"/>
          </w:rPr>
          <w:t>by reference to Exhibit 3.2 of Form 10-Q for the quarter ended September 30, 2016 (File No. 001-34057) filed November 7, 2016.</w:t>
        </w:r>
      </w:hyperlink>
    </w:p>
    <w:p>
      <w:pPr>
        <w:spacing w:after="0" w:line="92" w:lineRule="exact"/>
        <w:rPr>
          <w:rFonts w:ascii="Arial" w:cs="Arial" w:eastAsia="Arial" w:hAnsi="Arial"/>
          <w:sz w:val="18"/>
          <w:szCs w:val="18"/>
          <w:color w:val="auto"/>
        </w:rPr>
      </w:pPr>
    </w:p>
    <w:p>
      <w:pPr>
        <w:jc w:val="both"/>
        <w:ind w:left="560" w:hanging="1295"/>
        <w:spacing w:after="0" w:line="277" w:lineRule="auto"/>
        <w:tabs>
          <w:tab w:leader="none" w:pos="540" w:val="left"/>
        </w:tabs>
        <w:rPr>
          <w:rFonts w:ascii="Arial" w:cs="Arial" w:eastAsia="Arial" w:hAnsi="Arial"/>
          <w:sz w:val="18"/>
          <w:szCs w:val="18"/>
          <w:color w:val="auto"/>
        </w:rPr>
      </w:pPr>
      <w:hyperlink r:id="rId108">
        <w:r>
          <w:rPr>
            <w:rFonts w:ascii="Arial" w:cs="Arial" w:eastAsia="Arial" w:hAnsi="Arial"/>
            <w:sz w:val="18"/>
            <w:szCs w:val="18"/>
            <w:color w:val="auto"/>
          </w:rPr>
          <w:t>*4.3</w:t>
        </w:r>
      </w:hyperlink>
      <w:r>
        <w:rPr>
          <w:rFonts w:ascii="Arial" w:cs="Arial" w:eastAsia="Arial" w:hAnsi="Arial"/>
          <w:sz w:val="18"/>
          <w:szCs w:val="18"/>
          <w:color w:val="auto"/>
        </w:rPr>
        <w:tab/>
      </w:r>
      <w:hyperlink r:id="rId108">
        <w:r>
          <w:rPr>
            <w:rFonts w:ascii="Arial" w:cs="Arial" w:eastAsia="Arial" w:hAnsi="Arial"/>
            <w:sz w:val="18"/>
            <w:szCs w:val="18"/>
            <w:color w:val="auto"/>
          </w:rPr>
          <w:t>Form of Certificate for Common Stock, incorporated herein by reference to Exhibit 4.3 of Form 10-Q for the quarter ended September 30, 2016</w:t>
        </w:r>
      </w:hyperlink>
      <w:r>
        <w:rPr>
          <w:rFonts w:ascii="Arial" w:cs="Arial" w:eastAsia="Arial" w:hAnsi="Arial"/>
          <w:sz w:val="18"/>
          <w:szCs w:val="18"/>
          <w:color w:val="auto"/>
        </w:rPr>
        <w:t xml:space="preserve"> </w:t>
      </w:r>
      <w:hyperlink r:id="rId108">
        <w:r>
          <w:rPr>
            <w:rFonts w:ascii="Arial" w:cs="Arial" w:eastAsia="Arial" w:hAnsi="Arial"/>
            <w:sz w:val="18"/>
            <w:szCs w:val="18"/>
            <w:color w:val="auto"/>
          </w:rPr>
          <w:t>(File No. 001-34057), filed November 7, 2016.</w:t>
        </w:r>
      </w:hyperlink>
    </w:p>
    <w:p>
      <w:pPr>
        <w:spacing w:after="0" w:line="116" w:lineRule="exact"/>
        <w:rPr>
          <w:rFonts w:ascii="Arial" w:cs="Arial" w:eastAsia="Arial" w:hAnsi="Arial"/>
          <w:sz w:val="18"/>
          <w:szCs w:val="18"/>
          <w:color w:val="auto"/>
        </w:rPr>
      </w:pPr>
    </w:p>
    <w:p>
      <w:pPr>
        <w:spacing w:after="0"/>
        <w:tabs>
          <w:tab w:leader="none" w:pos="500" w:val="left"/>
        </w:tabs>
        <w:rPr>
          <w:rFonts w:ascii="Arial" w:cs="Arial" w:eastAsia="Arial" w:hAnsi="Arial"/>
          <w:sz w:val="16"/>
          <w:szCs w:val="16"/>
          <w:color w:val="auto"/>
        </w:rPr>
      </w:pPr>
      <w:hyperlink r:id="rId109">
        <w:r>
          <w:rPr>
            <w:rFonts w:ascii="Arial" w:cs="Arial" w:eastAsia="Arial" w:hAnsi="Arial"/>
            <w:sz w:val="18"/>
            <w:szCs w:val="18"/>
            <w:color w:val="auto"/>
          </w:rPr>
          <w:t>*4.4</w:t>
        </w:r>
      </w:hyperlink>
      <w:r>
        <w:rPr>
          <w:rFonts w:ascii="Arial" w:cs="Arial" w:eastAsia="Arial" w:hAnsi="Arial"/>
          <w:sz w:val="18"/>
          <w:szCs w:val="18"/>
          <w:color w:val="auto"/>
        </w:rPr>
        <w:tab/>
      </w:r>
      <w:hyperlink r:id="rId109">
        <w:r>
          <w:rPr>
            <w:rFonts w:ascii="Arial" w:cs="Arial" w:eastAsia="Arial" w:hAnsi="Arial"/>
            <w:sz w:val="16"/>
            <w:szCs w:val="16"/>
            <w:color w:val="auto"/>
          </w:rPr>
          <w:t>Specimen 7.00% Series C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109">
        <w:r>
          <w:rPr>
            <w:rFonts w:ascii="Arial" w:cs="Arial" w:eastAsia="Arial" w:hAnsi="Arial"/>
            <w:sz w:val="18"/>
            <w:szCs w:val="18"/>
            <w:color w:val="auto"/>
          </w:rPr>
          <w:t>4.1 of Form 8-A (File No. 001-34057), filed August 18, 2017.</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110">
        <w:r>
          <w:rPr>
            <w:rFonts w:ascii="Arial" w:cs="Arial" w:eastAsia="Arial" w:hAnsi="Arial"/>
            <w:sz w:val="18"/>
            <w:szCs w:val="18"/>
            <w:color w:val="auto"/>
          </w:rPr>
          <w:t>*4.5</w:t>
        </w:r>
      </w:hyperlink>
      <w:r>
        <w:rPr>
          <w:rFonts w:ascii="Arial" w:cs="Arial" w:eastAsia="Arial" w:hAnsi="Arial"/>
          <w:sz w:val="18"/>
          <w:szCs w:val="18"/>
          <w:color w:val="auto"/>
        </w:rPr>
        <w:tab/>
      </w:r>
      <w:hyperlink r:id="rId110">
        <w:r>
          <w:rPr>
            <w:rFonts w:ascii="Arial" w:cs="Arial" w:eastAsia="Arial" w:hAnsi="Arial"/>
            <w:sz w:val="16"/>
            <w:szCs w:val="16"/>
            <w:color w:val="auto"/>
          </w:rPr>
          <w:t>Specimen 6.875% Series D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110">
        <w:r>
          <w:rPr>
            <w:rFonts w:ascii="Arial" w:cs="Arial" w:eastAsia="Arial" w:hAnsi="Arial"/>
            <w:sz w:val="18"/>
            <w:szCs w:val="18"/>
            <w:color w:val="auto"/>
          </w:rPr>
          <w:t>4.1 of Form 8-A (File No. 001-34057), filed March 6, 2019.</w:t>
        </w:r>
      </w:hyperlink>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4" w:name="page85"/>
    <w:bookmarkEnd w:id="84"/>
    <w:p>
      <w:pPr>
        <w:spacing w:after="0"/>
        <w:tabs>
          <w:tab w:leader="none" w:pos="520" w:val="left"/>
        </w:tabs>
        <w:rPr>
          <w:rFonts w:ascii="Arial" w:cs="Arial" w:eastAsia="Arial" w:hAnsi="Arial"/>
          <w:sz w:val="16"/>
          <w:szCs w:val="16"/>
          <w:color w:val="auto"/>
        </w:rPr>
      </w:pPr>
      <w:hyperlink r:id="rId112">
        <w:r>
          <w:rPr>
            <w:rFonts w:ascii="Arial" w:cs="Arial" w:eastAsia="Arial" w:hAnsi="Arial"/>
            <w:sz w:val="18"/>
            <w:szCs w:val="18"/>
            <w:color w:val="auto"/>
          </w:rPr>
          <w:t>*4.6</w:t>
        </w:r>
      </w:hyperlink>
      <w:r>
        <w:rPr>
          <w:rFonts w:ascii="Arial" w:cs="Arial" w:eastAsia="Arial" w:hAnsi="Arial"/>
          <w:sz w:val="18"/>
          <w:szCs w:val="18"/>
          <w:color w:val="auto"/>
        </w:rPr>
        <w:tab/>
      </w:r>
      <w:hyperlink r:id="rId112">
        <w:r>
          <w:rPr>
            <w:rFonts w:ascii="Arial" w:cs="Arial" w:eastAsia="Arial" w:hAnsi="Arial"/>
            <w:sz w:val="16"/>
            <w:szCs w:val="16"/>
            <w:color w:val="auto"/>
          </w:rPr>
          <w:t>Specimen 6.50% Series E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112">
        <w:r>
          <w:rPr>
            <w:rFonts w:ascii="Arial" w:cs="Arial" w:eastAsia="Arial" w:hAnsi="Arial"/>
            <w:sz w:val="18"/>
            <w:szCs w:val="18"/>
            <w:color w:val="auto"/>
          </w:rPr>
          <w:t>4.1 of Form 8-A (File No. 001-34057), filed October 3, 2019.</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113">
        <w:r>
          <w:rPr>
            <w:rFonts w:ascii="Arial" w:cs="Arial" w:eastAsia="Arial" w:hAnsi="Arial"/>
            <w:sz w:val="18"/>
            <w:szCs w:val="18"/>
            <w:color w:val="auto"/>
          </w:rPr>
          <w:t>*4.7</w:t>
        </w:r>
      </w:hyperlink>
      <w:r>
        <w:rPr>
          <w:rFonts w:ascii="Arial" w:cs="Arial" w:eastAsia="Arial" w:hAnsi="Arial"/>
          <w:sz w:val="18"/>
          <w:szCs w:val="18"/>
          <w:color w:val="auto"/>
        </w:rPr>
        <w:tab/>
      </w:r>
      <w:hyperlink r:id="rId113">
        <w:r>
          <w:rPr>
            <w:rFonts w:ascii="Arial" w:cs="Arial" w:eastAsia="Arial" w:hAnsi="Arial"/>
            <w:sz w:val="16"/>
            <w:szCs w:val="16"/>
            <w:color w:val="auto"/>
          </w:rPr>
          <w:t>Specimen 6.125% Series F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113">
        <w:r>
          <w:rPr>
            <w:rFonts w:ascii="Arial" w:cs="Arial" w:eastAsia="Arial" w:hAnsi="Arial"/>
            <w:sz w:val="18"/>
            <w:szCs w:val="18"/>
            <w:color w:val="auto"/>
          </w:rPr>
          <w:t>4.1 of Form 8-A (File No 001-34057), filed February 11, 2020.</w:t>
        </w:r>
      </w:hyperlink>
    </w:p>
    <w:p>
      <w:pPr>
        <w:spacing w:after="0" w:line="157" w:lineRule="exact"/>
        <w:rPr>
          <w:sz w:val="20"/>
          <w:szCs w:val="20"/>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114">
        <w:r>
          <w:rPr>
            <w:rFonts w:ascii="Arial" w:cs="Arial" w:eastAsia="Arial" w:hAnsi="Arial"/>
            <w:sz w:val="18"/>
            <w:szCs w:val="18"/>
            <w:color w:val="auto"/>
          </w:rPr>
          <w:t>*4.8</w:t>
        </w:r>
      </w:hyperlink>
      <w:r>
        <w:rPr>
          <w:rFonts w:ascii="Arial" w:cs="Arial" w:eastAsia="Arial" w:hAnsi="Arial"/>
          <w:sz w:val="18"/>
          <w:szCs w:val="18"/>
          <w:color w:val="auto"/>
        </w:rPr>
        <w:tab/>
      </w:r>
      <w:hyperlink r:id="rId114">
        <w:r>
          <w:rPr>
            <w:rFonts w:ascii="Arial" w:cs="Arial" w:eastAsia="Arial" w:hAnsi="Arial"/>
            <w:sz w:val="18"/>
            <w:szCs w:val="18"/>
            <w:color w:val="auto"/>
          </w:rPr>
          <w:t>Deposit Agreement relating to 7.00% Series C Fixed-to-Floating Rate Cumulative Redeemable Preferred Stock, dated August 22, 2017, among</w:t>
        </w:r>
      </w:hyperlink>
      <w:r>
        <w:rPr>
          <w:rFonts w:ascii="Arial" w:cs="Arial" w:eastAsia="Arial" w:hAnsi="Arial"/>
          <w:sz w:val="18"/>
          <w:szCs w:val="18"/>
          <w:color w:val="auto"/>
        </w:rPr>
        <w:t xml:space="preserve"> </w:t>
      </w:r>
      <w:hyperlink r:id="rId114">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114">
        <w:r>
          <w:rPr>
            <w:rFonts w:ascii="Arial" w:cs="Arial" w:eastAsia="Arial" w:hAnsi="Arial"/>
            <w:sz w:val="18"/>
            <w:szCs w:val="18"/>
            <w:color w:val="auto"/>
          </w:rPr>
          <w:t>reference to Exhibit 4.2 of Form 8-K (File No. 001-34057) filed August 22, 2017.</w:t>
        </w:r>
      </w:hyperlink>
    </w:p>
    <w:p>
      <w:pPr>
        <w:spacing w:after="0" w:line="130" w:lineRule="exact"/>
        <w:rPr>
          <w:rFonts w:ascii="Arial" w:cs="Arial" w:eastAsia="Arial" w:hAnsi="Arial"/>
          <w:sz w:val="18"/>
          <w:szCs w:val="18"/>
          <w:color w:val="auto"/>
        </w:rPr>
      </w:pPr>
    </w:p>
    <w:p>
      <w:pPr>
        <w:jc w:val="both"/>
        <w:ind w:left="540" w:hanging="1295"/>
        <w:spacing w:after="0" w:line="263" w:lineRule="auto"/>
        <w:tabs>
          <w:tab w:leader="none" w:pos="520" w:val="left"/>
        </w:tabs>
        <w:rPr>
          <w:rFonts w:ascii="Arial" w:cs="Arial" w:eastAsia="Arial" w:hAnsi="Arial"/>
          <w:sz w:val="18"/>
          <w:szCs w:val="18"/>
          <w:color w:val="auto"/>
        </w:rPr>
      </w:pPr>
      <w:hyperlink r:id="rId114">
        <w:r>
          <w:rPr>
            <w:rFonts w:ascii="Arial" w:cs="Arial" w:eastAsia="Arial" w:hAnsi="Arial"/>
            <w:sz w:val="18"/>
            <w:szCs w:val="18"/>
            <w:color w:val="auto"/>
          </w:rPr>
          <w:t>*4.9</w:t>
        </w:r>
      </w:hyperlink>
      <w:r>
        <w:rPr>
          <w:rFonts w:ascii="Arial" w:cs="Arial" w:eastAsia="Arial" w:hAnsi="Arial"/>
          <w:sz w:val="18"/>
          <w:szCs w:val="18"/>
          <w:color w:val="auto"/>
        </w:rPr>
        <w:tab/>
      </w:r>
      <w:hyperlink r:id="rId114">
        <w:r>
          <w:rPr>
            <w:rFonts w:ascii="Arial" w:cs="Arial" w:eastAsia="Arial" w:hAnsi="Arial"/>
            <w:sz w:val="18"/>
            <w:szCs w:val="18"/>
            <w:color w:val="auto"/>
          </w:rPr>
          <w:t>Form of Depositary Receipt representing 1/1,000th of a share of 7.00% Series C Fixed-to-Floating Rate Cumulative Redeemable Preferred Stock</w:t>
        </w:r>
      </w:hyperlink>
      <w:r>
        <w:rPr>
          <w:rFonts w:ascii="Arial" w:cs="Arial" w:eastAsia="Arial" w:hAnsi="Arial"/>
          <w:sz w:val="18"/>
          <w:szCs w:val="18"/>
          <w:color w:val="auto"/>
        </w:rPr>
        <w:t xml:space="preserve"> </w:t>
      </w:r>
      <w:hyperlink r:id="rId114">
        <w:r>
          <w:rPr>
            <w:rFonts w:ascii="Arial" w:cs="Arial" w:eastAsia="Arial" w:hAnsi="Arial"/>
            <w:sz w:val="18"/>
            <w:szCs w:val="18"/>
            <w:color w:val="auto"/>
          </w:rPr>
          <w:t>(included as part of Exhibit 4.8), incorporated herein by reference to Exhibit A of Exhibit 4.2 of Form 8-K (File No. 001-34057) filed</w:t>
        </w:r>
      </w:hyperlink>
      <w:r>
        <w:rPr>
          <w:rFonts w:ascii="Arial" w:cs="Arial" w:eastAsia="Arial" w:hAnsi="Arial"/>
          <w:sz w:val="18"/>
          <w:szCs w:val="18"/>
          <w:color w:val="auto"/>
        </w:rPr>
        <w:t xml:space="preserve"> </w:t>
      </w:r>
      <w:hyperlink r:id="rId114">
        <w:r>
          <w:rPr>
            <w:rFonts w:ascii="Arial" w:cs="Arial" w:eastAsia="Arial" w:hAnsi="Arial"/>
            <w:sz w:val="18"/>
            <w:szCs w:val="18"/>
            <w:color w:val="auto"/>
          </w:rPr>
          <w:t>August 22, 2017.</w:t>
        </w:r>
      </w:hyperlink>
    </w:p>
    <w:p>
      <w:pPr>
        <w:spacing w:after="0" w:line="130" w:lineRule="exact"/>
        <w:rPr>
          <w:rFonts w:ascii="Arial" w:cs="Arial" w:eastAsia="Arial" w:hAnsi="Arial"/>
          <w:sz w:val="18"/>
          <w:szCs w:val="18"/>
          <w:color w:val="auto"/>
        </w:rPr>
      </w:pPr>
    </w:p>
    <w:p>
      <w:pPr>
        <w:jc w:val="both"/>
        <w:ind w:left="660" w:hanging="1295"/>
        <w:spacing w:after="0" w:line="263" w:lineRule="auto"/>
        <w:tabs>
          <w:tab w:leader="none" w:pos="640" w:val="left"/>
        </w:tabs>
        <w:rPr>
          <w:rFonts w:ascii="Arial" w:cs="Arial" w:eastAsia="Arial" w:hAnsi="Arial"/>
          <w:sz w:val="18"/>
          <w:szCs w:val="18"/>
          <w:color w:val="auto"/>
        </w:rPr>
      </w:pPr>
      <w:hyperlink r:id="rId115">
        <w:r>
          <w:rPr>
            <w:rFonts w:ascii="Arial" w:cs="Arial" w:eastAsia="Arial" w:hAnsi="Arial"/>
            <w:sz w:val="18"/>
            <w:szCs w:val="18"/>
            <w:color w:val="auto"/>
          </w:rPr>
          <w:t>*4.10</w:t>
        </w:r>
      </w:hyperlink>
      <w:r>
        <w:rPr>
          <w:rFonts w:ascii="Arial" w:cs="Arial" w:eastAsia="Arial" w:hAnsi="Arial"/>
          <w:sz w:val="18"/>
          <w:szCs w:val="18"/>
          <w:color w:val="auto"/>
        </w:rPr>
        <w:tab/>
      </w:r>
      <w:hyperlink r:id="rId115">
        <w:r>
          <w:rPr>
            <w:rFonts w:ascii="Arial" w:cs="Arial" w:eastAsia="Arial" w:hAnsi="Arial"/>
            <w:sz w:val="18"/>
            <w:szCs w:val="18"/>
            <w:color w:val="auto"/>
          </w:rPr>
          <w:t>Deposit Agreement relating to 6.875% Series D Fixed-to-Floating Rate Cumulative Redeemable Preferred Stock, dated March 6, 2019, among</w:t>
        </w:r>
      </w:hyperlink>
      <w:r>
        <w:rPr>
          <w:rFonts w:ascii="Arial" w:cs="Arial" w:eastAsia="Arial" w:hAnsi="Arial"/>
          <w:sz w:val="18"/>
          <w:szCs w:val="18"/>
          <w:color w:val="auto"/>
        </w:rPr>
        <w:t xml:space="preserve"> </w:t>
      </w:r>
      <w:hyperlink r:id="rId115">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115">
        <w:r>
          <w:rPr>
            <w:rFonts w:ascii="Arial" w:cs="Arial" w:eastAsia="Arial" w:hAnsi="Arial"/>
            <w:sz w:val="18"/>
            <w:szCs w:val="18"/>
            <w:color w:val="auto"/>
          </w:rPr>
          <w:t>reference to Exhibit 4.2 of Form 8-K (File No. 001-34057) filed March 6, 2019.</w:t>
        </w:r>
      </w:hyperlink>
    </w:p>
    <w:p>
      <w:pPr>
        <w:spacing w:after="0" w:line="130" w:lineRule="exact"/>
        <w:rPr>
          <w:rFonts w:ascii="Arial" w:cs="Arial" w:eastAsia="Arial" w:hAnsi="Arial"/>
          <w:sz w:val="18"/>
          <w:szCs w:val="18"/>
          <w:color w:val="auto"/>
        </w:rPr>
      </w:pPr>
    </w:p>
    <w:p>
      <w:pPr>
        <w:jc w:val="both"/>
        <w:ind w:left="600" w:hanging="1295"/>
        <w:spacing w:after="0" w:line="263" w:lineRule="auto"/>
        <w:tabs>
          <w:tab w:leader="none" w:pos="580" w:val="left"/>
        </w:tabs>
        <w:rPr>
          <w:rFonts w:ascii="Arial" w:cs="Arial" w:eastAsia="Arial" w:hAnsi="Arial"/>
          <w:sz w:val="18"/>
          <w:szCs w:val="18"/>
          <w:color w:val="auto"/>
        </w:rPr>
      </w:pPr>
      <w:hyperlink r:id="rId115">
        <w:r>
          <w:rPr>
            <w:rFonts w:ascii="Arial" w:cs="Arial" w:eastAsia="Arial" w:hAnsi="Arial"/>
            <w:sz w:val="18"/>
            <w:szCs w:val="18"/>
            <w:color w:val="auto"/>
          </w:rPr>
          <w:t>*4.11</w:t>
        </w:r>
      </w:hyperlink>
      <w:r>
        <w:rPr>
          <w:rFonts w:ascii="Arial" w:cs="Arial" w:eastAsia="Arial" w:hAnsi="Arial"/>
          <w:sz w:val="18"/>
          <w:szCs w:val="18"/>
          <w:color w:val="auto"/>
        </w:rPr>
        <w:tab/>
      </w:r>
      <w:hyperlink r:id="rId115">
        <w:r>
          <w:rPr>
            <w:rFonts w:ascii="Arial" w:cs="Arial" w:eastAsia="Arial" w:hAnsi="Arial"/>
            <w:sz w:val="18"/>
            <w:szCs w:val="18"/>
            <w:color w:val="auto"/>
          </w:rPr>
          <w:t>Form of Depositary Receipt representing 1/1,000th of a share of 6.875% Series D Fixed-to-Floating Rate Cumulative Redeemable Preferred Stock</w:t>
        </w:r>
      </w:hyperlink>
      <w:r>
        <w:rPr>
          <w:rFonts w:ascii="Arial" w:cs="Arial" w:eastAsia="Arial" w:hAnsi="Arial"/>
          <w:sz w:val="18"/>
          <w:szCs w:val="18"/>
          <w:color w:val="auto"/>
        </w:rPr>
        <w:t xml:space="preserve"> </w:t>
      </w:r>
      <w:hyperlink r:id="rId115">
        <w:r>
          <w:rPr>
            <w:rFonts w:ascii="Arial" w:cs="Arial" w:eastAsia="Arial" w:hAnsi="Arial"/>
            <w:sz w:val="18"/>
            <w:szCs w:val="18"/>
            <w:color w:val="auto"/>
          </w:rPr>
          <w:t>(included as part of Exhibit 4.10), incorporated herein by reference to Exhibit A of Exhibit 4.2 of Form 8-K (File No. 001-34057) filed</w:t>
        </w:r>
      </w:hyperlink>
      <w:r>
        <w:rPr>
          <w:rFonts w:ascii="Arial" w:cs="Arial" w:eastAsia="Arial" w:hAnsi="Arial"/>
          <w:sz w:val="18"/>
          <w:szCs w:val="18"/>
          <w:color w:val="auto"/>
        </w:rPr>
        <w:t xml:space="preserve"> </w:t>
      </w:r>
      <w:hyperlink r:id="rId115">
        <w:r>
          <w:rPr>
            <w:rFonts w:ascii="Arial" w:cs="Arial" w:eastAsia="Arial" w:hAnsi="Arial"/>
            <w:sz w:val="18"/>
            <w:szCs w:val="18"/>
            <w:color w:val="auto"/>
          </w:rPr>
          <w:t>March 6, 2019.</w:t>
        </w:r>
      </w:hyperlink>
    </w:p>
    <w:p>
      <w:pPr>
        <w:spacing w:after="0" w:line="130" w:lineRule="exact"/>
        <w:rPr>
          <w:rFonts w:ascii="Arial" w:cs="Arial" w:eastAsia="Arial" w:hAnsi="Arial"/>
          <w:sz w:val="18"/>
          <w:szCs w:val="18"/>
          <w:color w:val="auto"/>
        </w:rPr>
      </w:pPr>
    </w:p>
    <w:p>
      <w:pPr>
        <w:jc w:val="both"/>
        <w:ind w:left="600" w:right="320" w:hanging="1295"/>
        <w:spacing w:after="0" w:line="263" w:lineRule="auto"/>
        <w:tabs>
          <w:tab w:leader="none" w:pos="580" w:val="left"/>
        </w:tabs>
        <w:rPr>
          <w:rFonts w:ascii="Arial" w:cs="Arial" w:eastAsia="Arial" w:hAnsi="Arial"/>
          <w:sz w:val="18"/>
          <w:szCs w:val="18"/>
          <w:color w:val="auto"/>
        </w:rPr>
      </w:pPr>
      <w:hyperlink r:id="rId116">
        <w:r>
          <w:rPr>
            <w:rFonts w:ascii="Arial" w:cs="Arial" w:eastAsia="Arial" w:hAnsi="Arial"/>
            <w:sz w:val="18"/>
            <w:szCs w:val="18"/>
            <w:color w:val="auto"/>
          </w:rPr>
          <w:t>*4.12</w:t>
        </w:r>
      </w:hyperlink>
      <w:r>
        <w:rPr>
          <w:rFonts w:ascii="Arial" w:cs="Arial" w:eastAsia="Arial" w:hAnsi="Arial"/>
          <w:sz w:val="18"/>
          <w:szCs w:val="18"/>
          <w:color w:val="auto"/>
        </w:rPr>
        <w:tab/>
      </w:r>
      <w:hyperlink r:id="rId116">
        <w:r>
          <w:rPr>
            <w:rFonts w:ascii="Arial" w:cs="Arial" w:eastAsia="Arial" w:hAnsi="Arial"/>
            <w:sz w:val="18"/>
            <w:szCs w:val="18"/>
            <w:color w:val="auto"/>
          </w:rPr>
          <w:t>Deposit Agreement relating to 6.50% Series E Fixed-to-Floating Rate Cumulative Redeemable Preferred Stock, dated October 3, 2019, among</w:t>
        </w:r>
      </w:hyperlink>
      <w:r>
        <w:rPr>
          <w:rFonts w:ascii="Arial" w:cs="Arial" w:eastAsia="Arial" w:hAnsi="Arial"/>
          <w:sz w:val="18"/>
          <w:szCs w:val="18"/>
          <w:color w:val="auto"/>
        </w:rPr>
        <w:t xml:space="preserve"> </w:t>
      </w:r>
      <w:hyperlink r:id="rId116">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116">
        <w:r>
          <w:rPr>
            <w:rFonts w:ascii="Arial" w:cs="Arial" w:eastAsia="Arial" w:hAnsi="Arial"/>
            <w:sz w:val="18"/>
            <w:szCs w:val="18"/>
            <w:color w:val="auto"/>
          </w:rPr>
          <w:t>reference to Exhibit 4.2 of Form 8-K (File No. 001-34057) filed October 3, 2019.</w:t>
        </w:r>
      </w:hyperlink>
    </w:p>
    <w:p>
      <w:pPr>
        <w:spacing w:after="0" w:line="130" w:lineRule="exact"/>
        <w:rPr>
          <w:rFonts w:ascii="Arial" w:cs="Arial" w:eastAsia="Arial" w:hAnsi="Arial"/>
          <w:sz w:val="18"/>
          <w:szCs w:val="18"/>
          <w:color w:val="auto"/>
        </w:rPr>
      </w:pPr>
    </w:p>
    <w:p>
      <w:pPr>
        <w:jc w:val="both"/>
        <w:ind w:left="600" w:right="200" w:hanging="1295"/>
        <w:spacing w:after="0" w:line="263" w:lineRule="auto"/>
        <w:tabs>
          <w:tab w:leader="none" w:pos="580" w:val="left"/>
        </w:tabs>
        <w:rPr>
          <w:rFonts w:ascii="Arial" w:cs="Arial" w:eastAsia="Arial" w:hAnsi="Arial"/>
          <w:sz w:val="18"/>
          <w:szCs w:val="18"/>
          <w:color w:val="auto"/>
        </w:rPr>
      </w:pPr>
      <w:hyperlink r:id="rId116">
        <w:r>
          <w:rPr>
            <w:rFonts w:ascii="Arial" w:cs="Arial" w:eastAsia="Arial" w:hAnsi="Arial"/>
            <w:sz w:val="18"/>
            <w:szCs w:val="18"/>
            <w:color w:val="auto"/>
          </w:rPr>
          <w:t>*4.13</w:t>
        </w:r>
      </w:hyperlink>
      <w:r>
        <w:rPr>
          <w:rFonts w:ascii="Arial" w:cs="Arial" w:eastAsia="Arial" w:hAnsi="Arial"/>
          <w:sz w:val="18"/>
          <w:szCs w:val="18"/>
          <w:color w:val="auto"/>
        </w:rPr>
        <w:tab/>
      </w:r>
      <w:hyperlink r:id="rId116">
        <w:r>
          <w:rPr>
            <w:rFonts w:ascii="Arial" w:cs="Arial" w:eastAsia="Arial" w:hAnsi="Arial"/>
            <w:sz w:val="18"/>
            <w:szCs w:val="18"/>
            <w:color w:val="auto"/>
          </w:rPr>
          <w:t>Form of Depositary Receipt representing 1/1,000th of a share of 6.50% Series E Fixed-to-Floating Rate Cumulative Redeemable Preferred Stock</w:t>
        </w:r>
      </w:hyperlink>
      <w:r>
        <w:rPr>
          <w:rFonts w:ascii="Arial" w:cs="Arial" w:eastAsia="Arial" w:hAnsi="Arial"/>
          <w:sz w:val="18"/>
          <w:szCs w:val="18"/>
          <w:color w:val="auto"/>
        </w:rPr>
        <w:t xml:space="preserve"> </w:t>
      </w:r>
      <w:hyperlink r:id="rId116">
        <w:r>
          <w:rPr>
            <w:rFonts w:ascii="Arial" w:cs="Arial" w:eastAsia="Arial" w:hAnsi="Arial"/>
            <w:sz w:val="18"/>
            <w:szCs w:val="18"/>
            <w:color w:val="auto"/>
          </w:rPr>
          <w:t>(included as part of Exhibit 4.12), incorporated herein by reference to Exhibit A of Exhibit 4.2 of Form 8-K (File No. 001-34057) filed</w:t>
        </w:r>
      </w:hyperlink>
      <w:r>
        <w:rPr>
          <w:rFonts w:ascii="Arial" w:cs="Arial" w:eastAsia="Arial" w:hAnsi="Arial"/>
          <w:sz w:val="18"/>
          <w:szCs w:val="18"/>
          <w:color w:val="auto"/>
        </w:rPr>
        <w:t xml:space="preserve"> </w:t>
      </w:r>
      <w:hyperlink r:id="rId116">
        <w:r>
          <w:rPr>
            <w:rFonts w:ascii="Arial" w:cs="Arial" w:eastAsia="Arial" w:hAnsi="Arial"/>
            <w:sz w:val="18"/>
            <w:szCs w:val="18"/>
            <w:color w:val="auto"/>
          </w:rPr>
          <w:t>October 3, 2019.</w:t>
        </w:r>
      </w:hyperlink>
    </w:p>
    <w:p>
      <w:pPr>
        <w:spacing w:after="0" w:line="130" w:lineRule="exact"/>
        <w:rPr>
          <w:rFonts w:ascii="Arial" w:cs="Arial" w:eastAsia="Arial" w:hAnsi="Arial"/>
          <w:sz w:val="18"/>
          <w:szCs w:val="18"/>
          <w:color w:val="auto"/>
        </w:rPr>
      </w:pPr>
    </w:p>
    <w:p>
      <w:pPr>
        <w:ind w:left="600" w:right="140" w:hanging="1295"/>
        <w:spacing w:after="0" w:line="263" w:lineRule="auto"/>
        <w:tabs>
          <w:tab w:leader="none" w:pos="580" w:val="left"/>
        </w:tabs>
        <w:rPr>
          <w:rFonts w:ascii="Arial" w:cs="Arial" w:eastAsia="Arial" w:hAnsi="Arial"/>
          <w:sz w:val="18"/>
          <w:szCs w:val="18"/>
          <w:color w:val="auto"/>
        </w:rPr>
      </w:pPr>
      <w:hyperlink r:id="rId117">
        <w:r>
          <w:rPr>
            <w:rFonts w:ascii="Arial" w:cs="Arial" w:eastAsia="Arial" w:hAnsi="Arial"/>
            <w:sz w:val="18"/>
            <w:szCs w:val="18"/>
            <w:color w:val="auto"/>
          </w:rPr>
          <w:t>*4.14</w:t>
        </w:r>
      </w:hyperlink>
      <w:r>
        <w:rPr>
          <w:rFonts w:ascii="Arial" w:cs="Arial" w:eastAsia="Arial" w:hAnsi="Arial"/>
          <w:sz w:val="18"/>
          <w:szCs w:val="18"/>
          <w:color w:val="auto"/>
        </w:rPr>
        <w:tab/>
      </w:r>
      <w:hyperlink r:id="rId117">
        <w:r>
          <w:rPr>
            <w:rFonts w:ascii="Arial" w:cs="Arial" w:eastAsia="Arial" w:hAnsi="Arial"/>
            <w:sz w:val="18"/>
            <w:szCs w:val="18"/>
            <w:color w:val="auto"/>
          </w:rPr>
          <w:t>Deposit Agreement relating to 6.125% Series F Fixed-to-Floating Rate Cumulative Redeemable Preferred Stock, dated February 11, 2020, among</w:t>
        </w:r>
      </w:hyperlink>
      <w:r>
        <w:rPr>
          <w:rFonts w:ascii="Arial" w:cs="Arial" w:eastAsia="Arial" w:hAnsi="Arial"/>
          <w:sz w:val="18"/>
          <w:szCs w:val="18"/>
          <w:color w:val="auto"/>
        </w:rPr>
        <w:t xml:space="preserve"> </w:t>
      </w:r>
      <w:hyperlink r:id="rId117">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117">
        <w:r>
          <w:rPr>
            <w:rFonts w:ascii="Arial" w:cs="Arial" w:eastAsia="Arial" w:hAnsi="Arial"/>
            <w:sz w:val="18"/>
            <w:szCs w:val="18"/>
            <w:color w:val="auto"/>
          </w:rPr>
          <w:t>reference to Exhibit 4.1 of Form 8-K (File No. 001-34057) filed February 11, 2020.</w:t>
        </w:r>
      </w:hyperlink>
    </w:p>
    <w:p>
      <w:pPr>
        <w:spacing w:after="0" w:line="130" w:lineRule="exact"/>
        <w:rPr>
          <w:rFonts w:ascii="Arial" w:cs="Arial" w:eastAsia="Arial" w:hAnsi="Arial"/>
          <w:sz w:val="18"/>
          <w:szCs w:val="18"/>
          <w:color w:val="auto"/>
        </w:rPr>
      </w:pPr>
    </w:p>
    <w:p>
      <w:pPr>
        <w:ind w:left="600" w:right="120" w:hanging="1295"/>
        <w:spacing w:after="0" w:line="263" w:lineRule="auto"/>
        <w:tabs>
          <w:tab w:leader="none" w:pos="580" w:val="left"/>
        </w:tabs>
        <w:rPr>
          <w:rFonts w:ascii="Arial" w:cs="Arial" w:eastAsia="Arial" w:hAnsi="Arial"/>
          <w:sz w:val="18"/>
          <w:szCs w:val="18"/>
          <w:color w:val="auto"/>
        </w:rPr>
      </w:pPr>
      <w:hyperlink r:id="rId117">
        <w:r>
          <w:rPr>
            <w:rFonts w:ascii="Arial" w:cs="Arial" w:eastAsia="Arial" w:hAnsi="Arial"/>
            <w:sz w:val="18"/>
            <w:szCs w:val="18"/>
            <w:color w:val="auto"/>
          </w:rPr>
          <w:t>*4.15</w:t>
        </w:r>
      </w:hyperlink>
      <w:r>
        <w:rPr>
          <w:rFonts w:ascii="Arial" w:cs="Arial" w:eastAsia="Arial" w:hAnsi="Arial"/>
          <w:sz w:val="18"/>
          <w:szCs w:val="18"/>
          <w:color w:val="auto"/>
        </w:rPr>
        <w:tab/>
      </w:r>
      <w:hyperlink r:id="rId117">
        <w:r>
          <w:rPr>
            <w:rFonts w:ascii="Arial" w:cs="Arial" w:eastAsia="Arial" w:hAnsi="Arial"/>
            <w:sz w:val="18"/>
            <w:szCs w:val="18"/>
            <w:color w:val="auto"/>
          </w:rPr>
          <w:t>Form of Depositary Receipt representing 1/1,000th of a share of 6.125% Series F Fixed-to-Floating Rate Cumulative Redeemable Preferred Stock</w:t>
        </w:r>
      </w:hyperlink>
      <w:r>
        <w:rPr>
          <w:rFonts w:ascii="Arial" w:cs="Arial" w:eastAsia="Arial" w:hAnsi="Arial"/>
          <w:sz w:val="18"/>
          <w:szCs w:val="18"/>
          <w:color w:val="auto"/>
        </w:rPr>
        <w:t xml:space="preserve"> </w:t>
      </w:r>
      <w:hyperlink r:id="rId117">
        <w:r>
          <w:rPr>
            <w:rFonts w:ascii="Arial" w:cs="Arial" w:eastAsia="Arial" w:hAnsi="Arial"/>
            <w:sz w:val="18"/>
            <w:szCs w:val="18"/>
            <w:color w:val="auto"/>
          </w:rPr>
          <w:t>(included as part of Exhibit 4.14), incorporated herein by reference to Exhibit A of Exhibit 4.1 of Form 8-K (File No. 001-34057) filed</w:t>
        </w:r>
      </w:hyperlink>
      <w:r>
        <w:rPr>
          <w:rFonts w:ascii="Arial" w:cs="Arial" w:eastAsia="Arial" w:hAnsi="Arial"/>
          <w:sz w:val="18"/>
          <w:szCs w:val="18"/>
          <w:color w:val="auto"/>
        </w:rPr>
        <w:t xml:space="preserve"> </w:t>
      </w:r>
      <w:hyperlink r:id="rId117">
        <w:r>
          <w:rPr>
            <w:rFonts w:ascii="Arial" w:cs="Arial" w:eastAsia="Arial" w:hAnsi="Arial"/>
            <w:sz w:val="18"/>
            <w:szCs w:val="18"/>
            <w:color w:val="auto"/>
          </w:rPr>
          <w:t>February 11, 2020.</w:t>
        </w:r>
      </w:hyperlink>
    </w:p>
    <w:p>
      <w:pPr>
        <w:spacing w:after="0" w:line="130" w:lineRule="exact"/>
        <w:rPr>
          <w:rFonts w:ascii="Arial" w:cs="Arial" w:eastAsia="Arial" w:hAnsi="Arial"/>
          <w:sz w:val="18"/>
          <w:szCs w:val="18"/>
          <w:color w:val="auto"/>
        </w:rPr>
      </w:pPr>
    </w:p>
    <w:p>
      <w:pPr>
        <w:spacing w:after="0"/>
        <w:tabs>
          <w:tab w:leader="none" w:pos="480" w:val="left"/>
        </w:tabs>
        <w:rPr>
          <w:rFonts w:ascii="Arial" w:cs="Arial" w:eastAsia="Arial" w:hAnsi="Arial"/>
          <w:sz w:val="16"/>
          <w:szCs w:val="16"/>
          <w:color w:val="auto"/>
        </w:rPr>
      </w:pPr>
      <w:hyperlink w:anchor="page90">
        <w:r>
          <w:rPr>
            <w:rFonts w:ascii="Arial" w:cs="Arial" w:eastAsia="Arial" w:hAnsi="Arial"/>
            <w:sz w:val="18"/>
            <w:szCs w:val="18"/>
            <w:color w:val="auto"/>
          </w:rPr>
          <w:t>4.16</w:t>
        </w:r>
      </w:hyperlink>
      <w:r>
        <w:rPr>
          <w:rFonts w:ascii="Arial" w:cs="Arial" w:eastAsia="Arial" w:hAnsi="Arial"/>
          <w:sz w:val="18"/>
          <w:szCs w:val="18"/>
          <w:color w:val="auto"/>
        </w:rPr>
        <w:tab/>
      </w:r>
      <w:hyperlink w:anchor="page90">
        <w:r>
          <w:rPr>
            <w:rFonts w:ascii="Arial" w:cs="Arial" w:eastAsia="Arial" w:hAnsi="Arial"/>
            <w:sz w:val="16"/>
            <w:szCs w:val="16"/>
            <w:color w:val="auto"/>
          </w:rPr>
          <w:t>Description of the Registrant’s Securities, filed herewith.</w:t>
        </w:r>
      </w:hyperlink>
    </w:p>
    <w:p>
      <w:pPr>
        <w:spacing w:after="0" w:line="171" w:lineRule="exact"/>
        <w:rPr>
          <w:sz w:val="20"/>
          <w:szCs w:val="20"/>
          <w:color w:val="auto"/>
        </w:rPr>
      </w:pPr>
    </w:p>
    <w:p>
      <w:pPr>
        <w:ind w:left="720" w:right="100" w:hanging="1295"/>
        <w:spacing w:after="0" w:line="277" w:lineRule="auto"/>
        <w:tabs>
          <w:tab w:leader="none" w:pos="700" w:val="left"/>
        </w:tabs>
        <w:rPr>
          <w:rFonts w:ascii="Arial" w:cs="Arial" w:eastAsia="Arial" w:hAnsi="Arial"/>
          <w:sz w:val="18"/>
          <w:szCs w:val="18"/>
          <w:color w:val="auto"/>
        </w:rPr>
      </w:pPr>
      <w:hyperlink r:id="rId118">
        <w:r>
          <w:rPr>
            <w:rFonts w:ascii="Arial" w:cs="Arial" w:eastAsia="Arial" w:hAnsi="Arial"/>
            <w:sz w:val="18"/>
            <w:szCs w:val="18"/>
            <w:color w:val="auto"/>
          </w:rPr>
          <w:t>†* 10.1</w:t>
        </w:r>
      </w:hyperlink>
      <w:r>
        <w:rPr>
          <w:rFonts w:ascii="Arial" w:cs="Arial" w:eastAsia="Arial" w:hAnsi="Arial"/>
          <w:sz w:val="18"/>
          <w:szCs w:val="18"/>
          <w:color w:val="auto"/>
        </w:rPr>
        <w:tab/>
      </w:r>
      <w:hyperlink r:id="rId118">
        <w:r>
          <w:rPr>
            <w:rFonts w:ascii="Arial" w:cs="Arial" w:eastAsia="Arial" w:hAnsi="Arial"/>
            <w:sz w:val="18"/>
            <w:szCs w:val="18"/>
            <w:color w:val="auto"/>
          </w:rPr>
          <w:t>Fourth Amended and Restated Employment Agreement, dated January 25, 2019, by and between AGNC Mortgage Management, LLC and Gary</w:t>
        </w:r>
      </w:hyperlink>
      <w:r>
        <w:rPr>
          <w:rFonts w:ascii="Arial" w:cs="Arial" w:eastAsia="Arial" w:hAnsi="Arial"/>
          <w:sz w:val="18"/>
          <w:szCs w:val="18"/>
          <w:color w:val="auto"/>
        </w:rPr>
        <w:t xml:space="preserve"> </w:t>
      </w:r>
      <w:hyperlink r:id="rId118">
        <w:r>
          <w:rPr>
            <w:rFonts w:ascii="Arial" w:cs="Arial" w:eastAsia="Arial" w:hAnsi="Arial"/>
            <w:sz w:val="18"/>
            <w:szCs w:val="18"/>
            <w:color w:val="auto"/>
          </w:rPr>
          <w:t>Kain, incorporated herein by reference to Exhibit 10.2 of Form 8-K (File No. 001-34057), filed January 25, 2019.</w:t>
        </w:r>
      </w:hyperlink>
    </w:p>
    <w:p>
      <w:pPr>
        <w:spacing w:after="0" w:line="116" w:lineRule="exact"/>
        <w:rPr>
          <w:rFonts w:ascii="Arial" w:cs="Arial" w:eastAsia="Arial" w:hAnsi="Arial"/>
          <w:sz w:val="18"/>
          <w:szCs w:val="18"/>
          <w:color w:val="auto"/>
        </w:rPr>
      </w:pPr>
    </w:p>
    <w:p>
      <w:pPr>
        <w:ind w:left="720" w:right="40" w:hanging="1295"/>
        <w:spacing w:after="0" w:line="277" w:lineRule="auto"/>
        <w:tabs>
          <w:tab w:leader="none" w:pos="700" w:val="left"/>
        </w:tabs>
        <w:rPr>
          <w:rFonts w:ascii="Arial" w:cs="Arial" w:eastAsia="Arial" w:hAnsi="Arial"/>
          <w:sz w:val="18"/>
          <w:szCs w:val="18"/>
          <w:color w:val="auto"/>
        </w:rPr>
      </w:pPr>
      <w:hyperlink r:id="rId119">
        <w:r>
          <w:rPr>
            <w:rFonts w:ascii="Arial" w:cs="Arial" w:eastAsia="Arial" w:hAnsi="Arial"/>
            <w:sz w:val="18"/>
            <w:szCs w:val="18"/>
            <w:color w:val="auto"/>
          </w:rPr>
          <w:t>†* 10.2</w:t>
        </w:r>
      </w:hyperlink>
      <w:r>
        <w:rPr>
          <w:rFonts w:ascii="Arial" w:cs="Arial" w:eastAsia="Arial" w:hAnsi="Arial"/>
          <w:sz w:val="18"/>
          <w:szCs w:val="18"/>
          <w:color w:val="auto"/>
        </w:rPr>
        <w:tab/>
      </w:r>
      <w:hyperlink r:id="rId119">
        <w:r>
          <w:rPr>
            <w:rFonts w:ascii="Arial" w:cs="Arial" w:eastAsia="Arial" w:hAnsi="Arial"/>
            <w:sz w:val="18"/>
            <w:szCs w:val="18"/>
            <w:color w:val="auto"/>
          </w:rPr>
          <w:t>Fifth Amended and Restated Employment Agreement, dated December 10, 2020, by and between AGNC Mortgage Management, LLC and Gary</w:t>
        </w:r>
      </w:hyperlink>
      <w:r>
        <w:rPr>
          <w:rFonts w:ascii="Arial" w:cs="Arial" w:eastAsia="Arial" w:hAnsi="Arial"/>
          <w:sz w:val="18"/>
          <w:szCs w:val="18"/>
          <w:color w:val="auto"/>
        </w:rPr>
        <w:t xml:space="preserve"> </w:t>
      </w:r>
      <w:hyperlink r:id="rId119">
        <w:r>
          <w:rPr>
            <w:rFonts w:ascii="Arial" w:cs="Arial" w:eastAsia="Arial" w:hAnsi="Arial"/>
            <w:sz w:val="18"/>
            <w:szCs w:val="18"/>
            <w:color w:val="auto"/>
          </w:rPr>
          <w:t>Kain, incorporated herein by reference to Exhibit 10.1 of Form 8-K (File No. 001-34057), filed December 10, 2020.</w:t>
        </w:r>
      </w:hyperlink>
    </w:p>
    <w:p>
      <w:pPr>
        <w:spacing w:after="0" w:line="116" w:lineRule="exact"/>
        <w:rPr>
          <w:rFonts w:ascii="Arial" w:cs="Arial" w:eastAsia="Arial" w:hAnsi="Arial"/>
          <w:sz w:val="18"/>
          <w:szCs w:val="18"/>
          <w:color w:val="auto"/>
        </w:rPr>
      </w:pPr>
    </w:p>
    <w:p>
      <w:pPr>
        <w:ind w:left="720" w:right="60" w:hanging="1295"/>
        <w:spacing w:after="0" w:line="308" w:lineRule="auto"/>
        <w:tabs>
          <w:tab w:leader="none" w:pos="700" w:val="left"/>
        </w:tabs>
        <w:rPr>
          <w:rFonts w:ascii="Arial" w:cs="Arial" w:eastAsia="Arial" w:hAnsi="Arial"/>
          <w:sz w:val="17"/>
          <w:szCs w:val="17"/>
          <w:color w:val="auto"/>
        </w:rPr>
      </w:pPr>
      <w:hyperlink r:id="rId120">
        <w:r>
          <w:rPr>
            <w:rFonts w:ascii="Arial" w:cs="Arial" w:eastAsia="Arial" w:hAnsi="Arial"/>
            <w:sz w:val="18"/>
            <w:szCs w:val="18"/>
            <w:color w:val="auto"/>
          </w:rPr>
          <w:t>†* 10.3</w:t>
        </w:r>
      </w:hyperlink>
      <w:r>
        <w:rPr>
          <w:rFonts w:ascii="Arial" w:cs="Arial" w:eastAsia="Arial" w:hAnsi="Arial"/>
          <w:sz w:val="18"/>
          <w:szCs w:val="18"/>
          <w:color w:val="auto"/>
        </w:rPr>
        <w:tab/>
      </w:r>
      <w:hyperlink r:id="rId120">
        <w:r>
          <w:rPr>
            <w:rFonts w:ascii="Arial" w:cs="Arial" w:eastAsia="Arial" w:hAnsi="Arial"/>
            <w:sz w:val="17"/>
            <w:szCs w:val="17"/>
            <w:color w:val="auto"/>
          </w:rPr>
          <w:t>Third Amended and Restated Employment Agreement, dated November 1, 2016, by and between AGNC Mortgage Management, LLC and Peter</w:t>
        </w:r>
      </w:hyperlink>
      <w:r>
        <w:rPr>
          <w:rFonts w:ascii="Arial" w:cs="Arial" w:eastAsia="Arial" w:hAnsi="Arial"/>
          <w:sz w:val="17"/>
          <w:szCs w:val="17"/>
          <w:color w:val="auto"/>
        </w:rPr>
        <w:t xml:space="preserve"> </w:t>
      </w:r>
      <w:hyperlink r:id="rId120">
        <w:r>
          <w:rPr>
            <w:rFonts w:ascii="Arial" w:cs="Arial" w:eastAsia="Arial" w:hAnsi="Arial"/>
            <w:sz w:val="17"/>
            <w:szCs w:val="17"/>
            <w:color w:val="auto"/>
          </w:rPr>
          <w:t>J. Federico, incorporated herein by reference to Exhibit 10.2 of Form 8-K (File No. 001-34057), filed November 4, 2016.</w:t>
        </w:r>
      </w:hyperlink>
    </w:p>
    <w:p>
      <w:pPr>
        <w:spacing w:after="0" w:line="92" w:lineRule="exact"/>
        <w:rPr>
          <w:rFonts w:ascii="Arial" w:cs="Arial" w:eastAsia="Arial" w:hAnsi="Arial"/>
          <w:sz w:val="18"/>
          <w:szCs w:val="18"/>
          <w:color w:val="auto"/>
        </w:rPr>
      </w:pPr>
    </w:p>
    <w:p>
      <w:pPr>
        <w:jc w:val="right"/>
        <w:ind w:right="480"/>
        <w:spacing w:after="0" w:line="308" w:lineRule="auto"/>
        <w:rPr>
          <w:rFonts w:ascii="Arial" w:cs="Arial" w:eastAsia="Arial" w:hAnsi="Arial"/>
          <w:sz w:val="17"/>
          <w:szCs w:val="17"/>
          <w:color w:val="auto"/>
        </w:rPr>
      </w:pPr>
      <w:hyperlink r:id="rId121">
        <w:r>
          <w:rPr>
            <w:rFonts w:ascii="Arial" w:cs="Arial" w:eastAsia="Arial" w:hAnsi="Arial"/>
            <w:sz w:val="17"/>
            <w:szCs w:val="17"/>
            <w:color w:val="auto"/>
          </w:rPr>
          <w:t>†* 10.4  Third Amended and Restated Employment Agreement, dated November 1, 2016, by and between AGNC Mortgage Management, LLC and</w:t>
        </w:r>
      </w:hyperlink>
      <w:r>
        <w:rPr>
          <w:rFonts w:ascii="Arial" w:cs="Arial" w:eastAsia="Arial" w:hAnsi="Arial"/>
          <w:sz w:val="17"/>
          <w:szCs w:val="17"/>
          <w:color w:val="auto"/>
        </w:rPr>
        <w:t xml:space="preserve"> </w:t>
      </w:r>
      <w:hyperlink r:id="rId121">
        <w:r>
          <w:rPr>
            <w:rFonts w:ascii="Arial" w:cs="Arial" w:eastAsia="Arial" w:hAnsi="Arial"/>
            <w:sz w:val="17"/>
            <w:szCs w:val="17"/>
            <w:color w:val="auto"/>
          </w:rPr>
          <w:t>Christopher J. Kuehl, incorporated herein by reference to Exhibit 10.3 of Form 8-K (File No. 001-34057), filed November 4, 2016.</w:t>
        </w:r>
      </w:hyperlink>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5" w:name="page86"/>
    <w:bookmarkEnd w:id="85"/>
    <w:p>
      <w:pPr>
        <w:ind w:left="712" w:hanging="1295"/>
        <w:spacing w:after="0" w:line="263" w:lineRule="auto"/>
        <w:tabs>
          <w:tab w:leader="none" w:pos="692" w:val="left"/>
        </w:tabs>
        <w:rPr>
          <w:rFonts w:ascii="Arial" w:cs="Arial" w:eastAsia="Arial" w:hAnsi="Arial"/>
          <w:sz w:val="18"/>
          <w:szCs w:val="18"/>
          <w:color w:val="auto"/>
        </w:rPr>
      </w:pPr>
      <w:hyperlink r:id="rId123">
        <w:r>
          <w:rPr>
            <w:rFonts w:ascii="Arial" w:cs="Arial" w:eastAsia="Arial" w:hAnsi="Arial"/>
            <w:sz w:val="18"/>
            <w:szCs w:val="18"/>
            <w:color w:val="auto"/>
          </w:rPr>
          <w:t>†* 10.5</w:t>
        </w:r>
      </w:hyperlink>
      <w:r>
        <w:rPr>
          <w:rFonts w:ascii="Arial" w:cs="Arial" w:eastAsia="Arial" w:hAnsi="Arial"/>
          <w:sz w:val="18"/>
          <w:szCs w:val="18"/>
          <w:color w:val="auto"/>
        </w:rPr>
        <w:tab/>
      </w:r>
      <w:hyperlink r:id="rId123">
        <w:r>
          <w:rPr>
            <w:rFonts w:ascii="Arial" w:cs="Arial" w:eastAsia="Arial" w:hAnsi="Arial"/>
            <w:sz w:val="18"/>
            <w:szCs w:val="18"/>
            <w:color w:val="auto"/>
          </w:rPr>
          <w:t>Form of First Amendment to the Amended and Restated Employment Agreement, dated February 13, 2020, by and between AGNC Mortgage</w:t>
        </w:r>
      </w:hyperlink>
      <w:r>
        <w:rPr>
          <w:rFonts w:ascii="Arial" w:cs="Arial" w:eastAsia="Arial" w:hAnsi="Arial"/>
          <w:sz w:val="18"/>
          <w:szCs w:val="18"/>
          <w:color w:val="auto"/>
        </w:rPr>
        <w:t xml:space="preserve"> </w:t>
      </w:r>
      <w:hyperlink r:id="rId123">
        <w:r>
          <w:rPr>
            <w:rFonts w:ascii="Arial" w:cs="Arial" w:eastAsia="Arial" w:hAnsi="Arial"/>
            <w:sz w:val="18"/>
            <w:szCs w:val="18"/>
            <w:color w:val="auto"/>
          </w:rPr>
          <w:t>Management, LLC and each of Peter Federico and Christopher Kuehl, incorporated herein by reference to Exhibit 10.1 of Form 8-K (File</w:t>
        </w:r>
      </w:hyperlink>
      <w:r>
        <w:rPr>
          <w:rFonts w:ascii="Arial" w:cs="Arial" w:eastAsia="Arial" w:hAnsi="Arial"/>
          <w:sz w:val="18"/>
          <w:szCs w:val="18"/>
          <w:color w:val="auto"/>
        </w:rPr>
        <w:t xml:space="preserve"> </w:t>
      </w:r>
      <w:hyperlink r:id="rId123">
        <w:r>
          <w:rPr>
            <w:rFonts w:ascii="Arial" w:cs="Arial" w:eastAsia="Arial" w:hAnsi="Arial"/>
            <w:sz w:val="18"/>
            <w:szCs w:val="18"/>
            <w:color w:val="auto"/>
          </w:rPr>
          <w:t>No. 001-34057), filed February 14, 2020.</w:t>
        </w:r>
      </w:hyperlink>
    </w:p>
    <w:p>
      <w:pPr>
        <w:spacing w:after="0" w:line="130" w:lineRule="exact"/>
        <w:rPr>
          <w:rFonts w:ascii="Arial" w:cs="Arial" w:eastAsia="Arial" w:hAnsi="Arial"/>
          <w:sz w:val="18"/>
          <w:szCs w:val="18"/>
          <w:color w:val="auto"/>
        </w:rPr>
      </w:pPr>
    </w:p>
    <w:p>
      <w:pPr>
        <w:ind w:left="712" w:right="260" w:hanging="1295"/>
        <w:spacing w:after="0" w:line="308" w:lineRule="auto"/>
        <w:tabs>
          <w:tab w:leader="none" w:pos="692" w:val="left"/>
        </w:tabs>
        <w:rPr>
          <w:rFonts w:ascii="Arial" w:cs="Arial" w:eastAsia="Arial" w:hAnsi="Arial"/>
          <w:sz w:val="17"/>
          <w:szCs w:val="17"/>
          <w:color w:val="auto"/>
        </w:rPr>
      </w:pPr>
      <w:hyperlink r:id="rId124">
        <w:r>
          <w:rPr>
            <w:rFonts w:ascii="Arial" w:cs="Arial" w:eastAsia="Arial" w:hAnsi="Arial"/>
            <w:sz w:val="18"/>
            <w:szCs w:val="18"/>
            <w:color w:val="auto"/>
          </w:rPr>
          <w:t>†* 10.6</w:t>
        </w:r>
      </w:hyperlink>
      <w:r>
        <w:rPr>
          <w:rFonts w:ascii="Arial" w:cs="Arial" w:eastAsia="Arial" w:hAnsi="Arial"/>
          <w:sz w:val="18"/>
          <w:szCs w:val="18"/>
          <w:color w:val="auto"/>
        </w:rPr>
        <w:tab/>
      </w:r>
      <w:hyperlink r:id="rId124">
        <w:r>
          <w:rPr>
            <w:rFonts w:ascii="Arial" w:cs="Arial" w:eastAsia="Arial" w:hAnsi="Arial"/>
            <w:sz w:val="17"/>
            <w:szCs w:val="17"/>
            <w:color w:val="auto"/>
          </w:rPr>
          <w:t>Second Amended and Restated Employment Agreement, dated December 10, 2020, by and between AGNC Mortgage Management, LLC and</w:t>
        </w:r>
      </w:hyperlink>
      <w:r>
        <w:rPr>
          <w:rFonts w:ascii="Arial" w:cs="Arial" w:eastAsia="Arial" w:hAnsi="Arial"/>
          <w:sz w:val="17"/>
          <w:szCs w:val="17"/>
          <w:color w:val="auto"/>
        </w:rPr>
        <w:t xml:space="preserve"> </w:t>
      </w:r>
      <w:hyperlink r:id="rId124">
        <w:r>
          <w:rPr>
            <w:rFonts w:ascii="Arial" w:cs="Arial" w:eastAsia="Arial" w:hAnsi="Arial"/>
            <w:sz w:val="17"/>
            <w:szCs w:val="17"/>
            <w:color w:val="auto"/>
          </w:rPr>
          <w:t>Peter Federico, incorporated herein by reference to Exhibit 10.2 of Form 8-K (File No. 001-34057), filed December 10, 2020.</w:t>
        </w:r>
      </w:hyperlink>
    </w:p>
    <w:p>
      <w:pPr>
        <w:spacing w:after="0" w:line="92" w:lineRule="exact"/>
        <w:rPr>
          <w:rFonts w:ascii="Arial" w:cs="Arial" w:eastAsia="Arial" w:hAnsi="Arial"/>
          <w:sz w:val="18"/>
          <w:szCs w:val="18"/>
          <w:color w:val="auto"/>
        </w:rPr>
      </w:pPr>
    </w:p>
    <w:p>
      <w:pPr>
        <w:ind w:left="712" w:right="260" w:hanging="1295"/>
        <w:spacing w:after="0" w:line="342" w:lineRule="auto"/>
        <w:tabs>
          <w:tab w:leader="none" w:pos="692" w:val="left"/>
        </w:tabs>
        <w:rPr>
          <w:rFonts w:ascii="Arial" w:cs="Arial" w:eastAsia="Arial" w:hAnsi="Arial"/>
          <w:sz w:val="16"/>
          <w:szCs w:val="16"/>
          <w:color w:val="auto"/>
        </w:rPr>
      </w:pPr>
      <w:hyperlink r:id="rId125">
        <w:r>
          <w:rPr>
            <w:rFonts w:ascii="Arial" w:cs="Arial" w:eastAsia="Arial" w:hAnsi="Arial"/>
            <w:sz w:val="18"/>
            <w:szCs w:val="18"/>
            <w:color w:val="auto"/>
          </w:rPr>
          <w:t>†* 10.7</w:t>
        </w:r>
      </w:hyperlink>
      <w:r>
        <w:rPr>
          <w:rFonts w:ascii="Arial" w:cs="Arial" w:eastAsia="Arial" w:hAnsi="Arial"/>
          <w:sz w:val="18"/>
          <w:szCs w:val="18"/>
          <w:color w:val="auto"/>
        </w:rPr>
        <w:tab/>
      </w:r>
      <w:hyperlink r:id="rId125">
        <w:r>
          <w:rPr>
            <w:rFonts w:ascii="Arial" w:cs="Arial" w:eastAsia="Arial" w:hAnsi="Arial"/>
            <w:sz w:val="16"/>
            <w:szCs w:val="16"/>
            <w:color w:val="auto"/>
          </w:rPr>
          <w:t>Second Amended and Restated Employment Agreement, dated December 10, 2020, by and between AGNC Mortgage Management, LLC and</w:t>
        </w:r>
      </w:hyperlink>
      <w:r>
        <w:rPr>
          <w:rFonts w:ascii="Arial" w:cs="Arial" w:eastAsia="Arial" w:hAnsi="Arial"/>
          <w:sz w:val="16"/>
          <w:szCs w:val="16"/>
          <w:color w:val="auto"/>
        </w:rPr>
        <w:t xml:space="preserve"> </w:t>
      </w:r>
      <w:hyperlink r:id="rId125">
        <w:r>
          <w:rPr>
            <w:rFonts w:ascii="Arial" w:cs="Arial" w:eastAsia="Arial" w:hAnsi="Arial"/>
            <w:sz w:val="16"/>
            <w:szCs w:val="16"/>
            <w:color w:val="auto"/>
          </w:rPr>
          <w:t>Christopher Kuehl, incorporated herein by reference to Exhibit 10.3 of Form 8-K (File No. 001-34057), filed December 10, 2020.</w:t>
        </w:r>
      </w:hyperlink>
    </w:p>
    <w:p>
      <w:pPr>
        <w:spacing w:after="0" w:line="70" w:lineRule="exact"/>
        <w:rPr>
          <w:rFonts w:ascii="Arial" w:cs="Arial" w:eastAsia="Arial" w:hAnsi="Arial"/>
          <w:sz w:val="18"/>
          <w:szCs w:val="18"/>
          <w:color w:val="auto"/>
        </w:rPr>
      </w:pPr>
    </w:p>
    <w:p>
      <w:pPr>
        <w:ind w:left="712" w:right="380" w:hanging="1295"/>
        <w:spacing w:after="0" w:line="277" w:lineRule="auto"/>
        <w:tabs>
          <w:tab w:leader="none" w:pos="692" w:val="left"/>
        </w:tabs>
        <w:rPr>
          <w:rFonts w:ascii="Arial" w:cs="Arial" w:eastAsia="Arial" w:hAnsi="Arial"/>
          <w:sz w:val="18"/>
          <w:szCs w:val="18"/>
          <w:color w:val="auto"/>
        </w:rPr>
      </w:pPr>
      <w:hyperlink r:id="rId126">
        <w:r>
          <w:rPr>
            <w:rFonts w:ascii="Arial" w:cs="Arial" w:eastAsia="Arial" w:hAnsi="Arial"/>
            <w:sz w:val="18"/>
            <w:szCs w:val="18"/>
            <w:color w:val="auto"/>
          </w:rPr>
          <w:t>†* 10.8</w:t>
        </w:r>
      </w:hyperlink>
      <w:r>
        <w:rPr>
          <w:rFonts w:ascii="Arial" w:cs="Arial" w:eastAsia="Arial" w:hAnsi="Arial"/>
          <w:sz w:val="18"/>
          <w:szCs w:val="18"/>
          <w:color w:val="auto"/>
        </w:rPr>
        <w:tab/>
      </w:r>
      <w:hyperlink r:id="rId126">
        <w:r>
          <w:rPr>
            <w:rFonts w:ascii="Arial" w:cs="Arial" w:eastAsia="Arial" w:hAnsi="Arial"/>
            <w:sz w:val="18"/>
            <w:szCs w:val="18"/>
            <w:color w:val="auto"/>
          </w:rPr>
          <w:t>Employment Agreement, dated as of January 25, 2019, by and between Bernice Bell and AGNC Mortgage Management, LLC, incorporated</w:t>
        </w:r>
      </w:hyperlink>
      <w:r>
        <w:rPr>
          <w:rFonts w:ascii="Arial" w:cs="Arial" w:eastAsia="Arial" w:hAnsi="Arial"/>
          <w:sz w:val="18"/>
          <w:szCs w:val="18"/>
          <w:color w:val="auto"/>
        </w:rPr>
        <w:t xml:space="preserve"> </w:t>
      </w:r>
      <w:hyperlink r:id="rId126">
        <w:r>
          <w:rPr>
            <w:rFonts w:ascii="Arial" w:cs="Arial" w:eastAsia="Arial" w:hAnsi="Arial"/>
            <w:sz w:val="18"/>
            <w:szCs w:val="18"/>
            <w:color w:val="auto"/>
          </w:rPr>
          <w:t>herein by reference to Exhibit 10.1 of Form 8-K (File No. 001-34057), filed January 25, 2019.</w:t>
        </w:r>
      </w:hyperlink>
    </w:p>
    <w:p>
      <w:pPr>
        <w:spacing w:after="0" w:line="116" w:lineRule="exact"/>
        <w:rPr>
          <w:rFonts w:ascii="Arial" w:cs="Arial" w:eastAsia="Arial" w:hAnsi="Arial"/>
          <w:sz w:val="18"/>
          <w:szCs w:val="18"/>
          <w:color w:val="auto"/>
        </w:rPr>
      </w:pPr>
    </w:p>
    <w:p>
      <w:pPr>
        <w:ind w:left="712" w:right="380" w:hanging="1295"/>
        <w:spacing w:after="0" w:line="277" w:lineRule="auto"/>
        <w:tabs>
          <w:tab w:leader="none" w:pos="692" w:val="left"/>
        </w:tabs>
        <w:rPr>
          <w:rFonts w:ascii="Arial" w:cs="Arial" w:eastAsia="Arial" w:hAnsi="Arial"/>
          <w:sz w:val="18"/>
          <w:szCs w:val="18"/>
          <w:color w:val="auto"/>
        </w:rPr>
      </w:pPr>
      <w:hyperlink r:id="rId127">
        <w:r>
          <w:rPr>
            <w:rFonts w:ascii="Arial" w:cs="Arial" w:eastAsia="Arial" w:hAnsi="Arial"/>
            <w:sz w:val="18"/>
            <w:szCs w:val="18"/>
            <w:color w:val="auto"/>
          </w:rPr>
          <w:t>†* 10.9</w:t>
        </w:r>
      </w:hyperlink>
      <w:r>
        <w:rPr>
          <w:rFonts w:ascii="Arial" w:cs="Arial" w:eastAsia="Arial" w:hAnsi="Arial"/>
          <w:sz w:val="18"/>
          <w:szCs w:val="18"/>
          <w:color w:val="auto"/>
        </w:rPr>
        <w:tab/>
      </w:r>
      <w:hyperlink r:id="rId127">
        <w:r>
          <w:rPr>
            <w:rFonts w:ascii="Arial" w:cs="Arial" w:eastAsia="Arial" w:hAnsi="Arial"/>
            <w:sz w:val="18"/>
            <w:szCs w:val="18"/>
            <w:color w:val="auto"/>
          </w:rPr>
          <w:t>Employment Agreement, dated as of January 25, 2019, by and between Aaron J. Pas and AGNC Mortgage Management, LLC, incorporated</w:t>
        </w:r>
      </w:hyperlink>
      <w:r>
        <w:rPr>
          <w:rFonts w:ascii="Arial" w:cs="Arial" w:eastAsia="Arial" w:hAnsi="Arial"/>
          <w:sz w:val="18"/>
          <w:szCs w:val="18"/>
          <w:color w:val="auto"/>
        </w:rPr>
        <w:t xml:space="preserve"> </w:t>
      </w:r>
      <w:hyperlink r:id="rId127">
        <w:r>
          <w:rPr>
            <w:rFonts w:ascii="Arial" w:cs="Arial" w:eastAsia="Arial" w:hAnsi="Arial"/>
            <w:sz w:val="18"/>
            <w:szCs w:val="18"/>
            <w:color w:val="auto"/>
          </w:rPr>
          <w:t>herein by reference to Exhibit 10.3 of Form 8-K (File No. 001-34057), filed January 25, 2019.</w:t>
        </w:r>
      </w:hyperlink>
    </w:p>
    <w:p>
      <w:pPr>
        <w:spacing w:after="0" w:line="116" w:lineRule="exact"/>
        <w:rPr>
          <w:rFonts w:ascii="Arial" w:cs="Arial" w:eastAsia="Arial" w:hAnsi="Arial"/>
          <w:sz w:val="18"/>
          <w:szCs w:val="18"/>
          <w:color w:val="auto"/>
        </w:rPr>
      </w:pPr>
    </w:p>
    <w:p>
      <w:pPr>
        <w:ind w:left="812" w:right="20" w:hanging="1295"/>
        <w:spacing w:after="0" w:line="277" w:lineRule="auto"/>
        <w:tabs>
          <w:tab w:leader="none" w:pos="792" w:val="left"/>
        </w:tabs>
        <w:rPr>
          <w:rFonts w:ascii="Arial" w:cs="Arial" w:eastAsia="Arial" w:hAnsi="Arial"/>
          <w:sz w:val="18"/>
          <w:szCs w:val="18"/>
          <w:color w:val="auto"/>
        </w:rPr>
      </w:pPr>
      <w:hyperlink r:id="rId128">
        <w:r>
          <w:rPr>
            <w:rFonts w:ascii="Arial" w:cs="Arial" w:eastAsia="Arial" w:hAnsi="Arial"/>
            <w:sz w:val="18"/>
            <w:szCs w:val="18"/>
            <w:color w:val="auto"/>
          </w:rPr>
          <w:t>†* 10.10</w:t>
        </w:r>
      </w:hyperlink>
      <w:r>
        <w:rPr>
          <w:rFonts w:ascii="Arial" w:cs="Arial" w:eastAsia="Arial" w:hAnsi="Arial"/>
          <w:sz w:val="18"/>
          <w:szCs w:val="18"/>
          <w:color w:val="auto"/>
        </w:rPr>
        <w:tab/>
      </w:r>
      <w:hyperlink r:id="rId128">
        <w:r>
          <w:rPr>
            <w:rFonts w:ascii="Arial" w:cs="Arial" w:eastAsia="Arial" w:hAnsi="Arial"/>
            <w:sz w:val="18"/>
            <w:szCs w:val="18"/>
            <w:color w:val="auto"/>
          </w:rPr>
          <w:t>Employment Agreement, dated December 18, 2017, by and between Kenneth L. Pollack and AGNC Mortgage Management, LLC, incorporated</w:t>
        </w:r>
      </w:hyperlink>
      <w:r>
        <w:rPr>
          <w:rFonts w:ascii="Arial" w:cs="Arial" w:eastAsia="Arial" w:hAnsi="Arial"/>
          <w:sz w:val="18"/>
          <w:szCs w:val="18"/>
          <w:color w:val="auto"/>
        </w:rPr>
        <w:t xml:space="preserve"> </w:t>
      </w:r>
      <w:hyperlink r:id="rId128">
        <w:r>
          <w:rPr>
            <w:rFonts w:ascii="Arial" w:cs="Arial" w:eastAsia="Arial" w:hAnsi="Arial"/>
            <w:sz w:val="18"/>
            <w:szCs w:val="18"/>
            <w:color w:val="auto"/>
          </w:rPr>
          <w:t>herein by reference to Exhibit 10.3 of Form 8-K (File No. 001-34057), filed December 18, 2017.</w:t>
        </w:r>
      </w:hyperlink>
    </w:p>
    <w:p>
      <w:pPr>
        <w:spacing w:after="0" w:line="116" w:lineRule="exact"/>
        <w:rPr>
          <w:rFonts w:ascii="Arial" w:cs="Arial" w:eastAsia="Arial" w:hAnsi="Arial"/>
          <w:sz w:val="18"/>
          <w:szCs w:val="18"/>
          <w:color w:val="auto"/>
        </w:rPr>
      </w:pPr>
    </w:p>
    <w:p>
      <w:pPr>
        <w:ind w:left="812" w:right="20" w:hanging="1295"/>
        <w:spacing w:after="0" w:line="277" w:lineRule="auto"/>
        <w:tabs>
          <w:tab w:leader="none" w:pos="792" w:val="left"/>
        </w:tabs>
        <w:rPr>
          <w:rFonts w:ascii="Arial" w:cs="Arial" w:eastAsia="Arial" w:hAnsi="Arial"/>
          <w:sz w:val="18"/>
          <w:szCs w:val="18"/>
          <w:color w:val="auto"/>
        </w:rPr>
      </w:pPr>
      <w:hyperlink r:id="rId129">
        <w:r>
          <w:rPr>
            <w:rFonts w:ascii="Arial" w:cs="Arial" w:eastAsia="Arial" w:hAnsi="Arial"/>
            <w:sz w:val="18"/>
            <w:szCs w:val="18"/>
            <w:color w:val="auto"/>
          </w:rPr>
          <w:t>†* 10.11</w:t>
        </w:r>
      </w:hyperlink>
      <w:r>
        <w:rPr>
          <w:rFonts w:ascii="Arial" w:cs="Arial" w:eastAsia="Arial" w:hAnsi="Arial"/>
          <w:sz w:val="18"/>
          <w:szCs w:val="18"/>
          <w:color w:val="auto"/>
        </w:rPr>
        <w:tab/>
      </w:r>
      <w:hyperlink r:id="rId129">
        <w:r>
          <w:rPr>
            <w:rFonts w:ascii="Arial" w:cs="Arial" w:eastAsia="Arial" w:hAnsi="Arial"/>
            <w:sz w:val="18"/>
            <w:szCs w:val="18"/>
            <w:color w:val="auto"/>
          </w:rPr>
          <w:t>First Amendment to Employment Agreement by and between Kenneth L. Pollack and AGNC Mortgage Management, LLC, incorporated herein</w:t>
        </w:r>
      </w:hyperlink>
      <w:r>
        <w:rPr>
          <w:rFonts w:ascii="Arial" w:cs="Arial" w:eastAsia="Arial" w:hAnsi="Arial"/>
          <w:sz w:val="18"/>
          <w:szCs w:val="18"/>
          <w:color w:val="auto"/>
        </w:rPr>
        <w:t xml:space="preserve"> </w:t>
      </w:r>
      <w:hyperlink r:id="rId129">
        <w:r>
          <w:rPr>
            <w:rFonts w:ascii="Arial" w:cs="Arial" w:eastAsia="Arial" w:hAnsi="Arial"/>
            <w:sz w:val="18"/>
            <w:szCs w:val="18"/>
            <w:color w:val="auto"/>
          </w:rPr>
          <w:t>by reference to Exhibit 10.4 of Form 8-K (File No. 001-34057), filed January 25, 2019.</w:t>
        </w:r>
      </w:hyperlink>
    </w:p>
    <w:p>
      <w:pPr>
        <w:spacing w:after="0" w:line="116" w:lineRule="exact"/>
        <w:rPr>
          <w:rFonts w:ascii="Arial" w:cs="Arial" w:eastAsia="Arial" w:hAnsi="Arial"/>
          <w:sz w:val="18"/>
          <w:szCs w:val="18"/>
          <w:color w:val="auto"/>
        </w:rPr>
      </w:pPr>
    </w:p>
    <w:p>
      <w:pPr>
        <w:ind w:left="812" w:right="160" w:hanging="1295"/>
        <w:spacing w:after="0" w:line="263" w:lineRule="auto"/>
        <w:tabs>
          <w:tab w:leader="none" w:pos="792" w:val="left"/>
        </w:tabs>
        <w:rPr>
          <w:rFonts w:ascii="Arial" w:cs="Arial" w:eastAsia="Arial" w:hAnsi="Arial"/>
          <w:sz w:val="18"/>
          <w:szCs w:val="18"/>
          <w:color w:val="auto"/>
        </w:rPr>
      </w:pPr>
      <w:hyperlink r:id="rId130">
        <w:r>
          <w:rPr>
            <w:rFonts w:ascii="Arial" w:cs="Arial" w:eastAsia="Arial" w:hAnsi="Arial"/>
            <w:sz w:val="18"/>
            <w:szCs w:val="18"/>
            <w:color w:val="auto"/>
          </w:rPr>
          <w:t>†* 10.12</w:t>
        </w:r>
      </w:hyperlink>
      <w:r>
        <w:rPr>
          <w:rFonts w:ascii="Arial" w:cs="Arial" w:eastAsia="Arial" w:hAnsi="Arial"/>
          <w:sz w:val="18"/>
          <w:szCs w:val="18"/>
          <w:color w:val="auto"/>
        </w:rPr>
        <w:tab/>
      </w:r>
      <w:hyperlink r:id="rId130">
        <w:r>
          <w:rPr>
            <w:rFonts w:ascii="Arial" w:cs="Arial" w:eastAsia="Arial" w:hAnsi="Arial"/>
            <w:sz w:val="18"/>
            <w:szCs w:val="18"/>
            <w:color w:val="auto"/>
          </w:rPr>
          <w:t>Form of Amendment to the Amended and Restated Employment Agreement, dated February 13, 2020, by and between AGNC Mortgage</w:t>
        </w:r>
      </w:hyperlink>
      <w:r>
        <w:rPr>
          <w:rFonts w:ascii="Arial" w:cs="Arial" w:eastAsia="Arial" w:hAnsi="Arial"/>
          <w:sz w:val="18"/>
          <w:szCs w:val="18"/>
          <w:color w:val="auto"/>
        </w:rPr>
        <w:t xml:space="preserve"> </w:t>
      </w:r>
      <w:hyperlink r:id="rId130">
        <w:r>
          <w:rPr>
            <w:rFonts w:ascii="Arial" w:cs="Arial" w:eastAsia="Arial" w:hAnsi="Arial"/>
            <w:sz w:val="18"/>
            <w:szCs w:val="18"/>
            <w:color w:val="auto"/>
          </w:rPr>
          <w:t>Management, LLC and each of Bernice Bell, Aaron Pas and Kenneth Pollack, incorporated herein by reference to Exhibit 10.2 of Form</w:t>
        </w:r>
      </w:hyperlink>
      <w:r>
        <w:rPr>
          <w:rFonts w:ascii="Arial" w:cs="Arial" w:eastAsia="Arial" w:hAnsi="Arial"/>
          <w:sz w:val="18"/>
          <w:szCs w:val="18"/>
          <w:color w:val="auto"/>
        </w:rPr>
        <w:t xml:space="preserve"> </w:t>
      </w:r>
      <w:hyperlink r:id="rId130">
        <w:r>
          <w:rPr>
            <w:rFonts w:ascii="Arial" w:cs="Arial" w:eastAsia="Arial" w:hAnsi="Arial"/>
            <w:sz w:val="18"/>
            <w:szCs w:val="18"/>
            <w:color w:val="auto"/>
          </w:rPr>
          <w:t>8-K (File No. 001-34057), filed February 14, 2020.</w:t>
        </w:r>
      </w:hyperlink>
    </w:p>
    <w:p>
      <w:pPr>
        <w:spacing w:after="0" w:line="130" w:lineRule="exact"/>
        <w:rPr>
          <w:rFonts w:ascii="Arial" w:cs="Arial" w:eastAsia="Arial" w:hAnsi="Arial"/>
          <w:sz w:val="18"/>
          <w:szCs w:val="18"/>
          <w:color w:val="auto"/>
        </w:rPr>
      </w:pPr>
    </w:p>
    <w:p>
      <w:pPr>
        <w:ind w:left="812" w:right="320" w:hanging="1295"/>
        <w:spacing w:after="0" w:line="308" w:lineRule="auto"/>
        <w:tabs>
          <w:tab w:leader="none" w:pos="792" w:val="left"/>
        </w:tabs>
        <w:rPr>
          <w:rFonts w:ascii="Arial" w:cs="Arial" w:eastAsia="Arial" w:hAnsi="Arial"/>
          <w:sz w:val="17"/>
          <w:szCs w:val="17"/>
          <w:color w:val="auto"/>
        </w:rPr>
      </w:pPr>
      <w:hyperlink r:id="rId131">
        <w:r>
          <w:rPr>
            <w:rFonts w:ascii="Arial" w:cs="Arial" w:eastAsia="Arial" w:hAnsi="Arial"/>
            <w:sz w:val="18"/>
            <w:szCs w:val="18"/>
            <w:color w:val="auto"/>
          </w:rPr>
          <w:t>†* 10.13</w:t>
        </w:r>
      </w:hyperlink>
      <w:r>
        <w:rPr>
          <w:rFonts w:ascii="Arial" w:cs="Arial" w:eastAsia="Arial" w:hAnsi="Arial"/>
          <w:sz w:val="18"/>
          <w:szCs w:val="18"/>
          <w:color w:val="auto"/>
        </w:rPr>
        <w:tab/>
      </w:r>
      <w:hyperlink r:id="rId131">
        <w:r>
          <w:rPr>
            <w:rFonts w:ascii="Arial" w:cs="Arial" w:eastAsia="Arial" w:hAnsi="Arial"/>
            <w:sz w:val="17"/>
            <w:szCs w:val="17"/>
            <w:color w:val="auto"/>
          </w:rPr>
          <w:t>Amended and Restated Employment Agreement, dated January 22, 2021, by and between AGNC Mortgage Management, LLC and Bernice</w:t>
        </w:r>
      </w:hyperlink>
      <w:r>
        <w:rPr>
          <w:rFonts w:ascii="Arial" w:cs="Arial" w:eastAsia="Arial" w:hAnsi="Arial"/>
          <w:sz w:val="17"/>
          <w:szCs w:val="17"/>
          <w:color w:val="auto"/>
        </w:rPr>
        <w:t xml:space="preserve"> </w:t>
      </w:r>
      <w:hyperlink r:id="rId131">
        <w:r>
          <w:rPr>
            <w:rFonts w:ascii="Arial" w:cs="Arial" w:eastAsia="Arial" w:hAnsi="Arial"/>
            <w:sz w:val="17"/>
            <w:szCs w:val="17"/>
            <w:color w:val="auto"/>
          </w:rPr>
          <w:t>Bell, incorporated herein by reference to Exhibit 10.1 of Form 8-K (File No. 001-34057), filed January 22, 2021.</w:t>
        </w:r>
      </w:hyperlink>
    </w:p>
    <w:p>
      <w:pPr>
        <w:spacing w:after="0" w:line="92" w:lineRule="exact"/>
        <w:rPr>
          <w:rFonts w:ascii="Arial" w:cs="Arial" w:eastAsia="Arial" w:hAnsi="Arial"/>
          <w:sz w:val="18"/>
          <w:szCs w:val="18"/>
          <w:color w:val="auto"/>
        </w:rPr>
      </w:pPr>
    </w:p>
    <w:p>
      <w:pPr>
        <w:ind w:left="812" w:right="80" w:hanging="1295"/>
        <w:spacing w:after="0" w:line="277" w:lineRule="auto"/>
        <w:tabs>
          <w:tab w:leader="none" w:pos="792" w:val="left"/>
        </w:tabs>
        <w:rPr>
          <w:rFonts w:ascii="Arial" w:cs="Arial" w:eastAsia="Arial" w:hAnsi="Arial"/>
          <w:sz w:val="18"/>
          <w:szCs w:val="18"/>
          <w:color w:val="auto"/>
        </w:rPr>
      </w:pPr>
      <w:hyperlink r:id="rId132">
        <w:r>
          <w:rPr>
            <w:rFonts w:ascii="Arial" w:cs="Arial" w:eastAsia="Arial" w:hAnsi="Arial"/>
            <w:sz w:val="18"/>
            <w:szCs w:val="18"/>
            <w:color w:val="auto"/>
          </w:rPr>
          <w:t>†* 10.14</w:t>
        </w:r>
      </w:hyperlink>
      <w:r>
        <w:rPr>
          <w:rFonts w:ascii="Arial" w:cs="Arial" w:eastAsia="Arial" w:hAnsi="Arial"/>
          <w:sz w:val="18"/>
          <w:szCs w:val="18"/>
          <w:color w:val="auto"/>
        </w:rPr>
        <w:tab/>
      </w:r>
      <w:hyperlink r:id="rId132">
        <w:r>
          <w:rPr>
            <w:rFonts w:ascii="Arial" w:cs="Arial" w:eastAsia="Arial" w:hAnsi="Arial"/>
            <w:sz w:val="18"/>
            <w:szCs w:val="18"/>
            <w:color w:val="auto"/>
          </w:rPr>
          <w:t>Amended and Restated Employment Agreement, dated January 22, 2021, by and between AGNC Mortgage Management, LLC and Aaron Pas,</w:t>
        </w:r>
      </w:hyperlink>
      <w:r>
        <w:rPr>
          <w:rFonts w:ascii="Arial" w:cs="Arial" w:eastAsia="Arial" w:hAnsi="Arial"/>
          <w:sz w:val="18"/>
          <w:szCs w:val="18"/>
          <w:color w:val="auto"/>
        </w:rPr>
        <w:t xml:space="preserve"> </w:t>
      </w:r>
      <w:hyperlink r:id="rId132">
        <w:r>
          <w:rPr>
            <w:rFonts w:ascii="Arial" w:cs="Arial" w:eastAsia="Arial" w:hAnsi="Arial"/>
            <w:sz w:val="18"/>
            <w:szCs w:val="18"/>
            <w:color w:val="auto"/>
          </w:rPr>
          <w:t>incorporated herein by reference to Exhibit 10.2 of Form 8-K (File No. 001-34057), filed January 22, 2021.</w:t>
        </w:r>
      </w:hyperlink>
    </w:p>
    <w:p>
      <w:pPr>
        <w:spacing w:after="0" w:line="116" w:lineRule="exact"/>
        <w:rPr>
          <w:rFonts w:ascii="Arial" w:cs="Arial" w:eastAsia="Arial" w:hAnsi="Arial"/>
          <w:sz w:val="18"/>
          <w:szCs w:val="18"/>
          <w:color w:val="auto"/>
        </w:rPr>
      </w:pPr>
    </w:p>
    <w:p>
      <w:pPr>
        <w:ind w:left="1292" w:right="360" w:hanging="1292"/>
        <w:spacing w:after="0" w:line="277" w:lineRule="auto"/>
        <w:tabs>
          <w:tab w:leader="none" w:pos="131" w:val="left"/>
        </w:tabs>
        <w:numPr>
          <w:ilvl w:val="0"/>
          <w:numId w:val="57"/>
        </w:numPr>
        <w:rPr>
          <w:rFonts w:ascii="Arial" w:cs="Arial" w:eastAsia="Arial" w:hAnsi="Arial"/>
          <w:sz w:val="18"/>
          <w:szCs w:val="18"/>
          <w:color w:val="auto"/>
        </w:rPr>
      </w:pPr>
      <w:hyperlink w:anchor="page101">
        <w:r>
          <w:rPr>
            <w:rFonts w:ascii="Arial" w:cs="Arial" w:eastAsia="Arial" w:hAnsi="Arial"/>
            <w:sz w:val="18"/>
            <w:szCs w:val="18"/>
            <w:color w:val="auto"/>
          </w:rPr>
          <w:t>10.15 Amended and Restated Employment Agreement, dated January 22, 2021, by and between AGNC Mortgage Management, LLC and Kenneth</w:t>
        </w:r>
      </w:hyperlink>
      <w:r>
        <w:rPr>
          <w:rFonts w:ascii="Arial" w:cs="Arial" w:eastAsia="Arial" w:hAnsi="Arial"/>
          <w:sz w:val="18"/>
          <w:szCs w:val="18"/>
          <w:color w:val="auto"/>
        </w:rPr>
        <w:t xml:space="preserve"> </w:t>
      </w:r>
      <w:hyperlink w:anchor="page101">
        <w:r>
          <w:rPr>
            <w:rFonts w:ascii="Arial" w:cs="Arial" w:eastAsia="Arial" w:hAnsi="Arial"/>
            <w:sz w:val="18"/>
            <w:szCs w:val="18"/>
            <w:color w:val="auto"/>
          </w:rPr>
          <w:t>Pollack, filed herewith.</w:t>
        </w:r>
      </w:hyperlink>
    </w:p>
    <w:p>
      <w:pPr>
        <w:spacing w:after="0" w:line="116" w:lineRule="exact"/>
        <w:rPr>
          <w:rFonts w:ascii="Arial" w:cs="Arial" w:eastAsia="Arial" w:hAnsi="Arial"/>
          <w:sz w:val="18"/>
          <w:szCs w:val="18"/>
          <w:color w:val="auto"/>
        </w:rPr>
      </w:pPr>
    </w:p>
    <w:p>
      <w:pPr>
        <w:ind w:left="812" w:right="220" w:hanging="1295"/>
        <w:spacing w:after="0" w:line="277" w:lineRule="auto"/>
        <w:tabs>
          <w:tab w:leader="none" w:pos="792" w:val="left"/>
        </w:tabs>
        <w:rPr>
          <w:rFonts w:ascii="Arial" w:cs="Arial" w:eastAsia="Arial" w:hAnsi="Arial"/>
          <w:sz w:val="18"/>
          <w:szCs w:val="18"/>
          <w:color w:val="auto"/>
        </w:rPr>
      </w:pPr>
      <w:hyperlink r:id="rId133">
        <w:r>
          <w:rPr>
            <w:rFonts w:ascii="Arial" w:cs="Arial" w:eastAsia="Arial" w:hAnsi="Arial"/>
            <w:sz w:val="18"/>
            <w:szCs w:val="18"/>
            <w:color w:val="auto"/>
          </w:rPr>
          <w:t>†* 10.16</w:t>
        </w:r>
      </w:hyperlink>
      <w:r>
        <w:rPr>
          <w:rFonts w:ascii="Arial" w:cs="Arial" w:eastAsia="Arial" w:hAnsi="Arial"/>
          <w:sz w:val="18"/>
          <w:szCs w:val="18"/>
          <w:color w:val="auto"/>
        </w:rPr>
        <w:tab/>
      </w:r>
      <w:hyperlink r:id="rId133">
        <w:r>
          <w:rPr>
            <w:rFonts w:ascii="Arial" w:cs="Arial" w:eastAsia="Arial" w:hAnsi="Arial"/>
            <w:sz w:val="18"/>
            <w:szCs w:val="18"/>
            <w:color w:val="auto"/>
          </w:rPr>
          <w:t>AGNC Investment Corp. 2016 Equity and Incentive Compensation Plan, incorporated herein by reference to Exhibit 10.7 of Form 10-K (File</w:t>
        </w:r>
      </w:hyperlink>
      <w:r>
        <w:rPr>
          <w:rFonts w:ascii="Arial" w:cs="Arial" w:eastAsia="Arial" w:hAnsi="Arial"/>
          <w:sz w:val="18"/>
          <w:szCs w:val="18"/>
          <w:color w:val="auto"/>
        </w:rPr>
        <w:t xml:space="preserve"> </w:t>
      </w:r>
      <w:hyperlink r:id="rId133">
        <w:r>
          <w:rPr>
            <w:rFonts w:ascii="Arial" w:cs="Arial" w:eastAsia="Arial" w:hAnsi="Arial"/>
            <w:sz w:val="18"/>
            <w:szCs w:val="18"/>
            <w:color w:val="auto"/>
          </w:rPr>
          <w:t>No. 001-34057), filed February 27, 2017.</w:t>
        </w:r>
      </w:hyperlink>
    </w:p>
    <w:p>
      <w:pPr>
        <w:spacing w:after="0" w:line="116" w:lineRule="exact"/>
        <w:rPr>
          <w:rFonts w:ascii="Arial" w:cs="Arial" w:eastAsia="Arial" w:hAnsi="Arial"/>
          <w:sz w:val="18"/>
          <w:szCs w:val="18"/>
          <w:color w:val="auto"/>
        </w:rPr>
      </w:pPr>
    </w:p>
    <w:p>
      <w:pPr>
        <w:ind w:left="812" w:right="80" w:hanging="1295"/>
        <w:spacing w:after="0" w:line="308" w:lineRule="auto"/>
        <w:tabs>
          <w:tab w:leader="none" w:pos="792" w:val="left"/>
        </w:tabs>
        <w:rPr>
          <w:rFonts w:ascii="Arial" w:cs="Arial" w:eastAsia="Arial" w:hAnsi="Arial"/>
          <w:sz w:val="17"/>
          <w:szCs w:val="17"/>
          <w:color w:val="auto"/>
        </w:rPr>
      </w:pPr>
      <w:hyperlink r:id="rId134">
        <w:r>
          <w:rPr>
            <w:rFonts w:ascii="Arial" w:cs="Arial" w:eastAsia="Arial" w:hAnsi="Arial"/>
            <w:sz w:val="18"/>
            <w:szCs w:val="18"/>
            <w:color w:val="auto"/>
          </w:rPr>
          <w:t>†* 10.17</w:t>
        </w:r>
      </w:hyperlink>
      <w:r>
        <w:rPr>
          <w:rFonts w:ascii="Arial" w:cs="Arial" w:eastAsia="Arial" w:hAnsi="Arial"/>
          <w:sz w:val="18"/>
          <w:szCs w:val="18"/>
          <w:color w:val="auto"/>
        </w:rPr>
        <w:tab/>
      </w:r>
      <w:hyperlink r:id="rId134">
        <w:r>
          <w:rPr>
            <w:rFonts w:ascii="Arial" w:cs="Arial" w:eastAsia="Arial" w:hAnsi="Arial"/>
            <w:sz w:val="17"/>
            <w:szCs w:val="17"/>
            <w:color w:val="auto"/>
          </w:rPr>
          <w:t>Form of AGNC Investment Corp. 2016 Equity and Incentive Compensation Plan Restricted Stock Unit Agreement for Section 16 Officers with</w:t>
        </w:r>
      </w:hyperlink>
      <w:r>
        <w:rPr>
          <w:rFonts w:ascii="Arial" w:cs="Arial" w:eastAsia="Arial" w:hAnsi="Arial"/>
          <w:sz w:val="17"/>
          <w:szCs w:val="17"/>
          <w:color w:val="auto"/>
        </w:rPr>
        <w:t xml:space="preserve"> </w:t>
      </w:r>
      <w:hyperlink r:id="rId134">
        <w:r>
          <w:rPr>
            <w:rFonts w:ascii="Arial" w:cs="Arial" w:eastAsia="Arial" w:hAnsi="Arial"/>
            <w:sz w:val="17"/>
            <w:szCs w:val="17"/>
            <w:color w:val="auto"/>
          </w:rPr>
          <w:t>Employment Contracts, incorporated herein by reference to Exhibit 10.8 of Form 10-K (File No. 001-34057), filed February 27, 2017.</w:t>
        </w:r>
      </w:hyperlink>
    </w:p>
    <w:p>
      <w:pPr>
        <w:spacing w:after="0" w:line="92" w:lineRule="exact"/>
        <w:rPr>
          <w:rFonts w:ascii="Arial" w:cs="Arial" w:eastAsia="Arial" w:hAnsi="Arial"/>
          <w:sz w:val="18"/>
          <w:szCs w:val="18"/>
          <w:color w:val="auto"/>
        </w:rPr>
      </w:pPr>
    </w:p>
    <w:p>
      <w:pPr>
        <w:ind w:left="812" w:right="220" w:hanging="1295"/>
        <w:spacing w:after="0" w:line="263" w:lineRule="auto"/>
        <w:tabs>
          <w:tab w:leader="none" w:pos="792" w:val="left"/>
        </w:tabs>
        <w:rPr>
          <w:rFonts w:ascii="Arial" w:cs="Arial" w:eastAsia="Arial" w:hAnsi="Arial"/>
          <w:sz w:val="18"/>
          <w:szCs w:val="18"/>
          <w:color w:val="auto"/>
        </w:rPr>
      </w:pPr>
      <w:hyperlink r:id="rId135">
        <w:r>
          <w:rPr>
            <w:rFonts w:ascii="Arial" w:cs="Arial" w:eastAsia="Arial" w:hAnsi="Arial"/>
            <w:sz w:val="18"/>
            <w:szCs w:val="18"/>
            <w:color w:val="auto"/>
          </w:rPr>
          <w:t>†* 10.18</w:t>
        </w:r>
      </w:hyperlink>
      <w:r>
        <w:rPr>
          <w:rFonts w:ascii="Arial" w:cs="Arial" w:eastAsia="Arial" w:hAnsi="Arial"/>
          <w:sz w:val="18"/>
          <w:szCs w:val="18"/>
          <w:color w:val="auto"/>
        </w:rPr>
        <w:tab/>
      </w:r>
      <w:hyperlink r:id="rId135">
        <w:r>
          <w:rPr>
            <w:rFonts w:ascii="Arial" w:cs="Arial" w:eastAsia="Arial" w:hAnsi="Arial"/>
            <w:sz w:val="18"/>
            <w:szCs w:val="18"/>
            <w:color w:val="auto"/>
          </w:rPr>
          <w:t>Form of AGNC Investment Corp. 2016 Equity and Incentive Compensation Plan Performance-Based Restricted Stock Unit Agreement for</w:t>
        </w:r>
      </w:hyperlink>
      <w:r>
        <w:rPr>
          <w:rFonts w:ascii="Arial" w:cs="Arial" w:eastAsia="Arial" w:hAnsi="Arial"/>
          <w:sz w:val="18"/>
          <w:szCs w:val="18"/>
          <w:color w:val="auto"/>
        </w:rPr>
        <w:t xml:space="preserve"> </w:t>
      </w:r>
      <w:hyperlink r:id="rId135">
        <w:r>
          <w:rPr>
            <w:rFonts w:ascii="Arial" w:cs="Arial" w:eastAsia="Arial" w:hAnsi="Arial"/>
            <w:sz w:val="18"/>
            <w:szCs w:val="18"/>
            <w:color w:val="auto"/>
          </w:rPr>
          <w:t>Section 16 Officers with Employment Contracts, incorporated herein by reference to Exhibit 10.9 of Form 10-K (File No. 001-34057),</w:t>
        </w:r>
      </w:hyperlink>
      <w:r>
        <w:rPr>
          <w:rFonts w:ascii="Arial" w:cs="Arial" w:eastAsia="Arial" w:hAnsi="Arial"/>
          <w:sz w:val="18"/>
          <w:szCs w:val="18"/>
          <w:color w:val="auto"/>
        </w:rPr>
        <w:t xml:space="preserve"> </w:t>
      </w:r>
      <w:hyperlink r:id="rId135">
        <w:r>
          <w:rPr>
            <w:rFonts w:ascii="Arial" w:cs="Arial" w:eastAsia="Arial" w:hAnsi="Arial"/>
            <w:sz w:val="18"/>
            <w:szCs w:val="18"/>
            <w:color w:val="auto"/>
          </w:rPr>
          <w:t>filed February 27, 2017.</w:t>
        </w:r>
      </w:hyperlink>
    </w:p>
    <w:p>
      <w:pPr>
        <w:spacing w:after="0" w:line="130" w:lineRule="exact"/>
        <w:rPr>
          <w:rFonts w:ascii="Arial" w:cs="Arial" w:eastAsia="Arial" w:hAnsi="Arial"/>
          <w:sz w:val="18"/>
          <w:szCs w:val="18"/>
          <w:color w:val="auto"/>
        </w:rPr>
      </w:pPr>
    </w:p>
    <w:p>
      <w:pPr>
        <w:ind w:left="812" w:hanging="1295"/>
        <w:spacing w:after="0" w:line="263" w:lineRule="auto"/>
        <w:tabs>
          <w:tab w:leader="none" w:pos="792" w:val="left"/>
        </w:tabs>
        <w:rPr>
          <w:rFonts w:ascii="Arial" w:cs="Arial" w:eastAsia="Arial" w:hAnsi="Arial"/>
          <w:sz w:val="18"/>
          <w:szCs w:val="18"/>
          <w:color w:val="auto"/>
        </w:rPr>
      </w:pPr>
      <w:hyperlink r:id="rId136">
        <w:r>
          <w:rPr>
            <w:rFonts w:ascii="Arial" w:cs="Arial" w:eastAsia="Arial" w:hAnsi="Arial"/>
            <w:sz w:val="18"/>
            <w:szCs w:val="18"/>
            <w:color w:val="auto"/>
          </w:rPr>
          <w:t>†* 10.19</w:t>
        </w:r>
      </w:hyperlink>
      <w:r>
        <w:rPr>
          <w:rFonts w:ascii="Arial" w:cs="Arial" w:eastAsia="Arial" w:hAnsi="Arial"/>
          <w:sz w:val="18"/>
          <w:szCs w:val="18"/>
          <w:color w:val="auto"/>
        </w:rPr>
        <w:tab/>
      </w:r>
      <w:hyperlink r:id="rId136">
        <w:r>
          <w:rPr>
            <w:rFonts w:ascii="Arial" w:cs="Arial" w:eastAsia="Arial" w:hAnsi="Arial"/>
            <w:sz w:val="18"/>
            <w:szCs w:val="18"/>
            <w:color w:val="auto"/>
          </w:rPr>
          <w:t>Form of AGNC Investment Corp. 2016 Equity and Incentive Compensation Plan Restricted Stock Unit Agreement for Section 16 Officers</w:t>
        </w:r>
      </w:hyperlink>
      <w:r>
        <w:rPr>
          <w:rFonts w:ascii="Arial" w:cs="Arial" w:eastAsia="Arial" w:hAnsi="Arial"/>
          <w:sz w:val="18"/>
          <w:szCs w:val="18"/>
          <w:color w:val="auto"/>
        </w:rPr>
        <w:t xml:space="preserve"> </w:t>
      </w:r>
      <w:hyperlink r:id="rId136">
        <w:r>
          <w:rPr>
            <w:rFonts w:ascii="Arial" w:cs="Arial" w:eastAsia="Arial" w:hAnsi="Arial"/>
            <w:sz w:val="18"/>
            <w:szCs w:val="18"/>
            <w:color w:val="auto"/>
          </w:rPr>
          <w:t>without Employment Contracts, incorporated herein by reference to Exhibit 10.10 of Form 10-K (File No. 001-34057), filed February 27,</w:t>
        </w:r>
      </w:hyperlink>
      <w:r>
        <w:rPr>
          <w:rFonts w:ascii="Arial" w:cs="Arial" w:eastAsia="Arial" w:hAnsi="Arial"/>
          <w:sz w:val="18"/>
          <w:szCs w:val="18"/>
          <w:color w:val="auto"/>
        </w:rPr>
        <w:t xml:space="preserve"> </w:t>
      </w:r>
      <w:hyperlink r:id="rId136">
        <w:r>
          <w:rPr>
            <w:rFonts w:ascii="Arial" w:cs="Arial" w:eastAsia="Arial" w:hAnsi="Arial"/>
            <w:sz w:val="18"/>
            <w:szCs w:val="18"/>
            <w:color w:val="auto"/>
          </w:rPr>
          <w:t>2017.</w:t>
        </w:r>
      </w:hyperlink>
    </w:p>
    <w:p>
      <w:pPr>
        <w:spacing w:after="0" w:line="130" w:lineRule="exact"/>
        <w:rPr>
          <w:rFonts w:ascii="Arial" w:cs="Arial" w:eastAsia="Arial" w:hAnsi="Arial"/>
          <w:sz w:val="18"/>
          <w:szCs w:val="18"/>
          <w:color w:val="auto"/>
        </w:rPr>
      </w:pPr>
    </w:p>
    <w:p>
      <w:pPr>
        <w:jc w:val="both"/>
        <w:ind w:left="812" w:right="420" w:hanging="1295"/>
        <w:spacing w:after="0" w:line="263" w:lineRule="auto"/>
        <w:tabs>
          <w:tab w:leader="none" w:pos="792" w:val="left"/>
        </w:tabs>
        <w:rPr>
          <w:rFonts w:ascii="Arial" w:cs="Arial" w:eastAsia="Arial" w:hAnsi="Arial"/>
          <w:sz w:val="18"/>
          <w:szCs w:val="18"/>
          <w:color w:val="auto"/>
        </w:rPr>
      </w:pPr>
      <w:hyperlink r:id="rId137">
        <w:r>
          <w:rPr>
            <w:rFonts w:ascii="Arial" w:cs="Arial" w:eastAsia="Arial" w:hAnsi="Arial"/>
            <w:sz w:val="18"/>
            <w:szCs w:val="18"/>
            <w:color w:val="auto"/>
          </w:rPr>
          <w:t>†* 10.20</w:t>
        </w:r>
      </w:hyperlink>
      <w:r>
        <w:rPr>
          <w:rFonts w:ascii="Arial" w:cs="Arial" w:eastAsia="Arial" w:hAnsi="Arial"/>
          <w:sz w:val="18"/>
          <w:szCs w:val="18"/>
          <w:color w:val="auto"/>
        </w:rPr>
        <w:tab/>
      </w:r>
      <w:hyperlink r:id="rId137">
        <w:r>
          <w:rPr>
            <w:rFonts w:ascii="Arial" w:cs="Arial" w:eastAsia="Arial" w:hAnsi="Arial"/>
            <w:sz w:val="18"/>
            <w:szCs w:val="18"/>
            <w:color w:val="auto"/>
          </w:rPr>
          <w:t>Form of AGNC Investment Corp. 2016 Equity and Incentive Compensation Plan Performance-Based Restricted Stock Unit Agreement for</w:t>
        </w:r>
      </w:hyperlink>
      <w:r>
        <w:rPr>
          <w:rFonts w:ascii="Arial" w:cs="Arial" w:eastAsia="Arial" w:hAnsi="Arial"/>
          <w:sz w:val="18"/>
          <w:szCs w:val="18"/>
          <w:color w:val="auto"/>
        </w:rPr>
        <w:t xml:space="preserve"> </w:t>
      </w:r>
      <w:hyperlink r:id="rId137">
        <w:r>
          <w:rPr>
            <w:rFonts w:ascii="Arial" w:cs="Arial" w:eastAsia="Arial" w:hAnsi="Arial"/>
            <w:sz w:val="18"/>
            <w:szCs w:val="18"/>
            <w:color w:val="auto"/>
          </w:rPr>
          <w:t>Section 16 Officers without Employment Contracts, incorporated herein by reference to Exhibit 10.11 of Form 10-K (File No. 001-</w:t>
        </w:r>
      </w:hyperlink>
      <w:hyperlink r:id="rId137">
        <w:r>
          <w:rPr>
            <w:rFonts w:ascii="Arial" w:cs="Arial" w:eastAsia="Arial" w:hAnsi="Arial"/>
            <w:sz w:val="18"/>
            <w:szCs w:val="18"/>
            <w:color w:val="auto"/>
          </w:rPr>
          <w:t>34057), filed February 27, 2017.</w:t>
        </w:r>
      </w:hyperlink>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jc w:val="center"/>
        <w:ind w:right="-31"/>
        <w:spacing w:after="0"/>
        <w:rPr>
          <w:sz w:val="20"/>
          <w:szCs w:val="20"/>
          <w:color w:val="auto"/>
        </w:rPr>
      </w:pPr>
      <w:r>
        <w:rPr>
          <w:rFonts w:ascii="Arial" w:cs="Arial" w:eastAsia="Arial" w:hAnsi="Arial"/>
          <w:sz w:val="18"/>
          <w:szCs w:val="18"/>
          <w:color w:val="auto"/>
        </w:rPr>
        <w:t>85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057" w:right="359" w:bottom="1440" w:gutter="0" w:footer="0" w:header="0"/>
        </w:sectPr>
      </w:pPr>
    </w:p>
    <w:bookmarkStart w:id="86" w:name="page87"/>
    <w:bookmarkEnd w:id="86"/>
    <w:p>
      <w:pPr>
        <w:ind w:left="820" w:right="660" w:hanging="1295"/>
        <w:spacing w:after="0" w:line="342" w:lineRule="auto"/>
        <w:tabs>
          <w:tab w:leader="none" w:pos="800" w:val="left"/>
        </w:tabs>
        <w:rPr>
          <w:rFonts w:ascii="Arial" w:cs="Arial" w:eastAsia="Arial" w:hAnsi="Arial"/>
          <w:sz w:val="16"/>
          <w:szCs w:val="16"/>
          <w:color w:val="auto"/>
        </w:rPr>
      </w:pPr>
      <w:hyperlink r:id="rId139">
        <w:r>
          <w:rPr>
            <w:rFonts w:ascii="Arial" w:cs="Arial" w:eastAsia="Arial" w:hAnsi="Arial"/>
            <w:sz w:val="18"/>
            <w:szCs w:val="18"/>
            <w:color w:val="auto"/>
          </w:rPr>
          <w:t>†* 10.21</w:t>
        </w:r>
      </w:hyperlink>
      <w:r>
        <w:rPr>
          <w:rFonts w:ascii="Arial" w:cs="Arial" w:eastAsia="Arial" w:hAnsi="Arial"/>
          <w:sz w:val="18"/>
          <w:szCs w:val="18"/>
          <w:color w:val="auto"/>
        </w:rPr>
        <w:tab/>
      </w:r>
      <w:hyperlink r:id="rId139">
        <w:r>
          <w:rPr>
            <w:rFonts w:ascii="Arial" w:cs="Arial" w:eastAsia="Arial" w:hAnsi="Arial"/>
            <w:sz w:val="16"/>
            <w:szCs w:val="16"/>
            <w:color w:val="auto"/>
          </w:rPr>
          <w:t>Form of AGNC Investment Corp. 2016 Equity and Incentive Compensation Plan Restricted Stock Unit Agreement for Non-Employee</w:t>
        </w:r>
      </w:hyperlink>
      <w:r>
        <w:rPr>
          <w:rFonts w:ascii="Arial" w:cs="Arial" w:eastAsia="Arial" w:hAnsi="Arial"/>
          <w:sz w:val="16"/>
          <w:szCs w:val="16"/>
          <w:color w:val="auto"/>
        </w:rPr>
        <w:t xml:space="preserve"> </w:t>
      </w:r>
      <w:hyperlink r:id="rId139">
        <w:r>
          <w:rPr>
            <w:rFonts w:ascii="Arial" w:cs="Arial" w:eastAsia="Arial" w:hAnsi="Arial"/>
            <w:sz w:val="16"/>
            <w:szCs w:val="16"/>
            <w:color w:val="auto"/>
          </w:rPr>
          <w:t>Directors, incorporated herein by reference to Exhibit 10.14 of Form 10-K (File No. 001-34057), filed February 26, 2018.</w:t>
        </w:r>
      </w:hyperlink>
    </w:p>
    <w:p>
      <w:pPr>
        <w:spacing w:after="0" w:line="70" w:lineRule="exact"/>
        <w:rPr>
          <w:rFonts w:ascii="Arial" w:cs="Arial" w:eastAsia="Arial" w:hAnsi="Arial"/>
          <w:sz w:val="18"/>
          <w:szCs w:val="18"/>
          <w:color w:val="auto"/>
        </w:rPr>
      </w:pPr>
    </w:p>
    <w:p>
      <w:pPr>
        <w:ind w:left="820" w:right="460" w:hanging="1295"/>
        <w:spacing w:after="0" w:line="342" w:lineRule="auto"/>
        <w:tabs>
          <w:tab w:leader="none" w:pos="800" w:val="left"/>
        </w:tabs>
        <w:rPr>
          <w:rFonts w:ascii="Arial" w:cs="Arial" w:eastAsia="Arial" w:hAnsi="Arial"/>
          <w:sz w:val="16"/>
          <w:szCs w:val="16"/>
          <w:color w:val="auto"/>
        </w:rPr>
      </w:pPr>
      <w:hyperlink r:id="rId140">
        <w:r>
          <w:rPr>
            <w:rFonts w:ascii="Arial" w:cs="Arial" w:eastAsia="Arial" w:hAnsi="Arial"/>
            <w:sz w:val="18"/>
            <w:szCs w:val="18"/>
            <w:color w:val="auto"/>
          </w:rPr>
          <w:t>†* 10.22</w:t>
        </w:r>
      </w:hyperlink>
      <w:r>
        <w:rPr>
          <w:rFonts w:ascii="Arial" w:cs="Arial" w:eastAsia="Arial" w:hAnsi="Arial"/>
          <w:sz w:val="18"/>
          <w:szCs w:val="18"/>
          <w:color w:val="auto"/>
        </w:rPr>
        <w:tab/>
      </w:r>
      <w:hyperlink r:id="rId140">
        <w:r>
          <w:rPr>
            <w:rFonts w:ascii="Arial" w:cs="Arial" w:eastAsia="Arial" w:hAnsi="Arial"/>
            <w:sz w:val="16"/>
            <w:szCs w:val="16"/>
            <w:color w:val="auto"/>
          </w:rPr>
          <w:t>Form of AGNC Investment Corp. 2016 Equity and Incentive Compensation Plan Deferred Stock Unit Agreement incorporated herein by</w:t>
        </w:r>
      </w:hyperlink>
      <w:r>
        <w:rPr>
          <w:rFonts w:ascii="Arial" w:cs="Arial" w:eastAsia="Arial" w:hAnsi="Arial"/>
          <w:sz w:val="16"/>
          <w:szCs w:val="16"/>
          <w:color w:val="auto"/>
        </w:rPr>
        <w:t xml:space="preserve"> </w:t>
      </w:r>
      <w:hyperlink r:id="rId140">
        <w:r>
          <w:rPr>
            <w:rFonts w:ascii="Arial" w:cs="Arial" w:eastAsia="Arial" w:hAnsi="Arial"/>
            <w:sz w:val="16"/>
            <w:szCs w:val="16"/>
            <w:color w:val="auto"/>
          </w:rPr>
          <w:t>reference to Exhibit 10 of Form 10-Q for the quarter ended September 30, 2018 (File No. 001-34057), filed November 5, 2018.</w:t>
        </w:r>
      </w:hyperlink>
    </w:p>
    <w:p>
      <w:pPr>
        <w:spacing w:after="0" w:line="70" w:lineRule="exact"/>
        <w:rPr>
          <w:rFonts w:ascii="Arial" w:cs="Arial" w:eastAsia="Arial" w:hAnsi="Arial"/>
          <w:sz w:val="18"/>
          <w:szCs w:val="18"/>
          <w:color w:val="auto"/>
        </w:rPr>
      </w:pPr>
    </w:p>
    <w:p>
      <w:pPr>
        <w:ind w:left="820" w:hanging="1295"/>
        <w:spacing w:after="0" w:line="308" w:lineRule="auto"/>
        <w:tabs>
          <w:tab w:leader="none" w:pos="800" w:val="left"/>
        </w:tabs>
        <w:rPr>
          <w:rFonts w:ascii="Arial" w:cs="Arial" w:eastAsia="Arial" w:hAnsi="Arial"/>
          <w:sz w:val="17"/>
          <w:szCs w:val="17"/>
          <w:color w:val="auto"/>
        </w:rPr>
      </w:pPr>
      <w:hyperlink r:id="rId141">
        <w:r>
          <w:rPr>
            <w:rFonts w:ascii="Arial" w:cs="Arial" w:eastAsia="Arial" w:hAnsi="Arial"/>
            <w:sz w:val="18"/>
            <w:szCs w:val="18"/>
            <w:color w:val="auto"/>
          </w:rPr>
          <w:t>†* 10.23</w:t>
        </w:r>
      </w:hyperlink>
      <w:r>
        <w:rPr>
          <w:rFonts w:ascii="Arial" w:cs="Arial" w:eastAsia="Arial" w:hAnsi="Arial"/>
          <w:sz w:val="18"/>
          <w:szCs w:val="18"/>
          <w:color w:val="auto"/>
        </w:rPr>
        <w:tab/>
      </w:r>
      <w:hyperlink r:id="rId141">
        <w:r>
          <w:rPr>
            <w:rFonts w:ascii="Arial" w:cs="Arial" w:eastAsia="Arial" w:hAnsi="Arial"/>
            <w:sz w:val="17"/>
            <w:szCs w:val="17"/>
            <w:color w:val="auto"/>
          </w:rPr>
          <w:t>Form of AGNC Investment Corp. 2016 Equity and Incentive Compensation Plan Restricted Stock Unit Agreement for Section 16 Officers with</w:t>
        </w:r>
      </w:hyperlink>
      <w:r>
        <w:rPr>
          <w:rFonts w:ascii="Arial" w:cs="Arial" w:eastAsia="Arial" w:hAnsi="Arial"/>
          <w:sz w:val="17"/>
          <w:szCs w:val="17"/>
          <w:color w:val="auto"/>
        </w:rPr>
        <w:t xml:space="preserve"> </w:t>
      </w:r>
      <w:hyperlink r:id="rId141">
        <w:r>
          <w:rPr>
            <w:rFonts w:ascii="Arial" w:cs="Arial" w:eastAsia="Arial" w:hAnsi="Arial"/>
            <w:sz w:val="17"/>
            <w:szCs w:val="17"/>
            <w:color w:val="auto"/>
          </w:rPr>
          <w:t>Retirement Provisions, incorporated herein by reference to Exhibit 10.15 of Form 10-K (File No. 001-34057), filed February 22, 2019.</w:t>
        </w:r>
      </w:hyperlink>
    </w:p>
    <w:p>
      <w:pPr>
        <w:spacing w:after="0" w:line="92" w:lineRule="exact"/>
        <w:rPr>
          <w:rFonts w:ascii="Arial" w:cs="Arial" w:eastAsia="Arial" w:hAnsi="Arial"/>
          <w:sz w:val="18"/>
          <w:szCs w:val="18"/>
          <w:color w:val="auto"/>
        </w:rPr>
      </w:pPr>
    </w:p>
    <w:p>
      <w:pPr>
        <w:ind w:left="820" w:right="120" w:hanging="1295"/>
        <w:spacing w:after="0" w:line="263" w:lineRule="auto"/>
        <w:tabs>
          <w:tab w:leader="none" w:pos="800" w:val="left"/>
        </w:tabs>
        <w:rPr>
          <w:rFonts w:ascii="Arial" w:cs="Arial" w:eastAsia="Arial" w:hAnsi="Arial"/>
          <w:sz w:val="18"/>
          <w:szCs w:val="18"/>
          <w:color w:val="auto"/>
        </w:rPr>
      </w:pPr>
      <w:hyperlink r:id="rId142">
        <w:r>
          <w:rPr>
            <w:rFonts w:ascii="Arial" w:cs="Arial" w:eastAsia="Arial" w:hAnsi="Arial"/>
            <w:sz w:val="18"/>
            <w:szCs w:val="18"/>
            <w:color w:val="auto"/>
          </w:rPr>
          <w:t>†* 10.24</w:t>
        </w:r>
      </w:hyperlink>
      <w:r>
        <w:rPr>
          <w:rFonts w:ascii="Arial" w:cs="Arial" w:eastAsia="Arial" w:hAnsi="Arial"/>
          <w:sz w:val="18"/>
          <w:szCs w:val="18"/>
          <w:color w:val="auto"/>
        </w:rPr>
        <w:tab/>
      </w:r>
      <w:hyperlink r:id="rId142">
        <w:r>
          <w:rPr>
            <w:rFonts w:ascii="Arial" w:cs="Arial" w:eastAsia="Arial" w:hAnsi="Arial"/>
            <w:sz w:val="18"/>
            <w:szCs w:val="18"/>
            <w:color w:val="auto"/>
          </w:rPr>
          <w:t>Form of AGNC Investment Corp. 2016 Equity and Incentive Compensation Plan Performance-Based Restricted Stock Unit Agreement for</w:t>
        </w:r>
      </w:hyperlink>
      <w:r>
        <w:rPr>
          <w:rFonts w:ascii="Arial" w:cs="Arial" w:eastAsia="Arial" w:hAnsi="Arial"/>
          <w:sz w:val="18"/>
          <w:szCs w:val="18"/>
          <w:color w:val="auto"/>
        </w:rPr>
        <w:t xml:space="preserve"> </w:t>
      </w:r>
      <w:hyperlink r:id="rId142">
        <w:r>
          <w:rPr>
            <w:rFonts w:ascii="Arial" w:cs="Arial" w:eastAsia="Arial" w:hAnsi="Arial"/>
            <w:sz w:val="18"/>
            <w:szCs w:val="18"/>
            <w:color w:val="auto"/>
          </w:rPr>
          <w:t>Section 16 Officers with Retirement Provisions, incorporated herein by reference to Exhibit 10.16 of Form 10-K (File No. 001-34057),</w:t>
        </w:r>
      </w:hyperlink>
      <w:r>
        <w:rPr>
          <w:rFonts w:ascii="Arial" w:cs="Arial" w:eastAsia="Arial" w:hAnsi="Arial"/>
          <w:sz w:val="18"/>
          <w:szCs w:val="18"/>
          <w:color w:val="auto"/>
        </w:rPr>
        <w:t xml:space="preserve"> </w:t>
      </w:r>
      <w:hyperlink r:id="rId142">
        <w:r>
          <w:rPr>
            <w:rFonts w:ascii="Arial" w:cs="Arial" w:eastAsia="Arial" w:hAnsi="Arial"/>
            <w:sz w:val="18"/>
            <w:szCs w:val="18"/>
            <w:color w:val="auto"/>
          </w:rPr>
          <w:t>filed February 22, 2019.</w:t>
        </w:r>
      </w:hyperlink>
    </w:p>
    <w:p>
      <w:pPr>
        <w:spacing w:after="0" w:line="130" w:lineRule="exact"/>
        <w:rPr>
          <w:rFonts w:ascii="Arial" w:cs="Arial" w:eastAsia="Arial" w:hAnsi="Arial"/>
          <w:sz w:val="18"/>
          <w:szCs w:val="18"/>
          <w:color w:val="auto"/>
        </w:rPr>
      </w:pPr>
    </w:p>
    <w:p>
      <w:pPr>
        <w:ind w:left="820" w:right="60" w:hanging="1295"/>
        <w:spacing w:after="0" w:line="263" w:lineRule="auto"/>
        <w:tabs>
          <w:tab w:leader="none" w:pos="800" w:val="left"/>
        </w:tabs>
        <w:rPr>
          <w:rFonts w:ascii="Arial" w:cs="Arial" w:eastAsia="Arial" w:hAnsi="Arial"/>
          <w:sz w:val="18"/>
          <w:szCs w:val="18"/>
          <w:color w:val="auto"/>
        </w:rPr>
      </w:pPr>
      <w:hyperlink r:id="rId143">
        <w:r>
          <w:rPr>
            <w:rFonts w:ascii="Arial" w:cs="Arial" w:eastAsia="Arial" w:hAnsi="Arial"/>
            <w:sz w:val="18"/>
            <w:szCs w:val="18"/>
            <w:color w:val="auto"/>
          </w:rPr>
          <w:t>†* 10.25</w:t>
        </w:r>
      </w:hyperlink>
      <w:r>
        <w:rPr>
          <w:rFonts w:ascii="Arial" w:cs="Arial" w:eastAsia="Arial" w:hAnsi="Arial"/>
          <w:sz w:val="18"/>
          <w:szCs w:val="18"/>
          <w:color w:val="auto"/>
        </w:rPr>
        <w:tab/>
      </w:r>
      <w:hyperlink r:id="rId143">
        <w:r>
          <w:rPr>
            <w:rFonts w:ascii="Arial" w:cs="Arial" w:eastAsia="Arial" w:hAnsi="Arial"/>
            <w:sz w:val="18"/>
            <w:szCs w:val="18"/>
            <w:color w:val="auto"/>
          </w:rPr>
          <w:t>Form of AGNC Investment Corp. 2016 Equity and Incentive Compensation Plan Performance-Based Restricted Stock Unit Agreement for</w:t>
        </w:r>
      </w:hyperlink>
      <w:r>
        <w:rPr>
          <w:rFonts w:ascii="Arial" w:cs="Arial" w:eastAsia="Arial" w:hAnsi="Arial"/>
          <w:sz w:val="18"/>
          <w:szCs w:val="18"/>
          <w:color w:val="auto"/>
        </w:rPr>
        <w:t xml:space="preserve"> </w:t>
      </w:r>
      <w:hyperlink r:id="rId143">
        <w:r>
          <w:rPr>
            <w:rFonts w:ascii="Arial" w:cs="Arial" w:eastAsia="Arial" w:hAnsi="Arial"/>
            <w:sz w:val="18"/>
            <w:szCs w:val="18"/>
            <w:color w:val="auto"/>
          </w:rPr>
          <w:t>Section 16 Officers with Employment Contracts, incorporated herein by reference to Exhibit 10.17 of Form 10-K (File No. 001-34057),</w:t>
        </w:r>
      </w:hyperlink>
      <w:r>
        <w:rPr>
          <w:rFonts w:ascii="Arial" w:cs="Arial" w:eastAsia="Arial" w:hAnsi="Arial"/>
          <w:sz w:val="18"/>
          <w:szCs w:val="18"/>
          <w:color w:val="auto"/>
        </w:rPr>
        <w:t xml:space="preserve"> </w:t>
      </w:r>
      <w:hyperlink r:id="rId143">
        <w:r>
          <w:rPr>
            <w:rFonts w:ascii="Arial" w:cs="Arial" w:eastAsia="Arial" w:hAnsi="Arial"/>
            <w:sz w:val="18"/>
            <w:szCs w:val="18"/>
            <w:color w:val="auto"/>
          </w:rPr>
          <w:t>filed February 22, 2019.</w:t>
        </w:r>
      </w:hyperlink>
    </w:p>
    <w:p>
      <w:pPr>
        <w:spacing w:after="0" w:line="130" w:lineRule="exact"/>
        <w:rPr>
          <w:rFonts w:ascii="Arial" w:cs="Arial" w:eastAsia="Arial" w:hAnsi="Arial"/>
          <w:sz w:val="18"/>
          <w:szCs w:val="18"/>
          <w:color w:val="auto"/>
        </w:rPr>
      </w:pPr>
    </w:p>
    <w:p>
      <w:pPr>
        <w:ind w:left="680" w:right="120" w:hanging="1295"/>
        <w:spacing w:after="0" w:line="277" w:lineRule="auto"/>
        <w:tabs>
          <w:tab w:leader="none" w:pos="660" w:val="left"/>
        </w:tabs>
        <w:rPr>
          <w:rFonts w:ascii="Arial" w:cs="Arial" w:eastAsia="Arial" w:hAnsi="Arial"/>
          <w:sz w:val="18"/>
          <w:szCs w:val="18"/>
          <w:color w:val="auto"/>
        </w:rPr>
      </w:pPr>
      <w:r>
        <w:rPr>
          <w:rFonts w:ascii="Arial" w:cs="Arial" w:eastAsia="Arial" w:hAnsi="Arial"/>
          <w:sz w:val="18"/>
          <w:szCs w:val="18"/>
          <w:color w:val="auto"/>
        </w:rPr>
        <w:t>†10.26</w:t>
        <w:tab/>
      </w:r>
      <w:hyperlink w:anchor="page117">
        <w:r>
          <w:rPr>
            <w:rFonts w:ascii="Arial" w:cs="Arial" w:eastAsia="Arial" w:hAnsi="Arial"/>
            <w:sz w:val="18"/>
            <w:szCs w:val="18"/>
            <w:color w:val="auto"/>
          </w:rPr>
          <w:t>Form of AGNC Investment Corp. 2016 Equity and Incentive Compensation Plan Restricted Stock Unit Agreement for Section 16 Officers with</w:t>
        </w:r>
      </w:hyperlink>
      <w:r>
        <w:rPr>
          <w:rFonts w:ascii="Arial" w:cs="Arial" w:eastAsia="Arial" w:hAnsi="Arial"/>
          <w:sz w:val="18"/>
          <w:szCs w:val="18"/>
          <w:color w:val="auto"/>
        </w:rPr>
        <w:t xml:space="preserve"> </w:t>
      </w:r>
      <w:hyperlink w:anchor="page117">
        <w:r>
          <w:rPr>
            <w:rFonts w:ascii="Arial" w:cs="Arial" w:eastAsia="Arial" w:hAnsi="Arial"/>
            <w:sz w:val="18"/>
            <w:szCs w:val="18"/>
            <w:color w:val="auto"/>
          </w:rPr>
          <w:t>Retirement Provisions, filed herewith.</w:t>
        </w:r>
      </w:hyperlink>
    </w:p>
    <w:p>
      <w:pPr>
        <w:spacing w:after="0" w:line="116" w:lineRule="exact"/>
        <w:rPr>
          <w:sz w:val="20"/>
          <w:szCs w:val="20"/>
          <w:color w:val="auto"/>
        </w:rPr>
      </w:pPr>
    </w:p>
    <w:p>
      <w:pPr>
        <w:ind w:left="680" w:right="460" w:hanging="1295"/>
        <w:spacing w:after="0" w:line="277" w:lineRule="auto"/>
        <w:tabs>
          <w:tab w:leader="none" w:pos="660" w:val="left"/>
        </w:tabs>
        <w:rPr>
          <w:rFonts w:ascii="Arial" w:cs="Arial" w:eastAsia="Arial" w:hAnsi="Arial"/>
          <w:sz w:val="18"/>
          <w:szCs w:val="18"/>
          <w:color w:val="auto"/>
        </w:rPr>
      </w:pPr>
      <w:r>
        <w:rPr>
          <w:rFonts w:ascii="Arial" w:cs="Arial" w:eastAsia="Arial" w:hAnsi="Arial"/>
          <w:sz w:val="18"/>
          <w:szCs w:val="18"/>
          <w:color w:val="auto"/>
        </w:rPr>
        <w:t>†10.27</w:t>
        <w:tab/>
      </w:r>
      <w:hyperlink w:anchor="page124">
        <w:r>
          <w:rPr>
            <w:rFonts w:ascii="Arial" w:cs="Arial" w:eastAsia="Arial" w:hAnsi="Arial"/>
            <w:sz w:val="18"/>
            <w:szCs w:val="18"/>
            <w:color w:val="auto"/>
          </w:rPr>
          <w:t>Form of AGNC Investment Corp. 2016 Equity and Incentive Compensation Plan Performance-Based Restricted Stock Unit Agreement for</w:t>
        </w:r>
      </w:hyperlink>
      <w:r>
        <w:rPr>
          <w:rFonts w:ascii="Arial" w:cs="Arial" w:eastAsia="Arial" w:hAnsi="Arial"/>
          <w:sz w:val="18"/>
          <w:szCs w:val="18"/>
          <w:color w:val="auto"/>
        </w:rPr>
        <w:t xml:space="preserve"> </w:t>
      </w:r>
      <w:hyperlink w:anchor="page124">
        <w:r>
          <w:rPr>
            <w:rFonts w:ascii="Arial" w:cs="Arial" w:eastAsia="Arial" w:hAnsi="Arial"/>
            <w:sz w:val="18"/>
            <w:szCs w:val="18"/>
            <w:color w:val="auto"/>
          </w:rPr>
          <w:t>Section 16 Officers with Retirement Provisions, filed herewith.</w:t>
        </w:r>
      </w:hyperlink>
    </w:p>
    <w:p>
      <w:pPr>
        <w:spacing w:after="0" w:line="116" w:lineRule="exact"/>
        <w:rPr>
          <w:sz w:val="20"/>
          <w:szCs w:val="20"/>
          <w:color w:val="auto"/>
        </w:rPr>
      </w:pPr>
    </w:p>
    <w:p>
      <w:pPr>
        <w:ind w:left="680" w:right="120" w:hanging="1295"/>
        <w:spacing w:after="0" w:line="277" w:lineRule="auto"/>
        <w:tabs>
          <w:tab w:leader="none" w:pos="660" w:val="left"/>
        </w:tabs>
        <w:rPr>
          <w:rFonts w:ascii="Arial" w:cs="Arial" w:eastAsia="Arial" w:hAnsi="Arial"/>
          <w:sz w:val="18"/>
          <w:szCs w:val="18"/>
          <w:color w:val="auto"/>
        </w:rPr>
      </w:pPr>
      <w:r>
        <w:rPr>
          <w:rFonts w:ascii="Arial" w:cs="Arial" w:eastAsia="Arial" w:hAnsi="Arial"/>
          <w:sz w:val="18"/>
          <w:szCs w:val="18"/>
          <w:color w:val="auto"/>
        </w:rPr>
        <w:t>†10.28</w:t>
        <w:tab/>
      </w:r>
      <w:hyperlink w:anchor="page131">
        <w:r>
          <w:rPr>
            <w:rFonts w:ascii="Arial" w:cs="Arial" w:eastAsia="Arial" w:hAnsi="Arial"/>
            <w:sz w:val="18"/>
            <w:szCs w:val="18"/>
            <w:color w:val="auto"/>
          </w:rPr>
          <w:t>Form of AGNC Investment Corp. 2016 Equity and Incentive Compensation Plan Restricted Stock Unit Agreement for Section 16 Officers with</w:t>
        </w:r>
      </w:hyperlink>
      <w:r>
        <w:rPr>
          <w:rFonts w:ascii="Arial" w:cs="Arial" w:eastAsia="Arial" w:hAnsi="Arial"/>
          <w:sz w:val="18"/>
          <w:szCs w:val="18"/>
          <w:color w:val="auto"/>
        </w:rPr>
        <w:t xml:space="preserve"> </w:t>
      </w:r>
      <w:hyperlink w:anchor="page131">
        <w:r>
          <w:rPr>
            <w:rFonts w:ascii="Arial" w:cs="Arial" w:eastAsia="Arial" w:hAnsi="Arial"/>
            <w:sz w:val="18"/>
            <w:szCs w:val="18"/>
            <w:color w:val="auto"/>
          </w:rPr>
          <w:t>Employment Contracts, filed herewith.</w:t>
        </w:r>
      </w:hyperlink>
    </w:p>
    <w:p>
      <w:pPr>
        <w:spacing w:after="0" w:line="116" w:lineRule="exact"/>
        <w:rPr>
          <w:sz w:val="20"/>
          <w:szCs w:val="20"/>
          <w:color w:val="auto"/>
        </w:rPr>
      </w:pPr>
    </w:p>
    <w:p>
      <w:pPr>
        <w:ind w:left="680" w:right="460" w:hanging="1295"/>
        <w:spacing w:after="0" w:line="277" w:lineRule="auto"/>
        <w:tabs>
          <w:tab w:leader="none" w:pos="660" w:val="left"/>
        </w:tabs>
        <w:rPr>
          <w:rFonts w:ascii="Arial" w:cs="Arial" w:eastAsia="Arial" w:hAnsi="Arial"/>
          <w:sz w:val="18"/>
          <w:szCs w:val="18"/>
          <w:color w:val="auto"/>
        </w:rPr>
      </w:pPr>
      <w:r>
        <w:rPr>
          <w:rFonts w:ascii="Arial" w:cs="Arial" w:eastAsia="Arial" w:hAnsi="Arial"/>
          <w:sz w:val="18"/>
          <w:szCs w:val="18"/>
          <w:color w:val="auto"/>
        </w:rPr>
        <w:t>†10.29</w:t>
        <w:tab/>
      </w:r>
      <w:hyperlink w:anchor="page137">
        <w:r>
          <w:rPr>
            <w:rFonts w:ascii="Arial" w:cs="Arial" w:eastAsia="Arial" w:hAnsi="Arial"/>
            <w:sz w:val="18"/>
            <w:szCs w:val="18"/>
            <w:color w:val="auto"/>
          </w:rPr>
          <w:t>Form of AGNC Investment Corp. 2016 Equity and Incentive Compensation Plan Performance-Based Restricted Stock Unit Agreement for</w:t>
        </w:r>
      </w:hyperlink>
      <w:r>
        <w:rPr>
          <w:rFonts w:ascii="Arial" w:cs="Arial" w:eastAsia="Arial" w:hAnsi="Arial"/>
          <w:sz w:val="18"/>
          <w:szCs w:val="18"/>
          <w:color w:val="auto"/>
        </w:rPr>
        <w:t xml:space="preserve"> </w:t>
      </w:r>
      <w:hyperlink w:anchor="page137">
        <w:r>
          <w:rPr>
            <w:rFonts w:ascii="Arial" w:cs="Arial" w:eastAsia="Arial" w:hAnsi="Arial"/>
            <w:sz w:val="18"/>
            <w:szCs w:val="18"/>
            <w:color w:val="auto"/>
          </w:rPr>
          <w:t>Section 16 Officers with Employment Contracts, filed herewith.</w:t>
        </w:r>
      </w:hyperlink>
    </w:p>
    <w:p>
      <w:pPr>
        <w:spacing w:after="0" w:line="116" w:lineRule="exact"/>
        <w:rPr>
          <w:sz w:val="20"/>
          <w:szCs w:val="20"/>
          <w:color w:val="auto"/>
        </w:rPr>
      </w:pPr>
    </w:p>
    <w:p>
      <w:pPr>
        <w:ind w:left="460" w:right="20" w:hanging="1295"/>
        <w:spacing w:after="0" w:line="277" w:lineRule="auto"/>
        <w:tabs>
          <w:tab w:leader="none" w:pos="440" w:val="left"/>
        </w:tabs>
        <w:rPr>
          <w:rFonts w:ascii="Arial" w:cs="Arial" w:eastAsia="Arial" w:hAnsi="Arial"/>
          <w:sz w:val="18"/>
          <w:szCs w:val="18"/>
          <w:color w:val="auto"/>
        </w:rPr>
      </w:pPr>
      <w:r>
        <w:rPr>
          <w:rFonts w:ascii="Arial" w:cs="Arial" w:eastAsia="Arial" w:hAnsi="Arial"/>
          <w:sz w:val="18"/>
          <w:szCs w:val="18"/>
          <w:color w:val="auto"/>
        </w:rPr>
        <w:t>*14</w:t>
        <w:tab/>
      </w:r>
      <w:hyperlink r:id="rId144">
        <w:r>
          <w:rPr>
            <w:rFonts w:ascii="Arial" w:cs="Arial" w:eastAsia="Arial" w:hAnsi="Arial"/>
            <w:sz w:val="18"/>
            <w:szCs w:val="18"/>
            <w:color w:val="auto"/>
          </w:rPr>
          <w:t>AGNC Investment Corp. Code of Ethics and Conduct, adopted January 23, 2020, incorporated herein by reference to Exhibit 14 of Form 10-K (File</w:t>
        </w:r>
      </w:hyperlink>
      <w:r>
        <w:rPr>
          <w:rFonts w:ascii="Arial" w:cs="Arial" w:eastAsia="Arial" w:hAnsi="Arial"/>
          <w:sz w:val="18"/>
          <w:szCs w:val="18"/>
          <w:color w:val="auto"/>
        </w:rPr>
        <w:t xml:space="preserve"> </w:t>
      </w:r>
      <w:hyperlink r:id="rId144">
        <w:r>
          <w:rPr>
            <w:rFonts w:ascii="Arial" w:cs="Arial" w:eastAsia="Arial" w:hAnsi="Arial"/>
            <w:sz w:val="18"/>
            <w:szCs w:val="18"/>
            <w:color w:val="auto"/>
          </w:rPr>
          <w:t>No. 001-34057), filed February 25, 2020.</w:t>
        </w:r>
      </w:hyperlink>
    </w:p>
    <w:p>
      <w:pPr>
        <w:spacing w:after="0" w:line="116"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Subsidiaries of the Company and jurisdiction of incorporation:</w:t>
      </w:r>
    </w:p>
    <w:p>
      <w:pPr>
        <w:spacing w:after="0" w:line="171" w:lineRule="exact"/>
        <w:rPr>
          <w:rFonts w:ascii="Arial" w:cs="Arial" w:eastAsia="Arial" w:hAnsi="Arial"/>
          <w:sz w:val="18"/>
          <w:szCs w:val="18"/>
          <w:color w:val="auto"/>
        </w:rPr>
      </w:pPr>
    </w:p>
    <w:p>
      <w:pPr>
        <w:ind w:left="1540" w:hanging="236"/>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AGNC TRS, LLC, a Delaware limited liability company</w:t>
      </w:r>
    </w:p>
    <w:p>
      <w:pPr>
        <w:spacing w:after="0" w:line="171" w:lineRule="exact"/>
        <w:rPr>
          <w:rFonts w:ascii="Arial" w:cs="Arial" w:eastAsia="Arial" w:hAnsi="Arial"/>
          <w:sz w:val="18"/>
          <w:szCs w:val="18"/>
          <w:color w:val="auto"/>
        </w:rPr>
      </w:pPr>
    </w:p>
    <w:p>
      <w:pPr>
        <w:ind w:left="1540" w:hanging="236"/>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Old Georgetown Insurance Co. LLC, a Missouri limited liability company</w:t>
      </w:r>
    </w:p>
    <w:p>
      <w:pPr>
        <w:spacing w:after="0" w:line="171" w:lineRule="exact"/>
        <w:rPr>
          <w:rFonts w:ascii="Arial" w:cs="Arial" w:eastAsia="Arial" w:hAnsi="Arial"/>
          <w:sz w:val="18"/>
          <w:szCs w:val="18"/>
          <w:color w:val="auto"/>
        </w:rPr>
      </w:pPr>
    </w:p>
    <w:p>
      <w:pPr>
        <w:ind w:left="1540" w:hanging="236"/>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Bethesda Securities, LLC, a Delaware limited liability company</w:t>
      </w:r>
    </w:p>
    <w:p>
      <w:pPr>
        <w:spacing w:after="0" w:line="171" w:lineRule="exact"/>
        <w:rPr>
          <w:rFonts w:ascii="Arial" w:cs="Arial" w:eastAsia="Arial" w:hAnsi="Arial"/>
          <w:sz w:val="18"/>
          <w:szCs w:val="18"/>
          <w:color w:val="auto"/>
        </w:rPr>
      </w:pPr>
    </w:p>
    <w:p>
      <w:pPr>
        <w:ind w:left="1540" w:hanging="236"/>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AGNC Mortgage Management, LLC, a Delaware limited liability company</w:t>
      </w:r>
    </w:p>
    <w:p>
      <w:pPr>
        <w:spacing w:after="0" w:line="171" w:lineRule="exact"/>
        <w:rPr>
          <w:rFonts w:ascii="Arial" w:cs="Arial" w:eastAsia="Arial" w:hAnsi="Arial"/>
          <w:sz w:val="18"/>
          <w:szCs w:val="18"/>
          <w:color w:val="auto"/>
        </w:rPr>
      </w:pPr>
    </w:p>
    <w:p>
      <w:pPr>
        <w:ind w:left="1540" w:hanging="236"/>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CT Collateral Funding, LLC, a Delaware limited liability company</w:t>
      </w:r>
    </w:p>
    <w:p>
      <w:pPr>
        <w:spacing w:after="0" w:line="171"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18"/>
          <w:szCs w:val="18"/>
          <w:color w:val="auto"/>
        </w:rPr>
      </w:pPr>
      <w:hyperlink w:anchor="page145">
        <w:r>
          <w:rPr>
            <w:rFonts w:ascii="Arial" w:cs="Arial" w:eastAsia="Arial" w:hAnsi="Arial"/>
            <w:sz w:val="18"/>
            <w:szCs w:val="18"/>
            <w:color w:val="auto"/>
          </w:rPr>
          <w:t>Consent of Ernst &amp; Young LLP, filed herewith.</w:t>
        </w:r>
      </w:hyperlink>
    </w:p>
    <w:p>
      <w:pPr>
        <w:spacing w:after="0" w:line="171" w:lineRule="exact"/>
        <w:rPr>
          <w:rFonts w:ascii="Arial" w:cs="Arial" w:eastAsia="Arial" w:hAnsi="Arial"/>
          <w:sz w:val="18"/>
          <w:szCs w:val="18"/>
          <w:color w:val="auto"/>
        </w:rPr>
      </w:pPr>
    </w:p>
    <w:p>
      <w:pPr>
        <w:ind w:left="360" w:hanging="352"/>
        <w:spacing w:after="0"/>
        <w:tabs>
          <w:tab w:leader="none" w:pos="360" w:val="left"/>
        </w:tabs>
        <w:numPr>
          <w:ilvl w:val="0"/>
          <w:numId w:val="59"/>
        </w:numPr>
        <w:rPr>
          <w:rFonts w:ascii="Arial" w:cs="Arial" w:eastAsia="Arial" w:hAnsi="Arial"/>
          <w:sz w:val="18"/>
          <w:szCs w:val="18"/>
          <w:color w:val="auto"/>
        </w:rPr>
      </w:pPr>
      <w:hyperlink w:anchor="page146">
        <w:r>
          <w:rPr>
            <w:rFonts w:ascii="Arial" w:cs="Arial" w:eastAsia="Arial" w:hAnsi="Arial"/>
            <w:sz w:val="18"/>
            <w:szCs w:val="18"/>
            <w:color w:val="auto"/>
          </w:rPr>
          <w:t>Powers of Attorney of directors, filed herewith.</w:t>
        </w:r>
      </w:hyperlink>
    </w:p>
    <w:p>
      <w:pPr>
        <w:spacing w:after="0" w:line="171" w:lineRule="exact"/>
        <w:rPr>
          <w:rFonts w:ascii="Arial" w:cs="Arial" w:eastAsia="Arial" w:hAnsi="Arial"/>
          <w:sz w:val="18"/>
          <w:szCs w:val="18"/>
          <w:color w:val="auto"/>
        </w:rPr>
      </w:pPr>
    </w:p>
    <w:p>
      <w:pPr>
        <w:spacing w:after="0"/>
        <w:tabs>
          <w:tab w:leader="none" w:pos="480" w:val="left"/>
        </w:tabs>
        <w:rPr>
          <w:rFonts w:ascii="Arial" w:cs="Arial" w:eastAsia="Arial" w:hAnsi="Arial"/>
          <w:sz w:val="16"/>
          <w:szCs w:val="16"/>
          <w:color w:val="auto"/>
        </w:rPr>
      </w:pPr>
      <w:hyperlink w:anchor="page148">
        <w:r>
          <w:rPr>
            <w:rFonts w:ascii="Arial" w:cs="Arial" w:eastAsia="Arial" w:hAnsi="Arial"/>
            <w:sz w:val="18"/>
            <w:szCs w:val="18"/>
            <w:color w:val="auto"/>
          </w:rPr>
          <w:t>31.1</w:t>
        </w:r>
      </w:hyperlink>
      <w:r>
        <w:rPr>
          <w:rFonts w:ascii="Arial" w:cs="Arial" w:eastAsia="Arial" w:hAnsi="Arial"/>
          <w:sz w:val="18"/>
          <w:szCs w:val="18"/>
          <w:color w:val="auto"/>
        </w:rPr>
        <w:tab/>
      </w:r>
      <w:hyperlink w:anchor="page148">
        <w:r>
          <w:rPr>
            <w:rFonts w:ascii="Arial" w:cs="Arial" w:eastAsia="Arial" w:hAnsi="Arial"/>
            <w:sz w:val="16"/>
            <w:szCs w:val="16"/>
            <w:color w:val="auto"/>
          </w:rPr>
          <w:t>Certification of CEO Pursuant to Section 302(a) of the Sarbanes-Oxley Act of 2002.</w:t>
        </w:r>
      </w:hyperlink>
    </w:p>
    <w:p>
      <w:pPr>
        <w:spacing w:after="0" w:line="171" w:lineRule="exact"/>
        <w:rPr>
          <w:sz w:val="20"/>
          <w:szCs w:val="20"/>
          <w:color w:val="auto"/>
        </w:rPr>
      </w:pPr>
    </w:p>
    <w:p>
      <w:pPr>
        <w:spacing w:after="0"/>
        <w:tabs>
          <w:tab w:leader="none" w:pos="480" w:val="left"/>
        </w:tabs>
        <w:rPr>
          <w:rFonts w:ascii="Arial" w:cs="Arial" w:eastAsia="Arial" w:hAnsi="Arial"/>
          <w:sz w:val="16"/>
          <w:szCs w:val="16"/>
          <w:color w:val="auto"/>
        </w:rPr>
      </w:pPr>
      <w:hyperlink w:anchor="page149">
        <w:r>
          <w:rPr>
            <w:rFonts w:ascii="Arial" w:cs="Arial" w:eastAsia="Arial" w:hAnsi="Arial"/>
            <w:sz w:val="18"/>
            <w:szCs w:val="18"/>
            <w:color w:val="auto"/>
          </w:rPr>
          <w:t>31.2</w:t>
        </w:r>
      </w:hyperlink>
      <w:r>
        <w:rPr>
          <w:rFonts w:ascii="Arial" w:cs="Arial" w:eastAsia="Arial" w:hAnsi="Arial"/>
          <w:sz w:val="18"/>
          <w:szCs w:val="18"/>
          <w:color w:val="auto"/>
        </w:rPr>
        <w:tab/>
      </w:r>
      <w:hyperlink w:anchor="page149">
        <w:r>
          <w:rPr>
            <w:rFonts w:ascii="Arial" w:cs="Arial" w:eastAsia="Arial" w:hAnsi="Arial"/>
            <w:sz w:val="16"/>
            <w:szCs w:val="16"/>
            <w:color w:val="auto"/>
          </w:rPr>
          <w:t>Certification of CFO Pursuant to Section 302(a) of the Sarbanes-Oxley Act of 2002.</w:t>
        </w:r>
      </w:hyperlink>
    </w:p>
    <w:p>
      <w:pPr>
        <w:spacing w:after="0" w:line="171" w:lineRule="exact"/>
        <w:rPr>
          <w:sz w:val="20"/>
          <w:szCs w:val="20"/>
          <w:color w:val="auto"/>
        </w:rPr>
      </w:pPr>
    </w:p>
    <w:p>
      <w:pPr>
        <w:spacing w:after="0"/>
        <w:tabs>
          <w:tab w:leader="none" w:pos="340" w:val="left"/>
        </w:tabs>
        <w:rPr>
          <w:rFonts w:ascii="Arial" w:cs="Arial" w:eastAsia="Arial" w:hAnsi="Arial"/>
          <w:sz w:val="16"/>
          <w:szCs w:val="16"/>
          <w:color w:val="auto"/>
        </w:rPr>
      </w:pPr>
      <w:r>
        <w:rPr>
          <w:rFonts w:ascii="Arial" w:cs="Arial" w:eastAsia="Arial" w:hAnsi="Arial"/>
          <w:sz w:val="18"/>
          <w:szCs w:val="18"/>
          <w:color w:val="auto"/>
        </w:rPr>
        <w:t>32</w:t>
      </w:r>
      <w:r>
        <w:rPr>
          <w:sz w:val="20"/>
          <w:szCs w:val="20"/>
          <w:color w:val="auto"/>
        </w:rPr>
        <w:tab/>
      </w:r>
      <w:hyperlink w:anchor="page150">
        <w:r>
          <w:rPr>
            <w:rFonts w:ascii="Arial" w:cs="Arial" w:eastAsia="Arial" w:hAnsi="Arial"/>
            <w:sz w:val="16"/>
            <w:szCs w:val="16"/>
            <w:color w:val="auto"/>
          </w:rPr>
          <w:t>Certification of CEO and CFO Pursuant to Section 906 of the Sarbanes-Oxley Act of 2002.</w:t>
        </w:r>
      </w:hyperlink>
    </w:p>
    <w:p>
      <w:pPr>
        <w:spacing w:after="0" w:line="1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XBRL Taxonomy Extension Labels Linkbase Document</w:t>
      </w:r>
    </w:p>
    <w:p>
      <w:pPr>
        <w:sectPr>
          <w:pgSz w:w="11900" w:h="16838" w:orient="portrait"/>
          <w:cols w:equalWidth="0" w:num="1">
            <w:col w:w="11140"/>
          </w:cols>
          <w:pgMar w:left="320" w:top="1057" w:right="4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57" w:right="439" w:bottom="1440" w:gutter="0" w:footer="0" w:header="0"/>
          <w:type w:val="continuous"/>
        </w:sectPr>
      </w:pPr>
    </w:p>
    <w:bookmarkStart w:id="87" w:name="page88"/>
    <w:bookmarkEnd w:id="87"/>
    <w:p>
      <w:pPr>
        <w:spacing w:after="0"/>
        <w:tabs>
          <w:tab w:leader="none" w:pos="10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sz w:val="20"/>
          <w:szCs w:val="20"/>
          <w:color w:val="auto"/>
        </w:rPr>
      </w:pPr>
    </w:p>
    <w:p>
      <w:pPr>
        <w:ind w:left="660" w:hanging="652"/>
        <w:spacing w:after="0" w:line="250" w:lineRule="auto"/>
        <w:tabs>
          <w:tab w:leader="none" w:pos="36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38"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the exhibits filed herewith.</w:t>
      </w:r>
    </w:p>
    <w:p>
      <w:pPr>
        <w:spacing w:after="0" w:line="211" w:lineRule="exact"/>
        <w:rPr>
          <w:sz w:val="20"/>
          <w:szCs w:val="20"/>
          <w:color w:val="auto"/>
        </w:rPr>
      </w:pPr>
    </w:p>
    <w:p>
      <w:pPr>
        <w:ind w:left="680" w:right="7140" w:hanging="227"/>
        <w:spacing w:after="0" w:line="277" w:lineRule="auto"/>
        <w:tabs>
          <w:tab w:leader="none" w:pos="82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200" w:lineRule="exact"/>
        <w:rPr>
          <w:sz w:val="20"/>
          <w:szCs w:val="20"/>
          <w:color w:val="auto"/>
        </w:rPr>
      </w:pP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057" w:right="69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77" w:lineRule="exact"/>
        <w:rPr>
          <w:sz w:val="20"/>
          <w:szCs w:val="20"/>
          <w:color w:val="auto"/>
        </w:rPr>
      </w:pPr>
    </w:p>
    <w:p>
      <w:pPr>
        <w:ind w:left="5540"/>
        <w:spacing w:after="0"/>
        <w:tabs>
          <w:tab w:leader="none" w:pos="7900" w:val="left"/>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4"/>
          <w:szCs w:val="14"/>
          <w:b w:val="1"/>
          <w:bCs w:val="1"/>
          <w:color w:val="auto"/>
        </w:rPr>
        <w:t>Gary D. Kain</w:t>
      </w:r>
    </w:p>
    <w:p>
      <w:pPr>
        <w:jc w:val="center"/>
        <w:ind w:left="6000"/>
        <w:spacing w:after="0" w:line="201" w:lineRule="auto"/>
        <w:rPr>
          <w:sz w:val="20"/>
          <w:szCs w:val="20"/>
          <w:color w:val="auto"/>
        </w:rPr>
      </w:pPr>
      <w:r>
        <w:rPr>
          <w:rFonts w:ascii="Arial" w:cs="Arial" w:eastAsia="Arial" w:hAnsi="Arial"/>
          <w:sz w:val="14"/>
          <w:szCs w:val="14"/>
          <w:b w:val="1"/>
          <w:bCs w:val="1"/>
          <w:color w:val="auto"/>
        </w:rPr>
        <w:t>Chief Executive Officer and</w:t>
      </w:r>
    </w:p>
    <w:p>
      <w:pPr>
        <w:jc w:val="center"/>
        <w:ind w:left="602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2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February 26, 2021</w:t>
      </w:r>
    </w:p>
    <w:p>
      <w:pPr>
        <w:spacing w:after="0" w:line="117"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4"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0" w:type="dxa"/>
            <w:vAlign w:val="bottom"/>
            <w:gridSpan w:val="2"/>
          </w:tcPr>
          <w:p>
            <w:pPr>
              <w:jc w:val="center"/>
              <w:ind w:right="1480"/>
              <w:spacing w:after="0"/>
              <w:rPr>
                <w:sz w:val="20"/>
                <w:szCs w:val="20"/>
                <w:color w:val="auto"/>
              </w:rPr>
            </w:pPr>
            <w:r>
              <w:rPr>
                <w:rFonts w:ascii="Arial" w:cs="Arial" w:eastAsia="Arial" w:hAnsi="Arial"/>
                <w:sz w:val="13"/>
                <w:szCs w:val="13"/>
                <w:b w:val="1"/>
                <w:bCs w:val="1"/>
                <w:color w:val="auto"/>
                <w:w w:val="90"/>
              </w:rPr>
              <w:t>Name</w:t>
            </w:r>
          </w:p>
        </w:tc>
        <w:tc>
          <w:tcPr>
            <w:tcW w:w="3120" w:type="dxa"/>
            <w:vAlign w:val="bottom"/>
            <w:gridSpan w:val="3"/>
          </w:tcPr>
          <w:p>
            <w:pPr>
              <w:ind w:left="1460"/>
              <w:spacing w:after="0"/>
              <w:rPr>
                <w:sz w:val="20"/>
                <w:szCs w:val="20"/>
                <w:color w:val="auto"/>
              </w:rPr>
            </w:pPr>
            <w:r>
              <w:rPr>
                <w:rFonts w:ascii="Arial" w:cs="Arial" w:eastAsia="Arial" w:hAnsi="Arial"/>
                <w:sz w:val="13"/>
                <w:szCs w:val="13"/>
                <w:b w:val="1"/>
                <w:bCs w:val="1"/>
                <w:color w:val="auto"/>
              </w:rPr>
              <w:t>Title</w:t>
            </w:r>
          </w:p>
        </w:tc>
        <w:tc>
          <w:tcPr>
            <w:tcW w:w="1400" w:type="dxa"/>
            <w:vAlign w:val="bottom"/>
            <w:gridSpan w:val="3"/>
          </w:tcPr>
          <w:p>
            <w:pPr>
              <w:ind w:left="82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Director, Chief Executive Officer and</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80" w:type="dxa"/>
            <w:vAlign w:val="bottom"/>
            <w:gridSpan w:val="3"/>
            <w:vMerge w:val="restart"/>
          </w:tcPr>
          <w:p>
            <w:pPr>
              <w:jc w:val="cente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31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Chief Investment Officer (Principal</w:t>
            </w:r>
          </w:p>
        </w:tc>
        <w:tc>
          <w:tcPr>
            <w:tcW w:w="1400" w:type="dxa"/>
            <w:vAlign w:val="bottom"/>
            <w:gridSpan w:val="3"/>
            <w:vMerge w:val="restart"/>
          </w:tcPr>
          <w:p>
            <w:pPr>
              <w:ind w:left="8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229"/>
        </w:trPr>
        <w:tc>
          <w:tcPr>
            <w:tcW w:w="5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3"/>
            <w:vMerge w:val="continue"/>
          </w:tcPr>
          <w:p>
            <w:pPr>
              <w:spacing w:after="0"/>
              <w:rPr>
                <w:sz w:val="19"/>
                <w:szCs w:val="19"/>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Executive Officer)</w:t>
            </w:r>
          </w:p>
        </w:tc>
        <w:tc>
          <w:tcPr>
            <w:tcW w:w="1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Gary D. Kain</w:t>
            </w: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6"/>
        </w:trPr>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w w:val="92"/>
              </w:rPr>
              <w:t>Senior Vice President and Chief Financial</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80" w:type="dxa"/>
            <w:vAlign w:val="bottom"/>
            <w:gridSpan w:val="3"/>
            <w:vMerge w:val="restart"/>
          </w:tcPr>
          <w:p>
            <w:pPr>
              <w:jc w:val="center"/>
              <w:spacing w:after="0"/>
              <w:rPr>
                <w:sz w:val="20"/>
                <w:szCs w:val="20"/>
                <w:color w:val="auto"/>
              </w:rPr>
            </w:pPr>
            <w:r>
              <w:rPr>
                <w:rFonts w:ascii="Arial" w:cs="Arial" w:eastAsia="Arial" w:hAnsi="Arial"/>
                <w:sz w:val="16"/>
                <w:szCs w:val="16"/>
                <w:color w:val="auto"/>
                <w:w w:val="99"/>
              </w:rPr>
              <w:t xml:space="preserve">/s/ </w:t>
            </w:r>
            <w:r>
              <w:rPr>
                <w:rFonts w:ascii="Arial" w:cs="Arial" w:eastAsia="Arial" w:hAnsi="Arial"/>
                <w:sz w:val="17"/>
                <w:szCs w:val="17"/>
                <w:color w:val="auto"/>
                <w:w w:val="99"/>
              </w:rPr>
              <w:t>B</w:t>
            </w:r>
            <w:r>
              <w:rPr>
                <w:rFonts w:ascii="Arial" w:cs="Arial" w:eastAsia="Arial" w:hAnsi="Arial"/>
                <w:sz w:val="14"/>
                <w:szCs w:val="14"/>
                <w:color w:val="auto"/>
                <w:w w:val="99"/>
              </w:rPr>
              <w:t>ERNICE</w:t>
            </w:r>
            <w:r>
              <w:rPr>
                <w:rFonts w:ascii="Arial" w:cs="Arial" w:eastAsia="Arial" w:hAnsi="Arial"/>
                <w:sz w:val="16"/>
                <w:szCs w:val="16"/>
                <w:color w:val="auto"/>
                <w:w w:val="99"/>
              </w:rPr>
              <w:t xml:space="preserve"> </w:t>
            </w:r>
            <w:r>
              <w:rPr>
                <w:rFonts w:ascii="Arial" w:cs="Arial" w:eastAsia="Arial" w:hAnsi="Arial"/>
                <w:sz w:val="17"/>
                <w:szCs w:val="17"/>
                <w:color w:val="auto"/>
                <w:w w:val="99"/>
              </w:rPr>
              <w:t>E. B</w:t>
            </w:r>
            <w:r>
              <w:rPr>
                <w:rFonts w:ascii="Arial" w:cs="Arial" w:eastAsia="Arial" w:hAnsi="Arial"/>
                <w:sz w:val="14"/>
                <w:szCs w:val="14"/>
                <w:color w:val="auto"/>
                <w:w w:val="99"/>
              </w:rPr>
              <w:t>ELL</w:t>
            </w:r>
          </w:p>
        </w:tc>
        <w:tc>
          <w:tcPr>
            <w:tcW w:w="31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Officer (Principal Financial Officer and</w:t>
            </w:r>
          </w:p>
        </w:tc>
        <w:tc>
          <w:tcPr>
            <w:tcW w:w="1400" w:type="dxa"/>
            <w:vAlign w:val="bottom"/>
            <w:gridSpan w:val="3"/>
            <w:vMerge w:val="restart"/>
          </w:tcPr>
          <w:p>
            <w:pPr>
              <w:ind w:left="8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229"/>
        </w:trPr>
        <w:tc>
          <w:tcPr>
            <w:tcW w:w="5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3"/>
            <w:vMerge w:val="continue"/>
          </w:tcPr>
          <w:p>
            <w:pPr>
              <w:spacing w:after="0"/>
              <w:rPr>
                <w:sz w:val="19"/>
                <w:szCs w:val="19"/>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Principal Accounting Officer)</w:t>
            </w:r>
          </w:p>
        </w:tc>
        <w:tc>
          <w:tcPr>
            <w:tcW w:w="1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Bernice E. Bell</w:t>
            </w: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left="140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Morris A. Davis</w:t>
            </w: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left="140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Donna J. Blank</w:t>
            </w: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left="140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John D. Fisk</w:t>
            </w: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left="140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Prue B. Larocca</w:t>
            </w: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left="140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Paul E. Mullings</w:t>
            </w: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left="140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Frances R. Spark</w:t>
            </w: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6"/>
        </w:trPr>
        <w:tc>
          <w:tcPr>
            <w:tcW w:w="520" w:type="dxa"/>
            <w:vAlign w:val="bottom"/>
          </w:tcPr>
          <w:p>
            <w:pPr>
              <w:ind w:left="100"/>
              <w:spacing w:after="0"/>
              <w:rPr>
                <w:sz w:val="20"/>
                <w:szCs w:val="20"/>
                <w:color w:val="auto"/>
              </w:rPr>
            </w:pPr>
            <w:r>
              <w:rPr>
                <w:rFonts w:ascii="Arial" w:cs="Arial" w:eastAsia="Arial" w:hAnsi="Arial"/>
                <w:sz w:val="16"/>
                <w:szCs w:val="16"/>
                <w:color w:val="auto"/>
              </w:rPr>
              <w:t>*By:</w:t>
            </w:r>
          </w:p>
        </w:tc>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7"/>
                <w:szCs w:val="17"/>
                <w:color w:val="auto"/>
              </w:rPr>
              <w:t>K</w:t>
            </w:r>
            <w:r>
              <w:rPr>
                <w:rFonts w:ascii="Arial" w:cs="Arial" w:eastAsia="Arial" w:hAnsi="Arial"/>
                <w:sz w:val="14"/>
                <w:szCs w:val="14"/>
                <w:color w:val="auto"/>
              </w:rPr>
              <w:t>ENNETH</w:t>
            </w:r>
            <w:r>
              <w:rPr>
                <w:rFonts w:ascii="Arial" w:cs="Arial" w:eastAsia="Arial" w:hAnsi="Arial"/>
                <w:sz w:val="16"/>
                <w:szCs w:val="16"/>
                <w:color w:val="auto"/>
              </w:rPr>
              <w:t xml:space="preserve"> L. </w:t>
            </w:r>
            <w:r>
              <w:rPr>
                <w:rFonts w:ascii="Arial" w:cs="Arial" w:eastAsia="Arial" w:hAnsi="Arial"/>
                <w:sz w:val="17"/>
                <w:szCs w:val="17"/>
                <w:color w:val="auto"/>
              </w:rPr>
              <w:t>P</w:t>
            </w:r>
            <w:r>
              <w:rPr>
                <w:rFonts w:ascii="Arial" w:cs="Arial" w:eastAsia="Arial" w:hAnsi="Arial"/>
                <w:sz w:val="14"/>
                <w:szCs w:val="14"/>
                <w:color w:val="auto"/>
              </w:rPr>
              <w:t>OLLACK</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Kenneth L. Pollack</w:t>
            </w: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3280" w:type="dxa"/>
            <w:vAlign w:val="bottom"/>
            <w:gridSpan w:val="3"/>
          </w:tcPr>
          <w:p>
            <w:pPr>
              <w:jc w:val="center"/>
              <w:spacing w:after="0"/>
              <w:rPr>
                <w:sz w:val="20"/>
                <w:szCs w:val="20"/>
                <w:color w:val="auto"/>
              </w:rPr>
            </w:pPr>
            <w:r>
              <w:rPr>
                <w:rFonts w:ascii="Arial" w:cs="Arial" w:eastAsia="Arial" w:hAnsi="Arial"/>
                <w:sz w:val="13"/>
                <w:szCs w:val="13"/>
                <w:b w:val="1"/>
                <w:bCs w:val="1"/>
                <w:i w:val="1"/>
                <w:iCs w:val="1"/>
                <w:color w:val="auto"/>
                <w:w w:val="86"/>
              </w:rPr>
              <w:t>Attorney-in-fact</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6"/>
        </w:trPr>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ind w:left="50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t>Exhibit 4.16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0"/>
          <w:szCs w:val="20"/>
          <w:color w:val="auto"/>
        </w:rPr>
      </w:pPr>
    </w:p>
    <w:p>
      <w:pPr>
        <w:spacing w:after="0" w:line="265"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following description sets forth certain material terms and provisions of AGNC Investment Corp.’s securities that are registered under Section 12 of the Securities Exchange Act of 1934, as amended.</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description below does not purport to be complete and is qualified in its entirety by reference to our Amended and Restated Certificate of Incorporation, as filed with the Secretary of State of Delaware on April 23, 2020 (the “Charter”), our Amended and Restated Bylaws (the “Bylaws”), as in effect since September 30, 2016 and each prospectus, prospectus supplement and certificate of designations which was filed with the U.S. Securities and Exchange Commission (“SEC”), as applicable, at or prior to the time of sale of the related security. If so indicated in the applicable prospectus supplement, the terms of any such security may differ from the terms set forth below. If there are differences between the prospectus supplement relating to a particular security and the applicable prospectus, the prospectus supplement controls. When used in this exhibit, the terms “AGNC,” “we,” “our” and “us” refer solely to AGNC Investment Corp. and not to its subsidiaries. We urge you to read our Charter, as amended, our Bylaws and each prospectus, prospectus supplement and certificate of designations applicable to the related security in their entirety.</w:t>
      </w:r>
    </w:p>
    <w:p>
      <w:pPr>
        <w:spacing w:after="0" w:line="76"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As of December 31, 2020, we had five classes of registered securities listed on the New York Stock Exchange, our common stock and 7.000%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1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Charter provides that we may issue up to 1,500,000,000 shares of common stock and 10,000,000 shares of preferred stock, both having a par value of $0.01 per share. Of these shares of preferred stock, 13,800 shares have been designated as our 7.00% Series C Fixed-to-Floating Cumulative Redeemable Preferred Stock (“Series C Preferred Stock”), 10,350 shares have been designated as our 6.875% Series D Fixed-to-Floating Cumulative Redeemable Preferred Stock (“Series D Preferred Stock”), 16,100 shares have been designated as our 6.50% Series E Fixed-to-Floating Rate Cumulative Redeemable Preferred Stock (“Series E Preferred Stock”) and 23,000 shares have been designated as our 6.125% Series F Fixed-to-Floating Rate Cumulative Redeemable Preferred Stock (“Series F Preferred Stock”). As of December 31, 2020, 539,468,775 shares of our common stock, 13,000 shares of our Series C Preferred Stock, 9,400 shares of our Series D Preferred Stock, 16,100 shares of our Series E Preferred Stock and 23,000 shares of our Series F Preferred Stock were issued and outstanding.</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Subject to the restrictions contained in our Charter regarding the transfer and ownership of our capital stock and except as may otherwise be specified in the terms of any class or series of common stock, our common stockholders are entitled to one vote per share. Our common stockholders are not entitled to cumulate their votes in the election of directors. Generally, all matters to be voted on by stockholders must be approved by a majority of the votes entitled to be cast by all holders of our common stock present in person or represented by proxy, voting together as a single class; provided, that if the number of nominees for director exceeds the number of directors to be elected at our annual meeting, each director shall be elected by a plurality of the votes cast. Except as otherwise provided by law, amendments to our Charter must be approved by a majority or, with respect to provisions relating to the powers, numbers, classes, elections, terms and removal of our directors, the ability to fill vacancies on our Board of</w:t>
      </w:r>
    </w:p>
    <w:p>
      <w:pPr>
        <w:sectPr>
          <w:pgSz w:w="11900" w:h="16838" w:orient="portrait"/>
          <w:cols w:equalWidth="0" w:num="1">
            <w:col w:w="11240"/>
          </w:cols>
          <w:pgMar w:left="320" w:top="901" w:right="339" w:bottom="1440" w:gutter="0" w:footer="0" w:header="0"/>
        </w:sectPr>
      </w:pPr>
    </w:p>
    <w:bookmarkStart w:id="90" w:name="page91"/>
    <w:bookmarkEnd w:id="90"/>
    <w:p>
      <w:pPr>
        <w:ind w:right="60"/>
        <w:spacing w:after="0" w:line="260" w:lineRule="auto"/>
        <w:rPr>
          <w:sz w:val="20"/>
          <w:szCs w:val="20"/>
          <w:color w:val="auto"/>
        </w:rPr>
      </w:pPr>
      <w:r>
        <w:rPr>
          <w:rFonts w:ascii="Arial" w:cs="Arial" w:eastAsia="Arial" w:hAnsi="Arial"/>
          <w:sz w:val="20"/>
          <w:szCs w:val="20"/>
          <w:color w:val="auto"/>
        </w:rPr>
        <w:t>Directors and our election to qualify as a REIT, 66% of the combined voting power of all shares of all classes of capital stock entitled to vote generally in the election of directors, voting together as a single class.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 Rights</w:t>
      </w:r>
    </w:p>
    <w:p>
      <w:pPr>
        <w:spacing w:after="0" w:line="108"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Subject to the restrictions contained in our Charter regarding the transfer and ownership of our capital stock, our common stockholders will share ratably (based on the number of common shares held) if and when any dividend is declared by our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Liquidation Rights</w:t>
      </w:r>
    </w:p>
    <w:p>
      <w:pPr>
        <w:spacing w:after="0" w:line="10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On our liquidation, dissolution or winding up, each of our common stockholders will be entitled to a pro rata dividend of any assets available for distribution to common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Matters</w:t>
      </w:r>
    </w:p>
    <w:p>
      <w:pPr>
        <w:spacing w:after="0" w:line="108" w:lineRule="exact"/>
        <w:rPr>
          <w:sz w:val="20"/>
          <w:szCs w:val="20"/>
          <w:color w:val="auto"/>
        </w:rPr>
      </w:pPr>
    </w:p>
    <w:p>
      <w:pPr>
        <w:ind w:right="280"/>
        <w:spacing w:after="0" w:line="269" w:lineRule="auto"/>
        <w:rPr>
          <w:sz w:val="20"/>
          <w:szCs w:val="20"/>
          <w:color w:val="auto"/>
        </w:rPr>
      </w:pPr>
      <w:r>
        <w:rPr>
          <w:rFonts w:ascii="Arial" w:cs="Arial" w:eastAsia="Arial" w:hAnsi="Arial"/>
          <w:sz w:val="19"/>
          <w:szCs w:val="19"/>
          <w:color w:val="auto"/>
        </w:rPr>
        <w:t>In the event of our merger or consolidation with or into another company in connection with which shares of common stock are converted into or exchangeable for shares of stock, other securities or property (including cash), all of our common stockholders will be entitled to receive the same kind and amount of shares of stock and other securities and property (including cash).</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Description of Series C Preferred Stock Underlying Our Depositary Shares</w:t>
      </w:r>
    </w:p>
    <w:p>
      <w:pPr>
        <w:spacing w:after="0" w:line="108"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On August 17, 2017, we filed a certificate of designations (the “Series C Certificate of Designations”) with the Secretary of State of the State of Delaware to designate 13,800 shares of our Series C Preferred Stock with the powers, designations, preferences and other rights set forth in the Series C Certificate of Designations. The Series C Certificate of Designations became effective upon filing on August 17, 2017. On August 22, 2017, we issued 13,000 shares of the Series C Preferred Stock, which shares were deposited with Computershare Inc. and Computershare Trust Company, N.A., jointly as depositary, against which depositary receipts evidencing 13,000,000 depositary shares were issued, all of which remain outstanding as of December 31, 2020. Each depositary share represents 1/1,000th of a share of Series C Preferred Stock. The depositary shares underlying the Series C Preferred Stock are listed on the Nasdaq Global Select Market under the symbol “AGNCN.”</w:t>
      </w:r>
    </w:p>
    <w:p>
      <w:pPr>
        <w:spacing w:after="0" w:line="89" w:lineRule="exact"/>
        <w:rPr>
          <w:sz w:val="20"/>
          <w:szCs w:val="20"/>
          <w:color w:val="auto"/>
        </w:rPr>
      </w:pPr>
    </w:p>
    <w:p>
      <w:pPr>
        <w:spacing w:after="0" w:line="256" w:lineRule="auto"/>
        <w:rPr>
          <w:sz w:val="20"/>
          <w:szCs w:val="20"/>
          <w:color w:val="auto"/>
        </w:rPr>
      </w:pPr>
      <w:r>
        <w:rPr>
          <w:rFonts w:ascii="Arial" w:cs="Arial" w:eastAsia="Arial" w:hAnsi="Arial"/>
          <w:sz w:val="19"/>
          <w:szCs w:val="19"/>
          <w:i w:val="1"/>
          <w:iCs w:val="1"/>
          <w:color w:val="auto"/>
        </w:rPr>
        <w:t>Ranking</w:t>
      </w:r>
      <w:r>
        <w:rPr>
          <w:rFonts w:ascii="Arial" w:cs="Arial" w:eastAsia="Arial" w:hAnsi="Arial"/>
          <w:sz w:val="19"/>
          <w:szCs w:val="19"/>
          <w:color w:val="auto"/>
        </w:rPr>
        <w:t>. The Series C Preferred Stock ranks, with respect to rights to the payment of dividends and the distribution of assets upon our</w:t>
      </w:r>
      <w:r>
        <w:rPr>
          <w:rFonts w:ascii="Arial" w:cs="Arial" w:eastAsia="Arial" w:hAnsi="Arial"/>
          <w:sz w:val="19"/>
          <w:szCs w:val="19"/>
          <w:i w:val="1"/>
          <w:iCs w:val="1"/>
          <w:color w:val="auto"/>
        </w:rPr>
        <w:t xml:space="preserve"> </w:t>
      </w:r>
      <w:r>
        <w:rPr>
          <w:rFonts w:ascii="Arial" w:cs="Arial" w:eastAsia="Arial" w:hAnsi="Arial"/>
          <w:sz w:val="19"/>
          <w:szCs w:val="19"/>
          <w:color w:val="auto"/>
        </w:rPr>
        <w:t>liquidation, 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C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C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7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i w:val="1"/>
          <w:iCs w:val="1"/>
          <w:color w:val="auto"/>
        </w:rPr>
        <w:t>Distributions</w:t>
      </w:r>
      <w:r>
        <w:rPr>
          <w:rFonts w:ascii="Arial" w:cs="Arial" w:eastAsia="Arial" w:hAnsi="Arial"/>
          <w:sz w:val="16"/>
          <w:szCs w:val="16"/>
          <w:color w:val="auto"/>
        </w:rPr>
        <w:t>. Holders of shares of the Series C Preferred Stock are entitled to receive, when, as and if declared by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out of funds legally available for the payment of dividends, cumulative cash dividends. The initial dividend rate for the Series C Preferred Stock from and including the date of original issuance to, but not including, October 15, 2022 (the “Fixed Rate Period”) is at the rate of</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7.00% of the $25,000 liquidation preference per share of Series C Preferred Stock per annum (equivalent to $1,750 per annum per share of Series C Preferred Stock or $1.75 per annum per depositary share). On and after October 15, 2022 (the “Floating Rate Period”), dividends on the Series C Preferred Stock will accumulate at a percentage of the $25,000 liquidation preference per share of Series C Preferred Stock equal to an annual floating rate of the Three-Month LIBOR Rate plus a spread of 5.111%. Dividends on the Series C Preferred Stock accumulate daily and are cumulative from, and including, the date of original issue (August 22, 2017) and are payable quarterly in arrears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w:t>
      </w:r>
    </w:p>
    <w:p>
      <w:pPr>
        <w:sectPr>
          <w:pgSz w:w="11900" w:h="16838" w:orient="portrait"/>
          <w:cols w:equalWidth="0" w:num="1">
            <w:col w:w="11220"/>
          </w:cols>
          <w:pgMar w:left="320" w:top="892" w:right="359" w:bottom="1440" w:gutter="0" w:footer="0" w:header="0"/>
        </w:sectPr>
      </w:pPr>
    </w:p>
    <w:bookmarkStart w:id="91" w:name="page92"/>
    <w:bookmarkEnd w:id="91"/>
    <w:p>
      <w:pPr>
        <w:spacing w:after="0" w:line="244" w:lineRule="auto"/>
        <w:rPr>
          <w:sz w:val="20"/>
          <w:szCs w:val="20"/>
          <w:color w:val="auto"/>
        </w:rPr>
      </w:pPr>
      <w:r>
        <w:rPr>
          <w:rFonts w:ascii="Arial" w:cs="Arial" w:eastAsia="Arial" w:hAnsi="Arial"/>
          <w:sz w:val="20"/>
          <w:szCs w:val="20"/>
          <w:color w:val="auto"/>
        </w:rPr>
        <w:t>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C Preferred Stock at the close of business on the applicable record date, which shall be the first day of the calendar month, in which the applicable dividend payment date falls.</w:t>
      </w:r>
    </w:p>
    <w:p>
      <w:pPr>
        <w:spacing w:after="0" w:line="86"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i w:val="1"/>
          <w:iCs w:val="1"/>
          <w:color w:val="auto"/>
        </w:rPr>
        <w:t>Liquidation Preference</w:t>
      </w:r>
      <w:r>
        <w:rPr>
          <w:rFonts w:ascii="Arial" w:cs="Arial" w:eastAsia="Arial" w:hAnsi="Arial"/>
          <w:sz w:val="19"/>
          <w:szCs w:val="19"/>
          <w:color w:val="auto"/>
        </w:rPr>
        <w:t>. In the event of our voluntary or involuntary liquidation, dissolution or winding up, holders of the Series C Preferred</w:t>
      </w:r>
      <w:r>
        <w:rPr>
          <w:rFonts w:ascii="Arial" w:cs="Arial" w:eastAsia="Arial" w:hAnsi="Arial"/>
          <w:sz w:val="19"/>
          <w:szCs w:val="19"/>
          <w:i w:val="1"/>
          <w:iCs w:val="1"/>
          <w:color w:val="auto"/>
        </w:rPr>
        <w:t xml:space="preserve"> </w:t>
      </w:r>
      <w:r>
        <w:rPr>
          <w:rFonts w:ascii="Arial" w:cs="Arial" w:eastAsia="Arial" w:hAnsi="Arial"/>
          <w:sz w:val="19"/>
          <w:szCs w:val="19"/>
          <w:color w:val="auto"/>
        </w:rPr>
        <w:t>Stock will be entitled to be paid out of the assets we have legally available for distribution to our stockholders, subject to the preferential rights of the holders of any class or series of our capital stock we may issue ranking senior to the Series C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C Preferred Stock as to liquidation rights.</w:t>
      </w:r>
    </w:p>
    <w:p>
      <w:pPr>
        <w:spacing w:after="0" w:line="7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Series C Preferred Stock will not be redeemable by us prior to October 15, 2022, except under circumstances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preserve our qualification as a REIT for federal income tax purposes and except upon the occurrence of a Change of Control (as defined in the Series C Certificate of Designations). On or after October 15, 2022, we may, at our option, redeem any or all of the shares of the Series C Preferred Stock at $25,000 per share ($25.00 per depositary share) plus any accumulated and unpaid dividends to, but not including, the redemption date. In addition, upon the occurrence of a Change of Control, we may, at our option, redeem any or all of the shares of Series C Preferred Stock within 120 days after the first date on which such Change of Control occurred at $25,000 per share ($25.00 per depositary share) plus any accumulated and unpaid dividends to, but not including, the redemption date.</w:t>
      </w:r>
    </w:p>
    <w:p>
      <w:pPr>
        <w:spacing w:after="0" w:line="60"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i w:val="1"/>
          <w:iCs w:val="1"/>
          <w:color w:val="auto"/>
        </w:rPr>
        <w:t>Maturity</w:t>
      </w:r>
      <w:r>
        <w:rPr>
          <w:rFonts w:ascii="Arial" w:cs="Arial" w:eastAsia="Arial" w:hAnsi="Arial"/>
          <w:sz w:val="20"/>
          <w:szCs w:val="20"/>
          <w:color w:val="auto"/>
        </w:rPr>
        <w:t>. The Series C Preferred Stock has no stated maturity, is not subject to any sinking fund or mandatory redemption and will remain</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indefinitely unless repurchased or redeemed by us or converted into our common stock in connection with a Change of Control by the holders of Series C Preferred Stock.</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i w:val="1"/>
          <w:iCs w:val="1"/>
          <w:color w:val="auto"/>
        </w:rPr>
        <w:t>Voting Rights</w:t>
      </w:r>
      <w:r>
        <w:rPr>
          <w:rFonts w:ascii="Arial" w:cs="Arial" w:eastAsia="Arial" w:hAnsi="Arial"/>
          <w:sz w:val="19"/>
          <w:szCs w:val="19"/>
          <w:color w:val="auto"/>
        </w:rPr>
        <w:t>. Holders of Series C Preferred Stock will generally have no voting rights. However, if we do not pay dividends on the Series C</w:t>
      </w:r>
      <w:r>
        <w:rPr>
          <w:rFonts w:ascii="Arial" w:cs="Arial" w:eastAsia="Arial" w:hAnsi="Arial"/>
          <w:sz w:val="19"/>
          <w:szCs w:val="19"/>
          <w:i w:val="1"/>
          <w:iCs w:val="1"/>
          <w:color w:val="auto"/>
        </w:rPr>
        <w:t xml:space="preserve"> </w:t>
      </w:r>
      <w:r>
        <w:rPr>
          <w:rFonts w:ascii="Arial" w:cs="Arial" w:eastAsia="Arial" w:hAnsi="Arial"/>
          <w:sz w:val="19"/>
          <w:szCs w:val="19"/>
          <w:color w:val="auto"/>
        </w:rPr>
        <w:t>Preferred Stock for six or more quarterly dividend periods (whether or not consecutive), the holders of the Series C Preferred Stock (voting separately as a class with the holders of all other classes or series of our preferred stock we may issue upon which like voting rights have been conferred and are exercisable and which are entitled to vote as a class with the Series C Preferred Stock in the election referred to below) will be entitled to vote for the election of two additional directors to serve on our Board of Directors until we pay, or declare and set aside funds for the payment of, all dividends that we owe on the Series C Preferred Stock, subject to certain limitations. In addition, the affirmative vote of the holders of at least two-thirds of the outstanding shares of Series C Preferred Stock is required for us to authorize or issue any class or series of stock ranking senior to the Series C Preferred Stock with respect to the payment of dividends or the distribution of assets on liquidation, dissolution or winding up, to amend any provision of our Charter so as to materially and adversely affect any rights of the Series C Preferred Stock or to take certain other actions.</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i w:val="1"/>
          <w:iCs w:val="1"/>
          <w:color w:val="auto"/>
        </w:rPr>
        <w:t>Conversion</w:t>
      </w:r>
      <w:r>
        <w:rPr>
          <w:rFonts w:ascii="Arial" w:cs="Arial" w:eastAsia="Arial" w:hAnsi="Arial"/>
          <w:sz w:val="19"/>
          <w:szCs w:val="19"/>
          <w:color w:val="auto"/>
        </w:rPr>
        <w:t>. Upon the occurrence of a Change of Control, each holder of Series C Preferred Stock will have the right (subject to our election</w:t>
      </w:r>
      <w:r>
        <w:rPr>
          <w:rFonts w:ascii="Arial" w:cs="Arial" w:eastAsia="Arial" w:hAnsi="Arial"/>
          <w:sz w:val="19"/>
          <w:szCs w:val="19"/>
          <w:i w:val="1"/>
          <w:iCs w:val="1"/>
          <w:color w:val="auto"/>
        </w:rPr>
        <w:t xml:space="preserve"> </w:t>
      </w:r>
      <w:r>
        <w:rPr>
          <w:rFonts w:ascii="Arial" w:cs="Arial" w:eastAsia="Arial" w:hAnsi="Arial"/>
          <w:sz w:val="19"/>
          <w:szCs w:val="19"/>
          <w:color w:val="auto"/>
        </w:rPr>
        <w:t>to redeem the Series C Preferred Stock in whole or in part, as described above, prior to the Change of Control Conversion Date (as defined in the Series C Certificate of Designations)) to convert some or all of the Series C Preferred Stock held by such holder on the Change of Control Conversion Date into a number of shares of our common stock per share of Series C Preferred Stock determined by a formula, in each case, on the terms and subject to the conditions described in the Series C Certificate of Designations, including provisions for the receipt, under specified circumstances, of alternative consideration.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Description of Series D Preferred Stock Underlying Our Depositary Shares</w:t>
      </w:r>
    </w:p>
    <w:p>
      <w:pPr>
        <w:spacing w:after="0" w:line="108"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On March 5, 2019, we filed a certificate of designations (the “Series D Certificate of Designations”) with the Secretary of State of the State of Delaware to designate 10,350 shares of our Series D Preferred Stock with the powers, designations, preferences and other rights set forth in the Series D Certificate of Designations. The Series D</w:t>
      </w:r>
    </w:p>
    <w:p>
      <w:pPr>
        <w:sectPr>
          <w:pgSz w:w="11900" w:h="16838" w:orient="portrait"/>
          <w:cols w:equalWidth="0" w:num="1">
            <w:col w:w="11240"/>
          </w:cols>
          <w:pgMar w:left="320" w:top="892" w:right="339" w:bottom="1440" w:gutter="0" w:footer="0" w:header="0"/>
        </w:sectPr>
      </w:pPr>
    </w:p>
    <w:bookmarkStart w:id="92" w:name="page93"/>
    <w:bookmarkEnd w:id="92"/>
    <w:p>
      <w:pPr>
        <w:ind w:right="320"/>
        <w:spacing w:after="0" w:line="313" w:lineRule="auto"/>
        <w:rPr>
          <w:sz w:val="20"/>
          <w:szCs w:val="20"/>
          <w:color w:val="auto"/>
        </w:rPr>
      </w:pPr>
      <w:r>
        <w:rPr>
          <w:rFonts w:ascii="Arial" w:cs="Arial" w:eastAsia="Arial" w:hAnsi="Arial"/>
          <w:sz w:val="16"/>
          <w:szCs w:val="16"/>
          <w:color w:val="auto"/>
        </w:rPr>
        <w:t>Certificate of Designations became effective upon filing on March 5, 2019. On March 6, 2019, we issued 9,000 shares of the Series D Preferred Stock, which shares were deposited with Computershare Inc. and Computershare Trust Company, N.A., jointly as depositary, against which depositary receipts evidencing 9,000,000 depositary shares were issued, and on March 20, 2019, we subsequently issued an additional 400 shares of the Series D Preferred Stock, which shares were deposited with Computershare Inc. and Computershare Trust Company, N.A., jointly as depositary, against which depositary receipts evidencing 400,000 depositary shares were issued, all of which remain outstanding as of December 31, 2020. Each depositary share represents 1/1,000th of a share of Series D Preferred Stock. The depositary shares underlying the Series D Preferred Stock are listed on the Nasdaq Global Select Market under the symbol “AGNCM.”</w:t>
      </w:r>
    </w:p>
    <w:p>
      <w:pPr>
        <w:spacing w:after="0" w:line="35" w:lineRule="exact"/>
        <w:rPr>
          <w:sz w:val="20"/>
          <w:szCs w:val="20"/>
          <w:color w:val="auto"/>
        </w:rPr>
      </w:pPr>
    </w:p>
    <w:p>
      <w:pPr>
        <w:spacing w:after="0" w:line="256" w:lineRule="auto"/>
        <w:rPr>
          <w:sz w:val="20"/>
          <w:szCs w:val="20"/>
          <w:color w:val="auto"/>
        </w:rPr>
      </w:pPr>
      <w:r>
        <w:rPr>
          <w:rFonts w:ascii="Arial" w:cs="Arial" w:eastAsia="Arial" w:hAnsi="Arial"/>
          <w:sz w:val="19"/>
          <w:szCs w:val="19"/>
          <w:i w:val="1"/>
          <w:iCs w:val="1"/>
          <w:color w:val="auto"/>
        </w:rPr>
        <w:t>Ranking</w:t>
      </w:r>
      <w:r>
        <w:rPr>
          <w:rFonts w:ascii="Arial" w:cs="Arial" w:eastAsia="Arial" w:hAnsi="Arial"/>
          <w:sz w:val="19"/>
          <w:szCs w:val="19"/>
          <w:color w:val="auto"/>
        </w:rPr>
        <w:t>. The Series D Preferred Stock ranks, with respect to rights to the payment of dividends and the distribution of assets upon our</w:t>
      </w:r>
      <w:r>
        <w:rPr>
          <w:rFonts w:ascii="Arial" w:cs="Arial" w:eastAsia="Arial" w:hAnsi="Arial"/>
          <w:sz w:val="19"/>
          <w:szCs w:val="19"/>
          <w:i w:val="1"/>
          <w:iCs w:val="1"/>
          <w:color w:val="auto"/>
        </w:rPr>
        <w:t xml:space="preserve"> </w:t>
      </w:r>
      <w:r>
        <w:rPr>
          <w:rFonts w:ascii="Arial" w:cs="Arial" w:eastAsia="Arial" w:hAnsi="Arial"/>
          <w:sz w:val="19"/>
          <w:szCs w:val="19"/>
          <w:color w:val="auto"/>
        </w:rPr>
        <w:t>liquidation, 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D Preferred Stock with respect to rights to the payment of dividends and the distribution of assets upon our liquidation, dissolution or winding up, including the Series D Preferred Stock; (3) junior to all equity securities issued by us with terms specifically providing that those equity securities rank senior to the Series D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Holders of shares of the Series D Preferred Stock are entitled to receive, when, as and if declared by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out of funds legally available for the payment of dividends, cumulative cash dividends. The initial dividend rate for the Series D Preferred Stock from and including the date of original issuance to, but not including, April 15, 2024 (the “Fixed Rate Period”) is at the rate of 6.875% of the $25,000 liquidation preference per share of Series D Preferred Stock per annum (equivalent to $1,718.75 per annum per share of Series D Preferred Stock or $ 1.71875 per annum per depositary share). On and after April 15, 2024 (the “Floating Rate Period”), dividends on the Series D Preferred Stock will accumulate at a percentage of the $25,000 liquidation preference per share of Series D Preferred Stock equal to an annual floating rate of the Three-Month LIBOR Rate plus a spread of 4.332%. Dividends on the Series D Preferred Stock accumulate daily and are cumulative from, and including, the date of original issue (March 6, 2019) and are payable quarterly in arrears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D Preferred Stock at the close of business on the applicable record date, which shall be the first day of the calendar month, in which the applicable dividend payment date falls.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i w:val="1"/>
          <w:iCs w:val="1"/>
          <w:color w:val="auto"/>
        </w:rPr>
        <w:t>Liquidation Preference</w:t>
      </w:r>
      <w:r>
        <w:rPr>
          <w:rFonts w:ascii="Arial" w:cs="Arial" w:eastAsia="Arial" w:hAnsi="Arial"/>
          <w:sz w:val="19"/>
          <w:szCs w:val="19"/>
          <w:color w:val="auto"/>
        </w:rPr>
        <w:t>. In the event of our voluntary or involuntary liquidation, dissolution or winding up, holders of the Series D Preferred</w:t>
      </w:r>
      <w:r>
        <w:rPr>
          <w:rFonts w:ascii="Arial" w:cs="Arial" w:eastAsia="Arial" w:hAnsi="Arial"/>
          <w:sz w:val="19"/>
          <w:szCs w:val="19"/>
          <w:i w:val="1"/>
          <w:iCs w:val="1"/>
          <w:color w:val="auto"/>
        </w:rPr>
        <w:t xml:space="preserve"> </w:t>
      </w:r>
      <w:r>
        <w:rPr>
          <w:rFonts w:ascii="Arial" w:cs="Arial" w:eastAsia="Arial" w:hAnsi="Arial"/>
          <w:sz w:val="19"/>
          <w:szCs w:val="19"/>
          <w:color w:val="auto"/>
        </w:rPr>
        <w:t>Stock will be entitled to be paid out of the assets we have legally available for distribution to our stockholders, subject to the preferential rights of the holders of any class or series of our capital stock we may issue ranking senior to the Series D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D Preferred Stock as to liquidation rights.</w:t>
      </w:r>
    </w:p>
    <w:p>
      <w:pPr>
        <w:spacing w:after="0" w:line="77"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i w:val="1"/>
          <w:iCs w:val="1"/>
          <w:color w:val="auto"/>
        </w:rPr>
        <w:t>Redemption</w:t>
      </w:r>
      <w:r>
        <w:rPr>
          <w:rFonts w:ascii="Arial" w:cs="Arial" w:eastAsia="Arial" w:hAnsi="Arial"/>
          <w:sz w:val="20"/>
          <w:szCs w:val="20"/>
          <w:color w:val="auto"/>
        </w:rPr>
        <w:t>. The Series D Preferred Stock will not be redeemable by us prior to April 15, 2024, except under circumstances intended to</w:t>
      </w:r>
      <w:r>
        <w:rPr>
          <w:rFonts w:ascii="Arial" w:cs="Arial" w:eastAsia="Arial" w:hAnsi="Arial"/>
          <w:sz w:val="20"/>
          <w:szCs w:val="20"/>
          <w:i w:val="1"/>
          <w:iCs w:val="1"/>
          <w:color w:val="auto"/>
        </w:rPr>
        <w:t xml:space="preserve"> </w:t>
      </w:r>
      <w:r>
        <w:rPr>
          <w:rFonts w:ascii="Arial" w:cs="Arial" w:eastAsia="Arial" w:hAnsi="Arial"/>
          <w:sz w:val="20"/>
          <w:szCs w:val="20"/>
          <w:color w:val="auto"/>
        </w:rPr>
        <w:t>preserve our qualification as a REIT for federal income tax purposes and except upon the occurrence of a Change of Control (as defined in the Series D Certificate of Designations). On or after April 15, 2024, we may, at our option, redeem any or all of the shares of the Series D Preferred Stock at $25,000 per share</w:t>
      </w:r>
    </w:p>
    <w:p>
      <w:pPr>
        <w:sectPr>
          <w:pgSz w:w="11900" w:h="16838" w:orient="portrait"/>
          <w:cols w:equalWidth="0" w:num="1">
            <w:col w:w="11240"/>
          </w:cols>
          <w:pgMar w:left="320" w:top="892" w:right="339" w:bottom="1440" w:gutter="0" w:footer="0" w:header="0"/>
        </w:sectPr>
      </w:pPr>
    </w:p>
    <w:bookmarkStart w:id="93" w:name="page94"/>
    <w:bookmarkEnd w:id="93"/>
    <w:p>
      <w:pPr>
        <w:ind w:right="60"/>
        <w:spacing w:after="0" w:line="246" w:lineRule="auto"/>
        <w:rPr>
          <w:sz w:val="20"/>
          <w:szCs w:val="20"/>
          <w:color w:val="auto"/>
        </w:rPr>
      </w:pPr>
      <w:r>
        <w:rPr>
          <w:rFonts w:ascii="Arial" w:cs="Arial" w:eastAsia="Arial" w:hAnsi="Arial"/>
          <w:sz w:val="20"/>
          <w:szCs w:val="20"/>
          <w:color w:val="auto"/>
        </w:rPr>
        <w:t>($25.00 per depositary share) plus any accumulated and unpaid dividends to, but not including, the redemption date. In addition, upon the occurrence of a Change of Control, we may, at our option, redeem any or all of the shares of Series D Preferred Stock within 120 days after the first date on which such Change of Control occurred at $25,000 per share ($25.00 per depositary share) plus any accumulated and unpaid dividends to, but not including, the redemption date.</w:t>
      </w:r>
    </w:p>
    <w:p>
      <w:pPr>
        <w:spacing w:after="0" w:line="83"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i w:val="1"/>
          <w:iCs w:val="1"/>
          <w:color w:val="auto"/>
        </w:rPr>
        <w:t>Maturity</w:t>
      </w:r>
      <w:r>
        <w:rPr>
          <w:rFonts w:ascii="Arial" w:cs="Arial" w:eastAsia="Arial" w:hAnsi="Arial"/>
          <w:sz w:val="20"/>
          <w:szCs w:val="20"/>
          <w:color w:val="auto"/>
        </w:rPr>
        <w:t>. The Series D Preferred Stock has no stated maturity, is not subject to any sinking fund or mandatory redemption and will remain</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indefinitely unless repurchased or redeemed by us or converted into our common stock in connection with a Change of Control by the holders of Series D Preferred Stock.</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9"/>
          <w:szCs w:val="19"/>
          <w:i w:val="1"/>
          <w:iCs w:val="1"/>
          <w:color w:val="auto"/>
        </w:rPr>
        <w:t>Voting Rights</w:t>
      </w:r>
      <w:r>
        <w:rPr>
          <w:rFonts w:ascii="Arial" w:cs="Arial" w:eastAsia="Arial" w:hAnsi="Arial"/>
          <w:sz w:val="19"/>
          <w:szCs w:val="19"/>
          <w:color w:val="auto"/>
        </w:rPr>
        <w:t>. Holders of Series D Preferred Stock will generally have no voting rights. However, if we do not pay dividends on the Series D</w:t>
      </w:r>
      <w:r>
        <w:rPr>
          <w:rFonts w:ascii="Arial" w:cs="Arial" w:eastAsia="Arial" w:hAnsi="Arial"/>
          <w:sz w:val="19"/>
          <w:szCs w:val="19"/>
          <w:i w:val="1"/>
          <w:iCs w:val="1"/>
          <w:color w:val="auto"/>
        </w:rPr>
        <w:t xml:space="preserve"> </w:t>
      </w:r>
      <w:r>
        <w:rPr>
          <w:rFonts w:ascii="Arial" w:cs="Arial" w:eastAsia="Arial" w:hAnsi="Arial"/>
          <w:sz w:val="19"/>
          <w:szCs w:val="19"/>
          <w:color w:val="auto"/>
        </w:rPr>
        <w:t>Preferred Stock for six or more quarterly dividend periods (whether or not consecutive), the holders of the Series D Preferred Stock (voting separately as a class with the holders of all other classes or series of our preferred stock we may issue upon which like voting rights have been conferred and are exercisable and which are entitled to vote as a class with the Series D Preferred Stock in the election referred to below) will be entitled to vote for the election of two additional directors to serve on our Board of Directors until we pay, or declare and set aside funds for the payment of, all dividends that we owe on the Series D Preferred Stock, subject to certain limitations. In addition, the affirmative vote of the holders of at least two-thirds of the outstanding shares of Series D Preferred Stock is required for us to authorize or issue any class or series of stock ranking senior to the Series D Preferred Stock with respect to the payment of dividends or the distribution of assets on liquidation, dissolution or winding up, to amend any provision of our Charter so as to materially and adversely affect any rights of the Series D Preferred Stock or to take certain other actions.</w:t>
      </w:r>
    </w:p>
    <w:p>
      <w:pPr>
        <w:spacing w:after="0" w:line="82" w:lineRule="exact"/>
        <w:rPr>
          <w:sz w:val="20"/>
          <w:szCs w:val="20"/>
          <w:color w:val="auto"/>
        </w:rPr>
      </w:pPr>
    </w:p>
    <w:p>
      <w:pPr>
        <w:spacing w:after="0" w:line="259" w:lineRule="auto"/>
        <w:rPr>
          <w:sz w:val="20"/>
          <w:szCs w:val="20"/>
          <w:color w:val="auto"/>
        </w:rPr>
      </w:pPr>
      <w:r>
        <w:rPr>
          <w:rFonts w:ascii="Arial" w:cs="Arial" w:eastAsia="Arial" w:hAnsi="Arial"/>
          <w:sz w:val="19"/>
          <w:szCs w:val="19"/>
          <w:i w:val="1"/>
          <w:iCs w:val="1"/>
          <w:color w:val="auto"/>
        </w:rPr>
        <w:t>Conversion</w:t>
      </w:r>
      <w:r>
        <w:rPr>
          <w:rFonts w:ascii="Arial" w:cs="Arial" w:eastAsia="Arial" w:hAnsi="Arial"/>
          <w:sz w:val="19"/>
          <w:szCs w:val="19"/>
          <w:color w:val="auto"/>
        </w:rPr>
        <w:t>. Upon the occurrence of a Change of Control, each holder of Series D Preferred Stock will have the right (subject to our election</w:t>
      </w:r>
      <w:r>
        <w:rPr>
          <w:rFonts w:ascii="Arial" w:cs="Arial" w:eastAsia="Arial" w:hAnsi="Arial"/>
          <w:sz w:val="19"/>
          <w:szCs w:val="19"/>
          <w:i w:val="1"/>
          <w:iCs w:val="1"/>
          <w:color w:val="auto"/>
        </w:rPr>
        <w:t xml:space="preserve"> </w:t>
      </w:r>
      <w:r>
        <w:rPr>
          <w:rFonts w:ascii="Arial" w:cs="Arial" w:eastAsia="Arial" w:hAnsi="Arial"/>
          <w:sz w:val="19"/>
          <w:szCs w:val="19"/>
          <w:color w:val="auto"/>
        </w:rPr>
        <w:t>to redeem the Series D Preferred Stock in whole or in part, as described above, prior to the Change of Control Conversion Date (as defined in the Series D Certificate of Designations)) to convert some or all of the Series D Preferred Stock held by such holder on the Change of Control Conversion Date into a number of shares of our common stock per share of Series D Preferred Stock determined by a formula, in each case, on the terms and subject to the conditions described in the Series D Certificate of Designations, including provisions for the receipt, under specified circumstances, of alternative consideration.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Description of Series E Preferred Stock Underlying Our Depositary Shares</w:t>
      </w:r>
    </w:p>
    <w:p>
      <w:pPr>
        <w:spacing w:after="0" w:line="108"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On October 2, 2019, we filed a certificate of designations (the “Series E Certificate of Designations”) with the Secretary of State of the State of Delaware to designate 16,100 shares of our Series E Preferred Stock with the powers, designations, preferences and other rights set forth in the Series E Certificate of Designations. The Series E Certificate of Designations became effective upon filing on October 2, 2019. On October 3, 2019, we issued 16,100 shares of the Series E Preferred Stock, which shares were deposited with Computershare Inc. and Computershare Trust Company, N.A., jointly as depositary, against which depositary receipts evidencing 16,100,000 depositary shares were issued, all of which remain outstanding as of December 31, 2020. Each depositary share represents 1/1,000th of a share of Series E Preferred Stock. The depositary shares underlying the Series E Preferred Stock are listed on the Nasdaq Global Select Market under the symbol “AGNCO.”</w:t>
      </w:r>
    </w:p>
    <w:p>
      <w:pPr>
        <w:spacing w:after="0" w:line="89" w:lineRule="exact"/>
        <w:rPr>
          <w:sz w:val="20"/>
          <w:szCs w:val="20"/>
          <w:color w:val="auto"/>
        </w:rPr>
      </w:pPr>
    </w:p>
    <w:p>
      <w:pPr>
        <w:spacing w:after="0" w:line="256" w:lineRule="auto"/>
        <w:rPr>
          <w:sz w:val="20"/>
          <w:szCs w:val="20"/>
          <w:color w:val="auto"/>
        </w:rPr>
      </w:pPr>
      <w:r>
        <w:rPr>
          <w:rFonts w:ascii="Arial" w:cs="Arial" w:eastAsia="Arial" w:hAnsi="Arial"/>
          <w:sz w:val="19"/>
          <w:szCs w:val="19"/>
          <w:i w:val="1"/>
          <w:iCs w:val="1"/>
          <w:color w:val="auto"/>
        </w:rPr>
        <w:t>Ranking</w:t>
      </w:r>
      <w:r>
        <w:rPr>
          <w:rFonts w:ascii="Arial" w:cs="Arial" w:eastAsia="Arial" w:hAnsi="Arial"/>
          <w:sz w:val="19"/>
          <w:szCs w:val="19"/>
          <w:color w:val="auto"/>
        </w:rPr>
        <w:t>. The Series E Preferred Stock ranks, with respect to rights to the payment of dividends and the distribution of assets upon our</w:t>
      </w:r>
      <w:r>
        <w:rPr>
          <w:rFonts w:ascii="Arial" w:cs="Arial" w:eastAsia="Arial" w:hAnsi="Arial"/>
          <w:sz w:val="19"/>
          <w:szCs w:val="19"/>
          <w:i w:val="1"/>
          <w:iCs w:val="1"/>
          <w:color w:val="auto"/>
        </w:rPr>
        <w:t xml:space="preserve"> </w:t>
      </w:r>
      <w:r>
        <w:rPr>
          <w:rFonts w:ascii="Arial" w:cs="Arial" w:eastAsia="Arial" w:hAnsi="Arial"/>
          <w:sz w:val="19"/>
          <w:szCs w:val="19"/>
          <w:color w:val="auto"/>
        </w:rPr>
        <w:t>liquidation, 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E Preferred Stock with respect to rights to the payment of dividends and the distribution of assets upon our liquidation, dissolution or winding up, including the Series E Preferred Stock; (3) junior to all equity securities issued by us with terms specifically providing that those equity securities rank senior to the Series E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76"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i w:val="1"/>
          <w:iCs w:val="1"/>
          <w:color w:val="auto"/>
        </w:rPr>
        <w:t>Distributions</w:t>
      </w:r>
      <w:r>
        <w:rPr>
          <w:rFonts w:ascii="Arial" w:cs="Arial" w:eastAsia="Arial" w:hAnsi="Arial"/>
          <w:sz w:val="20"/>
          <w:szCs w:val="20"/>
          <w:color w:val="auto"/>
        </w:rPr>
        <w:t>. Holders of shares of the Series E Preferred Stock are entitled to receive, when, as and if declared by our Board of Directors,</w:t>
      </w:r>
      <w:r>
        <w:rPr>
          <w:rFonts w:ascii="Arial" w:cs="Arial" w:eastAsia="Arial" w:hAnsi="Arial"/>
          <w:sz w:val="20"/>
          <w:szCs w:val="20"/>
          <w:i w:val="1"/>
          <w:iCs w:val="1"/>
          <w:color w:val="auto"/>
        </w:rPr>
        <w:t xml:space="preserve"> </w:t>
      </w:r>
      <w:r>
        <w:rPr>
          <w:rFonts w:ascii="Arial" w:cs="Arial" w:eastAsia="Arial" w:hAnsi="Arial"/>
          <w:sz w:val="20"/>
          <w:szCs w:val="20"/>
          <w:color w:val="auto"/>
        </w:rPr>
        <w:t>out of funds legally available for the payment of dividends, cumulative cash dividends. The</w:t>
      </w:r>
    </w:p>
    <w:p>
      <w:pPr>
        <w:sectPr>
          <w:pgSz w:w="11900" w:h="16838" w:orient="portrait"/>
          <w:cols w:equalWidth="0" w:num="1">
            <w:col w:w="11220"/>
          </w:cols>
          <w:pgMar w:left="320" w:top="892" w:right="359" w:bottom="1440" w:gutter="0" w:footer="0" w:header="0"/>
        </w:sectPr>
      </w:pPr>
    </w:p>
    <w:bookmarkStart w:id="94" w:name="page95"/>
    <w:bookmarkEnd w:id="94"/>
    <w:p>
      <w:pPr>
        <w:ind w:right="80"/>
        <w:spacing w:after="0" w:line="262" w:lineRule="auto"/>
        <w:rPr>
          <w:sz w:val="20"/>
          <w:szCs w:val="20"/>
          <w:color w:val="auto"/>
        </w:rPr>
      </w:pPr>
      <w:r>
        <w:rPr>
          <w:rFonts w:ascii="Arial" w:cs="Arial" w:eastAsia="Arial" w:hAnsi="Arial"/>
          <w:sz w:val="18"/>
          <w:szCs w:val="18"/>
          <w:color w:val="auto"/>
        </w:rPr>
        <w:t>initial dividend rate for the Series E Preferred Stock from and including the date of original issuance to, but not including, October 15, 2024 (the “Fixed Rate Period”) is at the rate of 6.50% of the $25,000 liquidation preference per share of Series E Preferred Stock per annum (equivalent to $1,625 per annum per share of Series E Preferred Stock or $1.625 per annum per depositary share). On and after October 15, 2024 (the “Floating Rate Period”), dividends on the Series E Preferred Stock will accumulate at a percentage of the $25,000 liquidation preference per share of Series E Preferred Stock equal to an annual floating rate of the Three-Month LIBOR Rate plus a spread of 4.993%. Dividends on the Series E Preferred Stock accumulate daily and are cumulative from, and including, the date of original issue (October 3, 2019) and are payable quarterly in arrears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E Preferred Stock at the close of business on the applicable record date, which shall be the first day of the calendar month, in which the applicable dividend payment date falls.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9"/>
          <w:szCs w:val="19"/>
          <w:i w:val="1"/>
          <w:iCs w:val="1"/>
          <w:color w:val="auto"/>
        </w:rPr>
        <w:t>Liquidation Preference</w:t>
      </w:r>
      <w:r>
        <w:rPr>
          <w:rFonts w:ascii="Arial" w:cs="Arial" w:eastAsia="Arial" w:hAnsi="Arial"/>
          <w:sz w:val="19"/>
          <w:szCs w:val="19"/>
          <w:color w:val="auto"/>
        </w:rPr>
        <w:t>. In the event of our voluntary or involuntary liquidation, dissolution or winding up, holders of the Series E Preferred</w:t>
      </w:r>
      <w:r>
        <w:rPr>
          <w:rFonts w:ascii="Arial" w:cs="Arial" w:eastAsia="Arial" w:hAnsi="Arial"/>
          <w:sz w:val="19"/>
          <w:szCs w:val="19"/>
          <w:i w:val="1"/>
          <w:iCs w:val="1"/>
          <w:color w:val="auto"/>
        </w:rPr>
        <w:t xml:space="preserve"> </w:t>
      </w:r>
      <w:r>
        <w:rPr>
          <w:rFonts w:ascii="Arial" w:cs="Arial" w:eastAsia="Arial" w:hAnsi="Arial"/>
          <w:sz w:val="19"/>
          <w:szCs w:val="19"/>
          <w:color w:val="auto"/>
        </w:rPr>
        <w:t>Stock will be entitled to be paid out of the assets we have legally available for distribution to our stockholders, subject to the preferential rights of the holders of any class or series of our capital stock we may issue ranking senior to the Series E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E Preferred Stock as to liquidation rights.</w:t>
      </w:r>
    </w:p>
    <w:p>
      <w:pPr>
        <w:spacing w:after="0" w:line="7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Series E Preferred Stock will not be redeemable by us prior to October 15, 2024, except under circumstances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preserve our qualification as a REIT for federal income tax purposes and except upon the occurrence of a Change of Control (as defined in the Series E Certificate of Designations). On or after October 15, 2024, we may, at our option, redeem any or all of the shares of the Series E Preferred Stock at $25,000 per share ($25.00 per depositary share) plus any accumulated and unpaid dividends to, but not including, the redemption date. In addition, upon the occurrence of a Change of Control, we may, at our option, redeem any or all of the shares of Series E Preferred Stock within 120 days after the first date on which such Change of Control occurred at $25,000 per share ($25.00 per depositary share) plus any accumulated and unpaid dividends to, but not including, the redemption date.</w:t>
      </w:r>
    </w:p>
    <w:p>
      <w:pPr>
        <w:spacing w:after="0" w:line="60"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i w:val="1"/>
          <w:iCs w:val="1"/>
          <w:color w:val="auto"/>
        </w:rPr>
        <w:t>Maturity</w:t>
      </w:r>
      <w:r>
        <w:rPr>
          <w:rFonts w:ascii="Arial" w:cs="Arial" w:eastAsia="Arial" w:hAnsi="Arial"/>
          <w:sz w:val="20"/>
          <w:szCs w:val="20"/>
          <w:color w:val="auto"/>
        </w:rPr>
        <w:t>. The Series E Preferred Stock has no stated maturity, is not subject to any sinking fund or mandatory redemption and will remain</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indefinitely unless repurchased or redeemed by us or converted into our common stock in connection with a Change of Control by the holders of Series E Preferred Stock.</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9"/>
          <w:szCs w:val="19"/>
          <w:i w:val="1"/>
          <w:iCs w:val="1"/>
          <w:color w:val="auto"/>
        </w:rPr>
        <w:t>Voting Rights</w:t>
      </w:r>
      <w:r>
        <w:rPr>
          <w:rFonts w:ascii="Arial" w:cs="Arial" w:eastAsia="Arial" w:hAnsi="Arial"/>
          <w:sz w:val="19"/>
          <w:szCs w:val="19"/>
          <w:color w:val="auto"/>
        </w:rPr>
        <w:t>. Holders of Series E Preferred Stock will generally have no voting rights. However, if we do not pay dividends on the Series E</w:t>
      </w:r>
      <w:r>
        <w:rPr>
          <w:rFonts w:ascii="Arial" w:cs="Arial" w:eastAsia="Arial" w:hAnsi="Arial"/>
          <w:sz w:val="19"/>
          <w:szCs w:val="19"/>
          <w:i w:val="1"/>
          <w:iCs w:val="1"/>
          <w:color w:val="auto"/>
        </w:rPr>
        <w:t xml:space="preserve"> </w:t>
      </w:r>
      <w:r>
        <w:rPr>
          <w:rFonts w:ascii="Arial" w:cs="Arial" w:eastAsia="Arial" w:hAnsi="Arial"/>
          <w:sz w:val="19"/>
          <w:szCs w:val="19"/>
          <w:color w:val="auto"/>
        </w:rPr>
        <w:t>Preferred Stock for six or more quarterly dividend periods (whether or not consecutive), the holders of the Series E Preferred Stock (voting separately as a class with the holders of all other classes or series of our preferred stock we may issue upon which like voting rights have been conferred and are exercisable and which are entitled to vote as a class with the Series E Preferred Stock in the election referred to below) will be entitled to vote for the election of two additional directors to serve on our Board of Directors until we pay, or declare and set aside funds for the payment of, all dividends that we owe on the Series E Preferred Stock, subject to certain limitations. In addition, the affirmative vote of the holders of at least two-thirds of the outstanding shares of Series E Preferred Stock is required for us to authorize or issue any class or series of stock ranking senior to the Series E Preferred Stock with respect to the payment of dividends or the distribution of assets on liquidation, dissolution or winding up, to amend any provision of our Charter so as to materially and adversely affect any rights of the Series E Preferred Stock or to take certain other actions.</w:t>
      </w:r>
    </w:p>
    <w:p>
      <w:pPr>
        <w:spacing w:after="0" w:line="8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i w:val="1"/>
          <w:iCs w:val="1"/>
          <w:color w:val="auto"/>
        </w:rPr>
        <w:t>Conversion</w:t>
      </w:r>
      <w:r>
        <w:rPr>
          <w:rFonts w:ascii="Arial" w:cs="Arial" w:eastAsia="Arial" w:hAnsi="Arial"/>
          <w:sz w:val="20"/>
          <w:szCs w:val="20"/>
          <w:color w:val="auto"/>
        </w:rPr>
        <w:t>. Upon the occurrence of a Change of Control, each holder of Series E Preferred Stock will have the right (subject to our election</w:t>
      </w:r>
      <w:r>
        <w:rPr>
          <w:rFonts w:ascii="Arial" w:cs="Arial" w:eastAsia="Arial" w:hAnsi="Arial"/>
          <w:sz w:val="20"/>
          <w:szCs w:val="20"/>
          <w:i w:val="1"/>
          <w:iCs w:val="1"/>
          <w:color w:val="auto"/>
        </w:rPr>
        <w:t xml:space="preserve"> </w:t>
      </w:r>
      <w:r>
        <w:rPr>
          <w:rFonts w:ascii="Arial" w:cs="Arial" w:eastAsia="Arial" w:hAnsi="Arial"/>
          <w:sz w:val="20"/>
          <w:szCs w:val="20"/>
          <w:color w:val="auto"/>
        </w:rPr>
        <w:t>to redeem the Series E Preferred Stock in whole or in part, as described above, prior to</w:t>
      </w:r>
    </w:p>
    <w:p>
      <w:pPr>
        <w:sectPr>
          <w:pgSz w:w="11900" w:h="16838" w:orient="portrait"/>
          <w:cols w:equalWidth="0" w:num="1">
            <w:col w:w="11200"/>
          </w:cols>
          <w:pgMar w:left="320" w:top="892" w:right="379" w:bottom="1440" w:gutter="0" w:footer="0" w:header="0"/>
        </w:sectPr>
      </w:pPr>
    </w:p>
    <w:bookmarkStart w:id="95" w:name="page96"/>
    <w:bookmarkEnd w:id="95"/>
    <w:p>
      <w:pPr>
        <w:ind w:right="320"/>
        <w:spacing w:after="0" w:line="282" w:lineRule="auto"/>
        <w:rPr>
          <w:sz w:val="20"/>
          <w:szCs w:val="20"/>
          <w:color w:val="auto"/>
        </w:rPr>
      </w:pPr>
      <w:r>
        <w:rPr>
          <w:rFonts w:ascii="Arial" w:cs="Arial" w:eastAsia="Arial" w:hAnsi="Arial"/>
          <w:sz w:val="18"/>
          <w:szCs w:val="18"/>
          <w:color w:val="auto"/>
        </w:rPr>
        <w:t>the Change of Control Conversion Date (as defined in the Series E Certificate of Designations)) to convert some or all of the Series E Preferred Stock held by such holder on the Change of Control Conversion Date into a number of shares of our common stock per share of Series E Preferred Stock determined by a formula, in each case, on the terms and subject to the conditions described in the Series E Certificate of Designations, including provisions for the receipt, under specified circumstances, of alternative consideration.</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Description of Series F Preferred Stock Underlying Our Depositary Shares</w:t>
      </w:r>
    </w:p>
    <w:p>
      <w:pPr>
        <w:spacing w:after="0" w:line="108"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On February 10, 2020, we filed a certificate of designations (the “Series F Certificate of Designations”) with the Secretary of State of the State of Delaware to designate 23,000 shares of our Series F Preferred Stock with the powers, designations, preferences and other rights set forth in the Series F Certificate of Designations. The Series F Certificate of Designations became effective upon filing on February 10, 2020. On February 11, 2020, we issued 23,000 shares of the Series F Preferred Stock, which shares were deposited with Computershare Inc. and Computershare Trust Company, N.A., jointly as depositary, against which depositary receipts evidencing 23,000,000 depositary shares were issued, all of which remain outstanding as of December 31, 2020. Each depositary share represents 1/1,000th of a share of Series F Preferred Stock. The depositary shares underlying the Series F Preferred Stock are listed on the Nasdaq Global Select Market under the symbol “AGNCP.”</w:t>
      </w:r>
    </w:p>
    <w:p>
      <w:pPr>
        <w:spacing w:after="0" w:line="89"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i w:val="1"/>
          <w:iCs w:val="1"/>
          <w:color w:val="auto"/>
        </w:rPr>
        <w:t>Ranking</w:t>
      </w:r>
      <w:r>
        <w:rPr>
          <w:rFonts w:ascii="Arial" w:cs="Arial" w:eastAsia="Arial" w:hAnsi="Arial"/>
          <w:sz w:val="19"/>
          <w:szCs w:val="19"/>
          <w:color w:val="auto"/>
        </w:rPr>
        <w:t>. The Series F Preferred Stock ranks, with respect to rights to the payment of dividends and the distribution of assets upon our</w:t>
      </w:r>
      <w:r>
        <w:rPr>
          <w:rFonts w:ascii="Arial" w:cs="Arial" w:eastAsia="Arial" w:hAnsi="Arial"/>
          <w:sz w:val="19"/>
          <w:szCs w:val="19"/>
          <w:i w:val="1"/>
          <w:iCs w:val="1"/>
          <w:color w:val="auto"/>
        </w:rPr>
        <w:t xml:space="preserve"> </w:t>
      </w:r>
      <w:r>
        <w:rPr>
          <w:rFonts w:ascii="Arial" w:cs="Arial" w:eastAsia="Arial" w:hAnsi="Arial"/>
          <w:sz w:val="19"/>
          <w:szCs w:val="19"/>
          <w:color w:val="auto"/>
        </w:rPr>
        <w:t>liquidation, 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F Preferred Stock with respect to rights to the payment of dividends and the distribution of assets upon our liquidation, dissolution or winding up, including the Series F Preferred Stock; (3) junior to all equity securities issued by us with terms specifically providing that those equity securities rank senior to the Series F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Holders of shares of the Series F Preferred Stock are entitled to receive, when, as and if declared by our Board of Directors, out</w:t>
      </w:r>
      <w:r>
        <w:rPr>
          <w:rFonts w:ascii="Arial" w:cs="Arial" w:eastAsia="Arial" w:hAnsi="Arial"/>
          <w:sz w:val="18"/>
          <w:szCs w:val="18"/>
          <w:i w:val="1"/>
          <w:iCs w:val="1"/>
          <w:color w:val="auto"/>
        </w:rPr>
        <w:t xml:space="preserve"> </w:t>
      </w:r>
      <w:r>
        <w:rPr>
          <w:rFonts w:ascii="Arial" w:cs="Arial" w:eastAsia="Arial" w:hAnsi="Arial"/>
          <w:sz w:val="18"/>
          <w:szCs w:val="18"/>
          <w:color w:val="auto"/>
        </w:rPr>
        <w:t>of funds legally available for the payment of dividends, cumulative cash dividends. The initial dividend rate for the Series F Preferred Stock from and including the date of original issuance to, but not including, April 15, 2025 (the “Fixed Rate Period”) is at the rate of 6.125% of the $25,000 liquidation preference per share of Series F Preferred Stock per annum (equivalent to $1,531.25 per annum per share of Series F Preferred Stock or $ 1.53125 per annum per depositary share). On and after April 15, 2025 (the “Floating Rate Period”), dividends on the Series F Preferred Stock will accumulate at a percentage of the $25,000 liquidation preference per share of Series F Preferred Stock equal to an annual floating rate of the Three-Month LIBOR Rate plus a spread of 4.697%. Dividends on the Series F Preferred Stock accumulate daily and are cumulative from, and including, the date of original issue (February 11, 2020) and are payable quarterly in arrears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F Preferred Stock at the close of business on the applicable record date, which shall be the first day of the calendar month, in which the applicable dividend payment date falls.</w:t>
      </w:r>
    </w:p>
    <w:p>
      <w:pPr>
        <w:spacing w:after="0" w:line="7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 In the event of our voluntary or involuntary liquidation, dissolution or winding up, holders of the Series 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will be entitled to be paid out of the assets we have legally available for distribution to our stockholders, subject to the preferential rights of the holders of any class or series of our capital stock we may issue ranking senior to the Series F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w:t>
      </w:r>
    </w:p>
    <w:p>
      <w:pPr>
        <w:sectPr>
          <w:pgSz w:w="11900" w:h="16838" w:orient="portrait"/>
          <w:cols w:equalWidth="0" w:num="1">
            <w:col w:w="11240"/>
          </w:cols>
          <w:pgMar w:left="320" w:top="892" w:right="339" w:bottom="1440" w:gutter="0" w:footer="0" w:header="0"/>
        </w:sectPr>
      </w:pPr>
    </w:p>
    <w:bookmarkStart w:id="96" w:name="page97"/>
    <w:bookmarkEnd w:id="96"/>
    <w:p>
      <w:pPr>
        <w:ind w:right="180"/>
        <w:spacing w:after="0" w:line="260" w:lineRule="auto"/>
        <w:rPr>
          <w:sz w:val="20"/>
          <w:szCs w:val="20"/>
          <w:color w:val="auto"/>
        </w:rPr>
      </w:pPr>
      <w:r>
        <w:rPr>
          <w:rFonts w:ascii="Arial" w:cs="Arial" w:eastAsia="Arial" w:hAnsi="Arial"/>
          <w:sz w:val="20"/>
          <w:szCs w:val="20"/>
          <w:color w:val="auto"/>
        </w:rPr>
        <w:t>distribution of assets is made to holders of our common stock or any other class or series of our stock that we may issue that ranks junior to the Series F Preferred Stock as to liquidation rights.</w:t>
      </w:r>
    </w:p>
    <w:p>
      <w:pPr>
        <w:spacing w:after="0" w:line="200" w:lineRule="exact"/>
        <w:rPr>
          <w:sz w:val="20"/>
          <w:szCs w:val="20"/>
          <w:color w:val="auto"/>
        </w:rPr>
      </w:pPr>
    </w:p>
    <w:p>
      <w:pPr>
        <w:spacing w:after="0" w:line="220"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Series F Preferred Stock will not be redeemable by us prior to April 15, 2025, except under circumstances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preserve our qualification as a REIT for federal income tax purposes and except upon the occurrence of a Change of Control (as defined in the Series F Certificate of Designations). On or after April 15, 2025, we may, at our option, redeem any or all of the shares of the Series F Preferred Stock at $25,000 per share ($25.00 per depositary share) plus any accumulated and unpaid dividends to, but not including, the redemption date. In addition, upon the occurrence of a Change of Control, we may, at our option, redeem any or all of the shares of Series F Preferred Stock within 120 days after the first date on which such Change of Control occurred at $25,000 per share ($25.00 per depositary share) plus any accumulated and unpaid dividends to, but not including, the redemption date.</w:t>
      </w:r>
    </w:p>
    <w:p>
      <w:pPr>
        <w:spacing w:after="0" w:line="60"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i w:val="1"/>
          <w:iCs w:val="1"/>
          <w:color w:val="auto"/>
        </w:rPr>
        <w:t>Maturity</w:t>
      </w:r>
      <w:r>
        <w:rPr>
          <w:rFonts w:ascii="Arial" w:cs="Arial" w:eastAsia="Arial" w:hAnsi="Arial"/>
          <w:sz w:val="20"/>
          <w:szCs w:val="20"/>
          <w:color w:val="auto"/>
        </w:rPr>
        <w:t>. The Series F Preferred Stock has no stated maturity, is not subject to any sinking fund or mandatory redemption and will remain</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indefinitely unless repurchased or redeemed by us or converted into our common stock in connection with a Change of Control by the holders of Series F Preferred Stock.</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i w:val="1"/>
          <w:iCs w:val="1"/>
          <w:color w:val="auto"/>
        </w:rPr>
        <w:t>Voting Rights</w:t>
      </w:r>
      <w:r>
        <w:rPr>
          <w:rFonts w:ascii="Arial" w:cs="Arial" w:eastAsia="Arial" w:hAnsi="Arial"/>
          <w:sz w:val="19"/>
          <w:szCs w:val="19"/>
          <w:color w:val="auto"/>
        </w:rPr>
        <w:t>. Holders of Series F Preferred Stock will generally have no voting rights. However, if we do not pay dividends on the Series F</w:t>
      </w:r>
      <w:r>
        <w:rPr>
          <w:rFonts w:ascii="Arial" w:cs="Arial" w:eastAsia="Arial" w:hAnsi="Arial"/>
          <w:sz w:val="19"/>
          <w:szCs w:val="19"/>
          <w:i w:val="1"/>
          <w:iCs w:val="1"/>
          <w:color w:val="auto"/>
        </w:rPr>
        <w:t xml:space="preserve"> </w:t>
      </w:r>
      <w:r>
        <w:rPr>
          <w:rFonts w:ascii="Arial" w:cs="Arial" w:eastAsia="Arial" w:hAnsi="Arial"/>
          <w:sz w:val="19"/>
          <w:szCs w:val="19"/>
          <w:color w:val="auto"/>
        </w:rPr>
        <w:t>Preferred Stock for six or more quarterly dividend periods (whether or not consecutive), the holders of the Series F Preferred Stock (voting separately as a class with the holders of all other classes or series of our preferred stock we may issue upon which like voting rights have been conferred and are exercisable and which are entitled to vote as a class with the Series F Preferred Stock in the election referred to below) will be entitled to vote for the election of two additional directors to serve on our Board of Directors until we pay, or declare and set aside funds for the payment of, all dividends that we owe on the Series F Preferred Stock, subject to certain limitations. In addition, the affirmative vote of the holders of at least two-thirds of the outstanding shares of Series F Preferred Stock is required for us to authorize or issue any class or series of stock ranking senior to the Series F Preferred Stock with respect to the payment of dividends or the distribution of assets on liquidation, dissolution or winding up, to amend any provision of our Charter so as to materially and adversely affect any rights of the Series F Preferred Stock or to take certain other actions.</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i w:val="1"/>
          <w:iCs w:val="1"/>
          <w:color w:val="auto"/>
        </w:rPr>
        <w:t>Conversion</w:t>
      </w:r>
      <w:r>
        <w:rPr>
          <w:rFonts w:ascii="Arial" w:cs="Arial" w:eastAsia="Arial" w:hAnsi="Arial"/>
          <w:sz w:val="19"/>
          <w:szCs w:val="19"/>
          <w:color w:val="auto"/>
        </w:rPr>
        <w:t>. Upon the occurrence of a Change of Control, each holder of Series F Preferred Stock will have the right (subject to our election</w:t>
      </w:r>
      <w:r>
        <w:rPr>
          <w:rFonts w:ascii="Arial" w:cs="Arial" w:eastAsia="Arial" w:hAnsi="Arial"/>
          <w:sz w:val="19"/>
          <w:szCs w:val="19"/>
          <w:i w:val="1"/>
          <w:iCs w:val="1"/>
          <w:color w:val="auto"/>
        </w:rPr>
        <w:t xml:space="preserve"> </w:t>
      </w:r>
      <w:r>
        <w:rPr>
          <w:rFonts w:ascii="Arial" w:cs="Arial" w:eastAsia="Arial" w:hAnsi="Arial"/>
          <w:sz w:val="19"/>
          <w:szCs w:val="19"/>
          <w:color w:val="auto"/>
        </w:rPr>
        <w:t>to redeem the Series F Preferred Stock in whole or in part, as described above, prior to the Change of Control Conversion Date (as defined in the Series F Certificate of Designations)) to convert some or all of the Series F Preferred Stock held by such holder on the Change of Control Conversion Date into a number of shares of our common stock per share of Series F Preferred Stock determined by a formula, in each case, on the terms and subject to the conditions described in the Series F Certificate of Designations, including provisions for the receipt, under specified circumstances, of alternative consideration.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Restrictions on Ownership and Transfer of Our Capital Stock</w:t>
      </w:r>
    </w:p>
    <w:p>
      <w:pPr>
        <w:spacing w:after="0" w:line="114"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In order to qualify as a REIT under the Internal Revenue Code, our shares of capital stock must be beneficially owned by 100 or more persons during at least 335 days of a taxable year of 12 months or during a proportionate part of a shorter taxable year. Also, no more than 50% of the value of our outstanding shares of capital stock may be owned, directly or constructively, by five or fewer individuals (as defined in the Internal Revenue Code to include certain entities) during the second half of any calendar year.</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Our Charter, subject to certain exceptions, contains restrictions on the number of shares of our common stock and our capital stock that a person may own and may prohibit certain entities from owning our shares. Our Charter provides that (subject to certain exceptions described below) no person may beneficially or constructively own, or be deemed to own by virtue of the attribution provisions of the Internal Revenue Code, more than 9.8% in value or in number of shares, whichever is more restrictive, of either our common stock or our capital stock. Pursuant to our Charter, our Board of Directors has the power to increase or decrease the percentage of our common stock and our capital stock that a person may beneficially or constructively own. However, any decreased stock ownership limit will not apply to any person whose percentage ownership of our common stock or our capital stock, as the case may be, is in excess of such decreased stock ownership limit until that person’s percentage ownership of our common stock or our capital stock, as the case may be, equals or falls below the decreased stock ownership limit. Until such</w:t>
      </w:r>
    </w:p>
    <w:p>
      <w:pPr>
        <w:sectPr>
          <w:pgSz w:w="11900" w:h="16838" w:orient="portrait"/>
          <w:cols w:equalWidth="0" w:num="1">
            <w:col w:w="11220"/>
          </w:cols>
          <w:pgMar w:left="320" w:top="892" w:right="359" w:bottom="1440" w:gutter="0" w:footer="0" w:header="0"/>
        </w:sectPr>
      </w:pPr>
    </w:p>
    <w:bookmarkStart w:id="97" w:name="page98"/>
    <w:bookmarkEnd w:id="97"/>
    <w:p>
      <w:pPr>
        <w:ind w:right="120"/>
        <w:spacing w:after="0" w:line="246" w:lineRule="auto"/>
        <w:rPr>
          <w:sz w:val="20"/>
          <w:szCs w:val="20"/>
          <w:color w:val="auto"/>
        </w:rPr>
      </w:pPr>
      <w:r>
        <w:rPr>
          <w:rFonts w:ascii="Arial" w:cs="Arial" w:eastAsia="Arial" w:hAnsi="Arial"/>
          <w:sz w:val="20"/>
          <w:szCs w:val="20"/>
          <w:color w:val="auto"/>
        </w:rPr>
        <w:t>a person’s percentage ownership of our common stock or our capital stock, as the case may be, falls below such decreased stock ownership limit, any further acquisition of common stock will be in violation of the decreased stock ownership limit. If our Board of Directors changes the stock ownership limit, it will (i) notify each stockholder of record of any such change, and (ii) publicly announce any such change, in each case at least 30 days prior to the effective date of such change.</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Our Charter also prohibits any person from beneficially or constructively owning shares of our capital stock that would result in our being “closely held” under Section 856(h) of the Internal Revenue Code or otherwise cause us to fail to qualify as a REIT and from transferring shares of our capital stock if the transfer would result in our capital stock being beneficially owned by fewer than 100 persons. In addition, no such person may own an interest in any tenant that would cause us to own, actually or constructively, more than a 9.9% interest in such tenant.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8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Our Board of Directors, in its sole discretion, may exempt a person from the foregoing restrictions. The person seeking an exemption must provide to our Board of Directors such conditions, representations and undertakings as our Board of Directors may deem reasonably necessary to conclude that granting the exemption will not cause us to lose our qualification as a REIT. Our Board of Directors may also require a ruling from the Internal Revenue Service (the “IRS”) or an opinion of counsel in order to determine or ensure our qualification as a REIT in the context of granting such exemptions.</w:t>
      </w:r>
    </w:p>
    <w:p>
      <w:pPr>
        <w:spacing w:after="0" w:line="8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Any attempted transfer of our capital stock which, if effective, would result in a violation of the foregoing restrictions will cause the number of shares causing the violation (rounded up to the nearest whole share) to be automatically transferred to a trust for the exclusive benefit of one or more charitable beneficiaries, and the proposed transferee will not acquire any rights in such shares. The automatic transfer will be deemed to be effective as of the close of business on the business day (as defined in our Charter) prior to the date of the transfer. If, for any reason, the transfer to the trust does not occur or would not prevent a violation of the restrictions on ownership contained in our Charter, our Charter provides that the purported transfer will be void ab initio. 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Within 20 days of receiving notice from us that shares of our capital stock have been transferred to the trust,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(1)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(2) the price received by the trustee from the sale or other disposition of the shares. Any net sale proceeds in excess of the amount payable to</w:t>
      </w:r>
    </w:p>
    <w:p>
      <w:pPr>
        <w:sectPr>
          <w:pgSz w:w="11900" w:h="16838" w:orient="portrait"/>
          <w:cols w:equalWidth="0" w:num="1">
            <w:col w:w="11220"/>
          </w:cols>
          <w:pgMar w:left="320" w:top="892" w:right="359" w:bottom="1440" w:gutter="0" w:footer="0" w:header="0"/>
        </w:sectPr>
      </w:pPr>
    </w:p>
    <w:bookmarkStart w:id="98" w:name="page99"/>
    <w:bookmarkEnd w:id="98"/>
    <w:p>
      <w:pPr>
        <w:ind w:right="40"/>
        <w:spacing w:after="0" w:line="263" w:lineRule="auto"/>
        <w:rPr>
          <w:sz w:val="20"/>
          <w:szCs w:val="20"/>
          <w:color w:val="auto"/>
        </w:rPr>
      </w:pPr>
      <w:r>
        <w:rPr>
          <w:rFonts w:ascii="Arial" w:cs="Arial" w:eastAsia="Arial" w:hAnsi="Arial"/>
          <w:sz w:val="19"/>
          <w:szCs w:val="19"/>
          <w:color w:val="auto"/>
        </w:rPr>
        <w:t>the proposed transferee will be paid immediately to the charitable beneficiary. If, prior to our discovery that shares of our capital stock have been transferred to the trust, the shares are sold by the proposed transferee, then (1) the shares shall be deemed to have been sold on behalf of the trust and (2) to the extent that the proposed transferee received an amount for the shares that exceeds the amount the proposed transferee was entitled to receive, the excess shall be paid to the trustee upon demand.</w:t>
      </w:r>
    </w:p>
    <w:p>
      <w:pPr>
        <w:spacing w:after="0" w:line="68"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In addition, shares of our capital stock held in the trust will be deemed to have been offered for sale to us, or our designee, at a price per share equal to the lesser of the price per share in the transaction that resulted in the transfer to the trust (or, in the case of a devise or gift, the market price at the time of the devise or gift) and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Every owner of more than 5% (or such lower percentage as required by the Internal Revenue Code or the regulations promulgated thereunder) in number or in value of all classes or series of our capital stock, including shares of our common stock, within 30 days after the end of each taxable year, will be required to give written notice to us stating the name and address of such owner, the number of shares of each class and series of shares of our capital stock that the owner beneficially owns and a description of the manner in which the shares are held. Each owner shall provide to us such additional information as we may request to determine the effect, if any, of the beneficial ownership on our qualification as a REIT and to ensure compliance with the ownership limitations. In addition,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our Charter.</w:t>
      </w:r>
    </w:p>
    <w:p>
      <w:pPr>
        <w:spacing w:after="0" w:line="76"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These ownership limitations could delay, defer or prevent a transaction or a change in control that might involve a premium price for our common stock or might otherwise be in the best interests of our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 and Our Charter and Bylaws</w:t>
      </w:r>
    </w:p>
    <w:p>
      <w:pPr>
        <w:spacing w:after="0" w:line="114" w:lineRule="exact"/>
        <w:rPr>
          <w:sz w:val="20"/>
          <w:szCs w:val="20"/>
          <w:color w:val="auto"/>
        </w:rPr>
      </w:pPr>
    </w:p>
    <w:p>
      <w:pPr>
        <w:jc w:val="both"/>
        <w:ind w:right="180"/>
        <w:spacing w:after="0" w:line="263" w:lineRule="auto"/>
        <w:rPr>
          <w:sz w:val="20"/>
          <w:szCs w:val="20"/>
          <w:color w:val="auto"/>
        </w:rPr>
      </w:pPr>
      <w:r>
        <w:rPr>
          <w:rFonts w:ascii="Arial" w:cs="Arial" w:eastAsia="Arial" w:hAnsi="Arial"/>
          <w:sz w:val="19"/>
          <w:szCs w:val="19"/>
          <w:color w:val="auto"/>
        </w:rPr>
        <w:t>Our Charter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In addition to the above-described restrictions regarding the transfer and ownership of our capital stock, these provisions include the following:</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 Action by Written Consent</w:t>
      </w:r>
    </w:p>
    <w:p>
      <w:pPr>
        <w:spacing w:after="0" w:line="108"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Our Charter provides that stockholder action may not be taken by written consent in lieu of a meeting and that stockholder action may be taken only at an annual or special meeting of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Elimination of the Ability to Call Special Meetings</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Our Bylaws provide that, except as otherwise required by law, special meetings of our stockholders can only be called by our chief executive officer, pursuant to a resolution adopted by a majority of our Board of Directors or a committee of the Board of Directors that has been duly designated by the Board of Directors and whose powers and authority include the power to call such meetings, or by the chair of our Board of Directors. Stockholders are not permitted to call a special meeting or to require our Board of Directors to call a special meeting.</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Removal of Directors; Board of Directors Vacancies</w:t>
      </w:r>
    </w:p>
    <w:p>
      <w:pPr>
        <w:spacing w:after="0" w:line="108"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Our Charter provides that members of our Board of Directors may only be removed for cause, and only with the affirmative vote of the holders of at least 66% of the combined voting power of all the shares of all classes of our capital stock entitled to vote generally in the election of directors. Our Bylaws provide that only our Board of Directors may fill vacant directorships. These provisions would prevent a stockholder from gaining control of our Board of Directors by removing incumbent directors and filling the resulting vacancies with such stockholder’s own nominees.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of Certificate of Incorporation and By-laws</w:t>
      </w:r>
    </w:p>
    <w:p>
      <w:pPr>
        <w:sectPr>
          <w:pgSz w:w="11900" w:h="16838" w:orient="portrait"/>
          <w:cols w:equalWidth="0" w:num="1">
            <w:col w:w="11240"/>
          </w:cols>
          <w:pgMar w:left="320" w:top="892" w:right="339" w:bottom="1440" w:gutter="0" w:footer="0" w:header="0"/>
        </w:sectPr>
      </w:pPr>
    </w:p>
    <w:bookmarkStart w:id="99" w:name="page100"/>
    <w:bookmarkEnd w:id="99"/>
    <w:p>
      <w:pPr>
        <w:ind w:right="40"/>
        <w:spacing w:after="0" w:line="255" w:lineRule="auto"/>
        <w:rPr>
          <w:sz w:val="20"/>
          <w:szCs w:val="20"/>
          <w:color w:val="auto"/>
        </w:rPr>
      </w:pPr>
      <w:r>
        <w:rPr>
          <w:rFonts w:ascii="Arial" w:cs="Arial" w:eastAsia="Arial" w:hAnsi="Arial"/>
          <w:sz w:val="19"/>
          <w:szCs w:val="19"/>
          <w:color w:val="auto"/>
        </w:rPr>
        <w:t>The General Corporation Law of the State of Delaware, or DGCL, provides generally that the affirmative vote of a majority of the outstanding shares entitled to vote is required to amend or repeal a corporation’s certificate of incorporation or by-laws, unless the certificate of incorporation requires a greater percentage. Our Charter generally requires the approval of both a majority of the combined voting power of all the classes of shares of our capital stock entitled to vote generally in the election of directors and a majority of the members of our Board of Directors to amend any provisions of our Charter except that provisions of our Charter relating to the powers, numbers, classes, elections, terms and removal of our directors, the ability to fill vacancies on our Board of Directors and our election to qualify as a REIT requires the affirmative vote of at least 66% of the combined voting power of all the shares of all classes of our capital stock entitled to vote generally in the election of directors. In addition, our Charter (i) grants our Board of Directors the authority to amend and repeal our Bylaws without a stockholder vote in any manner not inconsistent with the DGCL and (ii) requires that stockholders may only amend our Bylaws with the affirmative vote of 66% of the combined voting power of all the shares of all classes of our capital stock entitled to vote generally in the election of directors.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foregoing provisions of our Charter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203 of the DGCL</w:t>
      </w:r>
    </w:p>
    <w:p>
      <w:pPr>
        <w:spacing w:after="0" w:line="114"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auto"/>
        </w:rPr>
        <w:t>We will not be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In our original certificate of incorporation, we elected not to be bound by Section 203.</w:t>
      </w:r>
    </w:p>
    <w:p>
      <w:pPr>
        <w:sectPr>
          <w:pgSz w:w="11900" w:h="16838" w:orient="portrait"/>
          <w:cols w:equalWidth="0" w:num="1">
            <w:col w:w="11220"/>
          </w:cols>
          <w:pgMar w:left="320" w:top="892" w:right="35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t>Exhibit 10.15</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EMPLOYMENT AGREEMENT</w:t>
      </w:r>
    </w:p>
    <w:p>
      <w:pPr>
        <w:spacing w:after="0" w:line="36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This Amended and Restated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on January 22, 2021 with an effective date of January 1,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AGNC Mortgage Management,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Kenneth Pollack (the “</w:t>
      </w:r>
      <w:r>
        <w:rPr>
          <w:rFonts w:ascii="Arial" w:cs="Arial" w:eastAsia="Arial" w:hAnsi="Arial"/>
          <w:sz w:val="22"/>
          <w:szCs w:val="22"/>
          <w:u w:val="single" w:color="auto"/>
          <w:color w:val="auto"/>
        </w:rPr>
        <w:t>Executive</w:t>
      </w:r>
      <w:r>
        <w:rPr>
          <w:rFonts w:ascii="Arial" w:cs="Arial" w:eastAsia="Arial" w:hAnsi="Arial"/>
          <w:sz w:val="22"/>
          <w:szCs w:val="22"/>
          <w:color w:val="auto"/>
        </w:rPr>
        <w:t>”) and supersedes and replaces in its entirety that certain Employment Agreement, entered into between the Company and the Executive, effective as of January 1, 2018, as amended (the “</w:t>
      </w:r>
      <w:r>
        <w:rPr>
          <w:rFonts w:ascii="Arial" w:cs="Arial" w:eastAsia="Arial" w:hAnsi="Arial"/>
          <w:sz w:val="22"/>
          <w:szCs w:val="22"/>
          <w:u w:val="single" w:color="auto"/>
          <w:color w:val="auto"/>
        </w:rPr>
        <w:t>Prior Agreement</w:t>
      </w:r>
      <w:r>
        <w:rPr>
          <w:rFonts w:ascii="Arial" w:cs="Arial" w:eastAsia="Arial" w:hAnsi="Arial"/>
          <w:sz w:val="22"/>
          <w:szCs w:val="22"/>
          <w:color w:val="auto"/>
        </w:rPr>
        <w:t>”).</w:t>
      </w:r>
    </w:p>
    <w:p>
      <w:pPr>
        <w:spacing w:after="0" w:line="2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WITNESSETH:</w:t>
      </w:r>
    </w:p>
    <w:p>
      <w:pPr>
        <w:spacing w:after="0" w:line="6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WHEREAS, the Company is currently engaged through its affiliates in the business of, among other things, managing mortgage real estate investment trusts, which invest in (a) agency securities for which the principal and interest payments are guaranteed by U.S. Government agencies and U.S. Government-sponsored entities, (b) non-agency securities and/or (c) other mortgage related investments; and</w:t>
      </w:r>
    </w:p>
    <w:p>
      <w:pPr>
        <w:spacing w:after="0" w:line="2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9"/>
          <w:szCs w:val="19"/>
          <w:color w:val="auto"/>
        </w:rPr>
        <w:t>WHEREAS, the Executive has received and will continue to receive specific trade secrets and confidential information, training and the benefit of established customer relationships relating to the businesses of the Company, which trade secrets and confidential information, training and access to established customer relationships are necessary to enable the Executive to perform the Executive’s duties and to receive future compensation, and the Executive has played and will continue to play a significant role in the development and management of the businesses of the Company; and</w:t>
      </w:r>
    </w:p>
    <w:p>
      <w:pPr>
        <w:spacing w:after="0" w:line="3" w:lineRule="exact"/>
        <w:rPr>
          <w:sz w:val="20"/>
          <w:szCs w:val="20"/>
          <w:color w:val="auto"/>
        </w:rPr>
      </w:pPr>
    </w:p>
    <w:p>
      <w:pPr>
        <w:ind w:left="340" w:right="200"/>
        <w:spacing w:after="0" w:line="294" w:lineRule="auto"/>
        <w:rPr>
          <w:sz w:val="20"/>
          <w:szCs w:val="20"/>
          <w:color w:val="auto"/>
        </w:rPr>
      </w:pPr>
      <w:r>
        <w:rPr>
          <w:rFonts w:ascii="Arial" w:cs="Arial" w:eastAsia="Arial" w:hAnsi="Arial"/>
          <w:sz w:val="22"/>
          <w:szCs w:val="22"/>
          <w:color w:val="auto"/>
        </w:rPr>
        <w:t>WHEREAS, it is in the interests of the Company that the Executive’s services continue to be available to the Company; and WHEREAS, the Company and the Executive are parties to the Prior Agreement; and WHEREAS, the parties wish to amend and restate the Prior Agreement in its entirety; and</w:t>
      </w:r>
    </w:p>
    <w:p>
      <w:pPr>
        <w:spacing w:after="0" w:line="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WHEREAS, it is a condition to the Executive’s continued employment by the Company that the Executive execute and deliver this Agreement, and in order to induce the Executive to continue the Executive’s employment, the Company has agreed to provide the Executive with the rights and benefits described more fully herein.</w:t>
      </w:r>
    </w:p>
    <w:p>
      <w:pPr>
        <w:spacing w:after="0" w:line="2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NOW, THEREFORE, in consideration of the mutual covenants, representations, warranties and agreements contained herein, and for other valuable consideration, the receipt and adequacy of which are hereby acknowledged, the parties hereto agree to enter into this Agreement as follows:</w:t>
      </w:r>
    </w:p>
    <w:p>
      <w:pPr>
        <w:spacing w:after="0" w:line="23" w:lineRule="exact"/>
        <w:rPr>
          <w:sz w:val="20"/>
          <w:szCs w:val="20"/>
          <w:color w:val="auto"/>
        </w:rPr>
      </w:pPr>
    </w:p>
    <w:p>
      <w:pPr>
        <w:ind w:firstLine="332"/>
        <w:spacing w:after="0" w:line="263" w:lineRule="auto"/>
        <w:tabs>
          <w:tab w:leader="none" w:pos="64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Definitions; Interpretations</w:t>
      </w:r>
      <w:r>
        <w:rPr>
          <w:rFonts w:ascii="Arial" w:cs="Arial" w:eastAsia="Arial" w:hAnsi="Arial"/>
          <w:sz w:val="22"/>
          <w:szCs w:val="22"/>
          <w:color w:val="auto"/>
        </w:rPr>
        <w:t>. For purposes of this Agreement, except as otherwise expressly provided or unless the context otherwise requires, the following terms shall have the following respective meanings:</w:t>
      </w:r>
    </w:p>
    <w:p>
      <w:pPr>
        <w:spacing w:after="0" w:line="12" w:lineRule="exact"/>
        <w:rPr>
          <w:rFonts w:ascii="Arial" w:cs="Arial" w:eastAsia="Arial" w:hAnsi="Arial"/>
          <w:sz w:val="22"/>
          <w:szCs w:val="22"/>
          <w:color w:val="auto"/>
        </w:rPr>
      </w:pPr>
    </w:p>
    <w:p>
      <w:pPr>
        <w:ind w:left="340" w:right="3900"/>
        <w:spacing w:after="0" w:line="341" w:lineRule="auto"/>
        <w:rPr>
          <w:rFonts w:ascii="Arial" w:cs="Arial" w:eastAsia="Arial" w:hAnsi="Arial"/>
          <w:sz w:val="22"/>
          <w:szCs w:val="22"/>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AGNC</w:t>
      </w:r>
      <w:r>
        <w:rPr>
          <w:rFonts w:ascii="Arial" w:cs="Arial" w:eastAsia="Arial" w:hAnsi="Arial"/>
          <w:sz w:val="19"/>
          <w:szCs w:val="19"/>
          <w:color w:val="auto"/>
        </w:rPr>
        <w:t>” shall mean AGNC Investment Corp. and its successors and assigns. b. “</w:t>
      </w:r>
      <w:r>
        <w:rPr>
          <w:rFonts w:ascii="Arial" w:cs="Arial" w:eastAsia="Arial" w:hAnsi="Arial"/>
          <w:sz w:val="19"/>
          <w:szCs w:val="19"/>
          <w:u w:val="single" w:color="auto"/>
          <w:color w:val="auto"/>
        </w:rPr>
        <w:t>Base Salary</w:t>
      </w:r>
      <w:r>
        <w:rPr>
          <w:rFonts w:ascii="Arial" w:cs="Arial" w:eastAsia="Arial" w:hAnsi="Arial"/>
          <w:sz w:val="19"/>
          <w:szCs w:val="19"/>
          <w:color w:val="auto"/>
        </w:rPr>
        <w:t>” shall have the meaning specified in subparagraph 4(a).</w:t>
      </w:r>
    </w:p>
    <w:p>
      <w:pPr>
        <w:ind w:left="340"/>
        <w:spacing w:after="0"/>
        <w:rPr>
          <w:rFonts w:ascii="Arial" w:cs="Arial" w:eastAsia="Arial" w:hAnsi="Arial"/>
          <w:sz w:val="22"/>
          <w:szCs w:val="22"/>
          <w:color w:val="auto"/>
        </w:rPr>
      </w:pPr>
      <w:r>
        <w:rPr>
          <w:rFonts w:ascii="Arial" w:cs="Arial" w:eastAsia="Arial" w:hAnsi="Arial"/>
          <w:sz w:val="22"/>
          <w:szCs w:val="22"/>
          <w:color w:val="auto"/>
        </w:rPr>
        <w:t>c.  “</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AGNC.</w:t>
      </w:r>
    </w:p>
    <w:p>
      <w:pPr>
        <w:spacing w:after="0" w:line="58" w:lineRule="exact"/>
        <w:rPr>
          <w:sz w:val="20"/>
          <w:szCs w:val="20"/>
          <w:color w:val="auto"/>
        </w:rPr>
      </w:pPr>
    </w:p>
    <w:p>
      <w:pPr>
        <w:ind w:firstLine="332"/>
        <w:spacing w:after="0" w:line="263" w:lineRule="auto"/>
        <w:tabs>
          <w:tab w:leader="none" w:pos="648"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have the meaning set forth in the Equity Plan, including the relevant provisions of Section 17 of the Equity Plan, as of the Effective Date.</w:t>
      </w:r>
    </w:p>
    <w:p>
      <w:pPr>
        <w:spacing w:after="0" w:line="12" w:lineRule="exact"/>
        <w:rPr>
          <w:rFonts w:ascii="Arial" w:cs="Arial" w:eastAsia="Arial" w:hAnsi="Arial"/>
          <w:sz w:val="22"/>
          <w:szCs w:val="22"/>
          <w:color w:val="auto"/>
        </w:rPr>
      </w:pPr>
    </w:p>
    <w:p>
      <w:pPr>
        <w:ind w:left="640" w:hanging="308"/>
        <w:spacing w:after="0"/>
        <w:tabs>
          <w:tab w:leader="none" w:pos="6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57" w:lineRule="exact"/>
        <w:rPr>
          <w:rFonts w:ascii="Arial" w:cs="Arial" w:eastAsia="Arial" w:hAnsi="Arial"/>
          <w:sz w:val="22"/>
          <w:szCs w:val="22"/>
          <w:color w:val="auto"/>
        </w:rPr>
      </w:pPr>
    </w:p>
    <w:p>
      <w:pPr>
        <w:ind w:right="20" w:firstLine="332"/>
        <w:spacing w:after="0" w:line="281" w:lineRule="auto"/>
        <w:tabs>
          <w:tab w:leader="none" w:pos="639" w:val="left"/>
        </w:tabs>
        <w:numPr>
          <w:ilvl w:val="0"/>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Managed Fund</w:t>
      </w:r>
      <w:r>
        <w:rPr>
          <w:rFonts w:ascii="Arial" w:cs="Arial" w:eastAsia="Arial" w:hAnsi="Arial"/>
          <w:sz w:val="21"/>
          <w:szCs w:val="21"/>
          <w:color w:val="auto"/>
        </w:rPr>
        <w:t>” shall mean (i) AGNC and (ii) any other entity for which the Company or a subsidiary of the Company serves as investment manager or in a substantially similar capacity pursuant to a written agreement.</w:t>
      </w:r>
    </w:p>
    <w:p>
      <w:pPr>
        <w:spacing w:after="0" w:line="1" w:lineRule="exact"/>
        <w:rPr>
          <w:rFonts w:ascii="Arial" w:cs="Arial" w:eastAsia="Arial" w:hAnsi="Arial"/>
          <w:sz w:val="21"/>
          <w:szCs w:val="21"/>
          <w:color w:val="auto"/>
        </w:rPr>
      </w:pPr>
    </w:p>
    <w:p>
      <w:pPr>
        <w:ind w:left="660" w:hanging="328"/>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 Business</w:t>
      </w:r>
      <w:r>
        <w:rPr>
          <w:rFonts w:ascii="Arial" w:cs="Arial" w:eastAsia="Arial" w:hAnsi="Arial"/>
          <w:sz w:val="22"/>
          <w:szCs w:val="22"/>
          <w:color w:val="auto"/>
        </w:rPr>
        <w:t>” shall mean:</w:t>
      </w:r>
    </w:p>
    <w:p>
      <w:pPr>
        <w:sectPr>
          <w:pgSz w:w="11900" w:h="16838" w:orient="portrait"/>
          <w:cols w:equalWidth="0" w:num="1">
            <w:col w:w="11240"/>
          </w:cols>
          <w:pgMar w:left="320" w:top="901" w:right="339" w:bottom="1440" w:gutter="0" w:footer="0" w:header="0"/>
        </w:sectPr>
      </w:pPr>
    </w:p>
    <w:bookmarkStart w:id="101" w:name="page102"/>
    <w:bookmarkEnd w:id="101"/>
    <w:p>
      <w:pPr>
        <w:ind w:left="-98" w:right="20" w:firstLine="218"/>
        <w:spacing w:after="0" w:line="311" w:lineRule="auto"/>
        <w:tabs>
          <w:tab w:leader="none" w:pos="55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business activity that would be the same or competitive with any business activity engaged in by AGNC, the Company or any of their subsidiaries or any Company Managed Fund during the term of the Executive’s employment; and</w:t>
      </w:r>
    </w:p>
    <w:p>
      <w:pPr>
        <w:jc w:val="both"/>
        <w:ind w:left="-98" w:firstLine="158"/>
        <w:spacing w:after="0" w:line="253" w:lineRule="auto"/>
        <w:tabs>
          <w:tab w:leader="none" w:pos="55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provision of management, advisory or other investment services to mortgage real estate investment trusts or any other investment vehicles that engage primarily in the acquisition, trading, sales, financing, investment or management of mortgage-backed securities or other real estate assets.</w:t>
      </w:r>
    </w:p>
    <w:p>
      <w:pPr>
        <w:spacing w:after="0" w:line="23" w:lineRule="exact"/>
        <w:rPr>
          <w:rFonts w:ascii="Arial" w:cs="Arial" w:eastAsia="Arial" w:hAnsi="Arial"/>
          <w:sz w:val="22"/>
          <w:szCs w:val="22"/>
          <w:color w:val="auto"/>
        </w:rPr>
      </w:pPr>
    </w:p>
    <w:p>
      <w:pPr>
        <w:ind w:left="562" w:hanging="328"/>
        <w:spacing w:after="0"/>
        <w:tabs>
          <w:tab w:leader="none" w:pos="562" w:val="left"/>
        </w:tabs>
        <w:numPr>
          <w:ilvl w:val="1"/>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 shall mean the Compensation and Corporate Governance Committee of the Board.</w:t>
      </w:r>
    </w:p>
    <w:p>
      <w:pPr>
        <w:spacing w:after="0" w:line="69" w:lineRule="exact"/>
        <w:rPr>
          <w:rFonts w:ascii="Arial" w:cs="Arial" w:eastAsia="Arial" w:hAnsi="Arial"/>
          <w:sz w:val="21"/>
          <w:szCs w:val="21"/>
          <w:color w:val="auto"/>
        </w:rPr>
      </w:pPr>
    </w:p>
    <w:p>
      <w:pPr>
        <w:ind w:left="-98" w:firstLine="332"/>
        <w:spacing w:after="0" w:line="263" w:lineRule="auto"/>
        <w:tabs>
          <w:tab w:leader="none" w:pos="542"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 Charter</w:t>
      </w:r>
      <w:r>
        <w:rPr>
          <w:rFonts w:ascii="Arial" w:cs="Arial" w:eastAsia="Arial" w:hAnsi="Arial"/>
          <w:sz w:val="22"/>
          <w:szCs w:val="22"/>
          <w:color w:val="auto"/>
        </w:rPr>
        <w:t>” shall mean the AGNC Investment Corp. Compensation and Corporate Governance Committee Charter, as may be in effect from time to time.</w:t>
      </w:r>
    </w:p>
    <w:p>
      <w:pPr>
        <w:spacing w:after="0" w:line="12" w:lineRule="exact"/>
        <w:rPr>
          <w:rFonts w:ascii="Arial" w:cs="Arial" w:eastAsia="Arial" w:hAnsi="Arial"/>
          <w:sz w:val="22"/>
          <w:szCs w:val="22"/>
          <w:color w:val="auto"/>
        </w:rPr>
      </w:pPr>
    </w:p>
    <w:p>
      <w:pPr>
        <w:jc w:val="both"/>
        <w:ind w:left="-98" w:firstLine="332"/>
        <w:spacing w:after="0" w:line="259" w:lineRule="auto"/>
        <w:tabs>
          <w:tab w:leader="none" w:pos="542" w:val="left"/>
        </w:tabs>
        <w:numPr>
          <w:ilvl w:val="1"/>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shall mean a physical or mental condition of the Executive that, in the good faith judgment of the Company, prevents the Executive from being able to perform the services required under this Agreement and that results in the Executive becoming eligible for long-term disability benefits (if such benefits are provided by the Company). If any dispute arises as to whether a Disability has occurred, or whether a Disability has ceased and the Executive is able to resume duties, then such dispute shall be referred to a licensed physician, at the request of either the Executive or the Company. The Executive shall submit to such examinations and provide information as such physician may request and the determination of such physician as to the Executive’s physical or mental condition shall be binding and conclusive on the parties. The Company shall pay the cost of any such physician and examination.</w:t>
      </w:r>
    </w:p>
    <w:p>
      <w:pPr>
        <w:spacing w:after="0" w:line="21" w:lineRule="exact"/>
        <w:rPr>
          <w:rFonts w:ascii="Arial" w:cs="Arial" w:eastAsia="Arial" w:hAnsi="Arial"/>
          <w:sz w:val="21"/>
          <w:szCs w:val="21"/>
          <w:color w:val="auto"/>
        </w:rPr>
      </w:pPr>
    </w:p>
    <w:p>
      <w:pPr>
        <w:ind w:left="-98" w:firstLine="332"/>
        <w:spacing w:after="0" w:line="263" w:lineRule="auto"/>
        <w:tabs>
          <w:tab w:leader="none" w:pos="550"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Plan</w:t>
      </w:r>
      <w:r>
        <w:rPr>
          <w:rFonts w:ascii="Arial" w:cs="Arial" w:eastAsia="Arial" w:hAnsi="Arial"/>
          <w:sz w:val="22"/>
          <w:szCs w:val="22"/>
          <w:color w:val="auto"/>
        </w:rPr>
        <w:t>” shall mean the AGNC Investment Corp. 2016 Equity and Incentive Compensation Plan, as approved by the Board on October 18, 2016, as amended from time to time, and any successor plan thereto.</w:t>
      </w:r>
    </w:p>
    <w:p>
      <w:pPr>
        <w:spacing w:after="0" w:line="12" w:lineRule="exact"/>
        <w:rPr>
          <w:rFonts w:ascii="Arial" w:cs="Arial" w:eastAsia="Arial" w:hAnsi="Arial"/>
          <w:sz w:val="22"/>
          <w:szCs w:val="22"/>
          <w:color w:val="auto"/>
        </w:rPr>
      </w:pPr>
    </w:p>
    <w:p>
      <w:pPr>
        <w:jc w:val="both"/>
        <w:ind w:left="-98" w:firstLine="332"/>
        <w:spacing w:after="0" w:line="289" w:lineRule="auto"/>
        <w:tabs>
          <w:tab w:leader="none" w:pos="542" w:val="left"/>
        </w:tabs>
        <w:numPr>
          <w:ilvl w:val="1"/>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any of the following, which occur without the Executive’s express written consent: (i) a material diminution of the Executive’s authority, duties or responsibilities with the Company, (ii) a material breach by the Company of any material provision of this Agreement, or (iii) a relocation of the Executive’s principal office to a location that is in excess of 50 miles from Bethesda, Maryland. The Executive must provide written notice to the Company within 90 days of the initial existence of a condition that constitutes Good Reason as defined herein and the Company shall have 30 days after receipt of any such notice to remedy the condition. If the Company timely remedies such condition, such condition shall not constitute Good Reason. The Executive may not terminate the Executive’s employment hereunder for Good Reason more than six months after the initial existence of one (or more) of the conditions that constitutes Good Reason.</w:t>
      </w:r>
    </w:p>
    <w:p>
      <w:pPr>
        <w:spacing w:after="0" w:line="1" w:lineRule="exact"/>
        <w:rPr>
          <w:rFonts w:ascii="Arial" w:cs="Arial" w:eastAsia="Arial" w:hAnsi="Arial"/>
          <w:sz w:val="19"/>
          <w:szCs w:val="19"/>
          <w:color w:val="auto"/>
        </w:rPr>
      </w:pPr>
    </w:p>
    <w:p>
      <w:pPr>
        <w:ind w:left="-98" w:right="20" w:firstLine="332"/>
        <w:spacing w:after="0" w:line="263" w:lineRule="auto"/>
        <w:tabs>
          <w:tab w:leader="none" w:pos="542"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and include an individual, a partnership, a joint venture, a corporation, a trust and an unincorporated organization.</w:t>
      </w:r>
    </w:p>
    <w:p>
      <w:pPr>
        <w:spacing w:after="0" w:line="12" w:lineRule="exact"/>
        <w:rPr>
          <w:rFonts w:ascii="Arial" w:cs="Arial" w:eastAsia="Arial" w:hAnsi="Arial"/>
          <w:sz w:val="22"/>
          <w:szCs w:val="22"/>
          <w:color w:val="auto"/>
        </w:rPr>
      </w:pPr>
    </w:p>
    <w:p>
      <w:pPr>
        <w:ind w:left="562" w:hanging="328"/>
        <w:spacing w:after="0"/>
        <w:tabs>
          <w:tab w:leader="none" w:pos="562"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Territory</w:t>
      </w:r>
      <w:r>
        <w:rPr>
          <w:rFonts w:ascii="Arial" w:cs="Arial" w:eastAsia="Arial" w:hAnsi="Arial"/>
          <w:sz w:val="22"/>
          <w:szCs w:val="22"/>
          <w:color w:val="auto"/>
        </w:rPr>
        <w:t>” shall mean:</w:t>
      </w:r>
    </w:p>
    <w:p>
      <w:pPr>
        <w:spacing w:after="0" w:line="58" w:lineRule="exact"/>
        <w:rPr>
          <w:sz w:val="20"/>
          <w:szCs w:val="20"/>
          <w:color w:val="auto"/>
        </w:rPr>
      </w:pPr>
    </w:p>
    <w:p>
      <w:pPr>
        <w:ind w:left="562" w:hanging="442"/>
        <w:spacing w:after="0"/>
        <w:tabs>
          <w:tab w:leader="none" w:pos="562"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world; and</w:t>
      </w:r>
    </w:p>
    <w:p>
      <w:pPr>
        <w:spacing w:after="0" w:line="57" w:lineRule="exact"/>
        <w:rPr>
          <w:rFonts w:ascii="Arial" w:cs="Arial" w:eastAsia="Arial" w:hAnsi="Arial"/>
          <w:sz w:val="22"/>
          <w:szCs w:val="22"/>
          <w:color w:val="auto"/>
        </w:rPr>
      </w:pPr>
    </w:p>
    <w:p>
      <w:pPr>
        <w:ind w:left="562" w:hanging="502"/>
        <w:spacing w:after="0"/>
        <w:tabs>
          <w:tab w:leader="none" w:pos="562" w:val="left"/>
        </w:tabs>
        <w:numPr>
          <w:ilvl w:val="1"/>
          <w:numId w:val="65"/>
        </w:numPr>
        <w:rPr>
          <w:rFonts w:ascii="Arial" w:cs="Arial" w:eastAsia="Arial" w:hAnsi="Arial"/>
          <w:sz w:val="22"/>
          <w:szCs w:val="22"/>
          <w:color w:val="auto"/>
        </w:rPr>
      </w:pPr>
      <w:r>
        <w:rPr>
          <w:rFonts w:ascii="Arial" w:cs="Arial" w:eastAsia="Arial" w:hAnsi="Arial"/>
          <w:sz w:val="22"/>
          <w:szCs w:val="22"/>
          <w:color w:val="auto"/>
        </w:rPr>
        <w:t>North America; and</w:t>
      </w:r>
    </w:p>
    <w:p>
      <w:pPr>
        <w:spacing w:after="0" w:line="57" w:lineRule="exact"/>
        <w:rPr>
          <w:rFonts w:ascii="Arial" w:cs="Arial" w:eastAsia="Arial" w:hAnsi="Arial"/>
          <w:sz w:val="22"/>
          <w:szCs w:val="22"/>
          <w:color w:val="auto"/>
        </w:rPr>
      </w:pPr>
    </w:p>
    <w:p>
      <w:pPr>
        <w:ind w:left="562" w:hanging="562"/>
        <w:spacing w:after="0"/>
        <w:tabs>
          <w:tab w:leader="none" w:pos="562"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United States; and</w:t>
      </w:r>
    </w:p>
    <w:p>
      <w:pPr>
        <w:spacing w:after="0" w:line="57" w:lineRule="exact"/>
        <w:rPr>
          <w:rFonts w:ascii="Arial" w:cs="Arial" w:eastAsia="Arial" w:hAnsi="Arial"/>
          <w:sz w:val="22"/>
          <w:szCs w:val="22"/>
          <w:color w:val="auto"/>
        </w:rPr>
      </w:pPr>
    </w:p>
    <w:p>
      <w:pPr>
        <w:ind w:left="542" w:hanging="530"/>
        <w:spacing w:after="0"/>
        <w:tabs>
          <w:tab w:leader="none" w:pos="542" w:val="left"/>
        </w:tabs>
        <w:numPr>
          <w:ilvl w:val="0"/>
          <w:numId w:val="66"/>
        </w:numPr>
        <w:rPr>
          <w:rFonts w:ascii="Arial" w:cs="Arial" w:eastAsia="Arial" w:hAnsi="Arial"/>
          <w:sz w:val="22"/>
          <w:szCs w:val="22"/>
          <w:color w:val="auto"/>
        </w:rPr>
      </w:pPr>
      <w:r>
        <w:rPr>
          <w:rFonts w:ascii="Arial" w:cs="Arial" w:eastAsia="Arial" w:hAnsi="Arial"/>
          <w:sz w:val="22"/>
          <w:szCs w:val="22"/>
          <w:color w:val="auto"/>
        </w:rPr>
        <w:t>Maryland.</w:t>
      </w:r>
    </w:p>
    <w:p>
      <w:pPr>
        <w:spacing w:after="0" w:line="57" w:lineRule="exact"/>
        <w:rPr>
          <w:rFonts w:ascii="Arial" w:cs="Arial" w:eastAsia="Arial" w:hAnsi="Arial"/>
          <w:sz w:val="22"/>
          <w:szCs w:val="22"/>
          <w:color w:val="auto"/>
        </w:rPr>
      </w:pPr>
    </w:p>
    <w:p>
      <w:pPr>
        <w:ind w:left="562" w:hanging="328"/>
        <w:spacing w:after="0"/>
        <w:tabs>
          <w:tab w:leader="none" w:pos="562" w:val="left"/>
        </w:tabs>
        <w:numPr>
          <w:ilvl w:val="2"/>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280G</w:t>
      </w:r>
      <w:r>
        <w:rPr>
          <w:rFonts w:ascii="Arial" w:cs="Arial" w:eastAsia="Arial" w:hAnsi="Arial"/>
          <w:sz w:val="22"/>
          <w:szCs w:val="22"/>
          <w:color w:val="auto"/>
        </w:rPr>
        <w:t>” shall mean Section 280G of the Code and the regulations thereunder.</w:t>
      </w:r>
    </w:p>
    <w:p>
      <w:pPr>
        <w:spacing w:after="0" w:line="57" w:lineRule="exact"/>
        <w:rPr>
          <w:rFonts w:ascii="Arial" w:cs="Arial" w:eastAsia="Arial" w:hAnsi="Arial"/>
          <w:sz w:val="22"/>
          <w:szCs w:val="22"/>
          <w:color w:val="auto"/>
        </w:rPr>
      </w:pPr>
    </w:p>
    <w:p>
      <w:pPr>
        <w:ind w:left="562" w:hanging="328"/>
        <w:spacing w:after="0"/>
        <w:tabs>
          <w:tab w:leader="none" w:pos="562" w:val="left"/>
        </w:tabs>
        <w:numPr>
          <w:ilvl w:val="2"/>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shall mean Section 409A of the Code and the regulations thereunder.</w:t>
      </w:r>
    </w:p>
    <w:p>
      <w:pPr>
        <w:spacing w:after="0" w:line="57" w:lineRule="exact"/>
        <w:rPr>
          <w:rFonts w:ascii="Arial" w:cs="Arial" w:eastAsia="Arial" w:hAnsi="Arial"/>
          <w:sz w:val="22"/>
          <w:szCs w:val="22"/>
          <w:color w:val="auto"/>
        </w:rPr>
      </w:pPr>
    </w:p>
    <w:p>
      <w:pPr>
        <w:jc w:val="both"/>
        <w:ind w:left="-98" w:firstLine="332"/>
        <w:spacing w:after="0" w:line="248" w:lineRule="auto"/>
        <w:tabs>
          <w:tab w:leader="none" w:pos="550" w:val="left"/>
        </w:tabs>
        <w:numPr>
          <w:ilvl w:val="2"/>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For Cause</w:t>
      </w:r>
      <w:r>
        <w:rPr>
          <w:rFonts w:ascii="Arial" w:cs="Arial" w:eastAsia="Arial" w:hAnsi="Arial"/>
          <w:sz w:val="22"/>
          <w:szCs w:val="22"/>
          <w:color w:val="auto"/>
        </w:rPr>
        <w:t>” shall be deemed to exist if Executive: (i) commits or engages in an act of fraud, embezzlement, sexual harassment, dishonesty or theft in connection with Executive’s duties for the Company; (ii) is convicted of, or pleads nolo contendere with respect to, an act of criminal misconduct, involving any financial crime or an act of moral turpitude; (iii) engages in an act of gross negligence or willful failure to perform in any material respect Executive’s duties or responsibilities to the Company</w:t>
      </w:r>
    </w:p>
    <w:p>
      <w:pPr>
        <w:sectPr>
          <w:pgSz w:w="11900" w:h="16838" w:orient="portrait"/>
          <w:cols w:equalWidth="0" w:num="1">
            <w:col w:w="11142"/>
          </w:cols>
          <w:pgMar w:left="418" w:top="901" w:right="339" w:bottom="1440" w:gutter="0" w:footer="0" w:header="0"/>
        </w:sectPr>
      </w:pPr>
    </w:p>
    <w:bookmarkStart w:id="102" w:name="page103"/>
    <w:bookmarkEnd w:id="102"/>
    <w:p>
      <w:pPr>
        <w:jc w:val="both"/>
        <w:spacing w:after="0" w:line="250" w:lineRule="auto"/>
        <w:rPr>
          <w:sz w:val="20"/>
          <w:szCs w:val="20"/>
          <w:color w:val="auto"/>
        </w:rPr>
      </w:pPr>
      <w:r>
        <w:rPr>
          <w:rFonts w:ascii="Arial" w:cs="Arial" w:eastAsia="Arial" w:hAnsi="Arial"/>
          <w:sz w:val="22"/>
          <w:szCs w:val="22"/>
          <w:color w:val="auto"/>
        </w:rPr>
        <w:t>(other than as a result of ill health or disability); and/or (iv) materially breaches or violates the Company’s employment policies, including its Code of Ethics; provided, however, that prior to any termination for cause under clauses (iii) or (iv) of this paragraph, Executive will have been given written notice of such matter from the Company’s Chief Executive Officer and a 15 day period to correct any such matter.</w:t>
      </w:r>
    </w:p>
    <w:p>
      <w:pPr>
        <w:spacing w:after="0" w:line="26" w:lineRule="exact"/>
        <w:rPr>
          <w:sz w:val="20"/>
          <w:szCs w:val="20"/>
          <w:color w:val="auto"/>
        </w:rPr>
      </w:pPr>
    </w:p>
    <w:p>
      <w:pPr>
        <w:ind w:firstLine="332"/>
        <w:spacing w:after="0" w:line="263" w:lineRule="auto"/>
        <w:tabs>
          <w:tab w:leader="none" w:pos="627"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For Good Reason</w:t>
      </w:r>
      <w:r>
        <w:rPr>
          <w:rFonts w:ascii="Arial" w:cs="Arial" w:eastAsia="Arial" w:hAnsi="Arial"/>
          <w:sz w:val="22"/>
          <w:szCs w:val="22"/>
          <w:color w:val="auto"/>
        </w:rPr>
        <w:t>” shall mean the Executive’s termination of the Executive’s employment with the Company as a result of Good Reason.</w:t>
      </w:r>
    </w:p>
    <w:p>
      <w:pPr>
        <w:spacing w:after="0" w:line="12" w:lineRule="exact"/>
        <w:rPr>
          <w:rFonts w:ascii="Arial" w:cs="Arial" w:eastAsia="Arial" w:hAnsi="Arial"/>
          <w:sz w:val="22"/>
          <w:szCs w:val="22"/>
          <w:color w:val="auto"/>
        </w:rPr>
      </w:pPr>
    </w:p>
    <w:p>
      <w:pPr>
        <w:jc w:val="both"/>
        <w:ind w:firstLine="332"/>
        <w:spacing w:after="0" w:line="271" w:lineRule="auto"/>
        <w:tabs>
          <w:tab w:leader="none" w:pos="637" w:val="left"/>
        </w:tabs>
        <w:numPr>
          <w:ilvl w:val="0"/>
          <w:numId w:val="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Without Cause</w:t>
      </w:r>
      <w:r>
        <w:rPr>
          <w:rFonts w:ascii="Arial" w:cs="Arial" w:eastAsia="Arial" w:hAnsi="Arial"/>
          <w:sz w:val="21"/>
          <w:szCs w:val="21"/>
          <w:color w:val="auto"/>
        </w:rPr>
        <w:t>” shall mean the termination by the Company of the Executive’s employment with the Company for any reason other than a termination for Disability or a Termination For Cause and shall not include the Company’s giving notice pursuant to subparagraph 5(a) that the Employment Period shall not be extended.</w:t>
      </w:r>
    </w:p>
    <w:p>
      <w:pPr>
        <w:spacing w:after="0" w:line="5" w:lineRule="exact"/>
        <w:rPr>
          <w:rFonts w:ascii="Arial" w:cs="Arial" w:eastAsia="Arial" w:hAnsi="Arial"/>
          <w:sz w:val="21"/>
          <w:szCs w:val="21"/>
          <w:color w:val="auto"/>
        </w:rPr>
      </w:pPr>
    </w:p>
    <w:p>
      <w:pPr>
        <w:ind w:firstLine="332"/>
        <w:spacing w:after="0" w:line="263" w:lineRule="auto"/>
        <w:tabs>
          <w:tab w:leader="none" w:pos="6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Voluntary Termination</w:t>
      </w:r>
      <w:r>
        <w:rPr>
          <w:rFonts w:ascii="Arial" w:cs="Arial" w:eastAsia="Arial" w:hAnsi="Arial"/>
          <w:sz w:val="22"/>
          <w:szCs w:val="22"/>
          <w:color w:val="auto"/>
        </w:rPr>
        <w:t>” shall mean the Executive’s termination of the Executive’s employment with the Company for any reason, other than a Termination For Good Reason.</w:t>
      </w:r>
    </w:p>
    <w:p>
      <w:pPr>
        <w:spacing w:after="0" w:line="1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9"/>
          <w:szCs w:val="19"/>
          <w:color w:val="auto"/>
        </w:rPr>
        <w:t>In this Agreement, unless a clear contrary intention appears, (a) the words “herein,” “hereof” and “hereunder” and other words of similar import refer to this Agreement as a whole and not to any particular paragraph or subparagraph, (b) reference to any paragraph or subparagraph means such paragraph or subparagraph hereof, (c) the words “including” (and with correlative meaning “include”) means including, without limiting the generality of any description preceding such term, and (d) where any provision of this Agreement refers to action to be taken by a specific party, or which such party is prohibited from taking, such provision shall be applicable whether such action is taken directly or indirectly by such party. The paragraph and subparagraph headings herein are for convenience only and shall not affect the construction hereof.</w:t>
      </w:r>
    </w:p>
    <w:p>
      <w:pPr>
        <w:spacing w:after="0" w:line="1" w:lineRule="exact"/>
        <w:rPr>
          <w:sz w:val="20"/>
          <w:szCs w:val="20"/>
          <w:color w:val="auto"/>
        </w:rPr>
      </w:pPr>
    </w:p>
    <w:p>
      <w:pPr>
        <w:jc w:val="both"/>
        <w:ind w:firstLine="332"/>
        <w:spacing w:after="0" w:line="291" w:lineRule="auto"/>
        <w:tabs>
          <w:tab w:leader="none" w:pos="648"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The Company agrees to continue to employ the Executive, and the Executive agrees to accept such continued employment with the Company, in each case on the terms and conditions set forth in this Agreement for the period beginning on the Effective Date and ending as provided in paragraph 5 hereof (the “</w:t>
      </w:r>
      <w:r>
        <w:rPr>
          <w:rFonts w:ascii="Arial" w:cs="Arial" w:eastAsia="Arial" w:hAnsi="Arial"/>
          <w:sz w:val="19"/>
          <w:szCs w:val="19"/>
          <w:u w:val="single" w:color="auto"/>
          <w:color w:val="auto"/>
        </w:rPr>
        <w:t>Employment Period</w:t>
      </w:r>
      <w:r>
        <w:rPr>
          <w:rFonts w:ascii="Arial" w:cs="Arial" w:eastAsia="Arial" w:hAnsi="Arial"/>
          <w:sz w:val="19"/>
          <w:szCs w:val="19"/>
          <w:color w:val="auto"/>
        </w:rPr>
        <w:t>”). Notwithstanding anything in this Agreement to the contrary, the Executive shall be an at-will employee of the Company and the Executive or the Company may terminate the Executive’s employment with the Company for any reason or no reason at any time, subject to the terms and conditions hereof, including any obligations the Company may have pursuant to paragraph 6 hereof.</w:t>
      </w:r>
    </w:p>
    <w:p>
      <w:pPr>
        <w:spacing w:after="0" w:line="3" w:lineRule="exact"/>
        <w:rPr>
          <w:rFonts w:ascii="Arial" w:cs="Arial" w:eastAsia="Arial" w:hAnsi="Arial"/>
          <w:sz w:val="19"/>
          <w:szCs w:val="19"/>
          <w:color w:val="auto"/>
        </w:rPr>
      </w:pPr>
    </w:p>
    <w:p>
      <w:pPr>
        <w:ind w:left="660" w:hanging="328"/>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Positions and Duties</w:t>
      </w:r>
      <w:r>
        <w:rPr>
          <w:rFonts w:ascii="Arial" w:cs="Arial" w:eastAsia="Arial" w:hAnsi="Arial"/>
          <w:sz w:val="22"/>
          <w:szCs w:val="22"/>
          <w:color w:val="auto"/>
        </w:rPr>
        <w:t>.</w:t>
      </w:r>
    </w:p>
    <w:p>
      <w:pPr>
        <w:spacing w:after="0" w:line="58" w:lineRule="exact"/>
        <w:rPr>
          <w:sz w:val="20"/>
          <w:szCs w:val="20"/>
          <w:color w:val="auto"/>
        </w:rPr>
      </w:pPr>
    </w:p>
    <w:p>
      <w:pPr>
        <w:jc w:val="both"/>
        <w:ind w:firstLine="332"/>
        <w:spacing w:after="0" w:line="301" w:lineRule="auto"/>
        <w:tabs>
          <w:tab w:leader="none" w:pos="636" w:val="left"/>
        </w:tabs>
        <w:numPr>
          <w:ilvl w:val="1"/>
          <w:numId w:val="69"/>
        </w:numPr>
        <w:rPr>
          <w:rFonts w:ascii="Arial" w:cs="Arial" w:eastAsia="Arial" w:hAnsi="Arial"/>
          <w:sz w:val="19"/>
          <w:szCs w:val="19"/>
          <w:color w:val="auto"/>
        </w:rPr>
      </w:pPr>
      <w:r>
        <w:rPr>
          <w:rFonts w:ascii="Arial" w:cs="Arial" w:eastAsia="Arial" w:hAnsi="Arial"/>
          <w:sz w:val="19"/>
          <w:szCs w:val="19"/>
          <w:color w:val="auto"/>
        </w:rPr>
        <w:t>During the Employment Period, the Executive shall serve as the Senior Vice President, General Counsel, Chief Compliance Officer and Secretary of the Company. As such, the Executive shall have the responsibilities and authorities customary for persons holding such positions and such other duties as may be reasonably designated to him by the Board.</w:t>
      </w:r>
    </w:p>
    <w:p>
      <w:pPr>
        <w:spacing w:after="0" w:line="1" w:lineRule="exact"/>
        <w:rPr>
          <w:rFonts w:ascii="Arial" w:cs="Arial" w:eastAsia="Arial" w:hAnsi="Arial"/>
          <w:sz w:val="19"/>
          <w:szCs w:val="19"/>
          <w:color w:val="auto"/>
        </w:rPr>
      </w:pPr>
    </w:p>
    <w:p>
      <w:pPr>
        <w:ind w:left="660" w:hanging="328"/>
        <w:spacing w:after="0"/>
        <w:tabs>
          <w:tab w:leader="none" w:pos="660" w:val="left"/>
        </w:tabs>
        <w:numPr>
          <w:ilvl w:val="1"/>
          <w:numId w:val="69"/>
        </w:numPr>
        <w:rPr>
          <w:rFonts w:ascii="Arial" w:cs="Arial" w:eastAsia="Arial" w:hAnsi="Arial"/>
          <w:sz w:val="19"/>
          <w:szCs w:val="19"/>
          <w:color w:val="auto"/>
        </w:rPr>
      </w:pPr>
      <w:r>
        <w:rPr>
          <w:rFonts w:ascii="Arial" w:cs="Arial" w:eastAsia="Arial" w:hAnsi="Arial"/>
          <w:sz w:val="19"/>
          <w:szCs w:val="19"/>
          <w:color w:val="auto"/>
        </w:rPr>
        <w:t>During the Employment Period, the Executive shall (i) report directly to the Chief Executive Officer of the Company and</w:t>
      </w:r>
    </w:p>
    <w:p>
      <w:pPr>
        <w:spacing w:after="0" w:line="55" w:lineRule="exact"/>
        <w:rPr>
          <w:rFonts w:ascii="Arial" w:cs="Arial" w:eastAsia="Arial" w:hAnsi="Arial"/>
          <w:sz w:val="19"/>
          <w:szCs w:val="19"/>
          <w:color w:val="auto"/>
        </w:rPr>
      </w:pPr>
    </w:p>
    <w:p>
      <w:pPr>
        <w:ind w:firstLine="8"/>
        <w:spacing w:after="0" w:line="246" w:lineRule="auto"/>
        <w:tabs>
          <w:tab w:leader="none" w:pos="321" w:val="left"/>
        </w:tabs>
        <w:numPr>
          <w:ilvl w:val="0"/>
          <w:numId w:val="70"/>
        </w:numPr>
        <w:rPr>
          <w:rFonts w:ascii="Arial" w:cs="Arial" w:eastAsia="Arial" w:hAnsi="Arial"/>
          <w:sz w:val="22"/>
          <w:szCs w:val="22"/>
          <w:color w:val="auto"/>
        </w:rPr>
      </w:pPr>
      <w:r>
        <w:rPr>
          <w:rFonts w:ascii="Arial" w:cs="Arial" w:eastAsia="Arial" w:hAnsi="Arial"/>
          <w:sz w:val="22"/>
          <w:szCs w:val="22"/>
          <w:color w:val="auto"/>
        </w:rPr>
        <w:t>observe and comply with all lawful policies, directions and instructions of the Chief Executive Officer of the Company or the Board that are consistent with this paragraph 3.</w:t>
      </w:r>
    </w:p>
    <w:p>
      <w:pPr>
        <w:spacing w:after="0" w:line="30" w:lineRule="exact"/>
        <w:rPr>
          <w:rFonts w:ascii="Arial" w:cs="Arial" w:eastAsia="Arial" w:hAnsi="Arial"/>
          <w:sz w:val="22"/>
          <w:szCs w:val="22"/>
          <w:color w:val="auto"/>
        </w:rPr>
      </w:pPr>
    </w:p>
    <w:p>
      <w:pPr>
        <w:jc w:val="both"/>
        <w:ind w:firstLine="332"/>
        <w:spacing w:after="0" w:line="290" w:lineRule="auto"/>
        <w:tabs>
          <w:tab w:leader="none" w:pos="636" w:val="left"/>
        </w:tabs>
        <w:numPr>
          <w:ilvl w:val="1"/>
          <w:numId w:val="70"/>
        </w:numPr>
        <w:rPr>
          <w:rFonts w:ascii="Arial" w:cs="Arial" w:eastAsia="Arial" w:hAnsi="Arial"/>
          <w:sz w:val="19"/>
          <w:szCs w:val="19"/>
          <w:color w:val="auto"/>
        </w:rPr>
      </w:pPr>
      <w:r>
        <w:rPr>
          <w:rFonts w:ascii="Arial" w:cs="Arial" w:eastAsia="Arial" w:hAnsi="Arial"/>
          <w:sz w:val="19"/>
          <w:szCs w:val="19"/>
          <w:color w:val="auto"/>
        </w:rPr>
        <w:t>During the Employment Period, the Executive shall (i) devote substantially all of the Executive’s business time, attention, skill and efforts to the faithful and efficient performance of the Executive’s duties hereunder (except for permitted vacation periods and reasonable periods of illness or other incapacity) and (ii) not accept employment with any Person other than with the Company. Notwithstanding the foregoing, the Executive may engage in the following activities so long as they do not interfere in any material respect with the performance of the Executive’s duties and responsibilities hereunder: (A) serve on corporate (if approved by the Board, such approval not to be unreasonably withheld), civic, religious, educational or charitable boards or committees or (B) manage the Executive’s personal investments.</w:t>
      </w:r>
    </w:p>
    <w:p>
      <w:pPr>
        <w:spacing w:after="0" w:line="1" w:lineRule="exact"/>
        <w:rPr>
          <w:rFonts w:ascii="Arial" w:cs="Arial" w:eastAsia="Arial" w:hAnsi="Arial"/>
          <w:sz w:val="19"/>
          <w:szCs w:val="19"/>
          <w:color w:val="auto"/>
        </w:rPr>
      </w:pPr>
    </w:p>
    <w:p>
      <w:pPr>
        <w:ind w:firstLine="332"/>
        <w:spacing w:after="0" w:line="263" w:lineRule="auto"/>
        <w:tabs>
          <w:tab w:leader="none" w:pos="648" w:val="left"/>
        </w:tabs>
        <w:numPr>
          <w:ilvl w:val="1"/>
          <w:numId w:val="70"/>
        </w:numPr>
        <w:rPr>
          <w:rFonts w:ascii="Arial" w:cs="Arial" w:eastAsia="Arial" w:hAnsi="Arial"/>
          <w:sz w:val="22"/>
          <w:szCs w:val="22"/>
          <w:color w:val="auto"/>
        </w:rPr>
      </w:pPr>
      <w:r>
        <w:rPr>
          <w:rFonts w:ascii="Arial" w:cs="Arial" w:eastAsia="Arial" w:hAnsi="Arial"/>
          <w:sz w:val="22"/>
          <w:szCs w:val="22"/>
          <w:color w:val="auto"/>
        </w:rPr>
        <w:t>During the Employment Period, the Executive shall perform the Executive’s duties and responsibilities principally in the Bethesda, Maryland area.</w:t>
      </w:r>
    </w:p>
    <w:p>
      <w:pPr>
        <w:sectPr>
          <w:pgSz w:w="11900" w:h="16838" w:orient="portrait"/>
          <w:cols w:equalWidth="0" w:num="1">
            <w:col w:w="11240"/>
          </w:cols>
          <w:pgMar w:left="320" w:top="901" w:right="339" w:bottom="1440" w:gutter="0" w:footer="0" w:header="0"/>
        </w:sectPr>
      </w:pPr>
    </w:p>
    <w:bookmarkStart w:id="103" w:name="page104"/>
    <w:bookmarkEnd w:id="103"/>
    <w:p>
      <w:pPr>
        <w:ind w:left="328" w:hanging="328"/>
        <w:spacing w:after="0"/>
        <w:tabs>
          <w:tab w:leader="none" w:pos="328"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58" w:lineRule="exact"/>
        <w:rPr>
          <w:sz w:val="20"/>
          <w:szCs w:val="20"/>
          <w:color w:val="auto"/>
        </w:rPr>
      </w:pPr>
    </w:p>
    <w:p>
      <w:pPr>
        <w:jc w:val="both"/>
        <w:ind w:left="-332" w:firstLine="332"/>
        <w:spacing w:after="0" w:line="260" w:lineRule="auto"/>
        <w:tabs>
          <w:tab w:leader="none" w:pos="304"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For services rendered by the Executive under this Agreement during the Employment Period, the Company shall pay to the Executive an annual base salary (“</w:t>
      </w:r>
      <w:r>
        <w:rPr>
          <w:rFonts w:ascii="Arial" w:cs="Arial" w:eastAsia="Arial" w:hAnsi="Arial"/>
          <w:sz w:val="21"/>
          <w:szCs w:val="21"/>
          <w:u w:val="single" w:color="auto"/>
          <w:color w:val="auto"/>
        </w:rPr>
        <w:t>Base Salary</w:t>
      </w:r>
      <w:r>
        <w:rPr>
          <w:rFonts w:ascii="Arial" w:cs="Arial" w:eastAsia="Arial" w:hAnsi="Arial"/>
          <w:sz w:val="21"/>
          <w:szCs w:val="21"/>
          <w:color w:val="auto"/>
        </w:rPr>
        <w:t>”), evenly paid twice a month or on such other schedule as salaried employees of the Company are generally and regularly compensated. During the Employment Period from the Effective Date through the term of this Agreement, the Base Salary shall be at the rate of no less than $500,000 per year. With respect to periods commencing on and after January 1, 2022, the Compensation Committee, in consultation with the Chief Executive Officer, shall review the Executive’s Base Salary from time to time and may, in its sole discretion, increase it; provided that the Base Salary shall not be lowered from the rate of $500,000.</w:t>
      </w:r>
    </w:p>
    <w:p>
      <w:pPr>
        <w:spacing w:after="0" w:line="18" w:lineRule="exact"/>
        <w:rPr>
          <w:rFonts w:ascii="Arial" w:cs="Arial" w:eastAsia="Arial" w:hAnsi="Arial"/>
          <w:sz w:val="21"/>
          <w:szCs w:val="21"/>
          <w:color w:val="auto"/>
        </w:rPr>
      </w:pPr>
    </w:p>
    <w:p>
      <w:pPr>
        <w:jc w:val="both"/>
        <w:ind w:left="-332" w:firstLine="332"/>
        <w:spacing w:after="0" w:line="284" w:lineRule="auto"/>
        <w:tabs>
          <w:tab w:leader="none" w:pos="31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Annual Cash Bonus</w:t>
      </w:r>
      <w:r>
        <w:rPr>
          <w:rFonts w:ascii="Arial" w:cs="Arial" w:eastAsia="Arial" w:hAnsi="Arial"/>
          <w:sz w:val="19"/>
          <w:szCs w:val="19"/>
          <w:color w:val="auto"/>
        </w:rPr>
        <w:t>. With respect to each calendar year during the Employment Period, the Executive shall be eligible to earn an annual cash bonus. The actual annual bonus will be the product of the target value (the “</w:t>
      </w:r>
      <w:r>
        <w:rPr>
          <w:rFonts w:ascii="Arial" w:cs="Arial" w:eastAsia="Arial" w:hAnsi="Arial"/>
          <w:sz w:val="19"/>
          <w:szCs w:val="19"/>
          <w:u w:val="single" w:color="auto"/>
          <w:color w:val="auto"/>
        </w:rPr>
        <w:t>Target Annual Bonus Amount</w:t>
      </w:r>
      <w:r>
        <w:rPr>
          <w:rFonts w:ascii="Arial" w:cs="Arial" w:eastAsia="Arial" w:hAnsi="Arial"/>
          <w:sz w:val="19"/>
          <w:szCs w:val="19"/>
          <w:color w:val="auto"/>
        </w:rPr>
        <w:t>”) and a factor based on the level of achievement of specified performance measures and goals set by the Compensation Committee (with, subject to the Compensation Committee Charter, input from the Chief Executive Officer) for such calendar year (the “</w:t>
      </w:r>
      <w:r>
        <w:rPr>
          <w:rFonts w:ascii="Arial" w:cs="Arial" w:eastAsia="Arial" w:hAnsi="Arial"/>
          <w:sz w:val="19"/>
          <w:szCs w:val="19"/>
          <w:u w:val="single" w:color="auto"/>
          <w:color w:val="auto"/>
        </w:rPr>
        <w:t>Annual Performance Goals</w:t>
      </w:r>
      <w:r>
        <w:rPr>
          <w:rFonts w:ascii="Arial" w:cs="Arial" w:eastAsia="Arial" w:hAnsi="Arial"/>
          <w:sz w:val="19"/>
          <w:szCs w:val="19"/>
          <w:color w:val="auto"/>
        </w:rPr>
        <w:t>”). The factor is expected to be above 1.0 for above plan performance and below 1.0 if performance is below expectations or corporate goals are not fully met. Performance below a defined threshold level may result in no bonus payment for such measure. For the calendar year 2021 bonus to be paid in 2022, and for each calendar year thereafter, the Target Annual Bonus Amount shall be no less than 170% of the Executive’s Base Salary. The Compensation Committee (with, subject to the Compensation Committee Charter, input from the Chief Executive Officer), in its reasonable judgment and no later than ninety (90) days after the beginning of each calendar year, shall determine the weightings of each performance measure and the threshold, target and maximum for each performance goal, which in aggregate will comprise the “Corporate Scorecard” for that calendar year. Executive’s Annual Performance Goals may be a combination of the “corporate scorecard” and individual contributions of the Executive, and, the weighting thereof, as well as performance versus this criteria, shall be determined by the Compensation Committee (with, subject to the Compensation Committee Charter, input from the Chief Executive Officer), in its reasonable judgment. To the extent that specified performance measures and goals apply to other executives of the Company, the threshold, target and maximum levels associated with such specified performance measures and goals will apply to the Executive in the same manner as they apply to such other executives. Subject to the provisions of paragraph 6, the Executive must be employed on the date on which the annual cash bonus is paid in order to receive payment of any such annual cash bonus pursuant to this subparagraph 4(b). Any annual cash bonus earned pursuant to this subparagraph 4(b) shall be paid to the Executive by March 15 of the calendar year following the calendar year to which such annual cash bonus relates.</w:t>
      </w:r>
    </w:p>
    <w:p>
      <w:pPr>
        <w:spacing w:after="0" w:line="13" w:lineRule="exact"/>
        <w:rPr>
          <w:rFonts w:ascii="Arial" w:cs="Arial" w:eastAsia="Arial" w:hAnsi="Arial"/>
          <w:sz w:val="19"/>
          <w:szCs w:val="19"/>
          <w:color w:val="auto"/>
        </w:rPr>
      </w:pPr>
    </w:p>
    <w:p>
      <w:pPr>
        <w:jc w:val="both"/>
        <w:ind w:left="-332" w:firstLine="332"/>
        <w:spacing w:after="0" w:line="287" w:lineRule="auto"/>
        <w:tabs>
          <w:tab w:leader="none" w:pos="30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Beginning in the first quarter of calendar year 2021, and during the first quarter of each calendar year of the Employment Period thereafter, Executive shall be eligible to receive long-term incentive award(s), subject to approval by the Board, as part of the Company’s long-term incentive program applicable to other executives (the “</w:t>
      </w:r>
      <w:r>
        <w:rPr>
          <w:rFonts w:ascii="Arial" w:cs="Arial" w:eastAsia="Arial" w:hAnsi="Arial"/>
          <w:sz w:val="19"/>
          <w:szCs w:val="19"/>
          <w:u w:val="single" w:color="auto"/>
          <w:color w:val="auto"/>
        </w:rPr>
        <w:t>Target Annual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LTIA</w:t>
      </w:r>
      <w:r>
        <w:rPr>
          <w:rFonts w:ascii="Arial" w:cs="Arial" w:eastAsia="Arial" w:hAnsi="Arial"/>
          <w:sz w:val="19"/>
          <w:szCs w:val="19"/>
          <w:color w:val="auto"/>
        </w:rPr>
        <w:t>”). Beginning in the calendar year 2021 and beyond, such grants shall have an aggregate target fair value equal to no less than 190% of Executive’s Base Salary for the corresponding calendar year (initially set at $950,000). Annual grants will be comprised of a combination of 50% “Performance-Based Awards” that shall vest based upon the achievement of certain specified performance metrics (as determined by the Compensation Committee in its reasonable judgment) (the “</w:t>
      </w:r>
      <w:r>
        <w:rPr>
          <w:rFonts w:ascii="Arial" w:cs="Arial" w:eastAsia="Arial" w:hAnsi="Arial"/>
          <w:sz w:val="19"/>
          <w:szCs w:val="19"/>
          <w:u w:val="single" w:color="auto"/>
          <w:color w:val="auto"/>
        </w:rPr>
        <w:t>Performance-Based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Metrics</w:t>
      </w:r>
      <w:r>
        <w:rPr>
          <w:rFonts w:ascii="Arial" w:cs="Arial" w:eastAsia="Arial" w:hAnsi="Arial"/>
          <w:sz w:val="19"/>
          <w:szCs w:val="19"/>
          <w:color w:val="auto"/>
        </w:rPr>
        <w:t>”) measured over a multi-year performance period with the amount of shares and the associated performance targets specified at or before the grant date of the award, and 50% time-based awards that shall vest based on continued service over a multi-year period. If the Performance-Based Metrics are exceeded (as determined by the Compensation Committee in its reasonable judgment), the Executive may earn up to 200% of the target number of shares underlying the Performance-Based Award. Notwithstanding the foregoing, each Target</w:t>
      </w:r>
    </w:p>
    <w:p>
      <w:pPr>
        <w:sectPr>
          <w:pgSz w:w="11900" w:h="16838" w:orient="portrait"/>
          <w:cols w:equalWidth="0" w:num="1">
            <w:col w:w="10908"/>
          </w:cols>
          <w:pgMar w:left="652" w:top="901" w:right="339" w:bottom="1440" w:gutter="0" w:footer="0" w:header="0"/>
        </w:sectPr>
      </w:pPr>
    </w:p>
    <w:bookmarkStart w:id="104" w:name="page105"/>
    <w:bookmarkEnd w:id="104"/>
    <w:p>
      <w:pPr>
        <w:spacing w:after="0" w:line="311" w:lineRule="auto"/>
        <w:rPr>
          <w:sz w:val="20"/>
          <w:szCs w:val="20"/>
          <w:color w:val="auto"/>
        </w:rPr>
      </w:pPr>
      <w:r>
        <w:rPr>
          <w:rFonts w:ascii="Arial" w:cs="Arial" w:eastAsia="Arial" w:hAnsi="Arial"/>
          <w:sz w:val="19"/>
          <w:szCs w:val="19"/>
          <w:color w:val="auto"/>
        </w:rPr>
        <w:t>Annual LTIA shall be subject to approval by the Board and to the terms and conditions of the Equity Plan and the applicable award agreement(s) to be entered into between AGNC and the Executive, which shall be consistent with the terms hereof.</w:t>
      </w:r>
    </w:p>
    <w:p>
      <w:pPr>
        <w:spacing w:after="0" w:line="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During the Employment Period, the Executive shall be entitled to 25 days of paid vacation during each calendar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year.</w:t>
      </w:r>
    </w:p>
    <w:p>
      <w:pPr>
        <w:spacing w:after="0" w:line="39" w:lineRule="exact"/>
        <w:rPr>
          <w:rFonts w:ascii="Arial" w:cs="Arial" w:eastAsia="Arial" w:hAnsi="Arial"/>
          <w:sz w:val="19"/>
          <w:szCs w:val="19"/>
          <w:color w:val="auto"/>
        </w:rPr>
      </w:pPr>
    </w:p>
    <w:p>
      <w:pPr>
        <w:jc w:val="both"/>
        <w:ind w:firstLine="332"/>
        <w:spacing w:after="0" w:line="288" w:lineRule="auto"/>
        <w:tabs>
          <w:tab w:leader="none" w:pos="63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During the Employment Period, the Executive shall be entitled to receive all employee benefits, fringe benefits and other perquisites that may be offered by the Company to its senior employees as a group, including, without limitation, participation by the Executive and, where applicable, the Executive’s dependents, in the various employee benefit plans or programs (including, without limitation, retirement plans, stock plans, health plans, life insurance, parking and disability insurance but excluding, except as hereinafter provided in subparagraph 6(b), 6(c) or 6(d), any severance pay program or policy of AGNC, the Company or any of their subsidiaries) generally provided to senior employees of the Company, subject to meeting the eligibility requirements with respect to each of such benefit plans or programs. However, nothing in this subparagraph 4(e) shall be deemed to prohibit the applicable plan sponsor from making any changes in any of the plans, programs or benefits described herein, provided such changes apply to all similarly situated senior employees.</w:t>
      </w:r>
    </w:p>
    <w:p>
      <w:pPr>
        <w:spacing w:after="0" w:line="2" w:lineRule="exact"/>
        <w:rPr>
          <w:rFonts w:ascii="Arial" w:cs="Arial" w:eastAsia="Arial" w:hAnsi="Arial"/>
          <w:sz w:val="19"/>
          <w:szCs w:val="19"/>
          <w:color w:val="auto"/>
        </w:rPr>
      </w:pPr>
    </w:p>
    <w:p>
      <w:pPr>
        <w:jc w:val="both"/>
        <w:ind w:firstLine="332"/>
        <w:spacing w:after="0" w:line="285" w:lineRule="auto"/>
        <w:tabs>
          <w:tab w:leader="none" w:pos="639"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Executive agrees that performance-based incentive compensation awarded or paid by AGNC or the Company to the Executive (whether in cash or equity) shall be subject to the clawback policy of the Company in effect as of the Effective Date, including as it may be amended from time to time in order to comply with the final rules or regulations adopted by the U.S. Securities and Exchange Commission and the Nasdaq Stock Market that implement the incentive-based compensation recovery requirements set forth in Section 10D of the Securities Exchange Act of 1934, as added by Section 954 of the Dodd-Frank Wall Street Reform and Consumer Protection Act, and any other applicable legal requirements or listing standards that may be enacted and in effect from time to time (the “</w:t>
      </w:r>
      <w:r>
        <w:rPr>
          <w:rFonts w:ascii="Arial" w:cs="Arial" w:eastAsia="Arial" w:hAnsi="Arial"/>
          <w:sz w:val="19"/>
          <w:szCs w:val="19"/>
          <w:u w:val="single" w:color="auto"/>
          <w:color w:val="auto"/>
        </w:rPr>
        <w:t>Clawback Rules</w:t>
      </w:r>
      <w:r>
        <w:rPr>
          <w:rFonts w:ascii="Arial" w:cs="Arial" w:eastAsia="Arial" w:hAnsi="Arial"/>
          <w:sz w:val="19"/>
          <w:szCs w:val="19"/>
          <w:color w:val="auto"/>
        </w:rPr>
        <w:t>”) or as otherwise may be amended or adopted in good faith by the Board for the Company’s employees. Such clawback policy, as it may be amended or adopted, will trigger the forfeiture or recoupment of the Executive’s performance-based incentive compensation (and such other compensation covered by the Clawback Rules or determined by the Board in good faith and specified in such policy) if the performance-based incentive compensation (or other compensation) is of the type covered by the Clawback Rules or such clawback policy for employees as adopted by the Board in good faith and (i) in the event that AGNC is required to prepare an accounting restatement due to AGNC’s material noncompliance with any financial reporting requirement under U.S. federal securities laws, provided that such forfeiture or recoupment shall be limited to the portion of applicable compensation that would not have been awarded or paid to the Executive for or in respect of such restated fiscal year had such financial statements been accurate (as reasonably determined by the Board in accordance with the Clawback Rules), (ii) in such other circumstances as may be required to comply with the Clawback Rules, in which case such forfeiture or recoupment shall be limited to the portion of the applicable compensation required to be forfeited/recouped under the Clawback Rules, or (iii) in such other circumstances and in such amount as the Board may determine in good faith as specified in such policy.</w:t>
      </w:r>
    </w:p>
    <w:p>
      <w:pPr>
        <w:spacing w:after="0" w:line="200" w:lineRule="exact"/>
        <w:rPr>
          <w:sz w:val="20"/>
          <w:szCs w:val="20"/>
          <w:color w:val="auto"/>
        </w:rPr>
      </w:pPr>
    </w:p>
    <w:p>
      <w:pPr>
        <w:spacing w:after="0" w:line="354" w:lineRule="exact"/>
        <w:rPr>
          <w:sz w:val="20"/>
          <w:szCs w:val="20"/>
          <w:color w:val="auto"/>
        </w:rPr>
      </w:pPr>
    </w:p>
    <w:p>
      <w:pPr>
        <w:jc w:val="both"/>
        <w:ind w:firstLine="332"/>
        <w:spacing w:after="0" w:line="253" w:lineRule="auto"/>
        <w:tabs>
          <w:tab w:leader="none" w:pos="63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Stock Ownership Guidelines</w:t>
      </w:r>
      <w:r>
        <w:rPr>
          <w:rFonts w:ascii="Arial" w:cs="Arial" w:eastAsia="Arial" w:hAnsi="Arial"/>
          <w:sz w:val="22"/>
          <w:szCs w:val="22"/>
          <w:color w:val="auto"/>
        </w:rPr>
        <w:t>. The Executive agrees that all shares of common stock of AGNC owned by the Executive shall be subject to any applicable stock ownership guidelines that may be reasonably implemented by the Board from time to time.</w:t>
      </w:r>
    </w:p>
    <w:p>
      <w:pPr>
        <w:spacing w:after="0" w:line="23"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22"/>
          <w:szCs w:val="22"/>
          <w:color w:val="auto"/>
        </w:rPr>
        <w:t xml:space="preserve">4.  </w:t>
      </w:r>
      <w:r>
        <w:rPr>
          <w:rFonts w:ascii="Arial" w:cs="Arial" w:eastAsia="Arial" w:hAnsi="Arial"/>
          <w:sz w:val="22"/>
          <w:szCs w:val="22"/>
          <w:u w:val="single" w:color="auto"/>
          <w:color w:val="auto"/>
        </w:rPr>
        <w:t>Employment Period</w:t>
      </w:r>
      <w:r>
        <w:rPr>
          <w:rFonts w:ascii="Arial" w:cs="Arial" w:eastAsia="Arial" w:hAnsi="Arial"/>
          <w:sz w:val="22"/>
          <w:szCs w:val="22"/>
          <w:color w:val="auto"/>
        </w:rPr>
        <w:t>.</w:t>
      </w:r>
    </w:p>
    <w:p>
      <w:pPr>
        <w:spacing w:after="0" w:line="58" w:lineRule="exact"/>
        <w:rPr>
          <w:sz w:val="20"/>
          <w:szCs w:val="20"/>
          <w:color w:val="auto"/>
        </w:rPr>
      </w:pPr>
    </w:p>
    <w:p>
      <w:pPr>
        <w:jc w:val="both"/>
        <w:ind w:firstLine="332"/>
        <w:spacing w:after="0" w:line="253" w:lineRule="auto"/>
        <w:tabs>
          <w:tab w:leader="none" w:pos="636" w:val="left"/>
        </w:tabs>
        <w:numPr>
          <w:ilvl w:val="0"/>
          <w:numId w:val="75"/>
        </w:numPr>
        <w:rPr>
          <w:rFonts w:ascii="Arial" w:cs="Arial" w:eastAsia="Arial" w:hAnsi="Arial"/>
          <w:sz w:val="22"/>
          <w:szCs w:val="22"/>
          <w:color w:val="auto"/>
        </w:rPr>
      </w:pPr>
      <w:r>
        <w:rPr>
          <w:rFonts w:ascii="Arial" w:cs="Arial" w:eastAsia="Arial" w:hAnsi="Arial"/>
          <w:sz w:val="22"/>
          <w:szCs w:val="22"/>
          <w:color w:val="auto"/>
        </w:rPr>
        <w:t>Except as hereinafter provided, the Employment Period shall continue until, and shall end on, the second anniversary of the Effective Date (such date,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on each day following the Effective Date, the Expiration Date shall be extended to the second anniversary of</w:t>
      </w:r>
    </w:p>
    <w:p>
      <w:pPr>
        <w:sectPr>
          <w:pgSz w:w="11900" w:h="16838" w:orient="portrait"/>
          <w:cols w:equalWidth="0" w:num="1">
            <w:col w:w="11240"/>
          </w:cols>
          <w:pgMar w:left="320" w:top="901" w:right="339" w:bottom="1440" w:gutter="0" w:footer="0" w:header="0"/>
        </w:sectPr>
      </w:pPr>
    </w:p>
    <w:bookmarkStart w:id="105" w:name="page106"/>
    <w:bookmarkEnd w:id="105"/>
    <w:p>
      <w:pPr>
        <w:jc w:val="both"/>
        <w:spacing w:after="0" w:line="271" w:lineRule="auto"/>
        <w:rPr>
          <w:sz w:val="20"/>
          <w:szCs w:val="20"/>
          <w:color w:val="auto"/>
        </w:rPr>
      </w:pPr>
      <w:r>
        <w:rPr>
          <w:rFonts w:ascii="Arial" w:cs="Arial" w:eastAsia="Arial" w:hAnsi="Arial"/>
          <w:sz w:val="21"/>
          <w:szCs w:val="21"/>
          <w:color w:val="auto"/>
        </w:rPr>
        <w:t>such date. Notwithstanding the preceding sentence, the Board or the Executive may terminate the Employment Period at any time by providing prior written notice that such daily extensions of the Expiration Date shall be discontinued, in which case the Expiration Date shall be the second anniversary of the date on which such notice is provided.</w:t>
      </w:r>
    </w:p>
    <w:p>
      <w:pPr>
        <w:spacing w:after="0" w:line="5" w:lineRule="exact"/>
        <w:rPr>
          <w:sz w:val="20"/>
          <w:szCs w:val="20"/>
          <w:color w:val="auto"/>
        </w:rPr>
      </w:pPr>
    </w:p>
    <w:p>
      <w:pPr>
        <w:ind w:firstLine="332"/>
        <w:spacing w:after="0" w:line="263" w:lineRule="auto"/>
        <w:tabs>
          <w:tab w:leader="none" w:pos="648" w:val="left"/>
        </w:tabs>
        <w:numPr>
          <w:ilvl w:val="2"/>
          <w:numId w:val="76"/>
        </w:numPr>
        <w:rPr>
          <w:rFonts w:ascii="Arial" w:cs="Arial" w:eastAsia="Arial" w:hAnsi="Arial"/>
          <w:sz w:val="22"/>
          <w:szCs w:val="22"/>
          <w:color w:val="auto"/>
        </w:rPr>
      </w:pPr>
      <w:r>
        <w:rPr>
          <w:rFonts w:ascii="Arial" w:cs="Arial" w:eastAsia="Arial" w:hAnsi="Arial"/>
          <w:sz w:val="22"/>
          <w:szCs w:val="22"/>
          <w:color w:val="auto"/>
        </w:rPr>
        <w:t>Notwithstanding subparagraph 5(a) above, the Employment Period shall end early upon the first to occur of any of the following events:</w:t>
      </w:r>
    </w:p>
    <w:p>
      <w:pPr>
        <w:spacing w:after="0" w:line="12" w:lineRule="exact"/>
        <w:rPr>
          <w:rFonts w:ascii="Arial" w:cs="Arial" w:eastAsia="Arial" w:hAnsi="Arial"/>
          <w:sz w:val="22"/>
          <w:szCs w:val="22"/>
          <w:color w:val="auto"/>
        </w:rPr>
      </w:pPr>
    </w:p>
    <w:p>
      <w:pPr>
        <w:ind w:left="660" w:hanging="442"/>
        <w:spacing w:after="0"/>
        <w:tabs>
          <w:tab w:leader="none" w:pos="66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Executive’s death;</w:t>
      </w:r>
    </w:p>
    <w:p>
      <w:pPr>
        <w:spacing w:after="0" w:line="57" w:lineRule="exact"/>
        <w:rPr>
          <w:rFonts w:ascii="Arial" w:cs="Arial" w:eastAsia="Arial" w:hAnsi="Arial"/>
          <w:sz w:val="22"/>
          <w:szCs w:val="22"/>
          <w:color w:val="auto"/>
        </w:rPr>
      </w:pPr>
    </w:p>
    <w:p>
      <w:pPr>
        <w:ind w:left="660" w:hanging="502"/>
        <w:spacing w:after="0"/>
        <w:tabs>
          <w:tab w:leader="none" w:pos="66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Board’s termination of the Executive’s employment due to Disability;</w:t>
      </w:r>
    </w:p>
    <w:p>
      <w:pPr>
        <w:spacing w:after="0" w:line="57" w:lineRule="exact"/>
        <w:rPr>
          <w:rFonts w:ascii="Arial" w:cs="Arial" w:eastAsia="Arial" w:hAnsi="Arial"/>
          <w:sz w:val="22"/>
          <w:szCs w:val="22"/>
          <w:color w:val="auto"/>
        </w:rPr>
      </w:pPr>
    </w:p>
    <w:p>
      <w:pPr>
        <w:ind w:left="660" w:hanging="562"/>
        <w:spacing w:after="0"/>
        <w:tabs>
          <w:tab w:leader="none" w:pos="660" w:val="left"/>
        </w:tabs>
        <w:numPr>
          <w:ilvl w:val="1"/>
          <w:numId w:val="77"/>
        </w:numPr>
        <w:rPr>
          <w:rFonts w:ascii="Arial" w:cs="Arial" w:eastAsia="Arial" w:hAnsi="Arial"/>
          <w:sz w:val="22"/>
          <w:szCs w:val="22"/>
          <w:color w:val="auto"/>
        </w:rPr>
      </w:pPr>
      <w:r>
        <w:rPr>
          <w:rFonts w:ascii="Arial" w:cs="Arial" w:eastAsia="Arial" w:hAnsi="Arial"/>
          <w:sz w:val="22"/>
          <w:szCs w:val="22"/>
          <w:color w:val="auto"/>
        </w:rPr>
        <w:t>a Termination For Cause;</w:t>
      </w:r>
    </w:p>
    <w:p>
      <w:pPr>
        <w:spacing w:after="0" w:line="57" w:lineRule="exact"/>
        <w:rPr>
          <w:rFonts w:ascii="Arial" w:cs="Arial" w:eastAsia="Arial" w:hAnsi="Arial"/>
          <w:sz w:val="22"/>
          <w:szCs w:val="22"/>
          <w:color w:val="auto"/>
        </w:rPr>
      </w:pPr>
    </w:p>
    <w:p>
      <w:pPr>
        <w:ind w:left="640" w:hanging="530"/>
        <w:spacing w:after="0"/>
        <w:tabs>
          <w:tab w:leader="none" w:pos="6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Termination Without Cause;</w:t>
      </w:r>
    </w:p>
    <w:p>
      <w:pPr>
        <w:spacing w:after="0" w:line="57" w:lineRule="exact"/>
        <w:rPr>
          <w:rFonts w:ascii="Arial" w:cs="Arial" w:eastAsia="Arial" w:hAnsi="Arial"/>
          <w:sz w:val="22"/>
          <w:szCs w:val="22"/>
          <w:color w:val="auto"/>
        </w:rPr>
      </w:pPr>
    </w:p>
    <w:p>
      <w:pPr>
        <w:ind w:left="640" w:hanging="470"/>
        <w:spacing w:after="0"/>
        <w:tabs>
          <w:tab w:leader="none" w:pos="6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Termination For Good Reason; or</w:t>
      </w:r>
    </w:p>
    <w:p>
      <w:pPr>
        <w:spacing w:after="0" w:line="57" w:lineRule="exact"/>
        <w:rPr>
          <w:rFonts w:ascii="Arial" w:cs="Arial" w:eastAsia="Arial" w:hAnsi="Arial"/>
          <w:sz w:val="22"/>
          <w:szCs w:val="22"/>
          <w:color w:val="auto"/>
        </w:rPr>
      </w:pPr>
    </w:p>
    <w:p>
      <w:pPr>
        <w:ind w:left="660" w:hanging="550"/>
        <w:spacing w:after="0"/>
        <w:tabs>
          <w:tab w:leader="none" w:pos="6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a Voluntary Termination.</w:t>
      </w:r>
    </w:p>
    <w:p>
      <w:pPr>
        <w:spacing w:after="0" w:line="58"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Post-Employment Payments</w:t>
      </w:r>
      <w:r>
        <w:rPr>
          <w:rFonts w:ascii="Arial" w:cs="Arial" w:eastAsia="Arial" w:hAnsi="Arial"/>
          <w:sz w:val="22"/>
          <w:szCs w:val="22"/>
          <w:color w:val="auto"/>
        </w:rPr>
        <w:t>.</w:t>
      </w:r>
    </w:p>
    <w:p>
      <w:pPr>
        <w:spacing w:after="0" w:line="58" w:lineRule="exact"/>
        <w:rPr>
          <w:sz w:val="20"/>
          <w:szCs w:val="20"/>
          <w:color w:val="auto"/>
        </w:rPr>
      </w:pPr>
    </w:p>
    <w:p>
      <w:pPr>
        <w:jc w:val="both"/>
        <w:ind w:firstLine="332"/>
        <w:spacing w:after="0" w:line="284" w:lineRule="auto"/>
        <w:tabs>
          <w:tab w:leader="none" w:pos="636" w:val="left"/>
        </w:tabs>
        <w:numPr>
          <w:ilvl w:val="2"/>
          <w:numId w:val="80"/>
        </w:numPr>
        <w:rPr>
          <w:rFonts w:ascii="Arial" w:cs="Arial" w:eastAsia="Arial" w:hAnsi="Arial"/>
          <w:sz w:val="19"/>
          <w:szCs w:val="19"/>
          <w:color w:val="auto"/>
        </w:rPr>
      </w:pPr>
      <w:r>
        <w:rPr>
          <w:rFonts w:ascii="Arial" w:cs="Arial" w:eastAsia="Arial" w:hAnsi="Arial"/>
          <w:sz w:val="19"/>
          <w:szCs w:val="19"/>
          <w:color w:val="auto"/>
        </w:rPr>
        <w:t>At the end of the Executive’s employment for any reason, the Executive shall cease to have any rights to salary, expense reimbursements or other benefits, except that (to the extent applicable) the Executive shall be entitled to (i) any Base Salary which has been earned but is unpaid as of the end of the Employment Period, which shall be paid by the Company to the Executive on the first payroll date following the Executive’s termination of employment, (ii) any annual cash bonus that has been earned for a prior calendar year pursuant to subparagraph 4(b) but is unpaid, which shall be paid by the Company to the Executive by March 15 of the calendar year in which the Executive’s termination of employment occurs (but only if the termination is not a Termination For Cause or a Voluntary Termination), (iii) any reimbursable expenses which have been incurred but are unpaid as of the end of the Employment Period, which shall be paid by the Company to the Executive in accordance with the Company’s applicable reimbursement policies, (iv) any plan benefits which by their terms extend beyond termination of the Executive’s employment (but only to the extent provided in any benefit plan in which the Executive has participated as an employee of the Company and excluding, except as hereinafter provided in subparagraph 6(b), 6(c) or 6(d), any severance pay program or policy of AGNC, the Company or any of their subsidiaries) and (v) any benefits to which the Executive is entitled under Part 6 of Subtitle B of Title I of the Employee Retirement Income Security Act of 1974, as amended (“</w:t>
      </w:r>
      <w:r>
        <w:rPr>
          <w:rFonts w:ascii="Arial" w:cs="Arial" w:eastAsia="Arial" w:hAnsi="Arial"/>
          <w:sz w:val="19"/>
          <w:szCs w:val="19"/>
          <w:u w:val="single" w:color="auto"/>
          <w:color w:val="auto"/>
        </w:rPr>
        <w:t>COBRA</w:t>
      </w:r>
      <w:r>
        <w:rPr>
          <w:rFonts w:ascii="Arial" w:cs="Arial" w:eastAsia="Arial" w:hAnsi="Arial"/>
          <w:sz w:val="19"/>
          <w:szCs w:val="19"/>
          <w:color w:val="auto"/>
        </w:rPr>
        <w:t>”). In addition, subject to subparagraph 6(f), the Executive shall be entitled to the additional amounts described in subparagraph 6(b), 6(c) or 6(d), in the circumstances described in such subparagraphs. Moreover, subject to subparagraph 6(f), unless otherwise expressly agreed to by the parties, if the Executive’s employment is terminated by the Company following the end of the Employment Period (for any reason other than a reason that would have constituted a Termination For Cause had such termination of employment occurred during the Employment Period), then the Executive shall be entitled to the severance provided under any severance policy or arrangement of AGNC, the Company or their affiliates that is applicable to the Executive at the time of such termination but shall be no less than six (6) months of targeted cash compensation (salary plus targeted cash bonus).</w:t>
      </w:r>
    </w:p>
    <w:p>
      <w:pPr>
        <w:spacing w:after="0" w:line="269" w:lineRule="exact"/>
        <w:rPr>
          <w:rFonts w:ascii="Arial" w:cs="Arial" w:eastAsia="Arial" w:hAnsi="Arial"/>
          <w:sz w:val="19"/>
          <w:szCs w:val="19"/>
          <w:color w:val="auto"/>
        </w:rPr>
      </w:pPr>
    </w:p>
    <w:p>
      <w:pPr>
        <w:jc w:val="both"/>
        <w:ind w:firstLine="332"/>
        <w:spacing w:after="0" w:line="253" w:lineRule="auto"/>
        <w:tabs>
          <w:tab w:leader="none" w:pos="648" w:val="left"/>
        </w:tabs>
        <w:numPr>
          <w:ilvl w:val="2"/>
          <w:numId w:val="80"/>
        </w:numPr>
        <w:rPr>
          <w:rFonts w:ascii="Arial" w:cs="Arial" w:eastAsia="Arial" w:hAnsi="Arial"/>
          <w:sz w:val="22"/>
          <w:szCs w:val="22"/>
          <w:color w:val="auto"/>
        </w:rPr>
      </w:pPr>
      <w:r>
        <w:rPr>
          <w:rFonts w:ascii="Arial" w:cs="Arial" w:eastAsia="Arial" w:hAnsi="Arial"/>
          <w:sz w:val="22"/>
          <w:szCs w:val="22"/>
          <w:color w:val="auto"/>
        </w:rPr>
        <w:t>If the Employment Period ends early pursuant to subparagraph 5(b) on account of a Termination Without Cause or a Termination For Good Reason (except in circumstances in which subparagraph 6(c) would apply), the Executive shall be entitled to receive the following:</w:t>
      </w:r>
    </w:p>
    <w:p>
      <w:pPr>
        <w:spacing w:after="0" w:line="23" w:lineRule="exact"/>
        <w:rPr>
          <w:rFonts w:ascii="Arial" w:cs="Arial" w:eastAsia="Arial" w:hAnsi="Arial"/>
          <w:sz w:val="22"/>
          <w:szCs w:val="22"/>
          <w:color w:val="auto"/>
        </w:rPr>
      </w:pPr>
    </w:p>
    <w:p>
      <w:pPr>
        <w:jc w:val="both"/>
        <w:ind w:firstLine="210"/>
        <w:spacing w:after="0" w:line="291" w:lineRule="auto"/>
        <w:rPr>
          <w:rFonts w:ascii="Arial" w:cs="Arial" w:eastAsia="Arial" w:hAnsi="Arial"/>
          <w:sz w:val="22"/>
          <w:szCs w:val="22"/>
          <w:color w:val="auto"/>
        </w:rPr>
      </w:pPr>
      <w:r>
        <w:rPr>
          <w:rFonts w:ascii="Arial" w:cs="Arial" w:eastAsia="Arial" w:hAnsi="Arial"/>
          <w:sz w:val="19"/>
          <w:szCs w:val="19"/>
          <w:color w:val="auto"/>
        </w:rPr>
        <w:t>i. The greater of any amounts under any applicable severance policy or arrangement of AGNC, the Company or their affiliates applicable to the Executive at the time of such termination or an amount equal to the product of (A) 1.0, multiplied by</w:t>
      </w:r>
    </w:p>
    <w:p>
      <w:pPr>
        <w:spacing w:after="0" w:line="1" w:lineRule="exact"/>
        <w:rPr>
          <w:rFonts w:ascii="Arial" w:cs="Arial" w:eastAsia="Arial" w:hAnsi="Arial"/>
          <w:sz w:val="22"/>
          <w:szCs w:val="22"/>
          <w:color w:val="auto"/>
        </w:rPr>
      </w:pPr>
    </w:p>
    <w:p>
      <w:pPr>
        <w:jc w:val="both"/>
        <w:ind w:firstLine="8"/>
        <w:spacing w:after="0" w:line="245" w:lineRule="auto"/>
        <w:tabs>
          <w:tab w:leader="none" w:pos="349"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sum of (x) the Executive’s Base Salary at the time of such termination of employment, plus (y) the Target Annual Bonus Amount for the calendar year in which such termination of employment occurs, which shall be paid by the Company to the Executive in equal</w:t>
      </w:r>
    </w:p>
    <w:p>
      <w:pPr>
        <w:sectPr>
          <w:pgSz w:w="11900" w:h="16838" w:orient="portrait"/>
          <w:cols w:equalWidth="0" w:num="1">
            <w:col w:w="11240"/>
          </w:cols>
          <w:pgMar w:left="320" w:top="901" w:right="339" w:bottom="1440" w:gutter="0" w:footer="0" w:header="0"/>
        </w:sectPr>
      </w:pPr>
    </w:p>
    <w:bookmarkStart w:id="106" w:name="page107"/>
    <w:bookmarkEnd w:id="106"/>
    <w:p>
      <w:pPr>
        <w:spacing w:after="0" w:line="263" w:lineRule="auto"/>
        <w:rPr>
          <w:sz w:val="20"/>
          <w:szCs w:val="20"/>
          <w:color w:val="auto"/>
        </w:rPr>
      </w:pPr>
      <w:r>
        <w:rPr>
          <w:rFonts w:ascii="Arial" w:cs="Arial" w:eastAsia="Arial" w:hAnsi="Arial"/>
          <w:sz w:val="22"/>
          <w:szCs w:val="22"/>
          <w:color w:val="auto"/>
        </w:rPr>
        <w:t>installments over the 12-month period following such termination of employment in accordance with the Company’s normal payroll practices;</w:t>
      </w:r>
    </w:p>
    <w:p>
      <w:pPr>
        <w:spacing w:after="0" w:line="13" w:lineRule="exact"/>
        <w:rPr>
          <w:sz w:val="20"/>
          <w:szCs w:val="20"/>
          <w:color w:val="auto"/>
        </w:rPr>
      </w:pPr>
    </w:p>
    <w:p>
      <w:pPr>
        <w:jc w:val="both"/>
        <w:ind w:firstLine="158"/>
        <w:spacing w:after="0" w:line="259" w:lineRule="auto"/>
        <w:tabs>
          <w:tab w:leader="none" w:pos="648" w:val="left"/>
        </w:tabs>
        <w:numPr>
          <w:ilvl w:val="2"/>
          <w:numId w:val="82"/>
        </w:numPr>
        <w:rPr>
          <w:rFonts w:ascii="Arial" w:cs="Arial" w:eastAsia="Arial" w:hAnsi="Arial"/>
          <w:sz w:val="21"/>
          <w:szCs w:val="21"/>
          <w:color w:val="auto"/>
        </w:rPr>
      </w:pPr>
      <w:r>
        <w:rPr>
          <w:rFonts w:ascii="Arial" w:cs="Arial" w:eastAsia="Arial" w:hAnsi="Arial"/>
          <w:sz w:val="21"/>
          <w:szCs w:val="21"/>
          <w:color w:val="auto"/>
        </w:rPr>
        <w:t>an amount equal to the product of (A) the annual cash bonus the Executive would have been entitled to receive pursuant to subparagraph 4(b) if Executive had remained employed through December 31 of the calendar year in which such termination of employment occurs (as determined by the Compensation Committee but assuming that the Executive achieved all qualitative and subjective metrics of the Annual Performance Goals at their target level), multiplied by (B) a fraction (x) the numerator of which is the number of days that the Executive remained employed during the calendar year in which such termination of employment occurs and (y) the denominator of which is 365 (the “</w:t>
      </w:r>
      <w:r>
        <w:rPr>
          <w:rFonts w:ascii="Arial" w:cs="Arial" w:eastAsia="Arial" w:hAnsi="Arial"/>
          <w:sz w:val="21"/>
          <w:szCs w:val="21"/>
          <w:u w:val="single" w:color="auto"/>
          <w:color w:val="auto"/>
        </w:rPr>
        <w:t>Assumed Pro Rata Bonus</w:t>
      </w:r>
      <w:r>
        <w:rPr>
          <w:rFonts w:ascii="Arial" w:cs="Arial" w:eastAsia="Arial" w:hAnsi="Arial"/>
          <w:sz w:val="21"/>
          <w:szCs w:val="21"/>
          <w:color w:val="auto"/>
        </w:rPr>
        <w:t>”), which shall be paid by the Company to the Executive in a single lump sum by March 15 of the calendar year following the calendar year in which such termination of employment occurs;</w:t>
      </w:r>
    </w:p>
    <w:p>
      <w:pPr>
        <w:spacing w:after="0" w:line="21" w:lineRule="exact"/>
        <w:rPr>
          <w:rFonts w:ascii="Arial" w:cs="Arial" w:eastAsia="Arial" w:hAnsi="Arial"/>
          <w:sz w:val="21"/>
          <w:szCs w:val="21"/>
          <w:color w:val="auto"/>
        </w:rPr>
      </w:pPr>
    </w:p>
    <w:p>
      <w:pPr>
        <w:jc w:val="both"/>
        <w:ind w:firstLine="98"/>
        <w:spacing w:after="0" w:line="286" w:lineRule="auto"/>
        <w:tabs>
          <w:tab w:leader="none" w:pos="648" w:val="left"/>
        </w:tabs>
        <w:numPr>
          <w:ilvl w:val="2"/>
          <w:numId w:val="82"/>
        </w:numPr>
        <w:rPr>
          <w:rFonts w:ascii="Arial" w:cs="Arial" w:eastAsia="Arial" w:hAnsi="Arial"/>
          <w:sz w:val="19"/>
          <w:szCs w:val="19"/>
          <w:color w:val="auto"/>
        </w:rPr>
      </w:pPr>
      <w:r>
        <w:rPr>
          <w:rFonts w:ascii="Arial" w:cs="Arial" w:eastAsia="Arial" w:hAnsi="Arial"/>
          <w:sz w:val="19"/>
          <w:szCs w:val="19"/>
          <w:color w:val="auto"/>
        </w:rPr>
        <w:t>(A) if the Executive (or any of Executive’s eligible dependents) elects continuation coverage under the Company’s medical, dental and/or vision plans pursuant to COBRA, reimbursement for the Executive’s (and any such eligible dependent’s) COBRA premium payments (provided such reimbursement does not result in any taxes or penalties for the Company) until the earlier of (x) the Executive’s eligibility for any such coverage under another employer’s or any other medical plan or (y) the date that is 12 months following such termination of employment (such period, the “</w:t>
      </w:r>
      <w:r>
        <w:rPr>
          <w:rFonts w:ascii="Arial" w:cs="Arial" w:eastAsia="Arial" w:hAnsi="Arial"/>
          <w:sz w:val="19"/>
          <w:szCs w:val="19"/>
          <w:u w:val="single" w:color="auto"/>
          <w:color w:val="auto"/>
        </w:rPr>
        <w:t>COBRA Period</w:t>
      </w:r>
      <w:r>
        <w:rPr>
          <w:rFonts w:ascii="Arial" w:cs="Arial" w:eastAsia="Arial" w:hAnsi="Arial"/>
          <w:sz w:val="19"/>
          <w:szCs w:val="19"/>
          <w:color w:val="auto"/>
        </w:rPr>
        <w:t>”), with each such COBRA reimbursement being made by the Company to the Executive within 30 days following the payment of any such COBRA premiums by the Executive (and any such eligible dependent) (the “</w:t>
      </w:r>
      <w:r>
        <w:rPr>
          <w:rFonts w:ascii="Arial" w:cs="Arial" w:eastAsia="Arial" w:hAnsi="Arial"/>
          <w:sz w:val="19"/>
          <w:szCs w:val="19"/>
          <w:u w:val="single" w:color="auto"/>
          <w:color w:val="auto"/>
        </w:rPr>
        <w:t>COBRA Reimbursements</w:t>
      </w:r>
      <w:r>
        <w:rPr>
          <w:rFonts w:ascii="Arial" w:cs="Arial" w:eastAsia="Arial" w:hAnsi="Arial"/>
          <w:sz w:val="19"/>
          <w:szCs w:val="19"/>
          <w:color w:val="auto"/>
        </w:rPr>
        <w:t>”); or (B) if the Executive (or any of Executive’s eligible dependents) elects continuation coverage under the Company’s medical, dental and/or vision plans pursuant to COBRA but the COBRA Reimbursements would result in taxes or penalties for the Company, monthly cash payments, with each such monthly cash payment being equal to the Executive’s (and any such eligible dependent’s) monthly COBRA premium payments during the COBRA Period, which shall be paid by the Company to the Executive on the first payroll date of each month following the month with respect to which the Executive’s (and any such eligible dependent’s) monthly COBRA premiums were paid during the COBRA Period (the “</w:t>
      </w:r>
      <w:r>
        <w:rPr>
          <w:rFonts w:ascii="Arial" w:cs="Arial" w:eastAsia="Arial" w:hAnsi="Arial"/>
          <w:sz w:val="19"/>
          <w:szCs w:val="19"/>
          <w:u w:val="single" w:color="auto"/>
          <w:color w:val="auto"/>
        </w:rPr>
        <w:t>Substitute Payments</w:t>
      </w:r>
      <w:r>
        <w:rPr>
          <w:rFonts w:ascii="Arial" w:cs="Arial" w:eastAsia="Arial" w:hAnsi="Arial"/>
          <w:sz w:val="19"/>
          <w:szCs w:val="19"/>
          <w:color w:val="auto"/>
        </w:rPr>
        <w:t>”); and</w:t>
      </w:r>
    </w:p>
    <w:p>
      <w:pPr>
        <w:spacing w:after="0" w:line="3" w:lineRule="exact"/>
        <w:rPr>
          <w:rFonts w:ascii="Arial" w:cs="Arial" w:eastAsia="Arial" w:hAnsi="Arial"/>
          <w:sz w:val="19"/>
          <w:szCs w:val="19"/>
          <w:color w:val="auto"/>
        </w:rPr>
      </w:pPr>
    </w:p>
    <w:p>
      <w:pPr>
        <w:ind w:firstLine="110"/>
        <w:spacing w:after="0" w:line="263" w:lineRule="auto"/>
        <w:tabs>
          <w:tab w:leader="none" w:pos="634" w:val="left"/>
        </w:tabs>
        <w:numPr>
          <w:ilvl w:val="1"/>
          <w:numId w:val="83"/>
        </w:numPr>
        <w:rPr>
          <w:rFonts w:ascii="Arial" w:cs="Arial" w:eastAsia="Arial" w:hAnsi="Arial"/>
          <w:sz w:val="22"/>
          <w:szCs w:val="22"/>
          <w:color w:val="auto"/>
        </w:rPr>
      </w:pPr>
      <w:r>
        <w:rPr>
          <w:rFonts w:ascii="Arial" w:cs="Arial" w:eastAsia="Arial" w:hAnsi="Arial"/>
          <w:sz w:val="22"/>
          <w:szCs w:val="22"/>
          <w:color w:val="auto"/>
        </w:rPr>
        <w:t>acceleration of any outstanding unvested awards under the Equity Plan, subject to and in accordance with the applicable award agreement(s) to be entered into between AGNC and the Executive.</w:t>
      </w:r>
    </w:p>
    <w:p>
      <w:pPr>
        <w:spacing w:after="0" w:line="12" w:lineRule="exact"/>
        <w:rPr>
          <w:rFonts w:ascii="Arial" w:cs="Arial" w:eastAsia="Arial" w:hAnsi="Arial"/>
          <w:sz w:val="22"/>
          <w:szCs w:val="22"/>
          <w:color w:val="auto"/>
        </w:rPr>
      </w:pPr>
    </w:p>
    <w:p>
      <w:pPr>
        <w:jc w:val="both"/>
        <w:ind w:firstLine="324"/>
        <w:spacing w:after="0" w:line="253" w:lineRule="auto"/>
        <w:rPr>
          <w:rFonts w:ascii="Arial" w:cs="Arial" w:eastAsia="Arial" w:hAnsi="Arial"/>
          <w:sz w:val="22"/>
          <w:szCs w:val="22"/>
          <w:color w:val="auto"/>
        </w:rPr>
      </w:pPr>
      <w:r>
        <w:rPr>
          <w:rFonts w:ascii="Arial" w:cs="Arial" w:eastAsia="Arial" w:hAnsi="Arial"/>
          <w:sz w:val="22"/>
          <w:szCs w:val="22"/>
          <w:color w:val="auto"/>
        </w:rPr>
        <w:t>c. If the Employment Period ends early pursuant to subparagraph 5(b) on account of a Termination Without Cause or a Termination For Good Reason, and such termination of employment occurs within 24 months after a Change of Control, the Executive shall be entitled to receive the following:</w:t>
      </w:r>
    </w:p>
    <w:p>
      <w:pPr>
        <w:spacing w:after="0" w:line="23" w:lineRule="exact"/>
        <w:rPr>
          <w:rFonts w:ascii="Arial" w:cs="Arial" w:eastAsia="Arial" w:hAnsi="Arial"/>
          <w:sz w:val="22"/>
          <w:szCs w:val="22"/>
          <w:color w:val="auto"/>
        </w:rPr>
      </w:pPr>
    </w:p>
    <w:p>
      <w:pPr>
        <w:jc w:val="both"/>
        <w:ind w:firstLine="218"/>
        <w:spacing w:after="0" w:line="291" w:lineRule="auto"/>
        <w:tabs>
          <w:tab w:leader="none" w:pos="648" w:val="left"/>
        </w:tabs>
        <w:numPr>
          <w:ilvl w:val="2"/>
          <w:numId w:val="83"/>
        </w:numPr>
        <w:rPr>
          <w:rFonts w:ascii="Arial" w:cs="Arial" w:eastAsia="Arial" w:hAnsi="Arial"/>
          <w:sz w:val="19"/>
          <w:szCs w:val="19"/>
          <w:color w:val="auto"/>
        </w:rPr>
      </w:pPr>
      <w:r>
        <w:rPr>
          <w:rFonts w:ascii="Arial" w:cs="Arial" w:eastAsia="Arial" w:hAnsi="Arial"/>
          <w:sz w:val="19"/>
          <w:szCs w:val="19"/>
          <w:color w:val="auto"/>
        </w:rPr>
        <w:t>the greater of any amounts under any applicable severance policy or arrangement of AGNC, the Company or their affiliates applicable to the Executive at the time of such termination or an amount equal to the product of (A) 1.5, multiplied by</w:t>
      </w:r>
    </w:p>
    <w:p>
      <w:pPr>
        <w:spacing w:after="0" w:line="1" w:lineRule="exact"/>
        <w:rPr>
          <w:rFonts w:ascii="Arial" w:cs="Arial" w:eastAsia="Arial" w:hAnsi="Arial"/>
          <w:sz w:val="19"/>
          <w:szCs w:val="19"/>
          <w:color w:val="auto"/>
        </w:rPr>
      </w:pPr>
    </w:p>
    <w:p>
      <w:pPr>
        <w:jc w:val="both"/>
        <w:ind w:firstLine="8"/>
        <w:spacing w:after="0" w:line="294" w:lineRule="auto"/>
        <w:tabs>
          <w:tab w:leader="none" w:pos="349"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sum of (x) the Executive’s Base Salary at the time of such termination of employment, plus (y) the Target Annual Bonus Amount for the calendar year in which such termination of employment occurs, which shall be paid by the Company to the Executive in a lump sum on the first payroll date following the 60th day after such termination of employment;</w:t>
      </w:r>
    </w:p>
    <w:p>
      <w:pPr>
        <w:spacing w:after="0" w:line="2" w:lineRule="exact"/>
        <w:rPr>
          <w:rFonts w:ascii="Arial" w:cs="Arial" w:eastAsia="Arial" w:hAnsi="Arial"/>
          <w:sz w:val="19"/>
          <w:szCs w:val="19"/>
          <w:color w:val="auto"/>
        </w:rPr>
      </w:pPr>
    </w:p>
    <w:p>
      <w:pPr>
        <w:jc w:val="both"/>
        <w:ind w:right="20" w:firstLine="158"/>
        <w:spacing w:after="0" w:line="248" w:lineRule="auto"/>
        <w:tabs>
          <w:tab w:leader="none" w:pos="648" w:val="left"/>
        </w:tabs>
        <w:numPr>
          <w:ilvl w:val="2"/>
          <w:numId w:val="84"/>
        </w:numPr>
        <w:rPr>
          <w:rFonts w:ascii="Arial" w:cs="Arial" w:eastAsia="Arial" w:hAnsi="Arial"/>
          <w:sz w:val="22"/>
          <w:szCs w:val="22"/>
          <w:color w:val="auto"/>
        </w:rPr>
      </w:pPr>
      <w:r>
        <w:rPr>
          <w:rFonts w:ascii="Arial" w:cs="Arial" w:eastAsia="Arial" w:hAnsi="Arial"/>
          <w:sz w:val="22"/>
          <w:szCs w:val="22"/>
          <w:color w:val="auto"/>
        </w:rPr>
        <w:t>an amount equal to the product of (A) the Target Annual Bonus Amount for the calendar year in which such termination of employment occurs, multiplied by (B) a fraction (x) the numerator of which is the number of days that the Executive remained employed during the calendar year in which such termination of employment occurs and (y) the denominator of which is 365, which shall be paid by the Company to the Executive in a single lump sum by March 15 of the calendar year following the calendar year in which such termination of employment occurs;</w:t>
      </w:r>
    </w:p>
    <w:p>
      <w:pPr>
        <w:spacing w:after="0" w:line="29" w:lineRule="exact"/>
        <w:rPr>
          <w:rFonts w:ascii="Arial" w:cs="Arial" w:eastAsia="Arial" w:hAnsi="Arial"/>
          <w:sz w:val="22"/>
          <w:szCs w:val="22"/>
          <w:color w:val="auto"/>
        </w:rPr>
      </w:pPr>
    </w:p>
    <w:p>
      <w:pPr>
        <w:ind w:firstLine="98"/>
        <w:spacing w:after="0" w:line="263" w:lineRule="auto"/>
        <w:tabs>
          <w:tab w:leader="none" w:pos="648"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COBRA Reimbursements or the Substitute Payments (each as defined in subparagraph 6(b)(iii)), as applicable; provided, however, that the COBRA Period continue until the earlier of (A) the</w:t>
      </w:r>
    </w:p>
    <w:p>
      <w:pPr>
        <w:sectPr>
          <w:pgSz w:w="11900" w:h="16838" w:orient="portrait"/>
          <w:cols w:equalWidth="0" w:num="1">
            <w:col w:w="11240"/>
          </w:cols>
          <w:pgMar w:left="320" w:top="901" w:right="339" w:bottom="1440" w:gutter="0" w:footer="0" w:header="0"/>
        </w:sectPr>
      </w:pPr>
    </w:p>
    <w:bookmarkStart w:id="107" w:name="page108"/>
    <w:bookmarkEnd w:id="107"/>
    <w:p>
      <w:pPr>
        <w:spacing w:after="0" w:line="263" w:lineRule="auto"/>
        <w:rPr>
          <w:sz w:val="20"/>
          <w:szCs w:val="20"/>
          <w:color w:val="auto"/>
        </w:rPr>
      </w:pPr>
      <w:r>
        <w:rPr>
          <w:rFonts w:ascii="Arial" w:cs="Arial" w:eastAsia="Arial" w:hAnsi="Arial"/>
          <w:sz w:val="22"/>
          <w:szCs w:val="22"/>
          <w:color w:val="auto"/>
        </w:rPr>
        <w:t>Executive’s eligibility for any such coverage under another employer’s or any other medical plan or (B) the date that is eighteen (18) months following such termination of employment; and</w:t>
      </w:r>
    </w:p>
    <w:p>
      <w:pPr>
        <w:spacing w:after="0" w:line="13" w:lineRule="exact"/>
        <w:rPr>
          <w:sz w:val="20"/>
          <w:szCs w:val="20"/>
          <w:color w:val="auto"/>
        </w:rPr>
      </w:pPr>
    </w:p>
    <w:p>
      <w:pPr>
        <w:ind w:firstLine="110"/>
        <w:spacing w:after="0" w:line="263" w:lineRule="auto"/>
        <w:tabs>
          <w:tab w:leader="none" w:pos="634" w:val="left"/>
        </w:tabs>
        <w:numPr>
          <w:ilvl w:val="0"/>
          <w:numId w:val="85"/>
        </w:numPr>
        <w:rPr>
          <w:rFonts w:ascii="Arial" w:cs="Arial" w:eastAsia="Arial" w:hAnsi="Arial"/>
          <w:sz w:val="22"/>
          <w:szCs w:val="22"/>
          <w:color w:val="auto"/>
        </w:rPr>
      </w:pPr>
      <w:r>
        <w:rPr>
          <w:rFonts w:ascii="Arial" w:cs="Arial" w:eastAsia="Arial" w:hAnsi="Arial"/>
          <w:sz w:val="22"/>
          <w:szCs w:val="22"/>
          <w:color w:val="auto"/>
        </w:rPr>
        <w:t>acceleration of any outstanding unvested awards under the Equity Plan, subject to and in accordance with the applicable award agreement(s) to be entered into between AGNC and the Executive.</w:t>
      </w:r>
    </w:p>
    <w:p>
      <w:pPr>
        <w:spacing w:after="0" w:line="12" w:lineRule="exact"/>
        <w:rPr>
          <w:rFonts w:ascii="Arial" w:cs="Arial" w:eastAsia="Arial" w:hAnsi="Arial"/>
          <w:sz w:val="22"/>
          <w:szCs w:val="22"/>
          <w:color w:val="auto"/>
        </w:rPr>
      </w:pPr>
    </w:p>
    <w:p>
      <w:pPr>
        <w:jc w:val="both"/>
        <w:ind w:firstLine="332"/>
        <w:spacing w:after="0" w:line="253" w:lineRule="auto"/>
        <w:tabs>
          <w:tab w:leader="none" w:pos="648" w:val="left"/>
        </w:tabs>
        <w:numPr>
          <w:ilvl w:val="2"/>
          <w:numId w:val="85"/>
        </w:numPr>
        <w:rPr>
          <w:rFonts w:ascii="Arial" w:cs="Arial" w:eastAsia="Arial" w:hAnsi="Arial"/>
          <w:sz w:val="22"/>
          <w:szCs w:val="22"/>
          <w:color w:val="auto"/>
        </w:rPr>
      </w:pPr>
      <w:r>
        <w:rPr>
          <w:rFonts w:ascii="Arial" w:cs="Arial" w:eastAsia="Arial" w:hAnsi="Arial"/>
          <w:sz w:val="22"/>
          <w:szCs w:val="22"/>
          <w:color w:val="auto"/>
        </w:rPr>
        <w:t>If the Employment Period ends early at any time pursuant to subparagraph 5(b) on account of the Executive’s death or Disability, the Executive (or in the event of the Executive’s death, Executive’s estate or eligible dependents, as applicable) shall be entitled to receive the following:</w:t>
      </w:r>
    </w:p>
    <w:p>
      <w:pPr>
        <w:spacing w:after="0" w:line="23" w:lineRule="exact"/>
        <w:rPr>
          <w:rFonts w:ascii="Arial" w:cs="Arial" w:eastAsia="Arial" w:hAnsi="Arial"/>
          <w:sz w:val="22"/>
          <w:szCs w:val="22"/>
          <w:color w:val="auto"/>
        </w:rPr>
      </w:pPr>
    </w:p>
    <w:p>
      <w:pPr>
        <w:ind w:firstLine="218"/>
        <w:spacing w:after="0" w:line="311" w:lineRule="auto"/>
        <w:tabs>
          <w:tab w:leader="none" w:pos="648"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Assumed Pro Rata Bonus, which shall be paid by the Company to the Executive (or to Executive’s estate) in a single lump sum by March 15 of the calendar year following the calendar year in which such termination of employment occurs;</w:t>
      </w:r>
    </w:p>
    <w:p>
      <w:pPr>
        <w:jc w:val="both"/>
        <w:ind w:firstLine="158"/>
        <w:spacing w:after="0" w:line="253" w:lineRule="auto"/>
        <w:tabs>
          <w:tab w:leader="none" w:pos="648"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COBRA Reimbursements or the Substitute Payments (each as defined in subparagraph 6(b)(iii)), as applicable (provided that in the event of the Executive’s death, the COBRA Reimbursements or the Substitute Payments, as applicable, shall be paid to the Executive’s eligible dependents); and</w:t>
      </w:r>
    </w:p>
    <w:p>
      <w:pPr>
        <w:spacing w:after="0" w:line="23" w:lineRule="exact"/>
        <w:rPr>
          <w:rFonts w:ascii="Arial" w:cs="Arial" w:eastAsia="Arial" w:hAnsi="Arial"/>
          <w:sz w:val="22"/>
          <w:szCs w:val="22"/>
          <w:color w:val="auto"/>
        </w:rPr>
      </w:pPr>
    </w:p>
    <w:p>
      <w:pPr>
        <w:ind w:firstLine="98"/>
        <w:spacing w:after="0" w:line="263" w:lineRule="auto"/>
        <w:tabs>
          <w:tab w:leader="none" w:pos="648" w:val="left"/>
        </w:tabs>
        <w:numPr>
          <w:ilvl w:val="1"/>
          <w:numId w:val="85"/>
        </w:numPr>
        <w:rPr>
          <w:rFonts w:ascii="Arial" w:cs="Arial" w:eastAsia="Arial" w:hAnsi="Arial"/>
          <w:sz w:val="22"/>
          <w:szCs w:val="22"/>
          <w:color w:val="auto"/>
        </w:rPr>
      </w:pPr>
      <w:r>
        <w:rPr>
          <w:rFonts w:ascii="Arial" w:cs="Arial" w:eastAsia="Arial" w:hAnsi="Arial"/>
          <w:sz w:val="22"/>
          <w:szCs w:val="22"/>
          <w:color w:val="auto"/>
        </w:rPr>
        <w:t>acceleration of any outstanding unvested awards under the Equity Plan, subject to and in accordance with the applicable award agreement(s) to be entered into between AGNC and the Executive.</w:t>
      </w:r>
    </w:p>
    <w:p>
      <w:pPr>
        <w:spacing w:after="0" w:line="12" w:lineRule="exact"/>
        <w:rPr>
          <w:rFonts w:ascii="Arial" w:cs="Arial" w:eastAsia="Arial" w:hAnsi="Arial"/>
          <w:sz w:val="22"/>
          <w:szCs w:val="22"/>
          <w:color w:val="auto"/>
        </w:rPr>
      </w:pPr>
    </w:p>
    <w:p>
      <w:pPr>
        <w:jc w:val="both"/>
        <w:ind w:firstLine="332"/>
        <w:spacing w:after="0" w:line="261" w:lineRule="auto"/>
        <w:tabs>
          <w:tab w:leader="none" w:pos="636" w:val="left"/>
        </w:tabs>
        <w:numPr>
          <w:ilvl w:val="2"/>
          <w:numId w:val="86"/>
        </w:numPr>
        <w:rPr>
          <w:rFonts w:ascii="Arial" w:cs="Arial" w:eastAsia="Arial" w:hAnsi="Arial"/>
          <w:sz w:val="21"/>
          <w:szCs w:val="21"/>
          <w:color w:val="auto"/>
        </w:rPr>
      </w:pPr>
      <w:r>
        <w:rPr>
          <w:rFonts w:ascii="Arial" w:cs="Arial" w:eastAsia="Arial" w:hAnsi="Arial"/>
          <w:sz w:val="21"/>
          <w:szCs w:val="21"/>
          <w:color w:val="auto"/>
        </w:rPr>
        <w:t>Any payment, reimbursement or benefit under the last sentence of subparagraph 6(a) or subparagraph 6(b), 6(c) or 6(d) that is not made or provided during the period following the Executive’s termination of employment because the Executive (or, if applicable, Executive’s estate) has not executed the release described in subparagraph 6(f) shall be paid to the Executive in a single lump sum (or shall be provided to the Executive) on the first payroll date following the 60th day after such termination of employment; provided that the Executive (or, if applicable, Executive’s estate) executes and does not revoke the release in accordance with the requirements of subparagraph 6(f).</w:t>
      </w:r>
    </w:p>
    <w:p>
      <w:pPr>
        <w:spacing w:after="0" w:line="17" w:lineRule="exact"/>
        <w:rPr>
          <w:rFonts w:ascii="Arial" w:cs="Arial" w:eastAsia="Arial" w:hAnsi="Arial"/>
          <w:sz w:val="21"/>
          <w:szCs w:val="21"/>
          <w:color w:val="auto"/>
        </w:rPr>
      </w:pPr>
    </w:p>
    <w:p>
      <w:pPr>
        <w:jc w:val="both"/>
        <w:ind w:firstLine="332"/>
        <w:spacing w:after="0" w:line="289" w:lineRule="auto"/>
        <w:tabs>
          <w:tab w:leader="none" w:pos="639" w:val="left"/>
        </w:tabs>
        <w:numPr>
          <w:ilvl w:val="2"/>
          <w:numId w:val="86"/>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Executive (or, if applicable, Executive’s estate) shall not be entitled to receive any payment, reimbursement or benefit under the last sentence of subparagraph 6(a) or subparagraph 6(b), 6(c) or 6(d) hereof unless (i) prior to the 60th day following such termination of employment, the Executive (or, if applicable, Executive’s estate) executes a standard release of all claims, known or unknown, arising on or before the date of the release, against AGNC, the Company and their subsidiaries and their directors, managers, officers, employees and affiliates, in a standard form of release provided by the Board and agreed to by the Executive (which release shall not impose any further obligations, covenants or duties on the Executive), and (ii) any applicable revocation period has expired prior to the 60th day following such termination of employment without the Executive (or, if applicable, Executive’s estate) revoking such release.</w:t>
      </w:r>
    </w:p>
    <w:p>
      <w:pPr>
        <w:spacing w:after="0" w:line="1"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color w:val="auto"/>
        </w:rPr>
        <w:t xml:space="preserve">6.  </w:t>
      </w:r>
      <w:r>
        <w:rPr>
          <w:rFonts w:ascii="Arial" w:cs="Arial" w:eastAsia="Arial" w:hAnsi="Arial"/>
          <w:sz w:val="22"/>
          <w:szCs w:val="22"/>
          <w:u w:val="single" w:color="auto"/>
          <w:color w:val="auto"/>
        </w:rPr>
        <w:t>Confidential Information; Non-Competition; Intellectual Property</w:t>
      </w:r>
      <w:r>
        <w:rPr>
          <w:rFonts w:ascii="Arial" w:cs="Arial" w:eastAsia="Arial" w:hAnsi="Arial"/>
          <w:sz w:val="22"/>
          <w:szCs w:val="22"/>
          <w:color w:val="auto"/>
        </w:rPr>
        <w:t>.</w:t>
      </w:r>
    </w:p>
    <w:p>
      <w:pPr>
        <w:spacing w:after="0" w:line="57" w:lineRule="exact"/>
        <w:rPr>
          <w:rFonts w:ascii="Arial" w:cs="Arial" w:eastAsia="Arial" w:hAnsi="Arial"/>
          <w:sz w:val="19"/>
          <w:szCs w:val="19"/>
          <w:color w:val="auto"/>
        </w:rPr>
      </w:pPr>
    </w:p>
    <w:p>
      <w:pPr>
        <w:ind w:left="640" w:hanging="308"/>
        <w:spacing w:after="0"/>
        <w:tabs>
          <w:tab w:leader="none" w:pos="640" w:val="left"/>
        </w:tabs>
        <w:numPr>
          <w:ilvl w:val="2"/>
          <w:numId w:val="8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58" w:lineRule="exact"/>
        <w:rPr>
          <w:sz w:val="20"/>
          <w:szCs w:val="20"/>
          <w:color w:val="auto"/>
        </w:rPr>
      </w:pPr>
    </w:p>
    <w:p>
      <w:pPr>
        <w:jc w:val="both"/>
        <w:ind w:firstLine="218"/>
        <w:spacing w:after="0" w:line="284" w:lineRule="auto"/>
        <w:tabs>
          <w:tab w:leader="none" w:pos="648"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Executive recognizes that the services to be performed by the Executive hereunder are special, unique and extraordinary and that, by reason of such employment with the Company, the Executive has acquired and will continue to acquire Confidential Information (as defined below) concerning the operation of the Company, the use or disclosure of which would cause the Company substantial loss and damages which could not be readily calculated and for which no remedy at law would be adequate. Accordingly, the Executive agrees that the Executive will not (directly or indirectly) at any time, whether during or after the Executive’s employment hereunder, (A) knowingly use for an improper personal benefit any Confidential Information that the Executive may learn or has learned by reason of the Executive’s employment with the Company or (B) disclose any such Confidential Information to any Person except (1) in the performance of the Executive’s obligations to the Company hereunder,</w:t>
      </w:r>
    </w:p>
    <w:p>
      <w:pPr>
        <w:spacing w:after="0" w:line="1" w:lineRule="exact"/>
        <w:rPr>
          <w:rFonts w:ascii="Arial" w:cs="Arial" w:eastAsia="Arial" w:hAnsi="Arial"/>
          <w:sz w:val="19"/>
          <w:szCs w:val="19"/>
          <w:color w:val="auto"/>
        </w:rPr>
      </w:pPr>
    </w:p>
    <w:p>
      <w:pPr>
        <w:jc w:val="both"/>
        <w:ind w:right="20" w:firstLine="8"/>
        <w:spacing w:after="0" w:line="245" w:lineRule="auto"/>
        <w:tabs>
          <w:tab w:leader="none" w:pos="319" w:val="left"/>
        </w:tabs>
        <w:numPr>
          <w:ilvl w:val="0"/>
          <w:numId w:val="89"/>
        </w:numPr>
        <w:rPr>
          <w:rFonts w:ascii="Arial" w:cs="Arial" w:eastAsia="Arial" w:hAnsi="Arial"/>
          <w:sz w:val="22"/>
          <w:szCs w:val="22"/>
          <w:color w:val="auto"/>
        </w:rPr>
      </w:pPr>
      <w:r>
        <w:rPr>
          <w:rFonts w:ascii="Arial" w:cs="Arial" w:eastAsia="Arial" w:hAnsi="Arial"/>
          <w:sz w:val="22"/>
          <w:szCs w:val="22"/>
          <w:color w:val="auto"/>
        </w:rPr>
        <w:t>as required by applicable law, (3) in connection with the enforcement of the Executive’s rights under this Agreement, (4) in connection with any disagreement, dispute or litigation (pending or threatened) between the Executive and the Company or (5) with the prior written consent of the Board. As used herein,</w:t>
      </w:r>
    </w:p>
    <w:p>
      <w:pPr>
        <w:sectPr>
          <w:pgSz w:w="11900" w:h="16838" w:orient="portrait"/>
          <w:cols w:equalWidth="0" w:num="1">
            <w:col w:w="11240"/>
          </w:cols>
          <w:pgMar w:left="320" w:top="901" w:right="339" w:bottom="1440" w:gutter="0" w:footer="0" w:header="0"/>
        </w:sectPr>
      </w:pPr>
    </w:p>
    <w:bookmarkStart w:id="108" w:name="page109"/>
    <w:bookmarkEnd w:id="108"/>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xml:space="preserve">” includes information with respect to the operation and performance of the Company and the Company Managed Funds, their investments, portfolio companies, products, services, facilities, product methods, research and development, trade secrets and other intellectual property, systems, patents and patent applications, procedures, manuals, confidential reports, product price lists, customer lists, financial information, business plans, prospects or opportunities (including, as applicable, all of the foregoing information regarding the Company’s and/or the Company Managed Funds’ past, current and prospective portfolio companies);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term shall not include any information that (x) is or becomes generally known or available other than as a result of a disclosure by the Executive or (y) is or becomes known or available to the Executive on a nonconfidential basis from a source (other than the Company) that, to the Executive’s knowledge, is not prohibited from disclosing such information to the Executive by a legal, contractual, fiduciary or other obligation to the Company.</w:t>
      </w:r>
    </w:p>
    <w:p>
      <w:pPr>
        <w:spacing w:after="0" w:line="23" w:lineRule="exact"/>
        <w:rPr>
          <w:sz w:val="20"/>
          <w:szCs w:val="20"/>
          <w:color w:val="auto"/>
        </w:rPr>
      </w:pPr>
    </w:p>
    <w:p>
      <w:pPr>
        <w:jc w:val="both"/>
        <w:ind w:firstLine="158"/>
        <w:spacing w:after="0" w:line="288" w:lineRule="auto"/>
        <w:tabs>
          <w:tab w:leader="none" w:pos="648"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Executive confirms that all Confidential Information is the exclusive property of the Company. All business records, papers and documents kept or made by the Executive while employed by the Company relating to the business of the Company shall be and remain the property of the Company at all times. Upon the request of the Company at any time, the Executive shall promptly deliver to the Company, and shall retain no copies of, any written materials, records and documents made by the Executive or coming into the Executive’s possession while employed by the Company concerning the business or affairs of the Company other than personal materials, records and documents (including notes and correspondence) of the Executive not containing proprietary information relating to such business or affairs. Notwithstanding the foregoing, the Executive shall be permitted to retain copies of, or have access to, all such materials, records and documents relating to any disagreement, dispute or litigation (pending or threatened) between the Executive and the Company.</w:t>
      </w:r>
    </w:p>
    <w:p>
      <w:pPr>
        <w:spacing w:after="0" w:line="2" w:lineRule="exact"/>
        <w:rPr>
          <w:rFonts w:ascii="Arial" w:cs="Arial" w:eastAsia="Arial" w:hAnsi="Arial"/>
          <w:sz w:val="19"/>
          <w:szCs w:val="19"/>
          <w:color w:val="auto"/>
        </w:rPr>
      </w:pPr>
    </w:p>
    <w:p>
      <w:pPr>
        <w:jc w:val="both"/>
        <w:ind w:firstLine="332"/>
        <w:spacing w:after="0" w:line="259" w:lineRule="auto"/>
        <w:tabs>
          <w:tab w:leader="none" w:pos="702" w:val="left"/>
        </w:tabs>
        <w:numPr>
          <w:ilvl w:val="1"/>
          <w:numId w:val="90"/>
        </w:numPr>
        <w:rPr>
          <w:rFonts w:ascii="Arial" w:cs="Arial" w:eastAsia="Arial" w:hAnsi="Arial"/>
          <w:sz w:val="21"/>
          <w:szCs w:val="21"/>
          <w:color w:val="auto"/>
        </w:rPr>
      </w:pPr>
      <w:r>
        <w:rPr>
          <w:rFonts w:ascii="Arial" w:cs="Arial" w:eastAsia="Arial" w:hAnsi="Arial"/>
          <w:sz w:val="21"/>
          <w:szCs w:val="21"/>
          <w:color w:val="auto"/>
        </w:rPr>
        <w:t>The U.S. Defend Trade Secrets Act of 2016 (“DTSA”) provides that an individual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318" w:lineRule="exact"/>
        <w:rPr>
          <w:sz w:val="20"/>
          <w:szCs w:val="20"/>
          <w:color w:val="auto"/>
        </w:rPr>
      </w:pPr>
    </w:p>
    <w:p>
      <w:pPr>
        <w:ind w:left="640" w:hanging="308"/>
        <w:spacing w:after="0"/>
        <w:tabs>
          <w:tab w:leader="none" w:pos="640"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jc w:val="both"/>
        <w:ind w:firstLine="210"/>
        <w:spacing w:after="0" w:line="287" w:lineRule="auto"/>
        <w:rPr>
          <w:rFonts w:ascii="Arial" w:cs="Arial" w:eastAsia="Arial" w:hAnsi="Arial"/>
          <w:sz w:val="22"/>
          <w:szCs w:val="22"/>
          <w:color w:val="auto"/>
        </w:rPr>
      </w:pPr>
      <w:r>
        <w:rPr>
          <w:rFonts w:ascii="Arial" w:cs="Arial" w:eastAsia="Arial" w:hAnsi="Arial"/>
          <w:sz w:val="19"/>
          <w:szCs w:val="19"/>
          <w:color w:val="auto"/>
        </w:rPr>
        <w:t>i. The Executive agrees that (A) during the term of Executive’s employment with the Company and, (B) during the 12-month period following the termination of Executive’s employment with the Company for any reason (the “</w:t>
      </w:r>
      <w:r>
        <w:rPr>
          <w:rFonts w:ascii="Arial" w:cs="Arial" w:eastAsia="Arial" w:hAnsi="Arial"/>
          <w:sz w:val="19"/>
          <w:szCs w:val="19"/>
          <w:u w:val="single" w:color="auto"/>
          <w:color w:val="auto"/>
        </w:rPr>
        <w:t>Non-Competition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within the Restricted Territory, the Executive shall not, directly or indirectly, engage or participate in, prepare or set up, assist or have any interest in any person, partnership, corporation, firm, association or other business organization, entity or enterprise, whether as an officer, employee, director, partner, stockholder, consultant or otherwise, that engages in the Company’s Business. Notwithstanding the foregoing, (x) the Executive shall not be precluded from purchasing or owning, directly or beneficially, as a passive investment, two percent (2%) or less of any class of publicly traded securities if Executive does not actively participate in or control, directly or indirectly, any investment or other decisions with respect to such entity, and (y) if the Board terminates the Executive’s employment following the end of the Employment Period (for any reason other than a reason that would have constituted a Termination For Cause had such termination of employment occurred during the Employment Period), then solely for purposes of this subparagraph 7(b)(i), the “Non-</w:t>
      </w:r>
    </w:p>
    <w:p>
      <w:pPr>
        <w:sectPr>
          <w:pgSz w:w="11900" w:h="16838" w:orient="portrait"/>
          <w:cols w:equalWidth="0" w:num="1">
            <w:col w:w="11240"/>
          </w:cols>
          <w:pgMar w:left="320" w:top="901"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Competition Period” shall be the 3-month period following such termination of the Executive’s employment.</w:t>
      </w:r>
    </w:p>
    <w:p>
      <w:pPr>
        <w:spacing w:after="0" w:line="58" w:lineRule="exact"/>
        <w:rPr>
          <w:sz w:val="20"/>
          <w:szCs w:val="20"/>
          <w:color w:val="auto"/>
        </w:rPr>
      </w:pPr>
    </w:p>
    <w:p>
      <w:pPr>
        <w:ind w:left="660" w:hanging="502"/>
        <w:spacing w:after="0"/>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During the Non-Competition Period, the Executive shall not, directly or indirectly:</w:t>
      </w:r>
    </w:p>
    <w:p>
      <w:pPr>
        <w:spacing w:after="0" w:line="57" w:lineRule="exact"/>
        <w:rPr>
          <w:rFonts w:ascii="Arial" w:cs="Arial" w:eastAsia="Arial" w:hAnsi="Arial"/>
          <w:sz w:val="22"/>
          <w:szCs w:val="22"/>
          <w:color w:val="auto"/>
        </w:rPr>
      </w:pPr>
    </w:p>
    <w:p>
      <w:pPr>
        <w:jc w:val="both"/>
        <w:ind w:firstLine="332"/>
        <w:spacing w:after="0" w:line="291" w:lineRule="auto"/>
        <w:tabs>
          <w:tab w:leader="none" w:pos="648" w:val="left"/>
        </w:tabs>
        <w:numPr>
          <w:ilvl w:val="1"/>
          <w:numId w:val="92"/>
        </w:numPr>
        <w:rPr>
          <w:rFonts w:ascii="Arial" w:cs="Arial" w:eastAsia="Arial" w:hAnsi="Arial"/>
          <w:sz w:val="19"/>
          <w:szCs w:val="19"/>
          <w:color w:val="auto"/>
        </w:rPr>
      </w:pPr>
      <w:r>
        <w:rPr>
          <w:rFonts w:ascii="Arial" w:cs="Arial" w:eastAsia="Arial" w:hAnsi="Arial"/>
          <w:sz w:val="19"/>
          <w:szCs w:val="19"/>
          <w:color w:val="auto"/>
        </w:rPr>
        <w:t>offer to hire, divert, entice away, solicit or in any other manner persuade, or attempt to do any of the foregoing (each, a “</w:t>
      </w:r>
      <w:r>
        <w:rPr>
          <w:rFonts w:ascii="Arial" w:cs="Arial" w:eastAsia="Arial" w:hAnsi="Arial"/>
          <w:sz w:val="19"/>
          <w:szCs w:val="19"/>
          <w:u w:val="single" w:color="auto"/>
          <w:color w:val="auto"/>
        </w:rPr>
        <w:t>Solicitation</w:t>
      </w:r>
      <w:r>
        <w:rPr>
          <w:rFonts w:ascii="Arial" w:cs="Arial" w:eastAsia="Arial" w:hAnsi="Arial"/>
          <w:sz w:val="19"/>
          <w:szCs w:val="19"/>
          <w:color w:val="auto"/>
        </w:rPr>
        <w:t>”), for any person who is an officer, employee, consultant or board member of the Company or any Company Managed Fund to accept employment or an engagement with a third party or engage in a Solicitation with respect to any person or entity who is, or was, at any time within six months prior to the Solicitation, an officer, employee, agent or consultant of the Company or any Company Managed Fund to work for a third party engaged in the Company’s Business or to engage in any of the activities hereby prohibited with respect to the Executive under this subparagraph 7(b)(ii);</w:t>
      </w:r>
    </w:p>
    <w:p>
      <w:pPr>
        <w:spacing w:after="0" w:line="3" w:lineRule="exact"/>
        <w:rPr>
          <w:rFonts w:ascii="Arial" w:cs="Arial" w:eastAsia="Arial" w:hAnsi="Arial"/>
          <w:sz w:val="19"/>
          <w:szCs w:val="19"/>
          <w:color w:val="auto"/>
        </w:rPr>
      </w:pPr>
    </w:p>
    <w:p>
      <w:pPr>
        <w:jc w:val="both"/>
        <w:ind w:firstLine="332"/>
        <w:spacing w:after="0" w:line="250" w:lineRule="auto"/>
        <w:tabs>
          <w:tab w:leader="none" w:pos="648" w:val="left"/>
        </w:tabs>
        <w:numPr>
          <w:ilvl w:val="1"/>
          <w:numId w:val="92"/>
        </w:numPr>
        <w:rPr>
          <w:rFonts w:ascii="Arial" w:cs="Arial" w:eastAsia="Arial" w:hAnsi="Arial"/>
          <w:sz w:val="22"/>
          <w:szCs w:val="22"/>
          <w:color w:val="auto"/>
        </w:rPr>
      </w:pPr>
      <w:r>
        <w:rPr>
          <w:rFonts w:ascii="Arial" w:cs="Arial" w:eastAsia="Arial" w:hAnsi="Arial"/>
          <w:sz w:val="22"/>
          <w:szCs w:val="22"/>
          <w:color w:val="auto"/>
        </w:rPr>
        <w:t>solicit, divert, entice away or in any other manner persuade, or attempt to do any of the foregoing, on (1) any actual or prospective customer of or investor in the Company or any Company Managed Fund to become a customer of or investor in any third party engaged in the Company’s Business or (2) any customer or investor to cease doing business with the Company or any Company Managed Fund; or</w:t>
      </w:r>
    </w:p>
    <w:p>
      <w:pPr>
        <w:spacing w:after="0" w:line="25" w:lineRule="exact"/>
        <w:rPr>
          <w:rFonts w:ascii="Arial" w:cs="Arial" w:eastAsia="Arial" w:hAnsi="Arial"/>
          <w:sz w:val="22"/>
          <w:szCs w:val="22"/>
          <w:color w:val="auto"/>
        </w:rPr>
      </w:pPr>
    </w:p>
    <w:p>
      <w:pPr>
        <w:jc w:val="both"/>
        <w:ind w:firstLine="332"/>
        <w:spacing w:after="0" w:line="253" w:lineRule="auto"/>
        <w:tabs>
          <w:tab w:leader="none" w:pos="648" w:val="left"/>
        </w:tabs>
        <w:numPr>
          <w:ilvl w:val="1"/>
          <w:numId w:val="92"/>
        </w:numPr>
        <w:rPr>
          <w:rFonts w:ascii="Arial" w:cs="Arial" w:eastAsia="Arial" w:hAnsi="Arial"/>
          <w:sz w:val="22"/>
          <w:szCs w:val="22"/>
          <w:color w:val="auto"/>
        </w:rPr>
      </w:pPr>
      <w:r>
        <w:rPr>
          <w:rFonts w:ascii="Arial" w:cs="Arial" w:eastAsia="Arial" w:hAnsi="Arial"/>
          <w:sz w:val="22"/>
          <w:szCs w:val="22"/>
          <w:color w:val="auto"/>
        </w:rPr>
        <w:t>make any statements or perform any acts intended to advance the interest of any person engaged in or proposing to engage in the Company’s Business in any way that is intended to injure the interests of the Company or any Company Managed Fund.</w:t>
      </w:r>
    </w:p>
    <w:p>
      <w:pPr>
        <w:spacing w:after="0" w:line="23" w:lineRule="exact"/>
        <w:rPr>
          <w:sz w:val="20"/>
          <w:szCs w:val="20"/>
          <w:color w:val="auto"/>
        </w:rPr>
      </w:pPr>
    </w:p>
    <w:p>
      <w:pPr>
        <w:jc w:val="both"/>
        <w:ind w:firstLine="332"/>
        <w:spacing w:after="0" w:line="284" w:lineRule="auto"/>
        <w:tabs>
          <w:tab w:leader="none" w:pos="64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The Executive agrees that during the term of the Executive’s employment with the Company, and for a period of 12 months following the termination of the Executive’s employment for any reason, any and all inventions, discoveries, innovations, writings, domain names, improvements, trade secrets, designs, drawings, business processes, secret processes and know-how, whether or not patentable or a copyright or trademark, which the Executive may create, conceive, develop or make, either alone or in conjunction with others and related or in any way connected with the Company, its strategic plans, products, processes, apparatus or business now or hereafter carried on by the Company (collectively, “</w:t>
      </w:r>
      <w:r>
        <w:rPr>
          <w:rFonts w:ascii="Arial" w:cs="Arial" w:eastAsia="Arial" w:hAnsi="Arial"/>
          <w:sz w:val="19"/>
          <w:szCs w:val="19"/>
          <w:u w:val="single" w:color="auto"/>
          <w:color w:val="auto"/>
        </w:rPr>
        <w:t>Inventions</w:t>
      </w:r>
      <w:r>
        <w:rPr>
          <w:rFonts w:ascii="Arial" w:cs="Arial" w:eastAsia="Arial" w:hAnsi="Arial"/>
          <w:sz w:val="19"/>
          <w:szCs w:val="19"/>
          <w:color w:val="auto"/>
        </w:rPr>
        <w:t>”), shall be fully and promptly disclosed to the Company and shall be the sole and exclusive property of the Company (as the Board shall determine) as against the Executive or any of the Executive’s assignees. Regardless of the status of the Executive’s employment by the Company, the Executive and the Executive’s heirs, assigns and representatives hereby assigns, or shall promptly assign, to the Company any and all right, title and interest in and to such Inventions made during the term of the Executive’s employment by the Company. There are no Inventions with respect to the Company conceived of, developed or made by the Executive before the Effective Date which have not been disclosed to and assigned to the Company. The Executive further agrees that at the request of and without charge to the Company, but at the Company’s expense, the Executive shall execute a written assignment of any Inventions to the Company and shall assign to the Company any application for letters patent or for trademark registration made thereon, and to any common-law or statutory copyright therein; and the Executive shall do whatever may be necessary or desirable to enable the Company to secure any patent, trademark, copyright, or other property right therein in the United States of America and in any foreign country, and any division, renewal, continuation, or continuation in part thereof, or for any reissue of any patent issues thereon. In the event that the Company is unable, after reasonable effort, and in any event after 10 business days, to secure the Executive’s signature on a written assignment to the Company of any application for letters patent or to any common-law statutory copyright or other property right therein, whether because of the Executive’s physical or mental incapacity or for any other reason whatsoever, the Executive irrevocably designates and appoints the Chief Executive Officer of the Company as Executive’s attorney-in-fact to act on Executive’s behalf to execute and file any such application and to do all other lawfully permitted acts to further the prosecution and issuance of such letters patent, copyright or trademark.</w:t>
      </w:r>
    </w:p>
    <w:p>
      <w:pPr>
        <w:spacing w:after="0" w:line="7" w:lineRule="exact"/>
        <w:rPr>
          <w:rFonts w:ascii="Arial" w:cs="Arial" w:eastAsia="Arial" w:hAnsi="Arial"/>
          <w:sz w:val="19"/>
          <w:szCs w:val="19"/>
          <w:color w:val="auto"/>
        </w:rPr>
      </w:pPr>
    </w:p>
    <w:p>
      <w:pPr>
        <w:ind w:left="640" w:hanging="308"/>
        <w:spacing w:after="0"/>
        <w:tabs>
          <w:tab w:leader="none" w:pos="64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ectPr>
          <w:pgSz w:w="11900" w:h="16838" w:orient="portrait"/>
          <w:cols w:equalWidth="0" w:num="1">
            <w:col w:w="11240"/>
          </w:cols>
          <w:pgMar w:left="320" w:top="901" w:right="339" w:bottom="1440" w:gutter="0" w:footer="0" w:header="0"/>
        </w:sectPr>
      </w:pPr>
    </w:p>
    <w:bookmarkStart w:id="110" w:name="page111"/>
    <w:bookmarkEnd w:id="110"/>
    <w:p>
      <w:pPr>
        <w:jc w:val="both"/>
        <w:ind w:left="-158" w:firstLine="218"/>
        <w:spacing w:after="0" w:line="261" w:lineRule="auto"/>
        <w:tabs>
          <w:tab w:leader="none" w:pos="490"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Executive acknowledges that a breach of any of the covenants contained in this paragraph 7 may result in material irreparable injury to the Company for which there is no adequate remedy at law, that it will not be possible to measure damages for such injuries precisely and that, in the event of such a breach, any payments or benefits remaining under the terms of this Agreement shall cease and the Company shall be entitled to obtain a temporary restraining order or a preliminary or permanent injunction restraining the Executive from engaging in activities prohibited by this paragraph 7 or such other relief as may be required to specifically enforce any of the covenants contained in this paragraph 7.</w:t>
      </w:r>
    </w:p>
    <w:p>
      <w:pPr>
        <w:spacing w:after="0" w:line="17" w:lineRule="exact"/>
        <w:rPr>
          <w:rFonts w:ascii="Arial" w:cs="Arial" w:eastAsia="Arial" w:hAnsi="Arial"/>
          <w:sz w:val="21"/>
          <w:szCs w:val="21"/>
          <w:color w:val="auto"/>
        </w:rPr>
      </w:pPr>
    </w:p>
    <w:p>
      <w:pPr>
        <w:jc w:val="both"/>
        <w:ind w:left="-158" w:firstLine="158"/>
        <w:spacing w:after="0" w:line="253" w:lineRule="auto"/>
        <w:tabs>
          <w:tab w:leader="none" w:pos="49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period of time during which the restrictions set forth in this paragraph 7 will be in effect will be extended by the length of time during which the Executive is in breach of the terms of those provisions as determined by any court of competent jurisdiction on the Company’s application for injunctive relief.</w:t>
      </w:r>
    </w:p>
    <w:p>
      <w:pPr>
        <w:spacing w:after="0" w:line="23" w:lineRule="exact"/>
        <w:rPr>
          <w:rFonts w:ascii="Arial" w:cs="Arial" w:eastAsia="Arial" w:hAnsi="Arial"/>
          <w:sz w:val="22"/>
          <w:szCs w:val="22"/>
          <w:color w:val="auto"/>
        </w:rPr>
      </w:pPr>
    </w:p>
    <w:p>
      <w:pPr>
        <w:jc w:val="both"/>
        <w:ind w:left="-158" w:firstLine="332"/>
        <w:spacing w:after="0" w:line="253" w:lineRule="auto"/>
        <w:tabs>
          <w:tab w:leader="none" w:pos="490"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Communication of Contents of Agreement</w:t>
      </w:r>
      <w:r>
        <w:rPr>
          <w:rFonts w:ascii="Arial" w:cs="Arial" w:eastAsia="Arial" w:hAnsi="Arial"/>
          <w:sz w:val="22"/>
          <w:szCs w:val="22"/>
          <w:color w:val="auto"/>
        </w:rPr>
        <w:t>. While employed by the Company and for 12 months thereafter, the Executive shall communicate the contents of this paragraph 7 to any Person that the Executive intends to be employed by, associated with or represent.</w:t>
      </w:r>
    </w:p>
    <w:p>
      <w:pPr>
        <w:spacing w:after="0" w:line="23" w:lineRule="exact"/>
        <w:rPr>
          <w:rFonts w:ascii="Arial" w:cs="Arial" w:eastAsia="Arial" w:hAnsi="Arial"/>
          <w:sz w:val="22"/>
          <w:szCs w:val="22"/>
          <w:color w:val="auto"/>
        </w:rPr>
      </w:pPr>
    </w:p>
    <w:p>
      <w:pPr>
        <w:jc w:val="both"/>
        <w:ind w:left="-158" w:firstLine="332"/>
        <w:spacing w:after="0" w:line="301" w:lineRule="auto"/>
        <w:tabs>
          <w:tab w:leader="none" w:pos="478"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The Company</w:t>
      </w:r>
      <w:r>
        <w:rPr>
          <w:rFonts w:ascii="Arial" w:cs="Arial" w:eastAsia="Arial" w:hAnsi="Arial"/>
          <w:sz w:val="19"/>
          <w:szCs w:val="19"/>
          <w:color w:val="auto"/>
        </w:rPr>
        <w:t>. For purposes of this paragraph 7, the Company shall include AGNC and any and all direct and indirect subsidiary, parent, affiliated, or related companies of the Company for which the Executive worked or had responsibility at the time of termination of the Executive’s employment and at any time during the 2-year period prior to such termination.</w:t>
      </w:r>
    </w:p>
    <w:p>
      <w:pPr>
        <w:spacing w:after="0" w:line="1" w:lineRule="exact"/>
        <w:rPr>
          <w:rFonts w:ascii="Arial" w:cs="Arial" w:eastAsia="Arial" w:hAnsi="Arial"/>
          <w:sz w:val="19"/>
          <w:szCs w:val="19"/>
          <w:color w:val="auto"/>
        </w:rPr>
      </w:pPr>
    </w:p>
    <w:p>
      <w:pPr>
        <w:jc w:val="both"/>
        <w:ind w:left="-158" w:firstLine="332"/>
        <w:spacing w:after="0" w:line="257" w:lineRule="auto"/>
        <w:tabs>
          <w:tab w:leader="none" w:pos="481"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Limitation.</w:t>
      </w:r>
      <w:r>
        <w:rPr>
          <w:rFonts w:ascii="Arial" w:cs="Arial" w:eastAsia="Arial" w:hAnsi="Arial"/>
          <w:sz w:val="21"/>
          <w:szCs w:val="21"/>
          <w:color w:val="auto"/>
        </w:rPr>
        <w:t xml:space="preserve"> Notwithstanding any other provision in this paragraph 7 to the contrary, it shall not be a violation of subparagraph 7(b)(i)(B) hereof if, following termination of Executive’s employment with the Company, Executive shall (i) engage in the practice of law associated, affiliated or in partnership with a law firm, even if such law firm has clients that are in or propose to be in the Company’s Business, unless the majority of the Executive’s billable hours would be reasonably expected to be generated supporting the mortgage REITs or (ii) become employed by, provide services to, assist or have any interest in any person, partnership, corporation, firm, association or other business organization, entity or enterprise, including without limitation any investment bank, investment adviser, investment fund, bank or other financial institution, provided that such employment, services or assistance relates to the practice of law and is not primarily devoted to supporting research, investment or trading activities of mortgage REITs, or in the areas of agency or non-agency mortgage-backed securities, credit risk transfer securities, mortgage trading, seniors housing or other investment activities that are the same or directly competitive with activities engaged in by AGNC, the Company or any of their subsidiaries or any Company Managed Fund during the term of the Executive’s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-524510</wp:posOffset>
            </wp:positionV>
            <wp:extent cx="342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9" w:lineRule="exact"/>
        <w:rPr>
          <w:sz w:val="20"/>
          <w:szCs w:val="20"/>
          <w:color w:val="auto"/>
        </w:rPr>
      </w:pPr>
    </w:p>
    <w:p>
      <w:pPr>
        <w:ind w:left="502" w:hanging="328"/>
        <w:spacing w:after="0"/>
        <w:tabs>
          <w:tab w:leader="none" w:pos="502"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w:t>
      </w:r>
    </w:p>
    <w:p>
      <w:pPr>
        <w:spacing w:after="0" w:line="58" w:lineRule="exact"/>
        <w:rPr>
          <w:sz w:val="20"/>
          <w:szCs w:val="20"/>
          <w:color w:val="auto"/>
        </w:rPr>
      </w:pPr>
    </w:p>
    <w:p>
      <w:pPr>
        <w:jc w:val="both"/>
        <w:ind w:left="-158" w:firstLine="332"/>
        <w:spacing w:after="0" w:line="259" w:lineRule="auto"/>
        <w:tabs>
          <w:tab w:leader="none" w:pos="478"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Executive agrees that Executive shall not talk about or otherwise communicate to any third parties in a malicious, disparaging or defamatory manner regarding AGNC, the Company or any of their subsidiaries or any aspect of Executive’s employment with the Company. Further, the Executive shall not make or authorize to be made any written or oral statement that may disparage or damage the reputation of AGNC, the Company or any of their subsidiaries. The Company shall instruct its senior executives and members of the Board not to talk about or otherwise communicate to any third parties outside of AGNC, the Company or any of their subsidiaries in a malicious, disparaging or defamatory manner regarding the Executive or any aspect of Executive’s employment with the Company, and the Company shall not make or authorize to be made any written or oral statement to any third parties outside of AGNC, the Company or any of their subsidiaries that may disparage or damage the reputation of the Executive.</w:t>
      </w:r>
    </w:p>
    <w:p>
      <w:pPr>
        <w:spacing w:after="0" w:line="17" w:lineRule="exact"/>
        <w:rPr>
          <w:rFonts w:ascii="Arial" w:cs="Arial" w:eastAsia="Arial" w:hAnsi="Arial"/>
          <w:sz w:val="21"/>
          <w:szCs w:val="21"/>
          <w:color w:val="auto"/>
        </w:rPr>
      </w:pPr>
    </w:p>
    <w:p>
      <w:pPr>
        <w:jc w:val="both"/>
        <w:ind w:left="-158" w:firstLine="332"/>
        <w:spacing w:after="0" w:line="248" w:lineRule="auto"/>
        <w:tabs>
          <w:tab w:leader="none" w:pos="490"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nothing in the Agreement prohibits or will be interpreted or construed to prohibit Executive from reporting any possible violation of federal law or regulation to any governmental agency or entity, including but not limited to the U.S. Department of Justice or the Securities and Exchange Commission, or providing testimony to or communicating with such agency or entity in the course of its investigation, or from making any other disclosures that are</w:t>
      </w:r>
    </w:p>
    <w:p>
      <w:pPr>
        <w:sectPr>
          <w:pgSz w:w="11900" w:h="16838" w:orient="portrait"/>
          <w:cols w:equalWidth="0" w:num="1">
            <w:col w:w="11082"/>
          </w:cols>
          <w:pgMar w:left="478" w:top="901" w:right="339" w:bottom="1440" w:gutter="0" w:footer="0" w:header="0"/>
        </w:sectPr>
      </w:pPr>
    </w:p>
    <w:bookmarkStart w:id="111" w:name="page112"/>
    <w:bookmarkEnd w:id="111"/>
    <w:p>
      <w:pPr>
        <w:spacing w:after="0" w:line="281" w:lineRule="auto"/>
        <w:rPr>
          <w:sz w:val="20"/>
          <w:szCs w:val="20"/>
          <w:color w:val="auto"/>
        </w:rPr>
      </w:pPr>
      <w:r>
        <w:rPr>
          <w:rFonts w:ascii="Arial" w:cs="Arial" w:eastAsia="Arial" w:hAnsi="Arial"/>
          <w:sz w:val="21"/>
          <w:szCs w:val="21"/>
          <w:color w:val="auto"/>
        </w:rPr>
        <w:t>protected under the whistleblower provisions of federal law and regulation. Any such reports, testimony or disclosures do not require Executive to provide notice or receive the authorization or consent of the Company or the Board.</w:t>
      </w:r>
    </w:p>
    <w:p>
      <w:pPr>
        <w:spacing w:after="0" w:line="2" w:lineRule="exact"/>
        <w:rPr>
          <w:sz w:val="20"/>
          <w:szCs w:val="20"/>
          <w:color w:val="auto"/>
        </w:rPr>
      </w:pPr>
    </w:p>
    <w:p>
      <w:pPr>
        <w:ind w:firstLine="332"/>
        <w:spacing w:after="0" w:line="311" w:lineRule="auto"/>
        <w:tabs>
          <w:tab w:leader="none" w:pos="64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Subject to any limits on applicability contained therein, paragraphs 6, 7, 8, 9, 10, 11, 21 and 22 hereof shall survive and continue in full force in accordance with their terms notwithstanding any termination of the Employment Period.</w:t>
      </w:r>
    </w:p>
    <w:p>
      <w:pPr>
        <w:jc w:val="both"/>
        <w:ind w:firstLine="332"/>
        <w:spacing w:after="0" w:line="258" w:lineRule="auto"/>
        <w:tabs>
          <w:tab w:leader="none" w:pos="648"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AGNC, the Company or any of their subsidiaries shall withhold from all payments due to the Executive all applicable taxes (federal, state or other) that it is required to withhold therefrom unless the Executive has otherwise paid (or made other arrangements satisfactory) to AGNC, the Company or any of their subsidiaries, as applicable, the amount of such taxes. Notwithstanding any other provision of this Agreement, none of AGNC, the Company or any of their subsidiaries shall be obligated to guarantee any particular tax result for the Executive with respect to any payment or benefit provided to the Executive by AGNC, the Company or any of their subsidiaries (whether pursuant to this Agreement or otherwise), and the Executive shall be responsible for any taxes imposed on the Executive with respect to any such payment. For the avoidance of doubt, in no event shall any provision of this Agreement (including, without limitation, paragraph 21 or 22) be construed to require AGNC, the Company or any of their subsidiaries to provide any gross-up for the tax consequences of any provision under this Agreement or any payment or benefit provided to the Executive by AGNC, the Company or any of their subsidiaries (whether pursuant to this Agreement or otherwise).</w:t>
      </w:r>
    </w:p>
    <w:p>
      <w:pPr>
        <w:spacing w:after="0" w:line="19" w:lineRule="exact"/>
        <w:rPr>
          <w:rFonts w:ascii="Arial" w:cs="Arial" w:eastAsia="Arial" w:hAnsi="Arial"/>
          <w:sz w:val="21"/>
          <w:szCs w:val="21"/>
          <w:color w:val="auto"/>
        </w:rPr>
      </w:pPr>
    </w:p>
    <w:p>
      <w:pPr>
        <w:jc w:val="both"/>
        <w:ind w:firstLine="332"/>
        <w:spacing w:after="0" w:line="246" w:lineRule="auto"/>
        <w:tabs>
          <w:tab w:leader="none" w:pos="64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 Mitigation or Offset</w:t>
      </w:r>
      <w:r>
        <w:rPr>
          <w:rFonts w:ascii="Arial" w:cs="Arial" w:eastAsia="Arial" w:hAnsi="Arial"/>
          <w:sz w:val="22"/>
          <w:szCs w:val="22"/>
          <w:color w:val="auto"/>
        </w:rPr>
        <w:t>. The provisions of this Agreement are not intended to, nor shall they be construed to, require that the Executive mitigate the amount of any payment provided for in this Agreement by seeking or accepting other employment, nor shall the amount of any payment provided for in this Agreement be reduced by any compensation earned by the Executive as the result of employment by another employer or otherwise. Without limitation of the foregoing, the Company’s obligations to make the payments to the Executive required under this Agreement and otherwise to perform its obligations hereunder shall not be affected by any set off, counterclaim, recoupment, defense or other claim, right or action that the Company may have against the Executive.</w:t>
      </w:r>
    </w:p>
    <w:p>
      <w:pPr>
        <w:spacing w:after="0" w:line="34" w:lineRule="exact"/>
        <w:rPr>
          <w:rFonts w:ascii="Arial" w:cs="Arial" w:eastAsia="Arial" w:hAnsi="Arial"/>
          <w:sz w:val="22"/>
          <w:szCs w:val="22"/>
          <w:color w:val="auto"/>
        </w:rPr>
      </w:pPr>
    </w:p>
    <w:p>
      <w:pPr>
        <w:jc w:val="both"/>
        <w:ind w:firstLine="332"/>
        <w:spacing w:after="0" w:line="250" w:lineRule="auto"/>
        <w:tabs>
          <w:tab w:leader="none" w:pos="64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The obligations of the Executive hereunder are personal and may not be assigned or delegated by the Executive or transferred in any manner whatsoever, nor are such obligations subject to involuntary alienation, assignment or transfer. The Company shall have the right to assign this Agreement and to delegate all rights, duties and obligations hereunder as provided in paragraph 15.</w:t>
      </w:r>
    </w:p>
    <w:p>
      <w:pPr>
        <w:spacing w:after="0" w:line="25" w:lineRule="exact"/>
        <w:rPr>
          <w:rFonts w:ascii="Arial" w:cs="Arial" w:eastAsia="Arial" w:hAnsi="Arial"/>
          <w:sz w:val="22"/>
          <w:szCs w:val="22"/>
          <w:color w:val="auto"/>
        </w:rPr>
      </w:pPr>
    </w:p>
    <w:p>
      <w:pPr>
        <w:jc w:val="both"/>
        <w:ind w:firstLine="332"/>
        <w:spacing w:after="0" w:line="288" w:lineRule="auto"/>
        <w:tabs>
          <w:tab w:leader="none" w:pos="64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all other communications provided for in the Agreement shall be in writing and addressed (a) if to the Company, (i) at its principal office address or such other address as it may have designated by written notice to the Executive for purposes hereof, directed to the attention of the Board with a copy to the Chief Executive Officer of the Company or (ii) to the company electronic mail address of the Chief Executive Officer of the Company and (b) if to the Executive, (i) at the Executive’s residence address on the records of the Company or to such other address as the Executive may have designated to the Company in writing for purposes hereof or (ii) to the Executive’s company electronic mail address. Each such notice or other communication shall be deemed to have been duly given when (A) delivered or mailed by United States registered mail, return receipt requested, postage prepaid or (B) when electronic evidence of electronic mail transmission is received, except that any notice of change of address shall be effective only upon receipt.</w:t>
      </w:r>
    </w:p>
    <w:p>
      <w:pPr>
        <w:spacing w:after="0" w:line="2" w:lineRule="exact"/>
        <w:rPr>
          <w:rFonts w:ascii="Arial" w:cs="Arial" w:eastAsia="Arial" w:hAnsi="Arial"/>
          <w:sz w:val="19"/>
          <w:szCs w:val="19"/>
          <w:color w:val="auto"/>
        </w:rPr>
      </w:pPr>
    </w:p>
    <w:p>
      <w:pPr>
        <w:ind w:firstLine="332"/>
        <w:spacing w:after="0" w:line="263" w:lineRule="auto"/>
        <w:tabs>
          <w:tab w:leader="none" w:pos="64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which shall remain in full force and effect.</w:t>
      </w:r>
    </w:p>
    <w:p>
      <w:pPr>
        <w:spacing w:after="0" w:line="12" w:lineRule="exact"/>
        <w:rPr>
          <w:rFonts w:ascii="Arial" w:cs="Arial" w:eastAsia="Arial" w:hAnsi="Arial"/>
          <w:sz w:val="22"/>
          <w:szCs w:val="22"/>
          <w:color w:val="auto"/>
        </w:rPr>
      </w:pPr>
    </w:p>
    <w:p>
      <w:pPr>
        <w:ind w:firstLine="332"/>
        <w:spacing w:after="0" w:line="263" w:lineRule="auto"/>
        <w:tabs>
          <w:tab w:leader="none" w:pos="64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 This Agreement and all rights of the Executive hereunder shall inure to the benefit of and be enforceable by the Executive’s personal or legal representatives, executors,</w:t>
      </w:r>
    </w:p>
    <w:p>
      <w:pPr>
        <w:sectPr>
          <w:pgSz w:w="11900" w:h="16838" w:orient="portrait"/>
          <w:cols w:equalWidth="0" w:num="1">
            <w:col w:w="11240"/>
          </w:cols>
          <w:pgMar w:left="320" w:top="901" w:right="339" w:bottom="1440" w:gutter="0" w:footer="0" w:header="0"/>
        </w:sectPr>
      </w:pPr>
    </w:p>
    <w:bookmarkStart w:id="112" w:name="page113"/>
    <w:bookmarkEnd w:id="112"/>
    <w:p>
      <w:pPr>
        <w:jc w:val="both"/>
        <w:spacing w:after="0" w:line="250" w:lineRule="auto"/>
        <w:rPr>
          <w:sz w:val="20"/>
          <w:szCs w:val="20"/>
          <w:color w:val="auto"/>
        </w:rPr>
      </w:pPr>
      <w:r>
        <w:rPr>
          <w:rFonts w:ascii="Arial" w:cs="Arial" w:eastAsia="Arial" w:hAnsi="Arial"/>
          <w:sz w:val="22"/>
          <w:szCs w:val="22"/>
          <w:color w:val="auto"/>
        </w:rPr>
        <w:t>administrators, successors, heirs, distributes, devisees and legatees. If the Executive should die while any amounts would be payable to the Executive hereunder if the Executive had continued to live, all such amounts, unless otherwise provided herein, shall be paid in accordance with the terms of this Agreement to the Executive’s devisee, legatee or other designee or, if there be no such designee, to the Executive’s estate.</w:t>
      </w:r>
    </w:p>
    <w:p>
      <w:pPr>
        <w:spacing w:after="0" w:line="26" w:lineRule="exact"/>
        <w:rPr>
          <w:sz w:val="20"/>
          <w:szCs w:val="20"/>
          <w:color w:val="auto"/>
        </w:rPr>
      </w:pPr>
    </w:p>
    <w:p>
      <w:pPr>
        <w:jc w:val="both"/>
        <w:ind w:firstLine="332"/>
        <w:spacing w:after="0" w:line="248" w:lineRule="auto"/>
        <w:tabs>
          <w:tab w:leader="none" w:pos="648"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No provision of this Agreement may be modified, waived or discharged unless such waiver, modification or discharge is agreed to in writing and signed by the Executive and the Board. No waiver by either party hereto at any time of any breach by the Executive or the Company of, or in compliance with, any condition or provision of this Agreement to be performed by the Executive or the Company, as applicable, shall be deemed a waiver of similar or dissimilar provisions or conditions at the same or at any prior or subsequent time.</w:t>
      </w:r>
    </w:p>
    <w:p>
      <w:pPr>
        <w:spacing w:after="0" w:line="29" w:lineRule="exact"/>
        <w:rPr>
          <w:rFonts w:ascii="Arial" w:cs="Arial" w:eastAsia="Arial" w:hAnsi="Arial"/>
          <w:sz w:val="22"/>
          <w:szCs w:val="22"/>
          <w:color w:val="auto"/>
        </w:rPr>
      </w:pPr>
    </w:p>
    <w:p>
      <w:pPr>
        <w:jc w:val="both"/>
        <w:ind w:firstLine="332"/>
        <w:spacing w:after="0" w:line="296" w:lineRule="auto"/>
        <w:tabs>
          <w:tab w:leader="none" w:pos="648"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Complete Agreement</w:t>
      </w:r>
      <w:r>
        <w:rPr>
          <w:rFonts w:ascii="Arial" w:cs="Arial" w:eastAsia="Arial" w:hAnsi="Arial"/>
          <w:sz w:val="19"/>
          <w:szCs w:val="19"/>
          <w:color w:val="auto"/>
        </w:rPr>
        <w:t>. (a) This Agreement embodies the complete agreement and understanding between the parties with respect to the subject matter hereof and (b) this Agreement supersedes and preempts any prior understandings, agreements or representations by or between the Executive and AGNC, the Company and any of their subsidiaries, written or oral (including, without limitation, the Prior Agreement), which may have related to the subject matter hereof in any way.</w:t>
      </w:r>
    </w:p>
    <w:p>
      <w:pPr>
        <w:spacing w:after="0" w:line="2" w:lineRule="exact"/>
        <w:rPr>
          <w:rFonts w:ascii="Arial" w:cs="Arial" w:eastAsia="Arial" w:hAnsi="Arial"/>
          <w:sz w:val="19"/>
          <w:szCs w:val="19"/>
          <w:color w:val="auto"/>
        </w:rPr>
      </w:pPr>
    </w:p>
    <w:p>
      <w:pPr>
        <w:jc w:val="both"/>
        <w:ind w:firstLine="332"/>
        <w:spacing w:after="0" w:line="253" w:lineRule="auto"/>
        <w:tabs>
          <w:tab w:leader="none" w:pos="648"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electronically transmitted counterparts), each of which shall be deemed to be an original, but all of which together will constitute one and the same instrument.</w:t>
      </w:r>
    </w:p>
    <w:p>
      <w:pPr>
        <w:spacing w:after="0" w:line="23" w:lineRule="exact"/>
        <w:rPr>
          <w:rFonts w:ascii="Arial" w:cs="Arial" w:eastAsia="Arial" w:hAnsi="Arial"/>
          <w:sz w:val="22"/>
          <w:szCs w:val="22"/>
          <w:color w:val="auto"/>
        </w:rPr>
      </w:pPr>
    </w:p>
    <w:p>
      <w:pPr>
        <w:jc w:val="both"/>
        <w:ind w:firstLine="332"/>
        <w:spacing w:after="0" w:line="261" w:lineRule="auto"/>
        <w:tabs>
          <w:tab w:leader="none" w:pos="648"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This Agreement shall be governed by, and construed in accordance with, the internal, substantive laws of the State of Maryland. The Company and the Executive agree that the state and federal courts located in the State of Maryland shall have jurisdiction in any action, suit or proceeding based on or arising out of this Agreement and the Company and the Executive hereby: (a) submit to the personal jurisdiction of such courts, (b) consent to service of process in connection with any action, suit or proceeding and (c) waive any other requirement (whether imposed by statute, rule of court or otherwise) with respect to personal jurisdiction, venue or service of process.</w:t>
      </w:r>
    </w:p>
    <w:p>
      <w:pPr>
        <w:spacing w:after="0" w:line="17" w:lineRule="exact"/>
        <w:rPr>
          <w:rFonts w:ascii="Arial" w:cs="Arial" w:eastAsia="Arial" w:hAnsi="Arial"/>
          <w:sz w:val="21"/>
          <w:szCs w:val="21"/>
          <w:color w:val="auto"/>
        </w:rPr>
      </w:pPr>
    </w:p>
    <w:p>
      <w:pPr>
        <w:jc w:val="both"/>
        <w:ind w:firstLine="332"/>
        <w:spacing w:after="0" w:line="260" w:lineRule="auto"/>
        <w:tabs>
          <w:tab w:leader="none" w:pos="648"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Indemnification and D&amp;O Insurance</w:t>
      </w:r>
      <w:r>
        <w:rPr>
          <w:rFonts w:ascii="Arial" w:cs="Arial" w:eastAsia="Arial" w:hAnsi="Arial"/>
          <w:sz w:val="21"/>
          <w:szCs w:val="21"/>
          <w:color w:val="auto"/>
        </w:rPr>
        <w:t>. The Executive will be provided indemnification and mandatory advancement of expenses to the maximum extent permitted by AGNC’s, the Company’s and their subsidiaries’ and affiliates’ Articles of Incorporation or Bylaws, with such indemnification to be on terms determined by the Board or the applicable board of directors or managers, or any of their committees, but on terms no less favorable than provided to any other executive officer or director of such entities. AGNC and the Company shall maintain customary directors and officers insurance coverage for the Executive’s benefit on the same basis as such coverage is maintained for the benefit of AGNC’s and the Company’s other executive officers and directors (including former executive officers and directors).</w:t>
      </w:r>
    </w:p>
    <w:p>
      <w:pPr>
        <w:spacing w:after="0" w:line="18" w:lineRule="exact"/>
        <w:rPr>
          <w:rFonts w:ascii="Arial" w:cs="Arial" w:eastAsia="Arial" w:hAnsi="Arial"/>
          <w:sz w:val="21"/>
          <w:szCs w:val="21"/>
          <w:color w:val="auto"/>
        </w:rPr>
      </w:pPr>
    </w:p>
    <w:p>
      <w:pPr>
        <w:ind w:left="660" w:hanging="328"/>
        <w:spacing w:after="0"/>
        <w:tabs>
          <w:tab w:leader="none" w:pos="66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58" w:lineRule="exact"/>
        <w:rPr>
          <w:sz w:val="20"/>
          <w:szCs w:val="20"/>
          <w:color w:val="auto"/>
        </w:rPr>
      </w:pPr>
    </w:p>
    <w:p>
      <w:pPr>
        <w:jc w:val="both"/>
        <w:ind w:firstLine="332"/>
        <w:spacing w:after="0" w:line="289" w:lineRule="auto"/>
        <w:tabs>
          <w:tab w:leader="none" w:pos="636"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parties intend for this Agreement to either comply with, or be exempt from, Section 409A, and all provisions of this Agreement shall be interpreted and applied accordingly. If any compensation or benefits provided by this Agreement may result in the application of Section 409A, the Company shall, subject to the Executive’s prior written approval, modify the Agreement in the least restrictive manner necessary in order to exclude such compensation from the definition of “deferral of compensation” within the meaning of Section 409A or in order to comply with the provisions of Section 409A and without any diminution in the value of the payments or benefits to the Executive. Each payment or reimbursement under this Agreement shall be considered a separate payment and not one of a series of payments for purposes of Section 409A. Any payments or reimbursements of any expenses provided for under this Agreement shall be made in accordance with Treas. Reg. §1.409A-3(i)(1)(iv).</w:t>
      </w:r>
    </w:p>
    <w:p>
      <w:pPr>
        <w:spacing w:after="0" w:line="1" w:lineRule="exact"/>
        <w:rPr>
          <w:rFonts w:ascii="Arial" w:cs="Arial" w:eastAsia="Arial" w:hAnsi="Arial"/>
          <w:sz w:val="19"/>
          <w:szCs w:val="19"/>
          <w:color w:val="auto"/>
        </w:rPr>
      </w:pPr>
    </w:p>
    <w:p>
      <w:pPr>
        <w:ind w:firstLine="332"/>
        <w:spacing w:after="0" w:line="263" w:lineRule="auto"/>
        <w:tabs>
          <w:tab w:leader="none" w:pos="648" w:val="left"/>
        </w:tabs>
        <w:numPr>
          <w:ilvl w:val="0"/>
          <w:numId w:val="99"/>
        </w:numPr>
        <w:rPr>
          <w:rFonts w:ascii="Arial" w:cs="Arial" w:eastAsia="Arial" w:hAnsi="Arial"/>
          <w:sz w:val="22"/>
          <w:szCs w:val="22"/>
          <w:color w:val="auto"/>
        </w:rPr>
      </w:pPr>
      <w:r>
        <w:rPr>
          <w:rFonts w:ascii="Arial" w:cs="Arial" w:eastAsia="Arial" w:hAnsi="Arial"/>
          <w:sz w:val="22"/>
          <w:szCs w:val="22"/>
          <w:color w:val="auto"/>
        </w:rPr>
        <w:t>To the extent that any payment or benefit pursuant to this Agreement constitutes a “deferral of compensation” subject to Section 409A (after taking into account to the maximum extent possible any</w:t>
      </w:r>
    </w:p>
    <w:p>
      <w:pPr>
        <w:sectPr>
          <w:pgSz w:w="11900" w:h="16838" w:orient="portrait"/>
          <w:cols w:equalWidth="0" w:num="1">
            <w:col w:w="11240"/>
          </w:cols>
          <w:pgMar w:left="320" w:top="901" w:right="339" w:bottom="1440" w:gutter="0" w:footer="0" w:header="0"/>
        </w:sectPr>
      </w:pPr>
    </w:p>
    <w:bookmarkStart w:id="113" w:name="page114"/>
    <w:bookmarkEnd w:id="113"/>
    <w:p>
      <w:pPr>
        <w:jc w:val="both"/>
        <w:spacing w:after="0" w:line="287" w:lineRule="auto"/>
        <w:rPr>
          <w:sz w:val="20"/>
          <w:szCs w:val="20"/>
          <w:color w:val="auto"/>
        </w:rPr>
      </w:pPr>
      <w:r>
        <w:rPr>
          <w:rFonts w:ascii="Arial" w:cs="Arial" w:eastAsia="Arial" w:hAnsi="Arial"/>
          <w:sz w:val="19"/>
          <w:szCs w:val="19"/>
          <w:color w:val="auto"/>
        </w:rPr>
        <w:t>applicable exemptions) (a “</w:t>
      </w:r>
      <w:r>
        <w:rPr>
          <w:rFonts w:ascii="Arial" w:cs="Arial" w:eastAsia="Arial" w:hAnsi="Arial"/>
          <w:sz w:val="19"/>
          <w:szCs w:val="19"/>
          <w:u w:val="single" w:color="auto"/>
          <w:color w:val="auto"/>
        </w:rPr>
        <w:t>409A Payment</w:t>
      </w:r>
      <w:r>
        <w:rPr>
          <w:rFonts w:ascii="Arial" w:cs="Arial" w:eastAsia="Arial" w:hAnsi="Arial"/>
          <w:sz w:val="19"/>
          <w:szCs w:val="19"/>
          <w:color w:val="auto"/>
        </w:rPr>
        <w:t>”) and is treated as payable upon Separation from Service, then, if on the date of the Executive’s Separation from Service, the Executive is a Specified Employee, to the extent required for the Executive not to incur additional taxes pursuant to Section 409A, no such 409A Payment shall be made to the Executive prior to the earlier of (i) 6 months after the Executive’s Separation from Service or (ii) the date of the Executive’s death. Should this paragraph 21 result in payments or benefits to the Executive at a later time than otherwise would have been made under this Agreement, on the first day any such payments or benefits may be made without incurring additional tax pursuant to Section 409A, the Company shall make such payments and provide such benefits as provided for in this Agreement. For purposes of this paragraph 21, the terms “Specified Employee” and “Separation from Service” shall have the meanings ascribed to them in Section 409A. The parties intend that the phrase “termination of employment” and words and phrases of similar import used in this Agreement means a Separation From Service with the Company and its subsidiaries.</w:t>
      </w:r>
    </w:p>
    <w:p>
      <w:pPr>
        <w:spacing w:after="0" w:line="6" w:lineRule="exact"/>
        <w:rPr>
          <w:sz w:val="20"/>
          <w:szCs w:val="20"/>
          <w:color w:val="auto"/>
        </w:rPr>
      </w:pPr>
    </w:p>
    <w:p>
      <w:pPr>
        <w:jc w:val="both"/>
        <w:ind w:firstLine="332"/>
        <w:spacing w:after="0" w:line="288" w:lineRule="auto"/>
        <w:tabs>
          <w:tab w:leader="none" w:pos="648"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Section 280G</w:t>
      </w:r>
      <w:r>
        <w:rPr>
          <w:rFonts w:ascii="Arial" w:cs="Arial" w:eastAsia="Arial" w:hAnsi="Arial"/>
          <w:sz w:val="19"/>
          <w:szCs w:val="19"/>
          <w:color w:val="auto"/>
        </w:rPr>
        <w:t>. In the event that any payments, distributions, benefits or entitlements of any type payable or provided by AGNC, the Company or any of their subsidiaries to the Executive, whether or not payable in connection with this Agreement or upon a termination of employment (“</w:t>
      </w:r>
      <w:r>
        <w:rPr>
          <w:rFonts w:ascii="Arial" w:cs="Arial" w:eastAsia="Arial" w:hAnsi="Arial"/>
          <w:sz w:val="19"/>
          <w:szCs w:val="19"/>
          <w:u w:val="single" w:color="auto"/>
          <w:color w:val="auto"/>
        </w:rPr>
        <w:t>Payments</w:t>
      </w:r>
      <w:r>
        <w:rPr>
          <w:rFonts w:ascii="Arial" w:cs="Arial" w:eastAsia="Arial" w:hAnsi="Arial"/>
          <w:sz w:val="19"/>
          <w:szCs w:val="19"/>
          <w:color w:val="auto"/>
        </w:rPr>
        <w:t>”), (i) constitute “parachute payments” within the meaning of Section 280G, and</w:t>
      </w:r>
    </w:p>
    <w:p>
      <w:pPr>
        <w:jc w:val="both"/>
        <w:ind w:firstLine="8"/>
        <w:spacing w:after="0" w:line="283" w:lineRule="auto"/>
        <w:tabs>
          <w:tab w:leader="none" w:pos="32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but for this paragraph 22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Payments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the Payments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Payments shall not be so reduced if a nationally recognized accounting firm selected by the Board in good faith (the “</w:t>
      </w:r>
      <w:r>
        <w:rPr>
          <w:rFonts w:ascii="Arial" w:cs="Arial" w:eastAsia="Arial" w:hAnsi="Arial"/>
          <w:sz w:val="19"/>
          <w:szCs w:val="19"/>
          <w:u w:val="single" w:color="auto"/>
          <w:color w:val="auto"/>
        </w:rPr>
        <w:t>Accountants</w:t>
      </w:r>
      <w:r>
        <w:rPr>
          <w:rFonts w:ascii="Arial" w:cs="Arial" w:eastAsia="Arial" w:hAnsi="Arial"/>
          <w:sz w:val="19"/>
          <w:szCs w:val="19"/>
          <w:color w:val="auto"/>
        </w:rPr>
        <w:t>”) determines that without such reduction, the Executive would be entitled to receive and retain, on a net after-tax basis (including, without limitation, any excise taxes payable under Section 4999 of the Code, federal, state and local income taxes, social security and Medicare taxes and all other applicable taxes, determined by applying the highest marginal rate under Section 1 of the Code and under state and local tax laws which applied (or is likely to apply) to the Executive’s taxable income for the tax year in which the transaction which causes the application of Section 280G occurs, or such other rate(s) as the Accountants determine to be likely to apply to the Executive in the relevant tax year(s) in which any of the Payments are expected to be made), an amount that is greater than the amount, on a net after-tax basis, that the Executive would be entitled to retain upon receipt of the Reduced Amount. Unless the Board and the Executive otherwise agree in writing, any determination required under this paragraph 22 shall be made in good faith by the Accountants in a timely manner and shall be binding on the parties absent manifest error. In the event of a reduction of Payments hereunder, the Payments shall be reduced in the order determined by the Accountants that results in the greatest economic benefit to the Executive in a manner that would not result in subjecting the Executive to additional taxation under Section 409A. For purposes of making the calculations required by this paragraph 22, the Accountants may make reasonable assumptions and approximations concerning applicable taxes and may rely on reasonable, good faith interpretations concerning the application of the Code and other applicable legal authority. The Board and the Executive shall furnish to the Accountants such information and documents as the Accountants may reasonably require in order to make a determination under this paragraph 22, and the Company shall bear the cost of all fees charged by the Accountants in connection with any calculations contemplated by this paragraph 22. To the extent requested by the Executive, the Company shall cooperate with the Executive in good faith in valuing, and the Accountants shall value, services to be provided by the Executive (including the Executive refraining from performing services pursuant to a covenant not to compete) before, on or after the date of the transaction which causes the application of Section 280G such that Payments in respect of such services may be considered to be “reasonable compensation” within the meaning of Section 280G. Notwithstanding the foregoing, if the transaction which causes the application of Section 280G occurs at a time during which Section 2(a)(i) of Q&amp;A-6 of Treasury Regulation Section 1.280G would apply to the Executive, upon the request of the Executive, the Company shall use reasonable efforts to obtain the vote of equity holders described in Q&amp;A-7 of Treasury Regulation Section 1.280G.</w:t>
      </w:r>
    </w:p>
    <w:p>
      <w:pPr>
        <w:sectPr>
          <w:pgSz w:w="11900" w:h="16838" w:orient="portrait"/>
          <w:cols w:equalWidth="0" w:num="1">
            <w:col w:w="11240"/>
          </w:cols>
          <w:pgMar w:left="320" w:top="901" w:right="339" w:bottom="1440" w:gutter="0" w:footer="0" w:header="0"/>
        </w:sectPr>
      </w:pPr>
    </w:p>
    <w:bookmarkStart w:id="114" w:name="page115"/>
    <w:bookmarkEnd w:id="114"/>
    <w:p>
      <w:pPr>
        <w:ind w:left="2680"/>
        <w:spacing w:after="0"/>
        <w:rPr>
          <w:sz w:val="20"/>
          <w:szCs w:val="20"/>
          <w:color w:val="auto"/>
        </w:rPr>
      </w:pPr>
      <w:r>
        <w:rPr>
          <w:rFonts w:ascii="Arial" w:cs="Arial" w:eastAsia="Arial" w:hAnsi="Arial"/>
          <w:sz w:val="21"/>
          <w:szCs w:val="21"/>
          <w:b w:val="1"/>
          <w:bCs w:val="1"/>
          <w:color w:val="auto"/>
        </w:rPr>
        <w:t>[SIGNATURES ON FOLLOWING PAGE]</w:t>
      </w:r>
    </w:p>
    <w:p>
      <w:pPr>
        <w:sectPr>
          <w:pgSz w:w="11900" w:h="16838" w:orient="portrait"/>
          <w:cols w:equalWidth="0" w:num="1">
            <w:col w:w="9019"/>
          </w:cols>
          <w:pgMar w:left="1440" w:top="895" w:right="1440"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10139"/>
          </w:cols>
          <w:pgMar w:left="320" w:top="901" w:right="1440" w:bottom="1440" w:gutter="0" w:footer="0" w:header="0"/>
        </w:sectPr>
      </w:pPr>
    </w:p>
    <w:p>
      <w:pPr>
        <w:spacing w:after="0" w:line="383"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AGNC MORTGAGE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Peter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9944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Peter Federico</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Kenneth Pollack</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Kenneth Pollack</w:t>
      </w:r>
    </w:p>
    <w:p>
      <w:pPr>
        <w:sectPr>
          <w:pgSz w:w="11900" w:h="16838" w:orient="portrait"/>
          <w:cols w:equalWidth="0" w:num="1">
            <w:col w:w="10139"/>
          </w:cols>
          <w:pgMar w:left="320" w:top="901" w:right="1440"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22"/>
          <w:szCs w:val="22"/>
          <w:color w:val="auto"/>
        </w:rPr>
        <w:t>Exhibit 10.26</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AGNC INVESTMENT CORP.</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AND INCENTIVE COMPENSATION PLAN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361" w:lineRule="exact"/>
        <w:rPr>
          <w:sz w:val="20"/>
          <w:szCs w:val="20"/>
          <w:color w:val="auto"/>
        </w:rPr>
      </w:pPr>
    </w:p>
    <w:p>
      <w:pPr>
        <w:ind w:right="480"/>
        <w:spacing w:after="0" w:line="287" w:lineRule="auto"/>
        <w:rPr>
          <w:sz w:val="20"/>
          <w:szCs w:val="20"/>
          <w:color w:val="auto"/>
        </w:rPr>
      </w:pPr>
      <w:r>
        <w:rPr>
          <w:rFonts w:ascii="Arial" w:cs="Arial" w:eastAsia="Arial" w:hAnsi="Arial"/>
          <w:sz w:val="21"/>
          <w:szCs w:val="21"/>
          <w:color w:val="auto"/>
        </w:rPr>
        <w:t>This RESTRICTED STOCK UNIT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 ] (the “</w:t>
      </w:r>
      <w:r>
        <w:rPr>
          <w:rFonts w:ascii="Arial" w:cs="Arial" w:eastAsia="Arial" w:hAnsi="Arial"/>
          <w:sz w:val="21"/>
          <w:szCs w:val="21"/>
          <w:u w:val="single" w:color="auto"/>
          <w:color w:val="auto"/>
        </w:rPr>
        <w:t>Date of Grant</w:t>
      </w:r>
      <w:r>
        <w:rPr>
          <w:rFonts w:ascii="Arial" w:cs="Arial" w:eastAsia="Arial" w:hAnsi="Arial"/>
          <w:sz w:val="21"/>
          <w:szCs w:val="21"/>
          <w:color w:val="auto"/>
        </w:rPr>
        <w:t>”), by and between AGNC Investment Corp.,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 ] (“</w:t>
      </w:r>
      <w:r>
        <w:rPr>
          <w:rFonts w:ascii="Arial" w:cs="Arial" w:eastAsia="Arial" w:hAnsi="Arial"/>
          <w:sz w:val="21"/>
          <w:szCs w:val="21"/>
          <w:u w:val="single" w:color="auto"/>
          <w:color w:val="auto"/>
        </w:rPr>
        <w:t>Grantee</w:t>
      </w:r>
      <w:r>
        <w:rPr>
          <w:rFonts w:ascii="Arial" w:cs="Arial" w:eastAsia="Arial" w:hAnsi="Arial"/>
          <w:sz w:val="21"/>
          <w:szCs w:val="21"/>
          <w:color w:val="auto"/>
        </w:rPr>
        <w:t>”).</w:t>
      </w:r>
    </w:p>
    <w:p>
      <w:pPr>
        <w:spacing w:after="0" w:line="280" w:lineRule="exact"/>
        <w:rPr>
          <w:sz w:val="20"/>
          <w:szCs w:val="20"/>
          <w:color w:val="auto"/>
        </w:rPr>
      </w:pPr>
    </w:p>
    <w:p>
      <w:pPr>
        <w:jc w:val="both"/>
        <w:ind w:left="660" w:right="200" w:hanging="328"/>
        <w:spacing w:after="0" w:line="314" w:lineRule="auto"/>
        <w:tabs>
          <w:tab w:leader="none" w:pos="651"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Certain Definitions</w:t>
      </w:r>
      <w:r>
        <w:rPr>
          <w:rFonts w:ascii="Arial" w:cs="Arial" w:eastAsia="Arial" w:hAnsi="Arial"/>
          <w:sz w:val="19"/>
          <w:szCs w:val="19"/>
          <w:color w:val="auto"/>
        </w:rPr>
        <w:t>. Capitalized terms used, but not otherwise defined, in this Agreement will have the meanings given</w:t>
      </w:r>
      <w:r>
        <w:rPr>
          <w:rFonts w:ascii="Arial" w:cs="Arial" w:eastAsia="Arial" w:hAnsi="Arial"/>
          <w:sz w:val="19"/>
          <w:szCs w:val="19"/>
          <w:b w:val="1"/>
          <w:bCs w:val="1"/>
          <w:color w:val="auto"/>
        </w:rPr>
        <w:t xml:space="preserve"> </w:t>
      </w:r>
      <w:r>
        <w:rPr>
          <w:rFonts w:ascii="Arial" w:cs="Arial" w:eastAsia="Arial" w:hAnsi="Arial"/>
          <w:sz w:val="19"/>
          <w:szCs w:val="19"/>
          <w:color w:val="auto"/>
        </w:rPr>
        <w:t>to such terms in the Company’s 2016 Equity and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As used in this Agreement:</w:t>
      </w:r>
    </w:p>
    <w:p>
      <w:pPr>
        <w:spacing w:after="0" w:line="1" w:lineRule="exact"/>
        <w:rPr>
          <w:rFonts w:ascii="Arial" w:cs="Arial" w:eastAsia="Arial" w:hAnsi="Arial"/>
          <w:sz w:val="19"/>
          <w:szCs w:val="19"/>
          <w:color w:val="auto"/>
        </w:rPr>
      </w:pPr>
    </w:p>
    <w:p>
      <w:pPr>
        <w:ind w:left="1300" w:hanging="320"/>
        <w:spacing w:after="0"/>
        <w:tabs>
          <w:tab w:leader="none" w:pos="13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 ].</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w:t>
      </w:r>
      <w:r>
        <w:rPr>
          <w:rFonts w:ascii="Arial" w:cs="Arial" w:eastAsia="Arial" w:hAnsi="Arial"/>
          <w:sz w:val="22"/>
          <w:szCs w:val="22"/>
          <w:color w:val="auto"/>
        </w:rPr>
        <w:t>” means AGNC Mortgage Management, LLC.</w:t>
      </w:r>
    </w:p>
    <w:p>
      <w:pPr>
        <w:spacing w:after="0" w:line="57" w:lineRule="exact"/>
        <w:rPr>
          <w:rFonts w:ascii="Arial" w:cs="Arial" w:eastAsia="Arial" w:hAnsi="Arial"/>
          <w:sz w:val="22"/>
          <w:szCs w:val="22"/>
          <w:color w:val="auto"/>
        </w:rPr>
      </w:pPr>
    </w:p>
    <w:p>
      <w:pPr>
        <w:ind w:left="1300" w:right="80" w:hanging="320"/>
        <w:spacing w:after="0" w:line="253" w:lineRule="auto"/>
        <w:tabs>
          <w:tab w:leader="none" w:pos="1291" w:val="left"/>
        </w:tabs>
        <w:numPr>
          <w:ilvl w:val="1"/>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Re-Externalization</w:t>
      </w:r>
      <w:r>
        <w:rPr>
          <w:rFonts w:ascii="Arial" w:cs="Arial" w:eastAsia="Arial" w:hAnsi="Arial"/>
          <w:sz w:val="22"/>
          <w:szCs w:val="22"/>
          <w:color w:val="auto"/>
        </w:rPr>
        <w:t>” means a sale, merger or other transaction that results in the transfer or issuance of a majority of the outstanding equity interests of the Manager or AGNC Management, LLC to a person or entity other than a Subsidiary of the Company.</w:t>
      </w:r>
    </w:p>
    <w:p>
      <w:pPr>
        <w:spacing w:after="0" w:line="23" w:lineRule="exact"/>
        <w:rPr>
          <w:rFonts w:ascii="Arial" w:cs="Arial" w:eastAsia="Arial" w:hAnsi="Arial"/>
          <w:sz w:val="22"/>
          <w:szCs w:val="22"/>
          <w:color w:val="auto"/>
        </w:rPr>
      </w:pPr>
    </w:p>
    <w:p>
      <w:pPr>
        <w:ind w:left="1300" w:right="40" w:hanging="320"/>
        <w:spacing w:after="0" w:line="285" w:lineRule="auto"/>
        <w:tabs>
          <w:tab w:leader="none" w:pos="1291" w:val="left"/>
        </w:tabs>
        <w:numPr>
          <w:ilvl w:val="1"/>
          <w:numId w:val="10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Award</w:t>
      </w:r>
      <w:r>
        <w:rPr>
          <w:rFonts w:ascii="Arial" w:cs="Arial" w:eastAsia="Arial" w:hAnsi="Arial"/>
          <w:sz w:val="19"/>
          <w:szCs w:val="19"/>
          <w:color w:val="auto"/>
        </w:rPr>
        <w:t>” means an award (i) of the same type (e.g., time-based restricted stock units) as the RSUs (as defined in Section 2 hereof) covered by this Agreement, (ii) that has a value at least equal to the value of the RSUs covered by this Agreement,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1(e) are satisfied will be made by the Committee, as constituted immediately prior to the Change of Control, in its sole discretion.</w:t>
      </w:r>
    </w:p>
    <w:p>
      <w:pPr>
        <w:spacing w:after="0" w:line="9" w:lineRule="exact"/>
        <w:rPr>
          <w:rFonts w:ascii="Arial" w:cs="Arial" w:eastAsia="Arial" w:hAnsi="Arial"/>
          <w:sz w:val="19"/>
          <w:szCs w:val="19"/>
          <w:color w:val="auto"/>
        </w:rPr>
      </w:pPr>
    </w:p>
    <w:p>
      <w:pPr>
        <w:ind w:left="1300" w:hanging="320"/>
        <w:spacing w:after="0"/>
        <w:tabs>
          <w:tab w:leader="none" w:pos="13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For Good Reason</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Voluntary Termination</w:t>
      </w:r>
      <w:r>
        <w:rPr>
          <w:rFonts w:ascii="Arial" w:cs="Arial" w:eastAsia="Arial" w:hAnsi="Arial"/>
          <w:sz w:val="22"/>
          <w:szCs w:val="22"/>
          <w:color w:val="auto"/>
        </w:rPr>
        <w:t>” has the meaning set forth in the Employment Agreement.</w:t>
      </w:r>
    </w:p>
    <w:p>
      <w:pPr>
        <w:spacing w:after="0" w:line="51" w:lineRule="exact"/>
        <w:rPr>
          <w:rFonts w:ascii="Arial" w:cs="Arial" w:eastAsia="Arial" w:hAnsi="Arial"/>
          <w:sz w:val="22"/>
          <w:szCs w:val="22"/>
          <w:color w:val="auto"/>
        </w:rPr>
      </w:pPr>
    </w:p>
    <w:p>
      <w:pPr>
        <w:ind w:left="660" w:right="60" w:hanging="328"/>
        <w:spacing w:after="0" w:line="315" w:lineRule="auto"/>
        <w:tabs>
          <w:tab w:leader="none" w:pos="651"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Grant of RSUs</w:t>
      </w:r>
      <w:r>
        <w:rPr>
          <w:rFonts w:ascii="Arial" w:cs="Arial" w:eastAsia="Arial" w:hAnsi="Arial"/>
          <w:sz w:val="19"/>
          <w:szCs w:val="19"/>
          <w:color w:val="auto"/>
        </w:rPr>
        <w:t>. Subject to and upon the terms, conditions and restrictions set forth in this Agreement and in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hereby grants to Grantee </w:t>
      </w:r>
      <w:r>
        <w:rPr>
          <w:rFonts w:ascii="Arial" w:cs="Arial" w:eastAsia="Arial" w:hAnsi="Arial"/>
          <w:sz w:val="19"/>
          <w:szCs w:val="19"/>
          <w:b w:val="1"/>
          <w:bCs w:val="1"/>
          <w:color w:val="auto"/>
        </w:rPr>
        <w:t>[_____]</w:t>
      </w:r>
      <w:r>
        <w:rPr>
          <w:rFonts w:ascii="Arial" w:cs="Arial" w:eastAsia="Arial" w:hAnsi="Arial"/>
          <w:sz w:val="19"/>
          <w:szCs w:val="19"/>
          <w:color w:val="auto"/>
        </w:rPr>
        <w:t xml:space="preserve">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Each RSU shall represent the right of Grantee to receive one share of Common Stock subject to and upon the terms and conditions of this Agreement.</w:t>
      </w:r>
    </w:p>
    <w:p>
      <w:pPr>
        <w:sectPr>
          <w:pgSz w:w="11900" w:h="16838" w:orient="portrait"/>
          <w:cols w:equalWidth="0" w:num="1">
            <w:col w:w="11240"/>
          </w:cols>
          <w:pgMar w:left="320" w:top="901" w:right="339" w:bottom="1440" w:gutter="0" w:footer="0" w:header="0"/>
        </w:sectPr>
      </w:pPr>
    </w:p>
    <w:bookmarkStart w:id="117" w:name="page118"/>
    <w:bookmarkEnd w:id="117"/>
    <w:p>
      <w:pPr>
        <w:ind w:left="328" w:right="440" w:hanging="328"/>
        <w:spacing w:after="0" w:line="256" w:lineRule="auto"/>
        <w:tabs>
          <w:tab w:leader="none" w:pos="319"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Restrictions on Transfer of RSUs</w:t>
      </w:r>
      <w:r>
        <w:rPr>
          <w:rFonts w:ascii="Arial" w:cs="Arial" w:eastAsia="Arial" w:hAnsi="Arial"/>
          <w:sz w:val="22"/>
          <w:szCs w:val="22"/>
          <w:color w:val="auto"/>
        </w:rPr>
        <w:t>. Neither the RSUs evidenced hereby nor any interest therein or in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underlying such RSUs shall be transferable prior to payment to Grantee pursuant to Section 7 hereof, other than as described in Section 15 of the Plan.</w:t>
      </w:r>
    </w:p>
    <w:p>
      <w:pPr>
        <w:spacing w:after="0" w:line="14" w:lineRule="exact"/>
        <w:rPr>
          <w:rFonts w:ascii="Arial" w:cs="Arial" w:eastAsia="Arial" w:hAnsi="Arial"/>
          <w:sz w:val="22"/>
          <w:szCs w:val="22"/>
          <w:color w:val="auto"/>
        </w:rPr>
      </w:pPr>
    </w:p>
    <w:p>
      <w:pPr>
        <w:jc w:val="both"/>
        <w:ind w:left="328" w:right="60" w:hanging="328"/>
        <w:spacing w:after="0" w:line="252" w:lineRule="auto"/>
        <w:tabs>
          <w:tab w:leader="none" w:pos="319"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The RSUs covered by this Agreement shall become nonforfeitable and payable to Grantee pursuant to Section 7</w:t>
      </w:r>
      <w:r>
        <w:rPr>
          <w:rFonts w:ascii="Arial" w:cs="Arial" w:eastAsia="Arial" w:hAnsi="Arial"/>
          <w:sz w:val="22"/>
          <w:szCs w:val="22"/>
          <w:b w:val="1"/>
          <w:bCs w:val="1"/>
          <w:color w:val="auto"/>
        </w:rPr>
        <w:t xml:space="preserve"> </w:t>
      </w:r>
      <w:r>
        <w:rPr>
          <w:rFonts w:ascii="Arial" w:cs="Arial" w:eastAsia="Arial" w:hAnsi="Arial"/>
          <w:sz w:val="22"/>
          <w:szCs w:val="22"/>
          <w:color w:val="auto"/>
        </w:rPr>
        <w:t>hereof with respect to one-third (1/3) of the RSUs granted pursuant to this Agreement on each of [ ], [ ] and [ ] (each such date, an “</w:t>
      </w:r>
      <w:r>
        <w:rPr>
          <w:rFonts w:ascii="Arial" w:cs="Arial" w:eastAsia="Arial" w:hAnsi="Arial"/>
          <w:sz w:val="22"/>
          <w:szCs w:val="22"/>
          <w:u w:val="single" w:color="auto"/>
          <w:color w:val="auto"/>
        </w:rPr>
        <w:t>Applicable Vesting Date</w:t>
      </w:r>
      <w:r>
        <w:rPr>
          <w:rFonts w:ascii="Arial" w:cs="Arial" w:eastAsia="Arial" w:hAnsi="Arial"/>
          <w:sz w:val="22"/>
          <w:szCs w:val="22"/>
          <w:color w:val="auto"/>
        </w:rPr>
        <w:t>”) if Grantee remains continuously employed by the Company or any of its Subsidiaries (or any of their successors) as of each such date.</w:t>
      </w:r>
    </w:p>
    <w:p>
      <w:pPr>
        <w:spacing w:after="0" w:line="17" w:lineRule="exact"/>
        <w:rPr>
          <w:rFonts w:ascii="Arial" w:cs="Arial" w:eastAsia="Arial" w:hAnsi="Arial"/>
          <w:sz w:val="22"/>
          <w:szCs w:val="22"/>
          <w:color w:val="auto"/>
        </w:rPr>
      </w:pPr>
    </w:p>
    <w:p>
      <w:pPr>
        <w:ind w:left="328" w:right="100" w:hanging="328"/>
        <w:spacing w:after="0" w:line="303" w:lineRule="auto"/>
        <w:tabs>
          <w:tab w:leader="none" w:pos="319"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Accelerated Vesting</w:t>
      </w:r>
      <w:r>
        <w:rPr>
          <w:rFonts w:ascii="Arial" w:cs="Arial" w:eastAsia="Arial" w:hAnsi="Arial"/>
          <w:sz w:val="19"/>
          <w:szCs w:val="19"/>
          <w:color w:val="auto"/>
        </w:rPr>
        <w:t>. Notwithstanding the provisions of Section 4 hereof, the RSUs covered by this Agreement that have</w:t>
      </w:r>
      <w:r>
        <w:rPr>
          <w:rFonts w:ascii="Arial" w:cs="Arial" w:eastAsia="Arial" w:hAnsi="Arial"/>
          <w:sz w:val="19"/>
          <w:szCs w:val="19"/>
          <w:b w:val="1"/>
          <w:bCs w:val="1"/>
          <w:color w:val="auto"/>
        </w:rPr>
        <w:t xml:space="preserve"> </w:t>
      </w:r>
      <w:r>
        <w:rPr>
          <w:rFonts w:ascii="Arial" w:cs="Arial" w:eastAsia="Arial" w:hAnsi="Arial"/>
          <w:sz w:val="19"/>
          <w:szCs w:val="19"/>
          <w:color w:val="auto"/>
        </w:rPr>
        <w:t>not already vested and become nonforfeitable pursuant to Section 4 hereof will become nonforfeitable and payable to Grantee pursuant to Section 7 hereof earlier than the time provided in Section 4 hereof in accordance with the following:</w:t>
      </w:r>
    </w:p>
    <w:p>
      <w:pPr>
        <w:spacing w:after="0" w:line="1" w:lineRule="exact"/>
        <w:rPr>
          <w:rFonts w:ascii="Arial" w:cs="Arial" w:eastAsia="Arial" w:hAnsi="Arial"/>
          <w:sz w:val="19"/>
          <w:szCs w:val="19"/>
          <w:color w:val="auto"/>
        </w:rPr>
      </w:pPr>
    </w:p>
    <w:p>
      <w:pPr>
        <w:ind w:left="968" w:right="240" w:hanging="320"/>
        <w:spacing w:after="0" w:line="301" w:lineRule="auto"/>
        <w:tabs>
          <w:tab w:leader="none" w:pos="959"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All of the RSUs covered by this Agreement that have not already vested and become nonforfeitable pursuant to Section 4 hereof will become nonforfeitable and payable to Grantee pursuant to Section 7 hereof earlier than the time provided in Section 4 hereof upon the occurrence of the earliest of any of the following events:</w:t>
      </w:r>
    </w:p>
    <w:p>
      <w:pPr>
        <w:spacing w:after="0" w:line="1" w:lineRule="exact"/>
        <w:rPr>
          <w:rFonts w:ascii="Arial" w:cs="Arial" w:eastAsia="Arial" w:hAnsi="Arial"/>
          <w:sz w:val="19"/>
          <w:szCs w:val="19"/>
          <w:color w:val="auto"/>
        </w:rPr>
      </w:pPr>
    </w:p>
    <w:p>
      <w:pPr>
        <w:ind w:left="1628" w:right="700" w:hanging="440"/>
        <w:spacing w:after="0" w:line="248" w:lineRule="auto"/>
        <w:tabs>
          <w:tab w:leader="none" w:pos="1628" w:val="left"/>
        </w:tabs>
        <w:numPr>
          <w:ilvl w:val="2"/>
          <w:numId w:val="103"/>
        </w:numPr>
        <w:rPr>
          <w:rFonts w:ascii="Arial" w:cs="Arial" w:eastAsia="Arial" w:hAnsi="Arial"/>
          <w:sz w:val="22"/>
          <w:szCs w:val="22"/>
          <w:color w:val="auto"/>
        </w:rPr>
      </w:pPr>
      <w:r>
        <w:rPr>
          <w:rFonts w:ascii="Arial" w:cs="Arial" w:eastAsia="Arial" w:hAnsi="Arial"/>
          <w:sz w:val="22"/>
          <w:szCs w:val="22"/>
          <w:color w:val="auto"/>
        </w:rPr>
        <w:t>While Grantee is continuously employed by the Company or any of its Subsidiaries (or any of their successors), Grantee’s employment with the Company or any of its Subsidiaries (or any of their successors) terminates as a result of: (A) Grantee’s death, (B) Grantee’s Disability (pursuant to subparagraph 5(b)(ii) of the Employment Agreement), (C) a Termination Without Cause, or (D) a Termination For Good Reason.</w:t>
      </w:r>
    </w:p>
    <w:p>
      <w:pPr>
        <w:spacing w:after="0" w:line="29" w:lineRule="exact"/>
        <w:rPr>
          <w:rFonts w:ascii="Arial" w:cs="Arial" w:eastAsia="Arial" w:hAnsi="Arial"/>
          <w:sz w:val="22"/>
          <w:szCs w:val="22"/>
          <w:color w:val="auto"/>
        </w:rPr>
      </w:pPr>
    </w:p>
    <w:p>
      <w:pPr>
        <w:ind w:left="1628" w:right="200" w:hanging="488"/>
        <w:spacing w:after="0" w:line="253" w:lineRule="auto"/>
        <w:tabs>
          <w:tab w:leader="none" w:pos="1628" w:val="left"/>
        </w:tabs>
        <w:numPr>
          <w:ilvl w:val="2"/>
          <w:numId w:val="103"/>
        </w:numPr>
        <w:rPr>
          <w:rFonts w:ascii="Arial" w:cs="Arial" w:eastAsia="Arial" w:hAnsi="Arial"/>
          <w:sz w:val="22"/>
          <w:szCs w:val="22"/>
          <w:color w:val="auto"/>
        </w:rPr>
      </w:pPr>
      <w:r>
        <w:rPr>
          <w:rFonts w:ascii="Arial" w:cs="Arial" w:eastAsia="Arial" w:hAnsi="Arial"/>
          <w:sz w:val="22"/>
          <w:szCs w:val="22"/>
          <w:color w:val="auto"/>
        </w:rPr>
        <w:t>While Grantee is continuously employed by the Company or any of its Subsidiaries (or any of their successors), a Change of Control occurs and a Replacement Award is not provided to Grantee on the date of such Change of Control.</w:t>
      </w:r>
    </w:p>
    <w:p>
      <w:pPr>
        <w:spacing w:after="0" w:line="23" w:lineRule="exact"/>
        <w:rPr>
          <w:rFonts w:ascii="Arial" w:cs="Arial" w:eastAsia="Arial" w:hAnsi="Arial"/>
          <w:sz w:val="22"/>
          <w:szCs w:val="22"/>
          <w:color w:val="auto"/>
        </w:rPr>
      </w:pPr>
    </w:p>
    <w:p>
      <w:pPr>
        <w:ind w:left="968" w:right="120" w:hanging="320"/>
        <w:spacing w:after="0" w:line="292" w:lineRule="auto"/>
        <w:tabs>
          <w:tab w:leader="none" w:pos="959" w:val="left"/>
        </w:tabs>
        <w:numPr>
          <w:ilvl w:val="1"/>
          <w:numId w:val="103"/>
        </w:numPr>
        <w:rPr>
          <w:rFonts w:ascii="Arial" w:cs="Arial" w:eastAsia="Arial" w:hAnsi="Arial"/>
          <w:sz w:val="19"/>
          <w:szCs w:val="19"/>
          <w:color w:val="auto"/>
        </w:rPr>
      </w:pPr>
      <w:r>
        <w:rPr>
          <w:rFonts w:ascii="Arial" w:cs="Arial" w:eastAsia="Arial" w:hAnsi="Arial"/>
          <w:sz w:val="19"/>
          <w:szCs w:val="19"/>
          <w:color w:val="auto"/>
        </w:rPr>
        <w:t>In the event that Grantee’s continuous employment with the Company or any of its Subsidiaries (or any of their successors) terminates as a result of Grantee’s Voluntary Termination on the dates and under the circumstances described in Section 4(c)(ii) of the Employment Agreement, the RSUs covered by this Agreement that have not already vested and become nonforfeitable pursuant to Section 4 hereof will become nonforfeitable and payable to Grantee in accordance with, and to the extent provided in, Section 4(c)(ii) of the Employment Agreement.</w:t>
      </w:r>
    </w:p>
    <w:p>
      <w:pPr>
        <w:spacing w:after="0" w:line="1" w:lineRule="exact"/>
        <w:rPr>
          <w:rFonts w:ascii="Arial" w:cs="Arial" w:eastAsia="Arial" w:hAnsi="Arial"/>
          <w:sz w:val="19"/>
          <w:szCs w:val="19"/>
          <w:color w:val="auto"/>
        </w:rPr>
      </w:pPr>
    </w:p>
    <w:p>
      <w:pPr>
        <w:ind w:left="328" w:right="140" w:hanging="328"/>
        <w:spacing w:after="0" w:line="249" w:lineRule="auto"/>
        <w:tabs>
          <w:tab w:leader="none" w:pos="319"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Forfeiture</w:t>
      </w:r>
      <w:r>
        <w:rPr>
          <w:rFonts w:ascii="Arial" w:cs="Arial" w:eastAsia="Arial" w:hAnsi="Arial"/>
          <w:sz w:val="22"/>
          <w:szCs w:val="22"/>
          <w:color w:val="auto"/>
        </w:rPr>
        <w:t>. Except to the extent the RSUs covered by this Agreement have become nonforfeitable pursuant to Section 4</w:t>
      </w:r>
      <w:r>
        <w:rPr>
          <w:rFonts w:ascii="Arial" w:cs="Arial" w:eastAsia="Arial" w:hAnsi="Arial"/>
          <w:sz w:val="22"/>
          <w:szCs w:val="22"/>
          <w:b w:val="1"/>
          <w:bCs w:val="1"/>
          <w:color w:val="auto"/>
        </w:rPr>
        <w:t xml:space="preserve"> </w:t>
      </w:r>
      <w:r>
        <w:rPr>
          <w:rFonts w:ascii="Arial" w:cs="Arial" w:eastAsia="Arial" w:hAnsi="Arial"/>
          <w:sz w:val="22"/>
          <w:szCs w:val="22"/>
          <w:color w:val="auto"/>
        </w:rPr>
        <w:t>or Section 5 hereof, the 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spacing w:after="0" w:line="24" w:lineRule="exact"/>
        <w:rPr>
          <w:rFonts w:ascii="Arial" w:cs="Arial" w:eastAsia="Arial" w:hAnsi="Arial"/>
          <w:sz w:val="22"/>
          <w:szCs w:val="22"/>
          <w:color w:val="auto"/>
        </w:rPr>
      </w:pPr>
    </w:p>
    <w:p>
      <w:pPr>
        <w:ind w:left="308" w:hanging="308"/>
        <w:spacing w:after="0"/>
        <w:tabs>
          <w:tab w:leader="none" w:pos="308"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Form and Time of Payment of RSUs</w:t>
      </w:r>
      <w:r>
        <w:rPr>
          <w:rFonts w:ascii="Arial" w:cs="Arial" w:eastAsia="Arial" w:hAnsi="Arial"/>
          <w:sz w:val="22"/>
          <w:szCs w:val="22"/>
          <w:color w:val="auto"/>
        </w:rPr>
        <w:t>.</w:t>
      </w:r>
    </w:p>
    <w:p>
      <w:pPr>
        <w:spacing w:after="0" w:line="63" w:lineRule="exact"/>
        <w:rPr>
          <w:rFonts w:ascii="Arial" w:cs="Arial" w:eastAsia="Arial" w:hAnsi="Arial"/>
          <w:sz w:val="22"/>
          <w:szCs w:val="22"/>
          <w:color w:val="auto"/>
        </w:rPr>
      </w:pPr>
    </w:p>
    <w:p>
      <w:pPr>
        <w:ind w:left="968" w:hanging="320"/>
        <w:spacing w:after="0" w:line="293" w:lineRule="auto"/>
        <w:tabs>
          <w:tab w:leader="none" w:pos="959"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Form</w:t>
      </w:r>
      <w:r>
        <w:rPr>
          <w:rFonts w:ascii="Arial" w:cs="Arial" w:eastAsia="Arial" w:hAnsi="Arial"/>
          <w:sz w:val="19"/>
          <w:szCs w:val="19"/>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2" w:lineRule="exact"/>
        <w:rPr>
          <w:rFonts w:ascii="Arial" w:cs="Arial" w:eastAsia="Arial" w:hAnsi="Arial"/>
          <w:sz w:val="19"/>
          <w:szCs w:val="19"/>
          <w:color w:val="auto"/>
        </w:rPr>
      </w:pPr>
    </w:p>
    <w:p>
      <w:pPr>
        <w:ind w:left="968" w:hanging="320"/>
        <w:spacing w:after="0"/>
        <w:tabs>
          <w:tab w:leader="none" w:pos="968"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Timing</w:t>
      </w:r>
      <w:r>
        <w:rPr>
          <w:rFonts w:ascii="Arial" w:cs="Arial" w:eastAsia="Arial" w:hAnsi="Arial"/>
          <w:sz w:val="22"/>
          <w:szCs w:val="22"/>
          <w:color w:val="auto"/>
        </w:rPr>
        <w:t>.</w:t>
      </w:r>
    </w:p>
    <w:p>
      <w:pPr>
        <w:sectPr>
          <w:pgSz w:w="11900" w:h="16838" w:orient="portrait"/>
          <w:cols w:equalWidth="0" w:num="1">
            <w:col w:w="10908"/>
          </w:cols>
          <w:pgMar w:left="652" w:top="895" w:right="339" w:bottom="1440" w:gutter="0" w:footer="0" w:header="0"/>
        </w:sectPr>
      </w:pPr>
    </w:p>
    <w:bookmarkStart w:id="118" w:name="page119"/>
    <w:bookmarkEnd w:id="118"/>
    <w:p>
      <w:pPr>
        <w:ind w:left="1628" w:right="80" w:hanging="440"/>
        <w:spacing w:after="0" w:line="263" w:lineRule="auto"/>
        <w:tabs>
          <w:tab w:leader="none" w:pos="1628" w:val="left"/>
        </w:tabs>
        <w:numPr>
          <w:ilvl w:val="2"/>
          <w:numId w:val="104"/>
        </w:numPr>
        <w:rPr>
          <w:rFonts w:ascii="Arial" w:cs="Arial" w:eastAsia="Arial" w:hAnsi="Arial"/>
          <w:sz w:val="22"/>
          <w:szCs w:val="22"/>
          <w:color w:val="auto"/>
        </w:rPr>
      </w:pPr>
      <w:r>
        <w:rPr>
          <w:rFonts w:ascii="Arial" w:cs="Arial" w:eastAsia="Arial" w:hAnsi="Arial"/>
          <w:sz w:val="22"/>
          <w:szCs w:val="22"/>
          <w:color w:val="auto"/>
        </w:rPr>
        <w:t>RSUs that become nonforfeitable pursuant to Section 4 hereof shall be paid within ten (10) days following the date on which such RSUs become nonforfeitable.</w:t>
      </w:r>
    </w:p>
    <w:p>
      <w:pPr>
        <w:spacing w:after="0" w:line="12" w:lineRule="exact"/>
        <w:rPr>
          <w:rFonts w:ascii="Arial" w:cs="Arial" w:eastAsia="Arial" w:hAnsi="Arial"/>
          <w:sz w:val="22"/>
          <w:szCs w:val="22"/>
          <w:color w:val="auto"/>
        </w:rPr>
      </w:pPr>
    </w:p>
    <w:p>
      <w:pPr>
        <w:ind w:left="1628" w:right="40" w:hanging="488"/>
        <w:spacing w:after="0" w:line="263" w:lineRule="auto"/>
        <w:tabs>
          <w:tab w:leader="none" w:pos="1628" w:val="left"/>
        </w:tabs>
        <w:numPr>
          <w:ilvl w:val="2"/>
          <w:numId w:val="104"/>
        </w:numPr>
        <w:rPr>
          <w:rFonts w:ascii="Arial" w:cs="Arial" w:eastAsia="Arial" w:hAnsi="Arial"/>
          <w:sz w:val="22"/>
          <w:szCs w:val="22"/>
          <w:color w:val="auto"/>
        </w:rPr>
      </w:pPr>
      <w:r>
        <w:rPr>
          <w:rFonts w:ascii="Arial" w:cs="Arial" w:eastAsia="Arial" w:hAnsi="Arial"/>
          <w:sz w:val="22"/>
          <w:szCs w:val="22"/>
          <w:color w:val="auto"/>
        </w:rPr>
        <w:t>RSUs to the extent vested on such date or event (whether vested by virtue of such date, event or otherwise) will become payable on the earliest to occur of the following:</w:t>
      </w:r>
    </w:p>
    <w:p>
      <w:pPr>
        <w:spacing w:after="0" w:line="12" w:lineRule="exact"/>
        <w:rPr>
          <w:rFonts w:ascii="Arial" w:cs="Arial" w:eastAsia="Arial" w:hAnsi="Arial"/>
          <w:sz w:val="22"/>
          <w:szCs w:val="22"/>
          <w:color w:val="auto"/>
        </w:rPr>
      </w:pPr>
    </w:p>
    <w:p>
      <w:pPr>
        <w:ind w:left="2268" w:hanging="324"/>
        <w:spacing w:after="0"/>
        <w:tabs>
          <w:tab w:leader="none" w:pos="2268" w:val="left"/>
        </w:tabs>
        <w:numPr>
          <w:ilvl w:val="3"/>
          <w:numId w:val="104"/>
        </w:numPr>
        <w:rPr>
          <w:rFonts w:ascii="Arial" w:cs="Arial" w:eastAsia="Arial" w:hAnsi="Arial"/>
          <w:sz w:val="22"/>
          <w:szCs w:val="22"/>
          <w:color w:val="auto"/>
        </w:rPr>
      </w:pPr>
      <w:r>
        <w:rPr>
          <w:rFonts w:ascii="Arial" w:cs="Arial" w:eastAsia="Arial" w:hAnsi="Arial"/>
          <w:sz w:val="22"/>
          <w:szCs w:val="22"/>
          <w:color w:val="auto"/>
        </w:rPr>
        <w:t>the Applicable Vesting Date, with payment within ten (10) days following such date;</w:t>
      </w:r>
    </w:p>
    <w:p>
      <w:pPr>
        <w:spacing w:after="0" w:line="57" w:lineRule="exact"/>
        <w:rPr>
          <w:rFonts w:ascii="Arial" w:cs="Arial" w:eastAsia="Arial" w:hAnsi="Arial"/>
          <w:sz w:val="22"/>
          <w:szCs w:val="22"/>
          <w:color w:val="auto"/>
        </w:rPr>
      </w:pPr>
    </w:p>
    <w:p>
      <w:pPr>
        <w:ind w:left="2268" w:hanging="324"/>
        <w:spacing w:after="0" w:line="287" w:lineRule="auto"/>
        <w:tabs>
          <w:tab w:leader="none" w:pos="2259" w:val="left"/>
        </w:tabs>
        <w:numPr>
          <w:ilvl w:val="3"/>
          <w:numId w:val="104"/>
        </w:numPr>
        <w:rPr>
          <w:rFonts w:ascii="Arial" w:cs="Arial" w:eastAsia="Arial" w:hAnsi="Arial"/>
          <w:sz w:val="19"/>
          <w:szCs w:val="19"/>
          <w:color w:val="auto"/>
        </w:rPr>
      </w:pPr>
      <w:r>
        <w:rPr>
          <w:rFonts w:ascii="Arial" w:cs="Arial" w:eastAsia="Arial" w:hAnsi="Arial"/>
          <w:sz w:val="19"/>
          <w:szCs w:val="19"/>
          <w:color w:val="auto"/>
        </w:rPr>
        <w:t>the date that Grantee experiences a “separation from service” within the meaning of Section 409A(a)(2)(A)(i) of Code (including by reason of a Voluntary Termination), with payment on the first payroll date following the 60th day after such date; provided, however, that if Grantee is a “specified employee” as determined pursuant to procedures adopted by the Company in compliance with Section 409A of the Code, then payment for the RSUs shall be made on the earlier of the first day of the seventh month after the date of Grantee’s “separation from service” within the meaning of Section 409A(a)(2)(A)(i) of the Code or the Grantee’s death; further provided, that Grantee (or, if applicable, his estate) shall have first executed and not revoked the release described in subparagraph 6(g) of the Employment Agreement in accordance with the requirements of subparagraph 6(g) of the Employment Agreement;</w:t>
      </w:r>
    </w:p>
    <w:p>
      <w:pPr>
        <w:spacing w:after="0" w:line="6" w:lineRule="exact"/>
        <w:rPr>
          <w:rFonts w:ascii="Arial" w:cs="Arial" w:eastAsia="Arial" w:hAnsi="Arial"/>
          <w:sz w:val="19"/>
          <w:szCs w:val="19"/>
          <w:color w:val="auto"/>
        </w:rPr>
      </w:pPr>
    </w:p>
    <w:p>
      <w:pPr>
        <w:ind w:left="2268" w:hanging="324"/>
        <w:spacing w:after="0" w:line="291" w:lineRule="auto"/>
        <w:tabs>
          <w:tab w:leader="none" w:pos="2259" w:val="left"/>
        </w:tabs>
        <w:numPr>
          <w:ilvl w:val="3"/>
          <w:numId w:val="104"/>
        </w:numPr>
        <w:rPr>
          <w:rFonts w:ascii="Arial" w:cs="Arial" w:eastAsia="Arial" w:hAnsi="Arial"/>
          <w:sz w:val="19"/>
          <w:szCs w:val="19"/>
          <w:color w:val="auto"/>
        </w:rPr>
      </w:pPr>
      <w:r>
        <w:rPr>
          <w:rFonts w:ascii="Arial" w:cs="Arial" w:eastAsia="Arial" w:hAnsi="Arial"/>
          <w:sz w:val="19"/>
          <w:szCs w:val="19"/>
          <w:color w:val="auto"/>
        </w:rPr>
        <w:t>the date of a Change of Control that constitutes a “change in ownership,” a “change in effective control,” or a “change in the ownership of a substantial portion of the assets” of the Company under Section 409A(a)(2)(A)(v) of the Code (such circumstances, a “</w:t>
      </w:r>
      <w:r>
        <w:rPr>
          <w:rFonts w:ascii="Arial" w:cs="Arial" w:eastAsia="Arial" w:hAnsi="Arial"/>
          <w:sz w:val="19"/>
          <w:szCs w:val="19"/>
          <w:u w:val="single" w:color="auto"/>
          <w:color w:val="auto"/>
        </w:rPr>
        <w:t>409A Change of Control</w:t>
      </w:r>
      <w:r>
        <w:rPr>
          <w:rFonts w:ascii="Arial" w:cs="Arial" w:eastAsia="Arial" w:hAnsi="Arial"/>
          <w:sz w:val="19"/>
          <w:szCs w:val="19"/>
          <w:color w:val="auto"/>
        </w:rPr>
        <w:t>”), with payment within ten (10) days following such date; provided, that if a Change of Control occurs and it does not constitute a 409A Change of Control, payment for the RSUs shall not be made until the next event to occur as set forth in this Section 7(b)(ii); and</w:t>
      </w:r>
    </w:p>
    <w:p>
      <w:pPr>
        <w:spacing w:after="0" w:line="3" w:lineRule="exact"/>
        <w:rPr>
          <w:rFonts w:ascii="Arial" w:cs="Arial" w:eastAsia="Arial" w:hAnsi="Arial"/>
          <w:sz w:val="19"/>
          <w:szCs w:val="19"/>
          <w:color w:val="auto"/>
        </w:rPr>
      </w:pPr>
    </w:p>
    <w:p>
      <w:pPr>
        <w:ind w:left="2268" w:hanging="324"/>
        <w:spacing w:after="0"/>
        <w:tabs>
          <w:tab w:leader="none" w:pos="2268" w:val="left"/>
        </w:tabs>
        <w:numPr>
          <w:ilvl w:val="3"/>
          <w:numId w:val="104"/>
        </w:numPr>
        <w:rPr>
          <w:rFonts w:ascii="Arial" w:cs="Arial" w:eastAsia="Arial" w:hAnsi="Arial"/>
          <w:sz w:val="22"/>
          <w:szCs w:val="22"/>
          <w:color w:val="auto"/>
        </w:rPr>
      </w:pPr>
      <w:r>
        <w:rPr>
          <w:rFonts w:ascii="Arial" w:cs="Arial" w:eastAsia="Arial" w:hAnsi="Arial"/>
          <w:sz w:val="22"/>
          <w:szCs w:val="22"/>
          <w:color w:val="auto"/>
        </w:rPr>
        <w:t>the date of Grantee’s death.</w:t>
      </w:r>
    </w:p>
    <w:p>
      <w:pPr>
        <w:spacing w:after="0" w:line="51" w:lineRule="exact"/>
        <w:rPr>
          <w:rFonts w:ascii="Arial" w:cs="Arial" w:eastAsia="Arial" w:hAnsi="Arial"/>
          <w:sz w:val="22"/>
          <w:szCs w:val="22"/>
          <w:color w:val="auto"/>
        </w:rPr>
      </w:pPr>
    </w:p>
    <w:p>
      <w:pPr>
        <w:ind w:left="308" w:hanging="308"/>
        <w:spacing w:after="0"/>
        <w:tabs>
          <w:tab w:leader="none" w:pos="308"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Dividend Equivalents; Other Rights</w:t>
      </w:r>
      <w:r>
        <w:rPr>
          <w:rFonts w:ascii="Arial" w:cs="Arial" w:eastAsia="Arial" w:hAnsi="Arial"/>
          <w:sz w:val="22"/>
          <w:szCs w:val="22"/>
          <w:color w:val="auto"/>
        </w:rPr>
        <w:t>.</w:t>
      </w:r>
    </w:p>
    <w:p>
      <w:pPr>
        <w:spacing w:after="0" w:line="63" w:lineRule="exact"/>
        <w:rPr>
          <w:rFonts w:ascii="Arial" w:cs="Arial" w:eastAsia="Arial" w:hAnsi="Arial"/>
          <w:sz w:val="22"/>
          <w:szCs w:val="22"/>
          <w:color w:val="auto"/>
        </w:rPr>
      </w:pPr>
    </w:p>
    <w:p>
      <w:pPr>
        <w:ind w:left="968" w:right="20" w:hanging="320"/>
        <w:spacing w:after="0" w:line="287" w:lineRule="auto"/>
        <w:tabs>
          <w:tab w:leader="none" w:pos="959" w:val="left"/>
        </w:tabs>
        <w:numPr>
          <w:ilvl w:val="1"/>
          <w:numId w:val="105"/>
        </w:numPr>
        <w:rPr>
          <w:rFonts w:ascii="Arial" w:cs="Arial" w:eastAsia="Arial" w:hAnsi="Arial"/>
          <w:sz w:val="19"/>
          <w:szCs w:val="19"/>
          <w:color w:val="auto"/>
        </w:rPr>
      </w:pPr>
      <w:r>
        <w:rPr>
          <w:rFonts w:ascii="Arial" w:cs="Arial" w:eastAsia="Arial" w:hAnsi="Arial"/>
          <w:sz w:val="19"/>
          <w:szCs w:val="19"/>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1" w:lineRule="exact"/>
        <w:rPr>
          <w:rFonts w:ascii="Arial" w:cs="Arial" w:eastAsia="Arial" w:hAnsi="Arial"/>
          <w:sz w:val="19"/>
          <w:szCs w:val="19"/>
          <w:color w:val="auto"/>
        </w:rPr>
      </w:pPr>
    </w:p>
    <w:p>
      <w:pPr>
        <w:ind w:left="968" w:right="380" w:hanging="320"/>
        <w:spacing w:after="0" w:line="263" w:lineRule="auto"/>
        <w:tabs>
          <w:tab w:leader="none" w:pos="959" w:val="left"/>
        </w:tabs>
        <w:numPr>
          <w:ilvl w:val="1"/>
          <w:numId w:val="105"/>
        </w:numPr>
        <w:rPr>
          <w:rFonts w:ascii="Arial" w:cs="Arial" w:eastAsia="Arial" w:hAnsi="Arial"/>
          <w:sz w:val="22"/>
          <w:szCs w:val="22"/>
          <w:color w:val="auto"/>
        </w:rPr>
      </w:pPr>
      <w:r>
        <w:rPr>
          <w:rFonts w:ascii="Arial" w:cs="Arial" w:eastAsia="Arial" w:hAnsi="Arial"/>
          <w:sz w:val="22"/>
          <w:szCs w:val="22"/>
          <w:color w:val="auto"/>
        </w:rPr>
        <w:t>Grantee shall have no rights of ownership in the shares of Common Stock underlying the RSUs and no right to vote the shares of Common Stock underlying the RSUs until the date</w:t>
      </w:r>
    </w:p>
    <w:p>
      <w:pPr>
        <w:sectPr>
          <w:pgSz w:w="11900" w:h="16838" w:orient="portrait"/>
          <w:cols w:equalWidth="0" w:num="1">
            <w:col w:w="10908"/>
          </w:cols>
          <w:pgMar w:left="652" w:top="901" w:right="339" w:bottom="1440" w:gutter="0" w:footer="0" w:header="0"/>
        </w:sectPr>
      </w:pPr>
    </w:p>
    <w:bookmarkStart w:id="119" w:name="page120"/>
    <w:bookmarkEnd w:id="119"/>
    <w:p>
      <w:pPr>
        <w:ind w:left="968" w:right="580"/>
        <w:spacing w:after="0" w:line="263" w:lineRule="auto"/>
        <w:rPr>
          <w:sz w:val="20"/>
          <w:szCs w:val="20"/>
          <w:color w:val="auto"/>
        </w:rPr>
      </w:pPr>
      <w:r>
        <w:rPr>
          <w:rFonts w:ascii="Arial" w:cs="Arial" w:eastAsia="Arial" w:hAnsi="Arial"/>
          <w:sz w:val="22"/>
          <w:szCs w:val="22"/>
          <w:color w:val="auto"/>
        </w:rPr>
        <w:t>on which the shares of Common Stock underlying the RSUs are issued or transferred to Grantee pursuant to Section 7 hereof.</w:t>
      </w:r>
    </w:p>
    <w:p>
      <w:pPr>
        <w:spacing w:after="0" w:line="13" w:lineRule="exact"/>
        <w:rPr>
          <w:sz w:val="20"/>
          <w:szCs w:val="20"/>
          <w:color w:val="auto"/>
        </w:rPr>
      </w:pPr>
    </w:p>
    <w:p>
      <w:pPr>
        <w:ind w:left="968" w:right="100" w:hanging="320"/>
        <w:spacing w:after="0" w:line="265" w:lineRule="auto"/>
        <w:tabs>
          <w:tab w:leader="none" w:pos="96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7" w:lineRule="exact"/>
        <w:rPr>
          <w:rFonts w:ascii="Arial" w:cs="Arial" w:eastAsia="Arial" w:hAnsi="Arial"/>
          <w:sz w:val="21"/>
          <w:szCs w:val="21"/>
          <w:color w:val="auto"/>
        </w:rPr>
      </w:pPr>
    </w:p>
    <w:p>
      <w:pPr>
        <w:ind w:left="328" w:right="160" w:hanging="328"/>
        <w:spacing w:after="0" w:line="261" w:lineRule="auto"/>
        <w:tabs>
          <w:tab w:leader="none" w:pos="319" w:val="left"/>
        </w:tabs>
        <w:numPr>
          <w:ilvl w:val="0"/>
          <w:numId w:val="107"/>
        </w:numPr>
        <w:rPr>
          <w:rFonts w:ascii="Arial" w:cs="Arial" w:eastAsia="Arial" w:hAnsi="Arial"/>
          <w:sz w:val="21"/>
          <w:szCs w:val="21"/>
          <w:color w:val="auto"/>
        </w:rPr>
      </w:pPr>
      <w:r>
        <w:rPr>
          <w:rFonts w:ascii="Arial" w:cs="Arial" w:eastAsia="Arial" w:hAnsi="Arial"/>
          <w:sz w:val="21"/>
          <w:szCs w:val="21"/>
          <w:b w:val="1"/>
          <w:bCs w:val="1"/>
          <w:color w:val="auto"/>
        </w:rPr>
        <w:t>No Right to Future Awards or Employment</w:t>
      </w:r>
      <w:r>
        <w:rPr>
          <w:rFonts w:ascii="Arial" w:cs="Arial" w:eastAsia="Arial" w:hAnsi="Arial"/>
          <w:sz w:val="21"/>
          <w:szCs w:val="21"/>
          <w:color w:val="auto"/>
        </w:rPr>
        <w:t>. The grant of the RSUs under this Agreement to Grantee is a 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11" w:lineRule="exact"/>
        <w:rPr>
          <w:rFonts w:ascii="Arial" w:cs="Arial" w:eastAsia="Arial" w:hAnsi="Arial"/>
          <w:sz w:val="21"/>
          <w:szCs w:val="21"/>
          <w:color w:val="auto"/>
        </w:rPr>
      </w:pPr>
    </w:p>
    <w:p>
      <w:pPr>
        <w:ind w:left="328" w:right="200" w:hanging="328"/>
        <w:spacing w:after="0" w:line="311" w:lineRule="auto"/>
        <w:tabs>
          <w:tab w:leader="none" w:pos="318" w:val="left"/>
        </w:tabs>
        <w:numPr>
          <w:ilvl w:val="0"/>
          <w:numId w:val="107"/>
        </w:numPr>
        <w:rPr>
          <w:rFonts w:ascii="Arial" w:cs="Arial" w:eastAsia="Arial" w:hAnsi="Arial"/>
          <w:sz w:val="19"/>
          <w:szCs w:val="19"/>
          <w:color w:val="auto"/>
        </w:rPr>
      </w:pPr>
      <w:r>
        <w:rPr>
          <w:rFonts w:ascii="Arial" w:cs="Arial" w:eastAsia="Arial" w:hAnsi="Arial"/>
          <w:sz w:val="19"/>
          <w:szCs w:val="19"/>
          <w:b w:val="1"/>
          <w:bCs w:val="1"/>
          <w:color w:val="auto"/>
        </w:rPr>
        <w:t>Adjustments</w:t>
      </w:r>
      <w:r>
        <w:rPr>
          <w:rFonts w:ascii="Arial" w:cs="Arial" w:eastAsia="Arial" w:hAnsi="Arial"/>
          <w:sz w:val="19"/>
          <w:szCs w:val="19"/>
          <w:color w:val="auto"/>
        </w:rPr>
        <w:t>. The number of shares of Common Stock issuable for each RSU and the other terms and conditions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evidenced by this Agreement are subject to adjustment as provided in Section 11 of the Plan.</w:t>
      </w:r>
    </w:p>
    <w:p>
      <w:pPr>
        <w:ind w:left="328" w:hanging="328"/>
        <w:spacing w:after="0" w:line="285" w:lineRule="auto"/>
        <w:tabs>
          <w:tab w:leader="none" w:pos="318" w:val="left"/>
        </w:tabs>
        <w:numPr>
          <w:ilvl w:val="0"/>
          <w:numId w:val="107"/>
        </w:numPr>
        <w:rPr>
          <w:rFonts w:ascii="Arial" w:cs="Arial" w:eastAsia="Arial" w:hAnsi="Arial"/>
          <w:sz w:val="19"/>
          <w:szCs w:val="19"/>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To the extent that the Company is required to withhold federal, state, local or foreign taxes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minimum statutory tax rates applicable with respect to Grantee, unless (i) an additional amount can be withheld and not result in adverse accounting consequences, and (ii) such additional withholding amount is authorized by the Committee.</w:t>
      </w:r>
    </w:p>
    <w:p>
      <w:pPr>
        <w:spacing w:after="0" w:line="12" w:lineRule="exact"/>
        <w:rPr>
          <w:rFonts w:ascii="Arial" w:cs="Arial" w:eastAsia="Arial" w:hAnsi="Arial"/>
          <w:sz w:val="19"/>
          <w:szCs w:val="19"/>
          <w:color w:val="auto"/>
        </w:rPr>
      </w:pPr>
    </w:p>
    <w:p>
      <w:pPr>
        <w:ind w:left="328" w:right="340" w:hanging="328"/>
        <w:spacing w:after="0" w:line="252" w:lineRule="auto"/>
        <w:tabs>
          <w:tab w:leader="none" w:pos="318" w:val="left"/>
        </w:tabs>
        <w:numPr>
          <w:ilvl w:val="0"/>
          <w:numId w:val="107"/>
        </w:numPr>
        <w:rPr>
          <w:rFonts w:ascii="Arial" w:cs="Arial" w:eastAsia="Arial" w:hAnsi="Arial"/>
          <w:sz w:val="22"/>
          <w:szCs w:val="22"/>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shall make reasonable efforts to comply with all applicable federal and state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17" w:lineRule="exact"/>
        <w:rPr>
          <w:rFonts w:ascii="Arial" w:cs="Arial" w:eastAsia="Arial" w:hAnsi="Arial"/>
          <w:sz w:val="22"/>
          <w:szCs w:val="22"/>
          <w:color w:val="auto"/>
        </w:rPr>
      </w:pPr>
    </w:p>
    <w:p>
      <w:pPr>
        <w:ind w:left="328" w:right="60" w:hanging="328"/>
        <w:spacing w:after="0" w:line="295" w:lineRule="auto"/>
        <w:tabs>
          <w:tab w:leader="none" w:pos="318" w:val="left"/>
        </w:tabs>
        <w:numPr>
          <w:ilvl w:val="0"/>
          <w:numId w:val="107"/>
        </w:numPr>
        <w:rPr>
          <w:rFonts w:ascii="Arial" w:cs="Arial" w:eastAsia="Arial" w:hAnsi="Arial"/>
          <w:sz w:val="19"/>
          <w:szCs w:val="19"/>
          <w:color w:val="auto"/>
        </w:rPr>
      </w:pPr>
      <w:r>
        <w:rPr>
          <w:rFonts w:ascii="Arial" w:cs="Arial" w:eastAsia="Arial" w:hAnsi="Arial"/>
          <w:sz w:val="19"/>
          <w:szCs w:val="19"/>
          <w:b w:val="1"/>
          <w:bCs w:val="1"/>
          <w:color w:val="auto"/>
        </w:rPr>
        <w:t>Clawback</w:t>
      </w:r>
      <w:r>
        <w:rPr>
          <w:rFonts w:ascii="Arial" w:cs="Arial" w:eastAsia="Arial" w:hAnsi="Arial"/>
          <w:sz w:val="19"/>
          <w:szCs w:val="19"/>
          <w:color w:val="auto"/>
        </w:rPr>
        <w:t>. The RSUs shall be subject to the Company’s Clawback Policy, as in effect on the Date of Grant, as may be</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or supplemented 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w:t>
      </w:r>
    </w:p>
    <w:p>
      <w:pPr>
        <w:sectPr>
          <w:pgSz w:w="11900" w:h="16838" w:orient="portrait"/>
          <w:cols w:equalWidth="0" w:num="1">
            <w:col w:w="10888"/>
          </w:cols>
          <w:pgMar w:left="652" w:top="901" w:right="359" w:bottom="1440" w:gutter="0" w:footer="0" w:header="0"/>
        </w:sectPr>
      </w:pPr>
    </w:p>
    <w:bookmarkStart w:id="120" w:name="page121"/>
    <w:bookmarkEnd w:id="120"/>
    <w:p>
      <w:pPr>
        <w:ind w:left="328" w:right="60"/>
        <w:spacing w:after="0" w:line="259" w:lineRule="auto"/>
        <w:rPr>
          <w:sz w:val="20"/>
          <w:szCs w:val="20"/>
          <w:color w:val="auto"/>
        </w:rPr>
      </w:pPr>
      <w:r>
        <w:rPr>
          <w:rFonts w:ascii="Arial" w:cs="Arial" w:eastAsia="Arial" w:hAnsi="Arial"/>
          <w:sz w:val="21"/>
          <w:szCs w:val="21"/>
          <w:color w:val="auto"/>
        </w:rPr>
        <w:t>standards that may be enacted and in effect from time to time or as the Clawback Policy otherwise may be amended or adopted in good faith by the Board for the Company’s employees. In addition, in the event that Grantee breaches any provision of subparagraphs 7(a) and 7(b) of the Employment Agreement, Grantee shall forfeit any right to receive shares of Common Stock with respect to RSUs that have vested pursuant to Section 5(a)(i) and Section 5(b)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15" w:lineRule="exact"/>
        <w:rPr>
          <w:sz w:val="20"/>
          <w:szCs w:val="20"/>
          <w:color w:val="auto"/>
        </w:rPr>
      </w:pPr>
    </w:p>
    <w:p>
      <w:pPr>
        <w:ind w:left="328" w:right="120" w:hanging="328"/>
        <w:spacing w:after="0" w:line="293" w:lineRule="auto"/>
        <w:tabs>
          <w:tab w:leader="none" w:pos="318"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Relation to Other Benefits</w:t>
      </w:r>
      <w:r>
        <w:rPr>
          <w:rFonts w:ascii="Arial" w:cs="Arial" w:eastAsia="Arial" w:hAnsi="Arial"/>
          <w:sz w:val="19"/>
          <w:szCs w:val="19"/>
          <w:color w:val="auto"/>
        </w:rPr>
        <w:t>. Any economic or other benefit to Grantee under this Agreement or the Plan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taken 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2" w:lineRule="exact"/>
        <w:rPr>
          <w:rFonts w:ascii="Arial" w:cs="Arial" w:eastAsia="Arial" w:hAnsi="Arial"/>
          <w:sz w:val="19"/>
          <w:szCs w:val="19"/>
          <w:color w:val="auto"/>
        </w:rPr>
      </w:pPr>
    </w:p>
    <w:p>
      <w:pPr>
        <w:ind w:left="328" w:right="100" w:hanging="328"/>
        <w:spacing w:after="0" w:line="288" w:lineRule="auto"/>
        <w:tabs>
          <w:tab w:leader="none" w:pos="318"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Any amendment to the Plan shall be deemed to be an amendment to this Agreement to the extent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 or as provided for in subparagraph 4(f) of the Employment Agreement.</w:t>
      </w:r>
    </w:p>
    <w:p>
      <w:pPr>
        <w:spacing w:after="0" w:line="2" w:lineRule="exact"/>
        <w:rPr>
          <w:rFonts w:ascii="Arial" w:cs="Arial" w:eastAsia="Arial" w:hAnsi="Arial"/>
          <w:sz w:val="19"/>
          <w:szCs w:val="19"/>
          <w:color w:val="auto"/>
        </w:rPr>
      </w:pPr>
    </w:p>
    <w:p>
      <w:pPr>
        <w:jc w:val="both"/>
        <w:ind w:left="328" w:right="320" w:hanging="328"/>
        <w:spacing w:after="0" w:line="301" w:lineRule="auto"/>
        <w:tabs>
          <w:tab w:leader="none" w:pos="318"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In the event that one or more of the provisions of this Agreement shall be invalidated for any reason by a</w:t>
      </w:r>
      <w:r>
        <w:rPr>
          <w:rFonts w:ascii="Arial" w:cs="Arial" w:eastAsia="Arial" w:hAnsi="Arial"/>
          <w:sz w:val="19"/>
          <w:szCs w:val="19"/>
          <w:b w:val="1"/>
          <w:bCs w:val="1"/>
          <w:color w:val="auto"/>
        </w:rPr>
        <w:t xml:space="preserve"> </w:t>
      </w:r>
      <w:r>
        <w:rPr>
          <w:rFonts w:ascii="Arial" w:cs="Arial" w:eastAsia="Arial" w:hAnsi="Arial"/>
          <w:sz w:val="19"/>
          <w:szCs w:val="19"/>
          <w:color w:val="auto"/>
        </w:rPr>
        <w:t>court of competent jurisdiction, any provision so invalidated shall be deemed to be separable from the other provisions hereof, and the remaining provisions hereof shall continue to be valid and fully enforceable.</w:t>
      </w:r>
    </w:p>
    <w:p>
      <w:pPr>
        <w:spacing w:after="0" w:line="1" w:lineRule="exact"/>
        <w:rPr>
          <w:rFonts w:ascii="Arial" w:cs="Arial" w:eastAsia="Arial" w:hAnsi="Arial"/>
          <w:sz w:val="19"/>
          <w:szCs w:val="19"/>
          <w:color w:val="auto"/>
        </w:rPr>
      </w:pPr>
    </w:p>
    <w:p>
      <w:pPr>
        <w:ind w:left="328" w:right="160" w:hanging="328"/>
        <w:spacing w:after="0" w:line="268" w:lineRule="auto"/>
        <w:tabs>
          <w:tab w:leader="none" w:pos="318" w:val="left"/>
        </w:tabs>
        <w:numPr>
          <w:ilvl w:val="0"/>
          <w:numId w:val="108"/>
        </w:numPr>
        <w:rPr>
          <w:rFonts w:ascii="Arial" w:cs="Arial" w:eastAsia="Arial" w:hAnsi="Arial"/>
          <w:sz w:val="22"/>
          <w:szCs w:val="22"/>
          <w:color w:val="auto"/>
        </w:rPr>
      </w:pPr>
      <w:r>
        <w:rPr>
          <w:rFonts w:ascii="Arial" w:cs="Arial" w:eastAsia="Arial" w:hAnsi="Arial"/>
          <w:sz w:val="22"/>
          <w:szCs w:val="22"/>
          <w:b w:val="1"/>
          <w:bCs w:val="1"/>
          <w:color w:val="auto"/>
        </w:rPr>
        <w:t>Relation to Plan</w:t>
      </w:r>
      <w:r>
        <w:rPr>
          <w:rFonts w:ascii="Arial" w:cs="Arial" w:eastAsia="Arial" w:hAnsi="Arial"/>
          <w:sz w:val="22"/>
          <w:szCs w:val="22"/>
          <w:color w:val="auto"/>
        </w:rPr>
        <w:t>. This Agreement is subject to the terms and conditions of the Plan. To the extent not expressly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the terms of the Plan shall govern.</w:t>
      </w:r>
    </w:p>
    <w:p>
      <w:pPr>
        <w:spacing w:after="0" w:line="2" w:lineRule="exact"/>
        <w:rPr>
          <w:rFonts w:ascii="Arial" w:cs="Arial" w:eastAsia="Arial" w:hAnsi="Arial"/>
          <w:sz w:val="22"/>
          <w:szCs w:val="22"/>
          <w:color w:val="auto"/>
        </w:rPr>
      </w:pPr>
    </w:p>
    <w:p>
      <w:pPr>
        <w:jc w:val="both"/>
        <w:ind w:left="328" w:right="60" w:hanging="328"/>
        <w:spacing w:after="0" w:line="256" w:lineRule="auto"/>
        <w:tabs>
          <w:tab w:leader="none" w:pos="318" w:val="left"/>
        </w:tabs>
        <w:numPr>
          <w:ilvl w:val="0"/>
          <w:numId w:val="108"/>
        </w:numPr>
        <w:rPr>
          <w:rFonts w:ascii="Arial" w:cs="Arial" w:eastAsia="Arial" w:hAnsi="Arial"/>
          <w:sz w:val="22"/>
          <w:szCs w:val="22"/>
          <w:color w:val="auto"/>
        </w:rPr>
      </w:pPr>
      <w:r>
        <w:rPr>
          <w:rFonts w:ascii="Arial" w:cs="Arial" w:eastAsia="Arial" w:hAnsi="Arial"/>
          <w:sz w:val="22"/>
          <w:szCs w:val="22"/>
          <w:b w:val="1"/>
          <w:bCs w:val="1"/>
          <w:color w:val="auto"/>
        </w:rPr>
        <w:t>Acknowledgement</w:t>
      </w:r>
      <w:r>
        <w:rPr>
          <w:rFonts w:ascii="Arial" w:cs="Arial" w:eastAsia="Arial" w:hAnsi="Arial"/>
          <w:sz w:val="22"/>
          <w:szCs w:val="22"/>
          <w:color w:val="auto"/>
        </w:rPr>
        <w:t>. Grantee acknowledges that Grantee (a) has received a copy of the Plan, (b) has had an opportunity to</w:t>
      </w:r>
      <w:r>
        <w:rPr>
          <w:rFonts w:ascii="Arial" w:cs="Arial" w:eastAsia="Arial" w:hAnsi="Arial"/>
          <w:sz w:val="22"/>
          <w:szCs w:val="22"/>
          <w:b w:val="1"/>
          <w:bCs w:val="1"/>
          <w:color w:val="auto"/>
        </w:rPr>
        <w:t xml:space="preserve"> </w:t>
      </w:r>
      <w:r>
        <w:rPr>
          <w:rFonts w:ascii="Arial" w:cs="Arial" w:eastAsia="Arial" w:hAnsi="Arial"/>
          <w:sz w:val="22"/>
          <w:szCs w:val="22"/>
          <w:color w:val="auto"/>
        </w:rPr>
        <w:t>review the terms of this Agreement and the Plan, (c) understands the terms and conditions of this Agreement and the Plan and (d) agrees to such terms and conditions.</w:t>
      </w:r>
    </w:p>
    <w:p>
      <w:pPr>
        <w:spacing w:after="0" w:line="14" w:lineRule="exact"/>
        <w:rPr>
          <w:rFonts w:ascii="Arial" w:cs="Arial" w:eastAsia="Arial" w:hAnsi="Arial"/>
          <w:sz w:val="22"/>
          <w:szCs w:val="22"/>
          <w:color w:val="auto"/>
        </w:rPr>
      </w:pPr>
    </w:p>
    <w:p>
      <w:pPr>
        <w:jc w:val="both"/>
        <w:ind w:left="328" w:hanging="328"/>
        <w:spacing w:after="0" w:line="256" w:lineRule="auto"/>
        <w:tabs>
          <w:tab w:leader="none" w:pos="318" w:val="left"/>
        </w:tabs>
        <w:numPr>
          <w:ilvl w:val="0"/>
          <w:numId w:val="108"/>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Without limiting Section 3 hereof, the provisions of this Agreement shall inure to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and be binding upon, the successors, administrators, heirs, legal representatives and assigns of Grantee, and the successors and assigns of the Company.</w:t>
      </w:r>
    </w:p>
    <w:p>
      <w:pPr>
        <w:spacing w:after="0" w:line="14" w:lineRule="exact"/>
        <w:rPr>
          <w:rFonts w:ascii="Arial" w:cs="Arial" w:eastAsia="Arial" w:hAnsi="Arial"/>
          <w:sz w:val="22"/>
          <w:szCs w:val="22"/>
          <w:color w:val="auto"/>
        </w:rPr>
      </w:pPr>
    </w:p>
    <w:p>
      <w:pPr>
        <w:ind w:left="328" w:right="100" w:hanging="328"/>
        <w:spacing w:after="0" w:line="256" w:lineRule="auto"/>
        <w:tabs>
          <w:tab w:leader="none" w:pos="318" w:val="left"/>
        </w:tabs>
        <w:numPr>
          <w:ilvl w:val="0"/>
          <w:numId w:val="108"/>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internal substantive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giving effect to any principle of law that would result in the application of the law of any other jurisdiction.</w:t>
      </w:r>
    </w:p>
    <w:p>
      <w:pPr>
        <w:spacing w:after="0" w:line="14" w:lineRule="exact"/>
        <w:rPr>
          <w:rFonts w:ascii="Arial" w:cs="Arial" w:eastAsia="Arial" w:hAnsi="Arial"/>
          <w:sz w:val="22"/>
          <w:szCs w:val="22"/>
          <w:color w:val="auto"/>
        </w:rPr>
      </w:pPr>
    </w:p>
    <w:p>
      <w:pPr>
        <w:ind w:left="328" w:right="180" w:hanging="328"/>
        <w:spacing w:after="0" w:line="298" w:lineRule="auto"/>
        <w:tabs>
          <w:tab w:leader="none" w:pos="318"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to the Company provided for herein shall be in writing (including electronically)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w:t>
      </w:r>
    </w:p>
    <w:p>
      <w:pPr>
        <w:sectPr>
          <w:pgSz w:w="11900" w:h="16838" w:orient="portrait"/>
          <w:cols w:equalWidth="0" w:num="1">
            <w:col w:w="10908"/>
          </w:cols>
          <w:pgMar w:left="652" w:top="901" w:right="339" w:bottom="1440" w:gutter="0" w:footer="0" w:header="0"/>
        </w:sectPr>
      </w:pPr>
    </w:p>
    <w:bookmarkStart w:id="121" w:name="page122"/>
    <w:bookmarkEnd w:id="121"/>
    <w:p>
      <w:pPr>
        <w:ind w:left="328"/>
        <w:spacing w:after="0" w:line="278" w:lineRule="auto"/>
        <w:rPr>
          <w:sz w:val="20"/>
          <w:szCs w:val="20"/>
          <w:color w:val="auto"/>
        </w:rPr>
      </w:pPr>
      <w:r>
        <w:rPr>
          <w:rFonts w:ascii="Arial" w:cs="Arial" w:eastAsia="Arial" w:hAnsi="Arial"/>
          <w:sz w:val="21"/>
          <w:szCs w:val="21"/>
          <w:color w:val="auto"/>
        </w:rPr>
        <w:t>hereunder by written notice to the other party as herein specified (provided that for this purpose any mailed notice shall be deemed given on the third business day following deposit of the same in the United States mail).</w:t>
      </w:r>
    </w:p>
    <w:p>
      <w:pPr>
        <w:spacing w:after="0" w:line="2" w:lineRule="exact"/>
        <w:rPr>
          <w:sz w:val="20"/>
          <w:szCs w:val="20"/>
          <w:color w:val="auto"/>
        </w:rPr>
      </w:pPr>
    </w:p>
    <w:p>
      <w:pPr>
        <w:ind w:left="328" w:right="160" w:hanging="328"/>
        <w:spacing w:after="0" w:line="249" w:lineRule="auto"/>
        <w:tabs>
          <w:tab w:leader="none" w:pos="318"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the RSUs and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4" w:lineRule="exact"/>
        <w:rPr>
          <w:rFonts w:ascii="Arial" w:cs="Arial" w:eastAsia="Arial" w:hAnsi="Arial"/>
          <w:sz w:val="22"/>
          <w:szCs w:val="22"/>
          <w:color w:val="auto"/>
        </w:rPr>
      </w:pPr>
    </w:p>
    <w:p>
      <w:pPr>
        <w:ind w:left="328" w:hanging="328"/>
        <w:spacing w:after="0" w:line="289" w:lineRule="auto"/>
        <w:tabs>
          <w:tab w:leader="none" w:pos="318" w:val="left"/>
        </w:tabs>
        <w:numPr>
          <w:ilvl w:val="0"/>
          <w:numId w:val="109"/>
        </w:numPr>
        <w:rPr>
          <w:rFonts w:ascii="Arial" w:cs="Arial" w:eastAsia="Arial" w:hAnsi="Arial"/>
          <w:sz w:val="19"/>
          <w:szCs w:val="19"/>
          <w:color w:val="auto"/>
        </w:rPr>
      </w:pPr>
      <w:r>
        <w:rPr>
          <w:rFonts w:ascii="Arial" w:cs="Arial" w:eastAsia="Arial" w:hAnsi="Arial"/>
          <w:sz w:val="19"/>
          <w:szCs w:val="19"/>
          <w:b w:val="1"/>
          <w:bCs w:val="1"/>
          <w:color w:val="auto"/>
        </w:rPr>
        <w:t>Section 409A of the Code</w:t>
      </w:r>
      <w:r>
        <w:rPr>
          <w:rFonts w:ascii="Arial" w:cs="Arial" w:eastAsia="Arial" w:hAnsi="Arial"/>
          <w:sz w:val="19"/>
          <w:szCs w:val="19"/>
          <w:color w:val="auto"/>
        </w:rPr>
        <w:t>. To the extent applicable, it is intended that this Agreement and the Plan comply with or be</w:t>
      </w:r>
      <w:r>
        <w:rPr>
          <w:rFonts w:ascii="Arial" w:cs="Arial" w:eastAsia="Arial" w:hAnsi="Arial"/>
          <w:sz w:val="19"/>
          <w:szCs w:val="19"/>
          <w:b w:val="1"/>
          <w:bCs w:val="1"/>
          <w:color w:val="auto"/>
        </w:rPr>
        <w:t xml:space="preserve"> </w:t>
      </w:r>
      <w:r>
        <w:rPr>
          <w:rFonts w:ascii="Arial" w:cs="Arial" w:eastAsia="Arial" w:hAnsi="Arial"/>
          <w:sz w:val="19"/>
          <w:szCs w:val="19"/>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 w:lineRule="exact"/>
        <w:rPr>
          <w:rFonts w:ascii="Arial" w:cs="Arial" w:eastAsia="Arial" w:hAnsi="Arial"/>
          <w:sz w:val="19"/>
          <w:szCs w:val="19"/>
          <w:color w:val="auto"/>
        </w:rPr>
      </w:pPr>
    </w:p>
    <w:p>
      <w:pPr>
        <w:ind w:left="328" w:hanging="328"/>
        <w:spacing w:after="0" w:line="256" w:lineRule="auto"/>
        <w:tabs>
          <w:tab w:leader="none" w:pos="318"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(including facsimile and other electronically</w:t>
      </w:r>
      <w:r>
        <w:rPr>
          <w:rFonts w:ascii="Arial" w:cs="Arial" w:eastAsia="Arial" w:hAnsi="Arial"/>
          <w:sz w:val="22"/>
          <w:szCs w:val="22"/>
          <w:b w:val="1"/>
          <w:bCs w:val="1"/>
          <w:color w:val="auto"/>
        </w:rPr>
        <w:t xml:space="preserve"> </w:t>
      </w:r>
      <w:r>
        <w:rPr>
          <w:rFonts w:ascii="Arial" w:cs="Arial" w:eastAsia="Arial" w:hAnsi="Arial"/>
          <w:sz w:val="22"/>
          <w:szCs w:val="22"/>
          <w:color w:val="auto"/>
        </w:rPr>
        <w:t>transmitted counterparts), each of which shall be deemed to be an original but all of which together will constitute one and the same agreement.</w:t>
      </w:r>
    </w:p>
    <w:p>
      <w:pPr>
        <w:spacing w:after="0" w:line="14"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[SIGNATURES ON FOLLOWING PAGE]</w:t>
      </w:r>
    </w:p>
    <w:p>
      <w:pPr>
        <w:sectPr>
          <w:pgSz w:w="11900" w:h="16838" w:orient="portrait"/>
          <w:cols w:equalWidth="0" w:num="1">
            <w:col w:w="10888"/>
          </w:cols>
          <w:pgMar w:left="652" w:top="901" w:right="359" w:bottom="1440" w:gutter="0" w:footer="0" w:header="0"/>
        </w:sectPr>
      </w:pPr>
    </w:p>
    <w:bookmarkStart w:id="122" w:name="page123"/>
    <w:bookmarkEnd w:id="122"/>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on its behalf by its duly authorized officer and Grantee has executed this Agreement, as of the Date of Grant.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AGNC INVESTMENT CORP.</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GRANTEE’S SIGNATURE</w:t>
      </w:r>
    </w:p>
    <w:p>
      <w:pPr>
        <w:spacing w:after="0" w:line="35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Print Name: _________________</w:t>
      </w:r>
    </w:p>
    <w:p>
      <w:pPr>
        <w:sectPr>
          <w:pgSz w:w="11900" w:h="16838" w:orient="portrait"/>
          <w:cols w:equalWidth="0" w:num="1">
            <w:col w:w="10940"/>
          </w:cols>
          <w:pgMar w:left="320" w:top="901" w:right="6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color w:val="auto"/>
        </w:rPr>
        <w:t>Exhibit 10.27</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AGNC INVESTMENT CORP.</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AND INCENTIVE COMPENSATION PLAN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PERFORMANCE-BASED RESTRICTED STOCK UNIT AGREEMENT</w:t>
      </w:r>
    </w:p>
    <w:p>
      <w:pPr>
        <w:spacing w:after="0" w:line="361" w:lineRule="exact"/>
        <w:rPr>
          <w:sz w:val="20"/>
          <w:szCs w:val="20"/>
          <w:color w:val="auto"/>
        </w:rPr>
      </w:pPr>
    </w:p>
    <w:p>
      <w:pPr>
        <w:ind w:right="240"/>
        <w:spacing w:after="0" w:line="343" w:lineRule="auto"/>
        <w:rPr>
          <w:sz w:val="20"/>
          <w:szCs w:val="20"/>
          <w:color w:val="auto"/>
        </w:rPr>
      </w:pPr>
      <w:r>
        <w:rPr>
          <w:rFonts w:ascii="Arial" w:cs="Arial" w:eastAsia="Arial" w:hAnsi="Arial"/>
          <w:sz w:val="19"/>
          <w:szCs w:val="19"/>
          <w:color w:val="auto"/>
        </w:rPr>
        <w:t>This PERFORMANCE-BASED RESTRICTED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 ]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AGNC Investment Corp.,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 ] (“</w:t>
      </w:r>
      <w:r>
        <w:rPr>
          <w:rFonts w:ascii="Arial" w:cs="Arial" w:eastAsia="Arial" w:hAnsi="Arial"/>
          <w:sz w:val="19"/>
          <w:szCs w:val="19"/>
          <w:u w:val="single" w:color="auto"/>
          <w:color w:val="auto"/>
        </w:rPr>
        <w:t>Grantee</w:t>
      </w:r>
      <w:r>
        <w:rPr>
          <w:rFonts w:ascii="Arial" w:cs="Arial" w:eastAsia="Arial" w:hAnsi="Arial"/>
          <w:sz w:val="19"/>
          <w:szCs w:val="19"/>
          <w:color w:val="auto"/>
        </w:rPr>
        <w:t>”).</w:t>
      </w:r>
    </w:p>
    <w:p>
      <w:pPr>
        <w:spacing w:after="0" w:line="233" w:lineRule="exact"/>
        <w:rPr>
          <w:sz w:val="20"/>
          <w:szCs w:val="20"/>
          <w:color w:val="auto"/>
        </w:rPr>
      </w:pPr>
    </w:p>
    <w:p>
      <w:pPr>
        <w:jc w:val="both"/>
        <w:ind w:left="660" w:right="200" w:hanging="328"/>
        <w:spacing w:after="0" w:line="314" w:lineRule="auto"/>
        <w:tabs>
          <w:tab w:leader="none" w:pos="651" w:val="left"/>
        </w:tabs>
        <w:numPr>
          <w:ilvl w:val="0"/>
          <w:numId w:val="110"/>
        </w:numPr>
        <w:rPr>
          <w:rFonts w:ascii="Arial" w:cs="Arial" w:eastAsia="Arial" w:hAnsi="Arial"/>
          <w:sz w:val="19"/>
          <w:szCs w:val="19"/>
          <w:color w:val="auto"/>
        </w:rPr>
      </w:pPr>
      <w:r>
        <w:rPr>
          <w:rFonts w:ascii="Arial" w:cs="Arial" w:eastAsia="Arial" w:hAnsi="Arial"/>
          <w:sz w:val="19"/>
          <w:szCs w:val="19"/>
          <w:b w:val="1"/>
          <w:bCs w:val="1"/>
          <w:color w:val="auto"/>
        </w:rPr>
        <w:t>Certain Definitions</w:t>
      </w:r>
      <w:r>
        <w:rPr>
          <w:rFonts w:ascii="Arial" w:cs="Arial" w:eastAsia="Arial" w:hAnsi="Arial"/>
          <w:sz w:val="19"/>
          <w:szCs w:val="19"/>
          <w:color w:val="auto"/>
        </w:rPr>
        <w:t>. Capitalized terms used, but not otherwise defined, in this Agreement will have the meanings given</w:t>
      </w:r>
      <w:r>
        <w:rPr>
          <w:rFonts w:ascii="Arial" w:cs="Arial" w:eastAsia="Arial" w:hAnsi="Arial"/>
          <w:sz w:val="19"/>
          <w:szCs w:val="19"/>
          <w:b w:val="1"/>
          <w:bCs w:val="1"/>
          <w:color w:val="auto"/>
        </w:rPr>
        <w:t xml:space="preserve"> </w:t>
      </w:r>
      <w:r>
        <w:rPr>
          <w:rFonts w:ascii="Arial" w:cs="Arial" w:eastAsia="Arial" w:hAnsi="Arial"/>
          <w:sz w:val="19"/>
          <w:szCs w:val="19"/>
          <w:color w:val="auto"/>
        </w:rPr>
        <w:t>to such terms in the Company’s 2016 Equity and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As used in this Agreement:</w:t>
      </w:r>
    </w:p>
    <w:p>
      <w:pPr>
        <w:spacing w:after="0" w:line="1" w:lineRule="exact"/>
        <w:rPr>
          <w:rFonts w:ascii="Arial" w:cs="Arial" w:eastAsia="Arial" w:hAnsi="Arial"/>
          <w:sz w:val="19"/>
          <w:szCs w:val="19"/>
          <w:color w:val="auto"/>
        </w:rPr>
      </w:pPr>
    </w:p>
    <w:p>
      <w:pPr>
        <w:ind w:left="1300" w:hanging="320"/>
        <w:spacing w:after="0"/>
        <w:tabs>
          <w:tab w:leader="none" w:pos="130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 ].</w:t>
      </w:r>
    </w:p>
    <w:p>
      <w:pPr>
        <w:spacing w:after="0" w:line="57" w:lineRule="exact"/>
        <w:rPr>
          <w:rFonts w:ascii="Arial" w:cs="Arial" w:eastAsia="Arial" w:hAnsi="Arial"/>
          <w:sz w:val="22"/>
          <w:szCs w:val="22"/>
          <w:color w:val="auto"/>
        </w:rPr>
      </w:pPr>
    </w:p>
    <w:p>
      <w:pPr>
        <w:ind w:left="1360" w:hanging="380"/>
        <w:spacing w:after="0"/>
        <w:tabs>
          <w:tab w:leader="none" w:pos="136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w:t>
      </w:r>
      <w:r>
        <w:rPr>
          <w:rFonts w:ascii="Arial" w:cs="Arial" w:eastAsia="Arial" w:hAnsi="Arial"/>
          <w:sz w:val="22"/>
          <w:szCs w:val="22"/>
          <w:color w:val="auto"/>
        </w:rPr>
        <w:t>” means AGNC Mortgage Management, LLC.</w:t>
      </w:r>
    </w:p>
    <w:p>
      <w:pPr>
        <w:spacing w:after="0" w:line="57" w:lineRule="exact"/>
        <w:rPr>
          <w:rFonts w:ascii="Arial" w:cs="Arial" w:eastAsia="Arial" w:hAnsi="Arial"/>
          <w:sz w:val="22"/>
          <w:szCs w:val="22"/>
          <w:color w:val="auto"/>
        </w:rPr>
      </w:pPr>
    </w:p>
    <w:p>
      <w:pPr>
        <w:ind w:left="1300" w:right="380" w:hanging="320"/>
        <w:spacing w:after="0" w:line="263" w:lineRule="auto"/>
        <w:tabs>
          <w:tab w:leader="none" w:pos="1291" w:val="left"/>
        </w:tabs>
        <w:numPr>
          <w:ilvl w:val="1"/>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xml:space="preserve">” means the AER Performance Period or the RER Performance Period, each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as applicable.</w:t>
      </w:r>
    </w:p>
    <w:p>
      <w:pPr>
        <w:spacing w:after="0" w:line="12" w:lineRule="exact"/>
        <w:rPr>
          <w:rFonts w:ascii="Arial" w:cs="Arial" w:eastAsia="Arial" w:hAnsi="Arial"/>
          <w:sz w:val="22"/>
          <w:szCs w:val="22"/>
          <w:color w:val="auto"/>
        </w:rPr>
      </w:pPr>
    </w:p>
    <w:p>
      <w:pPr>
        <w:ind w:left="1300" w:right="80" w:hanging="320"/>
        <w:spacing w:after="0" w:line="253" w:lineRule="auto"/>
        <w:tabs>
          <w:tab w:leader="none" w:pos="1291" w:val="left"/>
        </w:tabs>
        <w:numPr>
          <w:ilvl w:val="1"/>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Re-Externalization</w:t>
      </w:r>
      <w:r>
        <w:rPr>
          <w:rFonts w:ascii="Arial" w:cs="Arial" w:eastAsia="Arial" w:hAnsi="Arial"/>
          <w:sz w:val="22"/>
          <w:szCs w:val="22"/>
          <w:color w:val="auto"/>
        </w:rPr>
        <w:t>” means a sale, merger or other transaction that results in the transfer or issuance of a majority of the outstanding equity interests of the Manager or AGNC Management, LLC to a person or entity other than a Subsidiary of the Company.</w:t>
      </w:r>
    </w:p>
    <w:p>
      <w:pPr>
        <w:spacing w:after="0" w:line="23" w:lineRule="exact"/>
        <w:rPr>
          <w:rFonts w:ascii="Arial" w:cs="Arial" w:eastAsia="Arial" w:hAnsi="Arial"/>
          <w:sz w:val="22"/>
          <w:szCs w:val="22"/>
          <w:color w:val="auto"/>
        </w:rPr>
      </w:pPr>
    </w:p>
    <w:p>
      <w:pPr>
        <w:ind w:left="1300" w:right="60" w:hanging="320"/>
        <w:spacing w:after="0" w:line="285" w:lineRule="auto"/>
        <w:tabs>
          <w:tab w:leader="none" w:pos="1353" w:val="left"/>
        </w:tabs>
        <w:numPr>
          <w:ilvl w:val="1"/>
          <w:numId w:val="1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Award</w:t>
      </w:r>
      <w:r>
        <w:rPr>
          <w:rFonts w:ascii="Arial" w:cs="Arial" w:eastAsia="Arial" w:hAnsi="Arial"/>
          <w:sz w:val="19"/>
          <w:szCs w:val="19"/>
          <w:color w:val="auto"/>
        </w:rPr>
        <w:t xml:space="preserve">” means an award (i) of time-based RSUs (as defined in Section 2 hereof) with a value at least equal to the value of the RSUs covered by this Agreement, determined based on actual achievement of the performance conditions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on a Prorated Basis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of the most recent date prior to the Change of Control for which applicable data for such determination is publicly available, as determined by the Board or the Committee pursuant to </w:t>
      </w:r>
      <w:r>
        <w:rPr>
          <w:rFonts w:ascii="Arial" w:cs="Arial" w:eastAsia="Arial" w:hAnsi="Arial"/>
          <w:sz w:val="19"/>
          <w:szCs w:val="19"/>
          <w:u w:val="single" w:color="auto"/>
          <w:color w:val="auto"/>
        </w:rPr>
        <w:t>Exhibit A</w:t>
      </w:r>
      <w:r>
        <w:rPr>
          <w:rFonts w:ascii="Arial" w:cs="Arial" w:eastAsia="Arial" w:hAnsi="Arial"/>
          <w:sz w:val="19"/>
          <w:szCs w:val="19"/>
          <w:color w:val="auto"/>
        </w:rPr>
        <w:t>, (ii) that vests in full on the date set forth in Section 4,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1(f) are satisfied will be made by the Committee, as constituted immediately prior to the Change of Control, in its sole discretion.</w:t>
      </w:r>
    </w:p>
    <w:p>
      <w:pPr>
        <w:spacing w:after="0" w:line="260" w:lineRule="exact"/>
        <w:rPr>
          <w:rFonts w:ascii="Arial" w:cs="Arial" w:eastAsia="Arial" w:hAnsi="Arial"/>
          <w:sz w:val="19"/>
          <w:szCs w:val="19"/>
          <w:color w:val="auto"/>
        </w:rPr>
      </w:pPr>
    </w:p>
    <w:p>
      <w:pPr>
        <w:ind w:left="1340" w:hanging="360"/>
        <w:spacing w:after="0"/>
        <w:tabs>
          <w:tab w:leader="none" w:pos="134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For Good Reason</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has the meaning set forth in the Employment Agreement.</w:t>
      </w:r>
    </w:p>
    <w:p>
      <w:pPr>
        <w:sectPr>
          <w:pgSz w:w="11900" w:h="16838" w:orient="portrait"/>
          <w:cols w:equalWidth="0" w:num="1">
            <w:col w:w="11240"/>
          </w:cols>
          <w:pgMar w:left="320" w:top="901" w:right="339" w:bottom="1440" w:gutter="0" w:footer="0" w:header="0"/>
        </w:sectPr>
      </w:pPr>
    </w:p>
    <w:bookmarkStart w:id="124" w:name="page125"/>
    <w:bookmarkEnd w:id="124"/>
    <w:p>
      <w:pPr>
        <w:ind w:left="968" w:hanging="320"/>
        <w:spacing w:after="0"/>
        <w:tabs>
          <w:tab w:leader="none" w:pos="968" w:val="left"/>
        </w:tabs>
        <w:numPr>
          <w:ilvl w:val="1"/>
          <w:numId w:val="1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Voluntary Termination</w:t>
      </w:r>
      <w:r>
        <w:rPr>
          <w:rFonts w:ascii="Arial" w:cs="Arial" w:eastAsia="Arial" w:hAnsi="Arial"/>
          <w:sz w:val="22"/>
          <w:szCs w:val="22"/>
          <w:color w:val="auto"/>
        </w:rPr>
        <w:t>” has the meaning set forth in the Employment Agreement.</w:t>
      </w:r>
    </w:p>
    <w:p>
      <w:pPr>
        <w:spacing w:after="0" w:line="51" w:lineRule="exact"/>
        <w:rPr>
          <w:rFonts w:ascii="Arial" w:cs="Arial" w:eastAsia="Arial" w:hAnsi="Arial"/>
          <w:sz w:val="22"/>
          <w:szCs w:val="22"/>
          <w:color w:val="auto"/>
        </w:rPr>
      </w:pPr>
    </w:p>
    <w:p>
      <w:pPr>
        <w:ind w:left="328" w:right="60" w:hanging="328"/>
        <w:spacing w:after="0" w:line="261" w:lineRule="auto"/>
        <w:tabs>
          <w:tab w:leader="none" w:pos="319" w:val="left"/>
        </w:tabs>
        <w:numPr>
          <w:ilvl w:val="0"/>
          <w:numId w:val="112"/>
        </w:numPr>
        <w:rPr>
          <w:rFonts w:ascii="Arial" w:cs="Arial" w:eastAsia="Arial" w:hAnsi="Arial"/>
          <w:sz w:val="21"/>
          <w:szCs w:val="21"/>
          <w:color w:val="auto"/>
        </w:rPr>
      </w:pPr>
      <w:r>
        <w:rPr>
          <w:rFonts w:ascii="Arial" w:cs="Arial" w:eastAsia="Arial" w:hAnsi="Arial"/>
          <w:sz w:val="21"/>
          <w:szCs w:val="21"/>
          <w:b w:val="1"/>
          <w:bCs w:val="1"/>
          <w:color w:val="auto"/>
        </w:rPr>
        <w:t>Grant of RSUs</w:t>
      </w:r>
      <w:r>
        <w:rPr>
          <w:rFonts w:ascii="Arial" w:cs="Arial" w:eastAsia="Arial" w:hAnsi="Arial"/>
          <w:sz w:val="21"/>
          <w:szCs w:val="21"/>
          <w:color w:val="auto"/>
        </w:rPr>
        <w:t>. Subject to and upon the terms, conditions and restrictions set forth in this Agreement and in the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hereby grants to Grantee a target number of [_____] Restricted Stock Units (the “</w:t>
      </w:r>
      <w:r>
        <w:rPr>
          <w:rFonts w:ascii="Arial" w:cs="Arial" w:eastAsia="Arial" w:hAnsi="Arial"/>
          <w:sz w:val="21"/>
          <w:szCs w:val="21"/>
          <w:u w:val="single" w:color="auto"/>
          <w:color w:val="auto"/>
        </w:rPr>
        <w:t>Target Number of RSUs</w:t>
      </w:r>
      <w:r>
        <w:rPr>
          <w:rFonts w:ascii="Arial" w:cs="Arial" w:eastAsia="Arial" w:hAnsi="Arial"/>
          <w:sz w:val="21"/>
          <w:szCs w:val="21"/>
          <w:color w:val="auto"/>
        </w:rPr>
        <w:t xml:space="preserve">”) (with a maximum number of [_____] Restricted Stock Units to be potentially earned pursuant to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Maximum Number of RSUs</w:t>
      </w:r>
      <w:r>
        <w:rPr>
          <w:rFonts w:ascii="Arial" w:cs="Arial" w:eastAsia="Arial" w:hAnsi="Arial"/>
          <w:sz w:val="21"/>
          <w:szCs w:val="21"/>
          <w:color w:val="auto"/>
        </w:rPr>
        <w:t>”, and all Restricted Stock Units covered by this Agreement, the “</w:t>
      </w:r>
      <w:r>
        <w:rPr>
          <w:rFonts w:ascii="Arial" w:cs="Arial" w:eastAsia="Arial" w:hAnsi="Arial"/>
          <w:sz w:val="21"/>
          <w:szCs w:val="21"/>
          <w:u w:val="single" w:color="auto"/>
          <w:color w:val="auto"/>
        </w:rPr>
        <w:t>RSUs</w:t>
      </w:r>
      <w:r>
        <w:rPr>
          <w:rFonts w:ascii="Arial" w:cs="Arial" w:eastAsia="Arial" w:hAnsi="Arial"/>
          <w:sz w:val="21"/>
          <w:szCs w:val="21"/>
          <w:color w:val="auto"/>
        </w:rPr>
        <w:t xml:space="preserve">”)), plus the related RSUs granted as dividend equivalents pursuant to the terms of Section 8(a), and subject to the terms and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Each RSU shall represent the right of Grantee to receive one share of Common Stock subject to and upon the terms and conditions of this Agreement.</w:t>
      </w:r>
    </w:p>
    <w:p>
      <w:pPr>
        <w:spacing w:after="0" w:line="11" w:lineRule="exact"/>
        <w:rPr>
          <w:rFonts w:ascii="Arial" w:cs="Arial" w:eastAsia="Arial" w:hAnsi="Arial"/>
          <w:sz w:val="21"/>
          <w:szCs w:val="21"/>
          <w:color w:val="auto"/>
        </w:rPr>
      </w:pPr>
    </w:p>
    <w:p>
      <w:pPr>
        <w:ind w:left="328" w:right="440" w:hanging="328"/>
        <w:spacing w:after="0" w:line="256" w:lineRule="auto"/>
        <w:tabs>
          <w:tab w:leader="none" w:pos="319" w:val="left"/>
        </w:tabs>
        <w:numPr>
          <w:ilvl w:val="0"/>
          <w:numId w:val="112"/>
        </w:numPr>
        <w:rPr>
          <w:rFonts w:ascii="Arial" w:cs="Arial" w:eastAsia="Arial" w:hAnsi="Arial"/>
          <w:sz w:val="22"/>
          <w:szCs w:val="22"/>
          <w:color w:val="auto"/>
        </w:rPr>
      </w:pPr>
      <w:r>
        <w:rPr>
          <w:rFonts w:ascii="Arial" w:cs="Arial" w:eastAsia="Arial" w:hAnsi="Arial"/>
          <w:sz w:val="22"/>
          <w:szCs w:val="22"/>
          <w:b w:val="1"/>
          <w:bCs w:val="1"/>
          <w:color w:val="auto"/>
        </w:rPr>
        <w:t>Restrictions on Transfer of RSUs</w:t>
      </w:r>
      <w:r>
        <w:rPr>
          <w:rFonts w:ascii="Arial" w:cs="Arial" w:eastAsia="Arial" w:hAnsi="Arial"/>
          <w:sz w:val="22"/>
          <w:szCs w:val="22"/>
          <w:color w:val="auto"/>
        </w:rPr>
        <w:t>. Neither the RSUs evidenced hereby nor any interest therein or in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underlying such RSUs shall be transferable prior to payment to Grantee pursuant to Section 7 hereof, other than as described in Section 15 of the Plan.</w:t>
      </w:r>
    </w:p>
    <w:p>
      <w:pPr>
        <w:spacing w:after="0" w:line="14" w:lineRule="exact"/>
        <w:rPr>
          <w:rFonts w:ascii="Arial" w:cs="Arial" w:eastAsia="Arial" w:hAnsi="Arial"/>
          <w:sz w:val="22"/>
          <w:szCs w:val="22"/>
          <w:color w:val="auto"/>
        </w:rPr>
      </w:pPr>
    </w:p>
    <w:p>
      <w:pPr>
        <w:ind w:left="328" w:right="20" w:hanging="328"/>
        <w:spacing w:after="0" w:line="252" w:lineRule="auto"/>
        <w:tabs>
          <w:tab w:leader="none" w:pos="319" w:val="left"/>
        </w:tabs>
        <w:numPr>
          <w:ilvl w:val="0"/>
          <w:numId w:val="112"/>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The RSUs covered by this Agreement shall become nonforfeitable and payable to Grantee on [ ], provided that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Board or the Committee has certified achievement of the applicable performance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Grantee remains continuously employed by the Company or any of its Subsidiaries (or any of their successors) through such date.</w:t>
      </w:r>
    </w:p>
    <w:p>
      <w:pPr>
        <w:spacing w:after="0" w:line="17" w:lineRule="exact"/>
        <w:rPr>
          <w:rFonts w:ascii="Arial" w:cs="Arial" w:eastAsia="Arial" w:hAnsi="Arial"/>
          <w:sz w:val="22"/>
          <w:szCs w:val="22"/>
          <w:color w:val="auto"/>
        </w:rPr>
      </w:pPr>
    </w:p>
    <w:p>
      <w:pPr>
        <w:ind w:left="328" w:right="540" w:hanging="328"/>
        <w:spacing w:after="0" w:line="314" w:lineRule="auto"/>
        <w:tabs>
          <w:tab w:leader="none" w:pos="319" w:val="left"/>
        </w:tabs>
        <w:numPr>
          <w:ilvl w:val="0"/>
          <w:numId w:val="112"/>
        </w:numPr>
        <w:rPr>
          <w:rFonts w:ascii="Arial" w:cs="Arial" w:eastAsia="Arial" w:hAnsi="Arial"/>
          <w:sz w:val="19"/>
          <w:szCs w:val="19"/>
          <w:color w:val="auto"/>
        </w:rPr>
      </w:pPr>
      <w:r>
        <w:rPr>
          <w:rFonts w:ascii="Arial" w:cs="Arial" w:eastAsia="Arial" w:hAnsi="Arial"/>
          <w:sz w:val="19"/>
          <w:szCs w:val="19"/>
          <w:b w:val="1"/>
          <w:bCs w:val="1"/>
          <w:color w:val="auto"/>
        </w:rPr>
        <w:t>Accelerated Vesting</w:t>
      </w:r>
      <w:r>
        <w:rPr>
          <w:rFonts w:ascii="Arial" w:cs="Arial" w:eastAsia="Arial" w:hAnsi="Arial"/>
          <w:sz w:val="19"/>
          <w:szCs w:val="19"/>
          <w:color w:val="auto"/>
        </w:rPr>
        <w:t>. Notwithstanding the provisions of Section 4 hereof, the RSUs covered by this Agreement will</w:t>
      </w:r>
      <w:r>
        <w:rPr>
          <w:rFonts w:ascii="Arial" w:cs="Arial" w:eastAsia="Arial" w:hAnsi="Arial"/>
          <w:sz w:val="19"/>
          <w:szCs w:val="19"/>
          <w:b w:val="1"/>
          <w:bCs w:val="1"/>
          <w:color w:val="auto"/>
        </w:rPr>
        <w:t xml:space="preserve"> </w:t>
      </w:r>
      <w:r>
        <w:rPr>
          <w:rFonts w:ascii="Arial" w:cs="Arial" w:eastAsia="Arial" w:hAnsi="Arial"/>
          <w:sz w:val="19"/>
          <w:szCs w:val="19"/>
          <w:color w:val="auto"/>
        </w:rPr>
        <w:t>become nonforfeitable and payable to Grantee upon the occurrence of the earliest of any of the following events:</w:t>
      </w:r>
    </w:p>
    <w:p>
      <w:pPr>
        <w:spacing w:after="0" w:line="1" w:lineRule="exact"/>
        <w:rPr>
          <w:rFonts w:ascii="Arial" w:cs="Arial" w:eastAsia="Arial" w:hAnsi="Arial"/>
          <w:sz w:val="19"/>
          <w:szCs w:val="19"/>
          <w:color w:val="auto"/>
        </w:rPr>
      </w:pPr>
    </w:p>
    <w:p>
      <w:pPr>
        <w:ind w:left="968" w:right="20" w:hanging="320"/>
        <w:spacing w:after="0" w:line="259" w:lineRule="auto"/>
        <w:tabs>
          <w:tab w:leader="none" w:pos="959" w:val="left"/>
        </w:tabs>
        <w:numPr>
          <w:ilvl w:val="1"/>
          <w:numId w:val="112"/>
        </w:numPr>
        <w:rPr>
          <w:rFonts w:ascii="Arial" w:cs="Arial" w:eastAsia="Arial" w:hAnsi="Arial"/>
          <w:sz w:val="21"/>
          <w:szCs w:val="21"/>
          <w:color w:val="auto"/>
        </w:rPr>
      </w:pPr>
      <w:r>
        <w:rPr>
          <w:rFonts w:ascii="Arial" w:cs="Arial" w:eastAsia="Arial" w:hAnsi="Arial"/>
          <w:sz w:val="21"/>
          <w:szCs w:val="21"/>
          <w:color w:val="auto"/>
        </w:rPr>
        <w:t xml:space="preserve">If, while Grantee is continuously employed by the Company or any of its Subsidiaries (or any of their successors), a Change of Control occurs and a Replacement Award is not provided to Grantee on the date of such Change of Control, the number of RSUs that will become nonforfeitable and payable to Grantee shall equal the number of RSUs that Grantee would be entitled to receive based on actual achievement of the performance conditions described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on a Prorated Basis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 of the most recent date prior to the Change of Control for which applicable data for such determination is publicly available, as determined by the Board or the Committee pursuant to </w:t>
      </w:r>
      <w:r>
        <w:rPr>
          <w:rFonts w:ascii="Arial" w:cs="Arial" w:eastAsia="Arial" w:hAnsi="Arial"/>
          <w:sz w:val="21"/>
          <w:szCs w:val="21"/>
          <w:u w:val="single" w:color="auto"/>
          <w:color w:val="auto"/>
        </w:rPr>
        <w:t>Exhibit A</w:t>
      </w:r>
      <w:r>
        <w:rPr>
          <w:rFonts w:ascii="Arial" w:cs="Arial" w:eastAsia="Arial" w:hAnsi="Arial"/>
          <w:sz w:val="21"/>
          <w:szCs w:val="21"/>
          <w:color w:val="auto"/>
        </w:rPr>
        <w:t>. Such number of RSUs shall become nonforfeitable and payable to Grantee on the date of such Change of Control.</w:t>
      </w:r>
    </w:p>
    <w:p>
      <w:pPr>
        <w:spacing w:after="0" w:line="21" w:lineRule="exact"/>
        <w:rPr>
          <w:rFonts w:ascii="Arial" w:cs="Arial" w:eastAsia="Arial" w:hAnsi="Arial"/>
          <w:sz w:val="21"/>
          <w:szCs w:val="21"/>
          <w:color w:val="auto"/>
        </w:rPr>
      </w:pPr>
    </w:p>
    <w:p>
      <w:pPr>
        <w:ind w:left="968" w:hanging="320"/>
        <w:spacing w:after="0" w:line="288" w:lineRule="auto"/>
        <w:tabs>
          <w:tab w:leader="none" w:pos="959"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If Grantee’s employment with the Company or any of its Subsidiaries (or any of their successors) terminates at any time as a result of: (i) Grantee’s death, (ii) Grantee’s Disability (pursuant to subparagraph 5(b)(ii) of the Employment Agreement), (iii) a Termination Without Cause, or (iv) a Termination For Good Reason, the number of RSUs that will become nonforfeitable and payable to Grantee shall equal the number of RSUs that Grantee would have been entitled to receive if Grantee had remained employed until the last day of the Performance Period (based on actual achievement of the performance conditions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during the Performance Period, as determined by the Board or the Committee after the end of the Performance Period). Such number of RSUs shall become nonforfeitable and payable to Grantee on or before March 15 of the calendar year immediately following the end of the Performance Period.</w:t>
      </w:r>
    </w:p>
    <w:p>
      <w:pPr>
        <w:spacing w:after="0" w:line="2" w:lineRule="exact"/>
        <w:rPr>
          <w:rFonts w:ascii="Arial" w:cs="Arial" w:eastAsia="Arial" w:hAnsi="Arial"/>
          <w:sz w:val="19"/>
          <w:szCs w:val="19"/>
          <w:color w:val="auto"/>
        </w:rPr>
      </w:pPr>
    </w:p>
    <w:p>
      <w:pPr>
        <w:ind w:left="968" w:right="40" w:hanging="320"/>
        <w:spacing w:after="0" w:line="302" w:lineRule="auto"/>
        <w:tabs>
          <w:tab w:leader="none" w:pos="96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If Grantee’s employment with the Company or any of its Subsidiaries (or any of their successors) terminates as a result of Grantee’s Voluntary Termination on the dates and under the circumstances described in Section 4(c)(ii) of the Employment Agreement, the RSUs covered by this Agreement will become nonforfeitable and payable to Grantee in accordance with, and to the extent provided in, Section 4(c)(ii) of the Employment Agreement.</w:t>
      </w:r>
    </w:p>
    <w:p>
      <w:pPr>
        <w:sectPr>
          <w:pgSz w:w="11900" w:h="16838" w:orient="portrait"/>
          <w:cols w:equalWidth="0" w:num="1">
            <w:col w:w="10908"/>
          </w:cols>
          <w:pgMar w:left="652" w:top="901" w:right="339" w:bottom="1440" w:gutter="0" w:footer="0" w:header="0"/>
        </w:sectPr>
      </w:pPr>
    </w:p>
    <w:bookmarkStart w:id="125" w:name="page126"/>
    <w:bookmarkEnd w:id="125"/>
    <w:p>
      <w:pPr>
        <w:ind w:left="328" w:right="140" w:hanging="328"/>
        <w:spacing w:after="0" w:line="249" w:lineRule="auto"/>
        <w:tabs>
          <w:tab w:leader="none" w:pos="319"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Forfeiture</w:t>
      </w:r>
      <w:r>
        <w:rPr>
          <w:rFonts w:ascii="Arial" w:cs="Arial" w:eastAsia="Arial" w:hAnsi="Arial"/>
          <w:sz w:val="22"/>
          <w:szCs w:val="22"/>
          <w:color w:val="auto"/>
        </w:rPr>
        <w:t>. Except to the extent the RSUs covered by this Agreement have become nonforfeitable pursuant to Section 4</w:t>
      </w:r>
      <w:r>
        <w:rPr>
          <w:rFonts w:ascii="Arial" w:cs="Arial" w:eastAsia="Arial" w:hAnsi="Arial"/>
          <w:sz w:val="22"/>
          <w:szCs w:val="22"/>
          <w:b w:val="1"/>
          <w:bCs w:val="1"/>
          <w:color w:val="auto"/>
        </w:rPr>
        <w:t xml:space="preserve"> </w:t>
      </w:r>
      <w:r>
        <w:rPr>
          <w:rFonts w:ascii="Arial" w:cs="Arial" w:eastAsia="Arial" w:hAnsi="Arial"/>
          <w:sz w:val="22"/>
          <w:szCs w:val="22"/>
          <w:color w:val="auto"/>
        </w:rPr>
        <w:t>or Section 5 hereof, the 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spacing w:after="0" w:line="24" w:lineRule="exact"/>
        <w:rPr>
          <w:rFonts w:ascii="Arial" w:cs="Arial" w:eastAsia="Arial" w:hAnsi="Arial"/>
          <w:sz w:val="22"/>
          <w:szCs w:val="22"/>
          <w:color w:val="auto"/>
        </w:rPr>
      </w:pPr>
    </w:p>
    <w:p>
      <w:pPr>
        <w:ind w:left="308" w:hanging="308"/>
        <w:spacing w:after="0"/>
        <w:tabs>
          <w:tab w:leader="none" w:pos="308"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Form and Time of Payment of RSUs</w:t>
      </w:r>
      <w:r>
        <w:rPr>
          <w:rFonts w:ascii="Arial" w:cs="Arial" w:eastAsia="Arial" w:hAnsi="Arial"/>
          <w:sz w:val="22"/>
          <w:szCs w:val="22"/>
          <w:color w:val="auto"/>
        </w:rPr>
        <w:t>.</w:t>
      </w:r>
    </w:p>
    <w:p>
      <w:pPr>
        <w:spacing w:after="0" w:line="63" w:lineRule="exact"/>
        <w:rPr>
          <w:rFonts w:ascii="Arial" w:cs="Arial" w:eastAsia="Arial" w:hAnsi="Arial"/>
          <w:sz w:val="22"/>
          <w:szCs w:val="22"/>
          <w:color w:val="auto"/>
        </w:rPr>
      </w:pPr>
    </w:p>
    <w:p>
      <w:pPr>
        <w:ind w:left="968" w:hanging="320"/>
        <w:spacing w:after="0" w:line="293" w:lineRule="auto"/>
        <w:tabs>
          <w:tab w:leader="none" w:pos="959"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Form</w:t>
      </w:r>
      <w:r>
        <w:rPr>
          <w:rFonts w:ascii="Arial" w:cs="Arial" w:eastAsia="Arial" w:hAnsi="Arial"/>
          <w:sz w:val="19"/>
          <w:szCs w:val="19"/>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2" w:lineRule="exact"/>
        <w:rPr>
          <w:rFonts w:ascii="Arial" w:cs="Arial" w:eastAsia="Arial" w:hAnsi="Arial"/>
          <w:sz w:val="19"/>
          <w:szCs w:val="19"/>
          <w:color w:val="auto"/>
        </w:rPr>
      </w:pPr>
    </w:p>
    <w:p>
      <w:pPr>
        <w:ind w:left="968" w:hanging="320"/>
        <w:spacing w:after="0"/>
        <w:tabs>
          <w:tab w:leader="none" w:pos="968"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Timing</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628" w:right="580" w:hanging="440"/>
        <w:spacing w:after="0" w:line="263" w:lineRule="auto"/>
        <w:tabs>
          <w:tab w:leader="none" w:pos="1628" w:val="left"/>
        </w:tabs>
        <w:numPr>
          <w:ilvl w:val="2"/>
          <w:numId w:val="113"/>
        </w:numPr>
        <w:rPr>
          <w:rFonts w:ascii="Arial" w:cs="Arial" w:eastAsia="Arial" w:hAnsi="Arial"/>
          <w:sz w:val="22"/>
          <w:szCs w:val="22"/>
          <w:color w:val="auto"/>
        </w:rPr>
      </w:pPr>
      <w:r>
        <w:rPr>
          <w:rFonts w:ascii="Arial" w:cs="Arial" w:eastAsia="Arial" w:hAnsi="Arial"/>
          <w:sz w:val="22"/>
          <w:szCs w:val="22"/>
          <w:color w:val="auto"/>
        </w:rPr>
        <w:t>The RSUs that become nonforfeitable pursuant to Section 4 hereof shall be paid within ten (10) days following the date on which such RSUs become nonforfeitable.</w:t>
      </w:r>
    </w:p>
    <w:p>
      <w:pPr>
        <w:spacing w:after="0" w:line="12" w:lineRule="exact"/>
        <w:rPr>
          <w:rFonts w:ascii="Arial" w:cs="Arial" w:eastAsia="Arial" w:hAnsi="Arial"/>
          <w:sz w:val="22"/>
          <w:szCs w:val="22"/>
          <w:color w:val="auto"/>
        </w:rPr>
      </w:pPr>
    </w:p>
    <w:p>
      <w:pPr>
        <w:ind w:left="1628" w:right="460" w:hanging="488"/>
        <w:spacing w:after="0" w:line="263" w:lineRule="auto"/>
        <w:tabs>
          <w:tab w:leader="none" w:pos="1628" w:val="left"/>
        </w:tabs>
        <w:numPr>
          <w:ilvl w:val="2"/>
          <w:numId w:val="113"/>
        </w:numPr>
        <w:rPr>
          <w:rFonts w:ascii="Arial" w:cs="Arial" w:eastAsia="Arial" w:hAnsi="Arial"/>
          <w:sz w:val="22"/>
          <w:szCs w:val="22"/>
          <w:color w:val="auto"/>
        </w:rPr>
      </w:pPr>
      <w:r>
        <w:rPr>
          <w:rFonts w:ascii="Arial" w:cs="Arial" w:eastAsia="Arial" w:hAnsi="Arial"/>
          <w:sz w:val="22"/>
          <w:szCs w:val="22"/>
          <w:color w:val="auto"/>
        </w:rPr>
        <w:t>The RSUs that become nonforfeitable pursuant to Section 5(a) hereof shall be paid on the date of such Change of Control.</w:t>
      </w:r>
    </w:p>
    <w:p>
      <w:pPr>
        <w:spacing w:after="0" w:line="12" w:lineRule="exact"/>
        <w:rPr>
          <w:rFonts w:ascii="Arial" w:cs="Arial" w:eastAsia="Arial" w:hAnsi="Arial"/>
          <w:sz w:val="22"/>
          <w:szCs w:val="22"/>
          <w:color w:val="auto"/>
        </w:rPr>
      </w:pPr>
    </w:p>
    <w:p>
      <w:pPr>
        <w:ind w:left="1628" w:right="40" w:hanging="536"/>
        <w:spacing w:after="0" w:line="290" w:lineRule="auto"/>
        <w:tabs>
          <w:tab w:leader="none" w:pos="1628" w:val="left"/>
        </w:tabs>
        <w:numPr>
          <w:ilvl w:val="2"/>
          <w:numId w:val="113"/>
        </w:numPr>
        <w:rPr>
          <w:rFonts w:ascii="Arial" w:cs="Arial" w:eastAsia="Arial" w:hAnsi="Arial"/>
          <w:sz w:val="19"/>
          <w:szCs w:val="19"/>
          <w:color w:val="auto"/>
        </w:rPr>
      </w:pPr>
      <w:r>
        <w:rPr>
          <w:rFonts w:ascii="Arial" w:cs="Arial" w:eastAsia="Arial" w:hAnsi="Arial"/>
          <w:sz w:val="19"/>
          <w:szCs w:val="19"/>
          <w:color w:val="auto"/>
        </w:rPr>
        <w:t>The RSUs that become nonforfeitable pursuant to Sections 5(b) and 5(c) hereof shall be paid on or before March 15 of the calendar year immediately following the end of the Performance Period; provided that if any of the events contemplated in Sections 5(b) or 5(c) hereof occurs on or before the last day of the Performance Period, Grantee (or, if applicable, his estate) shall have first executed and not revoked the release described in subparagraph 6(g) of the Employment Agreement in accordance with the requirements of subparagraph 6(g) of the Employment Agreement.</w:t>
      </w:r>
    </w:p>
    <w:p>
      <w:pPr>
        <w:spacing w:after="0" w:line="2" w:lineRule="exact"/>
        <w:rPr>
          <w:rFonts w:ascii="Arial" w:cs="Arial" w:eastAsia="Arial" w:hAnsi="Arial"/>
          <w:sz w:val="19"/>
          <w:szCs w:val="19"/>
          <w:color w:val="auto"/>
        </w:rPr>
      </w:pPr>
    </w:p>
    <w:p>
      <w:pPr>
        <w:ind w:left="308" w:hanging="308"/>
        <w:spacing w:after="0"/>
        <w:tabs>
          <w:tab w:leader="none" w:pos="308"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Dividend Equivalents; Other Rights</w:t>
      </w:r>
      <w:r>
        <w:rPr>
          <w:rFonts w:ascii="Arial" w:cs="Arial" w:eastAsia="Arial" w:hAnsi="Arial"/>
          <w:sz w:val="22"/>
          <w:szCs w:val="22"/>
          <w:color w:val="auto"/>
        </w:rPr>
        <w:t>.</w:t>
      </w:r>
    </w:p>
    <w:p>
      <w:pPr>
        <w:spacing w:after="0" w:line="63" w:lineRule="exact"/>
        <w:rPr>
          <w:rFonts w:ascii="Arial" w:cs="Arial" w:eastAsia="Arial" w:hAnsi="Arial"/>
          <w:sz w:val="22"/>
          <w:szCs w:val="22"/>
          <w:color w:val="auto"/>
        </w:rPr>
      </w:pPr>
    </w:p>
    <w:p>
      <w:pPr>
        <w:ind w:left="968" w:right="20" w:hanging="320"/>
        <w:spacing w:after="0" w:line="287" w:lineRule="auto"/>
        <w:tabs>
          <w:tab w:leader="none" w:pos="95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1" w:lineRule="exact"/>
        <w:rPr>
          <w:rFonts w:ascii="Arial" w:cs="Arial" w:eastAsia="Arial" w:hAnsi="Arial"/>
          <w:sz w:val="19"/>
          <w:szCs w:val="19"/>
          <w:color w:val="auto"/>
        </w:rPr>
      </w:pPr>
    </w:p>
    <w:p>
      <w:pPr>
        <w:ind w:left="968" w:right="380" w:hanging="320"/>
        <w:spacing w:after="0" w:line="312" w:lineRule="auto"/>
        <w:tabs>
          <w:tab w:leader="none" w:pos="95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ectPr>
          <w:pgSz w:w="11900" w:h="16838" w:orient="portrait"/>
          <w:cols w:equalWidth="0" w:num="1">
            <w:col w:w="10908"/>
          </w:cols>
          <w:pgMar w:left="652" w:top="895" w:right="339" w:bottom="1440" w:gutter="0" w:footer="0" w:header="0"/>
        </w:sectPr>
      </w:pPr>
    </w:p>
    <w:bookmarkStart w:id="126" w:name="page127"/>
    <w:bookmarkEnd w:id="126"/>
    <w:p>
      <w:pPr>
        <w:ind w:left="968" w:right="100" w:hanging="320"/>
        <w:spacing w:after="0" w:line="265" w:lineRule="auto"/>
        <w:tabs>
          <w:tab w:leader="none" w:pos="96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7" w:lineRule="exact"/>
        <w:rPr>
          <w:rFonts w:ascii="Arial" w:cs="Arial" w:eastAsia="Arial" w:hAnsi="Arial"/>
          <w:sz w:val="21"/>
          <w:szCs w:val="21"/>
          <w:color w:val="auto"/>
        </w:rPr>
      </w:pPr>
    </w:p>
    <w:p>
      <w:pPr>
        <w:ind w:left="328" w:right="160" w:hanging="328"/>
        <w:spacing w:after="0" w:line="261" w:lineRule="auto"/>
        <w:tabs>
          <w:tab w:leader="none" w:pos="319" w:val="left"/>
        </w:tabs>
        <w:numPr>
          <w:ilvl w:val="0"/>
          <w:numId w:val="115"/>
        </w:numPr>
        <w:rPr>
          <w:rFonts w:ascii="Arial" w:cs="Arial" w:eastAsia="Arial" w:hAnsi="Arial"/>
          <w:sz w:val="21"/>
          <w:szCs w:val="21"/>
          <w:color w:val="auto"/>
        </w:rPr>
      </w:pPr>
      <w:r>
        <w:rPr>
          <w:rFonts w:ascii="Arial" w:cs="Arial" w:eastAsia="Arial" w:hAnsi="Arial"/>
          <w:sz w:val="21"/>
          <w:szCs w:val="21"/>
          <w:b w:val="1"/>
          <w:bCs w:val="1"/>
          <w:color w:val="auto"/>
        </w:rPr>
        <w:t>No Right to Future Awards or Employment</w:t>
      </w:r>
      <w:r>
        <w:rPr>
          <w:rFonts w:ascii="Arial" w:cs="Arial" w:eastAsia="Arial" w:hAnsi="Arial"/>
          <w:sz w:val="21"/>
          <w:szCs w:val="21"/>
          <w:color w:val="auto"/>
        </w:rPr>
        <w:t>. The grant of the RSUs under this Agreement to Grantee is a 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11" w:lineRule="exact"/>
        <w:rPr>
          <w:rFonts w:ascii="Arial" w:cs="Arial" w:eastAsia="Arial" w:hAnsi="Arial"/>
          <w:sz w:val="21"/>
          <w:szCs w:val="21"/>
          <w:color w:val="auto"/>
        </w:rPr>
      </w:pPr>
    </w:p>
    <w:p>
      <w:pPr>
        <w:ind w:left="328" w:right="200" w:hanging="328"/>
        <w:spacing w:after="0" w:line="311" w:lineRule="auto"/>
        <w:tabs>
          <w:tab w:leader="none" w:pos="318" w:val="left"/>
        </w:tabs>
        <w:numPr>
          <w:ilvl w:val="0"/>
          <w:numId w:val="115"/>
        </w:numPr>
        <w:rPr>
          <w:rFonts w:ascii="Arial" w:cs="Arial" w:eastAsia="Arial" w:hAnsi="Arial"/>
          <w:sz w:val="19"/>
          <w:szCs w:val="19"/>
          <w:color w:val="auto"/>
        </w:rPr>
      </w:pPr>
      <w:r>
        <w:rPr>
          <w:rFonts w:ascii="Arial" w:cs="Arial" w:eastAsia="Arial" w:hAnsi="Arial"/>
          <w:sz w:val="19"/>
          <w:szCs w:val="19"/>
          <w:b w:val="1"/>
          <w:bCs w:val="1"/>
          <w:color w:val="auto"/>
        </w:rPr>
        <w:t>Adjustments</w:t>
      </w:r>
      <w:r>
        <w:rPr>
          <w:rFonts w:ascii="Arial" w:cs="Arial" w:eastAsia="Arial" w:hAnsi="Arial"/>
          <w:sz w:val="19"/>
          <w:szCs w:val="19"/>
          <w:color w:val="auto"/>
        </w:rPr>
        <w:t>. The number of shares of Common Stock issuable for each RSU and the other terms and conditions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evidenced by this Agreement are subject to adjustment as provided in Section 11 of the Plan.</w:t>
      </w:r>
    </w:p>
    <w:p>
      <w:pPr>
        <w:ind w:left="328" w:hanging="328"/>
        <w:spacing w:after="0" w:line="285" w:lineRule="auto"/>
        <w:tabs>
          <w:tab w:leader="none" w:pos="318" w:val="left"/>
        </w:tabs>
        <w:numPr>
          <w:ilvl w:val="0"/>
          <w:numId w:val="115"/>
        </w:numPr>
        <w:rPr>
          <w:rFonts w:ascii="Arial" w:cs="Arial" w:eastAsia="Arial" w:hAnsi="Arial"/>
          <w:sz w:val="19"/>
          <w:szCs w:val="19"/>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To the extent that the Company is required to withhold federal, state, local or foreign taxes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minimum statutory tax rates applicable with respect to Grantee, unless (i) an additional amount can be withheld and not result in adverse accounting consequences, and (ii) such additional withholding amount is authorized by the Committee.</w:t>
      </w:r>
    </w:p>
    <w:p>
      <w:pPr>
        <w:spacing w:after="0" w:line="12" w:lineRule="exact"/>
        <w:rPr>
          <w:rFonts w:ascii="Arial" w:cs="Arial" w:eastAsia="Arial" w:hAnsi="Arial"/>
          <w:sz w:val="19"/>
          <w:szCs w:val="19"/>
          <w:color w:val="auto"/>
        </w:rPr>
      </w:pPr>
    </w:p>
    <w:p>
      <w:pPr>
        <w:ind w:left="328" w:right="340" w:hanging="328"/>
        <w:spacing w:after="0" w:line="252" w:lineRule="auto"/>
        <w:tabs>
          <w:tab w:leader="none" w:pos="318" w:val="left"/>
        </w:tabs>
        <w:numPr>
          <w:ilvl w:val="0"/>
          <w:numId w:val="115"/>
        </w:numPr>
        <w:rPr>
          <w:rFonts w:ascii="Arial" w:cs="Arial" w:eastAsia="Arial" w:hAnsi="Arial"/>
          <w:sz w:val="22"/>
          <w:szCs w:val="22"/>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shall make reasonable efforts to comply with all applicable federal and state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17" w:lineRule="exact"/>
        <w:rPr>
          <w:rFonts w:ascii="Arial" w:cs="Arial" w:eastAsia="Arial" w:hAnsi="Arial"/>
          <w:sz w:val="22"/>
          <w:szCs w:val="22"/>
          <w:color w:val="auto"/>
        </w:rPr>
      </w:pPr>
    </w:p>
    <w:p>
      <w:pPr>
        <w:ind w:left="328" w:right="60" w:hanging="328"/>
        <w:spacing w:after="0" w:line="260" w:lineRule="auto"/>
        <w:tabs>
          <w:tab w:leader="none" w:pos="318" w:val="left"/>
        </w:tabs>
        <w:numPr>
          <w:ilvl w:val="0"/>
          <w:numId w:val="115"/>
        </w:numPr>
        <w:rPr>
          <w:rFonts w:ascii="Arial" w:cs="Arial" w:eastAsia="Arial" w:hAnsi="Arial"/>
          <w:sz w:val="21"/>
          <w:szCs w:val="21"/>
          <w:color w:val="auto"/>
        </w:rPr>
      </w:pPr>
      <w:r>
        <w:rPr>
          <w:rFonts w:ascii="Arial" w:cs="Arial" w:eastAsia="Arial" w:hAnsi="Arial"/>
          <w:sz w:val="21"/>
          <w:szCs w:val="21"/>
          <w:b w:val="1"/>
          <w:bCs w:val="1"/>
          <w:color w:val="auto"/>
        </w:rPr>
        <w:t>Clawback</w:t>
      </w:r>
      <w:r>
        <w:rPr>
          <w:rFonts w:ascii="Arial" w:cs="Arial" w:eastAsia="Arial" w:hAnsi="Arial"/>
          <w:sz w:val="21"/>
          <w:szCs w:val="21"/>
          <w:color w:val="auto"/>
        </w:rPr>
        <w:t>. The RSUs shall be subject to the Company’s Clawback Policy, as in effect on the Date of Grant, as may be</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or supplemented 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 or as the Clawback Policy otherwise may be amended or adopted in good faith by the Board for the Company’s employees. In addition,</w:t>
      </w:r>
    </w:p>
    <w:p>
      <w:pPr>
        <w:sectPr>
          <w:pgSz w:w="11900" w:h="16838" w:orient="portrait"/>
          <w:cols w:equalWidth="0" w:num="1">
            <w:col w:w="10888"/>
          </w:cols>
          <w:pgMar w:left="652" w:top="901" w:right="359" w:bottom="1440" w:gutter="0" w:footer="0" w:header="0"/>
        </w:sectPr>
      </w:pPr>
    </w:p>
    <w:bookmarkStart w:id="127" w:name="page128"/>
    <w:bookmarkEnd w:id="127"/>
    <w:p>
      <w:pPr>
        <w:ind w:left="328" w:right="20"/>
        <w:spacing w:after="0" w:line="261" w:lineRule="auto"/>
        <w:rPr>
          <w:sz w:val="20"/>
          <w:szCs w:val="20"/>
          <w:color w:val="auto"/>
        </w:rPr>
      </w:pPr>
      <w:r>
        <w:rPr>
          <w:rFonts w:ascii="Arial" w:cs="Arial" w:eastAsia="Arial" w:hAnsi="Arial"/>
          <w:sz w:val="21"/>
          <w:szCs w:val="21"/>
          <w:color w:val="auto"/>
        </w:rPr>
        <w:t>in the event that Grantee breaches any provision of subparagraphs 7(a) and 7(b) of the Employment Agreement, Grantee shall forfeit any right to receive shares of Common Stock with respect to RSUs that have vested pursuant to Sections 5(b) and 5(c)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11" w:lineRule="exact"/>
        <w:rPr>
          <w:sz w:val="20"/>
          <w:szCs w:val="20"/>
          <w:color w:val="auto"/>
        </w:rPr>
      </w:pPr>
    </w:p>
    <w:p>
      <w:pPr>
        <w:ind w:left="328" w:right="120" w:hanging="328"/>
        <w:spacing w:after="0" w:line="293" w:lineRule="auto"/>
        <w:tabs>
          <w:tab w:leader="none" w:pos="318"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Relation to Other Benefits</w:t>
      </w:r>
      <w:r>
        <w:rPr>
          <w:rFonts w:ascii="Arial" w:cs="Arial" w:eastAsia="Arial" w:hAnsi="Arial"/>
          <w:sz w:val="19"/>
          <w:szCs w:val="19"/>
          <w:color w:val="auto"/>
        </w:rPr>
        <w:t>. Any economic or other benefit to Grantee under this Agreement or the Plan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taken 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2" w:lineRule="exact"/>
        <w:rPr>
          <w:rFonts w:ascii="Arial" w:cs="Arial" w:eastAsia="Arial" w:hAnsi="Arial"/>
          <w:sz w:val="19"/>
          <w:szCs w:val="19"/>
          <w:color w:val="auto"/>
        </w:rPr>
      </w:pPr>
    </w:p>
    <w:p>
      <w:pPr>
        <w:ind w:left="328" w:right="100" w:hanging="328"/>
        <w:spacing w:after="0" w:line="288" w:lineRule="auto"/>
        <w:tabs>
          <w:tab w:leader="none" w:pos="318"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Any amendment to the Plan shall be deemed to be an amendment to this Agreement to the extent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 or as provided for in subparagraph 4(f) of the Employment Agreement.</w:t>
      </w:r>
    </w:p>
    <w:p>
      <w:pPr>
        <w:spacing w:after="0" w:line="2" w:lineRule="exact"/>
        <w:rPr>
          <w:rFonts w:ascii="Arial" w:cs="Arial" w:eastAsia="Arial" w:hAnsi="Arial"/>
          <w:sz w:val="19"/>
          <w:szCs w:val="19"/>
          <w:color w:val="auto"/>
        </w:rPr>
      </w:pPr>
    </w:p>
    <w:p>
      <w:pPr>
        <w:jc w:val="both"/>
        <w:ind w:left="328" w:right="320" w:hanging="328"/>
        <w:spacing w:after="0" w:line="301" w:lineRule="auto"/>
        <w:tabs>
          <w:tab w:leader="none" w:pos="318"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In the event that one or more of the provisions of this Agreement shall be invalidated for any reason by a</w:t>
      </w:r>
      <w:r>
        <w:rPr>
          <w:rFonts w:ascii="Arial" w:cs="Arial" w:eastAsia="Arial" w:hAnsi="Arial"/>
          <w:sz w:val="19"/>
          <w:szCs w:val="19"/>
          <w:b w:val="1"/>
          <w:bCs w:val="1"/>
          <w:color w:val="auto"/>
        </w:rPr>
        <w:t xml:space="preserve"> </w:t>
      </w:r>
      <w:r>
        <w:rPr>
          <w:rFonts w:ascii="Arial" w:cs="Arial" w:eastAsia="Arial" w:hAnsi="Arial"/>
          <w:sz w:val="19"/>
          <w:szCs w:val="19"/>
          <w:color w:val="auto"/>
        </w:rPr>
        <w:t>court of competent jurisdiction, any provision so invalidated shall be deemed to be separable from the other provisions hereof, and the remaining provisions hereof shall continue to be valid and fully enforceable.</w:t>
      </w:r>
    </w:p>
    <w:p>
      <w:pPr>
        <w:spacing w:after="0" w:line="1" w:lineRule="exact"/>
        <w:rPr>
          <w:rFonts w:ascii="Arial" w:cs="Arial" w:eastAsia="Arial" w:hAnsi="Arial"/>
          <w:sz w:val="19"/>
          <w:szCs w:val="19"/>
          <w:color w:val="auto"/>
        </w:rPr>
      </w:pPr>
    </w:p>
    <w:p>
      <w:pPr>
        <w:ind w:left="328" w:right="160" w:hanging="328"/>
        <w:spacing w:after="0" w:line="268" w:lineRule="auto"/>
        <w:tabs>
          <w:tab w:leader="none" w:pos="318"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Relation to Plan</w:t>
      </w:r>
      <w:r>
        <w:rPr>
          <w:rFonts w:ascii="Arial" w:cs="Arial" w:eastAsia="Arial" w:hAnsi="Arial"/>
          <w:sz w:val="22"/>
          <w:szCs w:val="22"/>
          <w:color w:val="auto"/>
        </w:rPr>
        <w:t>. This Agreement is subject to the terms and conditions of the Plan. To the extent not expressly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the terms of the Plan shall govern.</w:t>
      </w:r>
    </w:p>
    <w:p>
      <w:pPr>
        <w:spacing w:after="0" w:line="2" w:lineRule="exact"/>
        <w:rPr>
          <w:rFonts w:ascii="Arial" w:cs="Arial" w:eastAsia="Arial" w:hAnsi="Arial"/>
          <w:sz w:val="22"/>
          <w:szCs w:val="22"/>
          <w:color w:val="auto"/>
        </w:rPr>
      </w:pPr>
    </w:p>
    <w:p>
      <w:pPr>
        <w:jc w:val="both"/>
        <w:ind w:left="328" w:right="60" w:hanging="328"/>
        <w:spacing w:after="0" w:line="256" w:lineRule="auto"/>
        <w:tabs>
          <w:tab w:leader="none" w:pos="318"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Acknowledgement</w:t>
      </w:r>
      <w:r>
        <w:rPr>
          <w:rFonts w:ascii="Arial" w:cs="Arial" w:eastAsia="Arial" w:hAnsi="Arial"/>
          <w:sz w:val="22"/>
          <w:szCs w:val="22"/>
          <w:color w:val="auto"/>
        </w:rPr>
        <w:t>. Grantee acknowledges that Grantee (a) has received a copy of the Plan, (b) has had an opportunity to</w:t>
      </w:r>
      <w:r>
        <w:rPr>
          <w:rFonts w:ascii="Arial" w:cs="Arial" w:eastAsia="Arial" w:hAnsi="Arial"/>
          <w:sz w:val="22"/>
          <w:szCs w:val="22"/>
          <w:b w:val="1"/>
          <w:bCs w:val="1"/>
          <w:color w:val="auto"/>
        </w:rPr>
        <w:t xml:space="preserve"> </w:t>
      </w:r>
      <w:r>
        <w:rPr>
          <w:rFonts w:ascii="Arial" w:cs="Arial" w:eastAsia="Arial" w:hAnsi="Arial"/>
          <w:sz w:val="22"/>
          <w:szCs w:val="22"/>
          <w:color w:val="auto"/>
        </w:rPr>
        <w:t>review the terms of this Agreement and the Plan, (c) understands the terms and conditions of this Agreement and the Plan and (d) agrees to such terms and conditions.</w:t>
      </w:r>
    </w:p>
    <w:p>
      <w:pPr>
        <w:spacing w:after="0" w:line="14" w:lineRule="exact"/>
        <w:rPr>
          <w:rFonts w:ascii="Arial" w:cs="Arial" w:eastAsia="Arial" w:hAnsi="Arial"/>
          <w:sz w:val="22"/>
          <w:szCs w:val="22"/>
          <w:color w:val="auto"/>
        </w:rPr>
      </w:pPr>
    </w:p>
    <w:p>
      <w:pPr>
        <w:jc w:val="both"/>
        <w:ind w:left="328" w:hanging="328"/>
        <w:spacing w:after="0" w:line="256" w:lineRule="auto"/>
        <w:tabs>
          <w:tab w:leader="none" w:pos="318"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Without limiting Section 3 hereof, the provisions of this Agreement shall inure to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and be binding upon, the successors, administrators, heirs, legal representatives and assigns of Grantee, and the successors and assigns of the Company.</w:t>
      </w:r>
    </w:p>
    <w:p>
      <w:pPr>
        <w:spacing w:after="0" w:line="14" w:lineRule="exact"/>
        <w:rPr>
          <w:rFonts w:ascii="Arial" w:cs="Arial" w:eastAsia="Arial" w:hAnsi="Arial"/>
          <w:sz w:val="22"/>
          <w:szCs w:val="22"/>
          <w:color w:val="auto"/>
        </w:rPr>
      </w:pPr>
    </w:p>
    <w:p>
      <w:pPr>
        <w:ind w:left="328" w:right="100" w:hanging="328"/>
        <w:spacing w:after="0" w:line="256" w:lineRule="auto"/>
        <w:tabs>
          <w:tab w:leader="none" w:pos="318"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internal substantive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giving effect to any principle of law that would result in the application of the law of any other jurisdiction.</w:t>
      </w:r>
    </w:p>
    <w:p>
      <w:pPr>
        <w:spacing w:after="0" w:line="14" w:lineRule="exact"/>
        <w:rPr>
          <w:rFonts w:ascii="Arial" w:cs="Arial" w:eastAsia="Arial" w:hAnsi="Arial"/>
          <w:sz w:val="22"/>
          <w:szCs w:val="22"/>
          <w:color w:val="auto"/>
        </w:rPr>
      </w:pPr>
    </w:p>
    <w:p>
      <w:pPr>
        <w:ind w:left="328" w:right="100" w:hanging="328"/>
        <w:spacing w:after="0" w:line="295" w:lineRule="auto"/>
        <w:tabs>
          <w:tab w:leader="none" w:pos="318"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to the Company provided for herein shall be in writing (including electronically)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w:t>
      </w:r>
    </w:p>
    <w:p>
      <w:pPr>
        <w:sectPr>
          <w:pgSz w:w="11900" w:h="16838" w:orient="portrait"/>
          <w:cols w:equalWidth="0" w:num="1">
            <w:col w:w="10908"/>
          </w:cols>
          <w:pgMar w:left="652" w:top="901" w:right="339" w:bottom="1440" w:gutter="0" w:footer="0" w:header="0"/>
        </w:sectPr>
      </w:pPr>
    </w:p>
    <w:bookmarkStart w:id="128" w:name="page129"/>
    <w:bookmarkEnd w:id="128"/>
    <w:p>
      <w:pPr>
        <w:ind w:left="660" w:right="480"/>
        <w:spacing w:after="0" w:line="263" w:lineRule="auto"/>
        <w:rPr>
          <w:sz w:val="20"/>
          <w:szCs w:val="20"/>
          <w:color w:val="auto"/>
        </w:rPr>
      </w:pPr>
      <w:r>
        <w:rPr>
          <w:rFonts w:ascii="Arial" w:cs="Arial" w:eastAsia="Arial" w:hAnsi="Arial"/>
          <w:sz w:val="22"/>
          <w:szCs w:val="22"/>
          <w:color w:val="auto"/>
        </w:rPr>
        <w:t>any mailed notice shall be deemed given on the third business day following deposit of the same in the United States mail).</w:t>
      </w:r>
    </w:p>
    <w:p>
      <w:pPr>
        <w:spacing w:after="0" w:line="7" w:lineRule="exact"/>
        <w:rPr>
          <w:sz w:val="20"/>
          <w:szCs w:val="20"/>
          <w:color w:val="auto"/>
        </w:rPr>
      </w:pPr>
    </w:p>
    <w:p>
      <w:pPr>
        <w:ind w:left="660" w:right="160" w:hanging="328"/>
        <w:spacing w:after="0" w:line="249" w:lineRule="auto"/>
        <w:tabs>
          <w:tab w:leader="none" w:pos="650" w:val="left"/>
        </w:tabs>
        <w:numPr>
          <w:ilvl w:val="0"/>
          <w:numId w:val="117"/>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the RSUs and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4" w:lineRule="exact"/>
        <w:rPr>
          <w:rFonts w:ascii="Arial" w:cs="Arial" w:eastAsia="Arial" w:hAnsi="Arial"/>
          <w:sz w:val="22"/>
          <w:szCs w:val="22"/>
          <w:color w:val="auto"/>
        </w:rPr>
      </w:pPr>
    </w:p>
    <w:p>
      <w:pPr>
        <w:ind w:left="660" w:hanging="328"/>
        <w:spacing w:after="0" w:line="287" w:lineRule="auto"/>
        <w:tabs>
          <w:tab w:leader="none" w:pos="650"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Section 409A of the Code</w:t>
      </w:r>
      <w:r>
        <w:rPr>
          <w:rFonts w:ascii="Arial" w:cs="Arial" w:eastAsia="Arial" w:hAnsi="Arial"/>
          <w:sz w:val="19"/>
          <w:szCs w:val="19"/>
          <w:color w:val="auto"/>
        </w:rPr>
        <w:t>. To the extent applicable, it is intended that this Agreement and the Plan comply with or be</w:t>
      </w:r>
      <w:r>
        <w:rPr>
          <w:rFonts w:ascii="Arial" w:cs="Arial" w:eastAsia="Arial" w:hAnsi="Arial"/>
          <w:sz w:val="19"/>
          <w:szCs w:val="19"/>
          <w:b w:val="1"/>
          <w:bCs w:val="1"/>
          <w:color w:val="auto"/>
        </w:rPr>
        <w:t xml:space="preserve"> </w:t>
      </w:r>
      <w:r>
        <w:rPr>
          <w:rFonts w:ascii="Arial" w:cs="Arial" w:eastAsia="Arial" w:hAnsi="Arial"/>
          <w:sz w:val="19"/>
          <w:szCs w:val="19"/>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 §1.409A-1(b)(4).</w:t>
      </w:r>
    </w:p>
    <w:p>
      <w:pPr>
        <w:spacing w:after="0" w:line="6" w:lineRule="exact"/>
        <w:rPr>
          <w:rFonts w:ascii="Arial" w:cs="Arial" w:eastAsia="Arial" w:hAnsi="Arial"/>
          <w:sz w:val="19"/>
          <w:szCs w:val="19"/>
          <w:color w:val="auto"/>
        </w:rPr>
      </w:pPr>
    </w:p>
    <w:p>
      <w:pPr>
        <w:ind w:left="660" w:hanging="328"/>
        <w:spacing w:after="0" w:line="256" w:lineRule="auto"/>
        <w:tabs>
          <w:tab w:leader="none" w:pos="650" w:val="left"/>
        </w:tabs>
        <w:numPr>
          <w:ilvl w:val="0"/>
          <w:numId w:val="117"/>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(including facsimile and other electronically</w:t>
      </w:r>
      <w:r>
        <w:rPr>
          <w:rFonts w:ascii="Arial" w:cs="Arial" w:eastAsia="Arial" w:hAnsi="Arial"/>
          <w:sz w:val="22"/>
          <w:szCs w:val="22"/>
          <w:b w:val="1"/>
          <w:bCs w:val="1"/>
          <w:color w:val="auto"/>
        </w:rPr>
        <w:t xml:space="preserve"> </w:t>
      </w:r>
      <w:r>
        <w:rPr>
          <w:rFonts w:ascii="Arial" w:cs="Arial" w:eastAsia="Arial" w:hAnsi="Arial"/>
          <w:sz w:val="22"/>
          <w:szCs w:val="22"/>
          <w:color w:val="auto"/>
        </w:rPr>
        <w:t>transmitted counterparts), each of which shall be deemed to be an original but all of which together will constitute one and the same agreement.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 ON FOLLOWING PAGE]</w:t>
      </w:r>
    </w:p>
    <w:p>
      <w:pPr>
        <w:spacing w:after="0" w:line="361"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on its behalf by its duly authorized officer and Grantee has executed this Agreement, as of the Date of Grant.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AGNC INVESTMENT CORP.</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GRANTEE’S SIGNATURE</w:t>
      </w:r>
    </w:p>
    <w:p>
      <w:pPr>
        <w:spacing w:after="0" w:line="35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Print Name: _________________</w:t>
      </w:r>
    </w:p>
    <w:p>
      <w:pPr>
        <w:sectPr>
          <w:pgSz w:w="11900" w:h="16838" w:orient="portrait"/>
          <w:cols w:equalWidth="0" w:num="1">
            <w:col w:w="11220"/>
          </w:cols>
          <w:pgMar w:left="320" w:top="901" w:right="35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9"/>
          <w:szCs w:val="19"/>
          <w:b w:val="1"/>
          <w:bCs w:val="1"/>
          <w:color w:val="auto"/>
        </w:rPr>
        <w:t>Exhibit A Performance Vesting Schedule</w:t>
      </w:r>
    </w:p>
    <w:p>
      <w:pPr>
        <w:sectPr>
          <w:pgSz w:w="11900" w:h="16838" w:orient="portrait"/>
          <w:cols w:equalWidth="0" w:num="1">
            <w:col w:w="9019"/>
          </w:cols>
          <w:pgMar w:left="1440" w:top="895"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w:t>
      </w:r>
    </w:p>
    <w:p>
      <w:pPr>
        <w:sectPr>
          <w:pgSz w:w="11900" w:h="16838" w:orient="portrait"/>
          <w:cols w:equalWidth="0" w:num="1">
            <w:col w:w="9019"/>
          </w:cols>
          <w:pgMar w:left="1440" w:top="895" w:right="1440"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22"/>
          <w:szCs w:val="22"/>
          <w:color w:val="auto"/>
        </w:rPr>
        <w:t>Exhibit 10.28</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AGNC INVESTMENT CORP.</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AND INCENTIVE COMPENSATION PLAN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361" w:lineRule="exact"/>
        <w:rPr>
          <w:sz w:val="20"/>
          <w:szCs w:val="20"/>
          <w:color w:val="auto"/>
        </w:rPr>
      </w:pPr>
    </w:p>
    <w:p>
      <w:pPr>
        <w:ind w:right="480"/>
        <w:spacing w:after="0" w:line="287" w:lineRule="auto"/>
        <w:rPr>
          <w:sz w:val="20"/>
          <w:szCs w:val="20"/>
          <w:color w:val="auto"/>
        </w:rPr>
      </w:pPr>
      <w:r>
        <w:rPr>
          <w:rFonts w:ascii="Arial" w:cs="Arial" w:eastAsia="Arial" w:hAnsi="Arial"/>
          <w:sz w:val="21"/>
          <w:szCs w:val="21"/>
          <w:color w:val="auto"/>
        </w:rPr>
        <w:t>This RESTRICTED STOCK UNIT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 ] (the “</w:t>
      </w:r>
      <w:r>
        <w:rPr>
          <w:rFonts w:ascii="Arial" w:cs="Arial" w:eastAsia="Arial" w:hAnsi="Arial"/>
          <w:sz w:val="21"/>
          <w:szCs w:val="21"/>
          <w:u w:val="single" w:color="auto"/>
          <w:color w:val="auto"/>
        </w:rPr>
        <w:t>Date of Grant</w:t>
      </w:r>
      <w:r>
        <w:rPr>
          <w:rFonts w:ascii="Arial" w:cs="Arial" w:eastAsia="Arial" w:hAnsi="Arial"/>
          <w:sz w:val="21"/>
          <w:szCs w:val="21"/>
          <w:color w:val="auto"/>
        </w:rPr>
        <w:t>”), by and between AGNC Investment Corp.,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 ] (“</w:t>
      </w:r>
      <w:r>
        <w:rPr>
          <w:rFonts w:ascii="Arial" w:cs="Arial" w:eastAsia="Arial" w:hAnsi="Arial"/>
          <w:sz w:val="21"/>
          <w:szCs w:val="21"/>
          <w:u w:val="single" w:color="auto"/>
          <w:color w:val="auto"/>
        </w:rPr>
        <w:t>Grantee</w:t>
      </w:r>
      <w:r>
        <w:rPr>
          <w:rFonts w:ascii="Arial" w:cs="Arial" w:eastAsia="Arial" w:hAnsi="Arial"/>
          <w:sz w:val="21"/>
          <w:szCs w:val="21"/>
          <w:color w:val="auto"/>
        </w:rPr>
        <w:t>”).</w:t>
      </w:r>
    </w:p>
    <w:p>
      <w:pPr>
        <w:spacing w:after="0" w:line="280" w:lineRule="exact"/>
        <w:rPr>
          <w:sz w:val="20"/>
          <w:szCs w:val="20"/>
          <w:color w:val="auto"/>
        </w:rPr>
      </w:pPr>
    </w:p>
    <w:p>
      <w:pPr>
        <w:jc w:val="both"/>
        <w:ind w:left="660" w:right="200" w:hanging="328"/>
        <w:spacing w:after="0" w:line="314" w:lineRule="auto"/>
        <w:tabs>
          <w:tab w:leader="none" w:pos="651" w:val="left"/>
        </w:tabs>
        <w:numPr>
          <w:ilvl w:val="0"/>
          <w:numId w:val="118"/>
        </w:numPr>
        <w:rPr>
          <w:rFonts w:ascii="Arial" w:cs="Arial" w:eastAsia="Arial" w:hAnsi="Arial"/>
          <w:sz w:val="19"/>
          <w:szCs w:val="19"/>
          <w:color w:val="auto"/>
        </w:rPr>
      </w:pPr>
      <w:r>
        <w:rPr>
          <w:rFonts w:ascii="Arial" w:cs="Arial" w:eastAsia="Arial" w:hAnsi="Arial"/>
          <w:sz w:val="19"/>
          <w:szCs w:val="19"/>
          <w:b w:val="1"/>
          <w:bCs w:val="1"/>
          <w:color w:val="auto"/>
        </w:rPr>
        <w:t>Certain Definitions</w:t>
      </w:r>
      <w:r>
        <w:rPr>
          <w:rFonts w:ascii="Arial" w:cs="Arial" w:eastAsia="Arial" w:hAnsi="Arial"/>
          <w:sz w:val="19"/>
          <w:szCs w:val="19"/>
          <w:color w:val="auto"/>
        </w:rPr>
        <w:t>. Capitalized terms used, but not otherwise defined, in this Agreement will have the meanings given</w:t>
      </w:r>
      <w:r>
        <w:rPr>
          <w:rFonts w:ascii="Arial" w:cs="Arial" w:eastAsia="Arial" w:hAnsi="Arial"/>
          <w:sz w:val="19"/>
          <w:szCs w:val="19"/>
          <w:b w:val="1"/>
          <w:bCs w:val="1"/>
          <w:color w:val="auto"/>
        </w:rPr>
        <w:t xml:space="preserve"> </w:t>
      </w:r>
      <w:r>
        <w:rPr>
          <w:rFonts w:ascii="Arial" w:cs="Arial" w:eastAsia="Arial" w:hAnsi="Arial"/>
          <w:sz w:val="19"/>
          <w:szCs w:val="19"/>
          <w:color w:val="auto"/>
        </w:rPr>
        <w:t>to such terms in the Company’s 2016 Equity and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As used in this Agreement:</w:t>
      </w:r>
    </w:p>
    <w:p>
      <w:pPr>
        <w:spacing w:after="0" w:line="1" w:lineRule="exact"/>
        <w:rPr>
          <w:rFonts w:ascii="Arial" w:cs="Arial" w:eastAsia="Arial" w:hAnsi="Arial"/>
          <w:sz w:val="19"/>
          <w:szCs w:val="19"/>
          <w:color w:val="auto"/>
        </w:rPr>
      </w:pPr>
    </w:p>
    <w:p>
      <w:pPr>
        <w:ind w:left="1300" w:hanging="320"/>
        <w:spacing w:after="0"/>
        <w:tabs>
          <w:tab w:leader="none" w:pos="13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 ].</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w:t>
      </w:r>
      <w:r>
        <w:rPr>
          <w:rFonts w:ascii="Arial" w:cs="Arial" w:eastAsia="Arial" w:hAnsi="Arial"/>
          <w:sz w:val="22"/>
          <w:szCs w:val="22"/>
          <w:color w:val="auto"/>
        </w:rPr>
        <w:t>” means AGNC Mortgage Management, LLC.</w:t>
      </w:r>
    </w:p>
    <w:p>
      <w:pPr>
        <w:spacing w:after="0" w:line="57" w:lineRule="exact"/>
        <w:rPr>
          <w:rFonts w:ascii="Arial" w:cs="Arial" w:eastAsia="Arial" w:hAnsi="Arial"/>
          <w:sz w:val="22"/>
          <w:szCs w:val="22"/>
          <w:color w:val="auto"/>
        </w:rPr>
      </w:pPr>
    </w:p>
    <w:p>
      <w:pPr>
        <w:ind w:left="1300" w:right="80" w:hanging="320"/>
        <w:spacing w:after="0" w:line="253" w:lineRule="auto"/>
        <w:tabs>
          <w:tab w:leader="none" w:pos="1291"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Re-Externalization</w:t>
      </w:r>
      <w:r>
        <w:rPr>
          <w:rFonts w:ascii="Arial" w:cs="Arial" w:eastAsia="Arial" w:hAnsi="Arial"/>
          <w:sz w:val="22"/>
          <w:szCs w:val="22"/>
          <w:color w:val="auto"/>
        </w:rPr>
        <w:t>” means a sale, merger or other transaction that results in the transfer or issuance of a majority of the outstanding equity interests of the Manager or AGNC Management, LLC to a person or entity other than a Subsidiary of the Company.</w:t>
      </w:r>
    </w:p>
    <w:p>
      <w:pPr>
        <w:spacing w:after="0" w:line="23" w:lineRule="exact"/>
        <w:rPr>
          <w:rFonts w:ascii="Arial" w:cs="Arial" w:eastAsia="Arial" w:hAnsi="Arial"/>
          <w:sz w:val="22"/>
          <w:szCs w:val="22"/>
          <w:color w:val="auto"/>
        </w:rPr>
      </w:pPr>
    </w:p>
    <w:p>
      <w:pPr>
        <w:ind w:left="1300" w:right="40" w:hanging="320"/>
        <w:spacing w:after="0" w:line="285" w:lineRule="auto"/>
        <w:tabs>
          <w:tab w:leader="none" w:pos="1291" w:val="left"/>
        </w:tabs>
        <w:numPr>
          <w:ilvl w:val="1"/>
          <w:numId w:val="1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Award</w:t>
      </w:r>
      <w:r>
        <w:rPr>
          <w:rFonts w:ascii="Arial" w:cs="Arial" w:eastAsia="Arial" w:hAnsi="Arial"/>
          <w:sz w:val="19"/>
          <w:szCs w:val="19"/>
          <w:color w:val="auto"/>
        </w:rPr>
        <w:t>” means an award (i) of the same type (e.g., time-based restricted stock units) as the RSUs (as defined in Section 2 hereof) covered by this Agreement, (ii) that has a value at least equal to the value of the RSUs covered by this Agreement,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1(e) are satisfied will be made by the Committee, as constituted immediately prior to the Change of Control, in its sole discretion.</w:t>
      </w:r>
    </w:p>
    <w:p>
      <w:pPr>
        <w:spacing w:after="0" w:line="9" w:lineRule="exact"/>
        <w:rPr>
          <w:rFonts w:ascii="Arial" w:cs="Arial" w:eastAsia="Arial" w:hAnsi="Arial"/>
          <w:sz w:val="19"/>
          <w:szCs w:val="19"/>
          <w:color w:val="auto"/>
        </w:rPr>
      </w:pPr>
    </w:p>
    <w:p>
      <w:pPr>
        <w:ind w:left="1300" w:hanging="320"/>
        <w:spacing w:after="0"/>
        <w:tabs>
          <w:tab w:leader="none" w:pos="13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For Good Reason</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has the meaning set forth in the Employment Agreement.</w:t>
      </w:r>
    </w:p>
    <w:p>
      <w:pPr>
        <w:spacing w:after="0" w:line="51" w:lineRule="exact"/>
        <w:rPr>
          <w:rFonts w:ascii="Arial" w:cs="Arial" w:eastAsia="Arial" w:hAnsi="Arial"/>
          <w:sz w:val="22"/>
          <w:szCs w:val="22"/>
          <w:color w:val="auto"/>
        </w:rPr>
      </w:pPr>
    </w:p>
    <w:p>
      <w:pPr>
        <w:ind w:left="660" w:right="60" w:hanging="328"/>
        <w:spacing w:after="0" w:line="315" w:lineRule="auto"/>
        <w:tabs>
          <w:tab w:leader="none" w:pos="651" w:val="left"/>
        </w:tabs>
        <w:numPr>
          <w:ilvl w:val="0"/>
          <w:numId w:val="118"/>
        </w:numPr>
        <w:rPr>
          <w:rFonts w:ascii="Arial" w:cs="Arial" w:eastAsia="Arial" w:hAnsi="Arial"/>
          <w:sz w:val="19"/>
          <w:szCs w:val="19"/>
          <w:color w:val="auto"/>
        </w:rPr>
      </w:pPr>
      <w:r>
        <w:rPr>
          <w:rFonts w:ascii="Arial" w:cs="Arial" w:eastAsia="Arial" w:hAnsi="Arial"/>
          <w:sz w:val="19"/>
          <w:szCs w:val="19"/>
          <w:b w:val="1"/>
          <w:bCs w:val="1"/>
          <w:color w:val="auto"/>
        </w:rPr>
        <w:t>Grant of RSUs</w:t>
      </w:r>
      <w:r>
        <w:rPr>
          <w:rFonts w:ascii="Arial" w:cs="Arial" w:eastAsia="Arial" w:hAnsi="Arial"/>
          <w:sz w:val="19"/>
          <w:szCs w:val="19"/>
          <w:color w:val="auto"/>
        </w:rPr>
        <w:t>. Subject to and upon the terms, conditions and restrictions set forth in this Agreement and in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hereby grants to Grantee [_____]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Each RSU shall represent the right of Grantee to receive one share of Common Stock subject to and upon the terms and conditions of this Agreement.</w:t>
      </w:r>
    </w:p>
    <w:p>
      <w:pPr>
        <w:sectPr>
          <w:pgSz w:w="11900" w:h="16838" w:orient="portrait"/>
          <w:cols w:equalWidth="0" w:num="1">
            <w:col w:w="11240"/>
          </w:cols>
          <w:pgMar w:left="320" w:top="901" w:right="339" w:bottom="1440" w:gutter="0" w:footer="0" w:header="0"/>
        </w:sectPr>
      </w:pPr>
    </w:p>
    <w:bookmarkStart w:id="131" w:name="page132"/>
    <w:bookmarkEnd w:id="131"/>
    <w:p>
      <w:pPr>
        <w:ind w:left="328" w:right="440" w:hanging="328"/>
        <w:spacing w:after="0" w:line="256" w:lineRule="auto"/>
        <w:tabs>
          <w:tab w:leader="none" w:pos="319"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Restrictions on Transfer of RSUs</w:t>
      </w:r>
      <w:r>
        <w:rPr>
          <w:rFonts w:ascii="Arial" w:cs="Arial" w:eastAsia="Arial" w:hAnsi="Arial"/>
          <w:sz w:val="22"/>
          <w:szCs w:val="22"/>
          <w:color w:val="auto"/>
        </w:rPr>
        <w:t>. Neither the RSUs evidenced hereby nor any interest therein or in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underlying such RSUs shall be transferable prior to payment to Grantee pursuant to Section 7 hereof, other than as described in Section 15 of the Plan.</w:t>
      </w:r>
    </w:p>
    <w:p>
      <w:pPr>
        <w:spacing w:after="0" w:line="14" w:lineRule="exact"/>
        <w:rPr>
          <w:rFonts w:ascii="Arial" w:cs="Arial" w:eastAsia="Arial" w:hAnsi="Arial"/>
          <w:sz w:val="22"/>
          <w:szCs w:val="22"/>
          <w:color w:val="auto"/>
        </w:rPr>
      </w:pPr>
    </w:p>
    <w:p>
      <w:pPr>
        <w:ind w:left="328" w:right="120" w:hanging="328"/>
        <w:spacing w:after="0" w:line="252" w:lineRule="auto"/>
        <w:tabs>
          <w:tab w:leader="none" w:pos="319"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The RSUs covered by this Agreement shall become nonforfeitable and payable to Grantee pursuant to Section 7</w:t>
      </w:r>
      <w:r>
        <w:rPr>
          <w:rFonts w:ascii="Arial" w:cs="Arial" w:eastAsia="Arial" w:hAnsi="Arial"/>
          <w:sz w:val="22"/>
          <w:szCs w:val="22"/>
          <w:b w:val="1"/>
          <w:bCs w:val="1"/>
          <w:color w:val="auto"/>
        </w:rPr>
        <w:t xml:space="preserve"> </w:t>
      </w:r>
      <w:r>
        <w:rPr>
          <w:rFonts w:ascii="Arial" w:cs="Arial" w:eastAsia="Arial" w:hAnsi="Arial"/>
          <w:sz w:val="22"/>
          <w:szCs w:val="22"/>
          <w:color w:val="auto"/>
        </w:rPr>
        <w:t>hereof with respect to one-third (1/3) of the RSUs granted pursuant to this Agreement on each of [ ], [ ] and [ ] if Grantee remains continuously employed by the Company or any of its Subsidiaries (or any of their successors) as of each such date.</w:t>
      </w:r>
    </w:p>
    <w:p>
      <w:pPr>
        <w:spacing w:after="0" w:line="17" w:lineRule="exact"/>
        <w:rPr>
          <w:rFonts w:ascii="Arial" w:cs="Arial" w:eastAsia="Arial" w:hAnsi="Arial"/>
          <w:sz w:val="22"/>
          <w:szCs w:val="22"/>
          <w:color w:val="auto"/>
        </w:rPr>
      </w:pPr>
    </w:p>
    <w:p>
      <w:pPr>
        <w:ind w:left="328" w:right="40" w:hanging="328"/>
        <w:spacing w:after="0" w:line="252" w:lineRule="auto"/>
        <w:tabs>
          <w:tab w:leader="none" w:pos="319"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Accelerated Vesting</w:t>
      </w:r>
      <w:r>
        <w:rPr>
          <w:rFonts w:ascii="Arial" w:cs="Arial" w:eastAsia="Arial" w:hAnsi="Arial"/>
          <w:sz w:val="22"/>
          <w:szCs w:val="22"/>
          <w:color w:val="auto"/>
        </w:rPr>
        <w:t>. Notwithstanding the provisions of Section 4 hereof, all of the RSUs covered by this Agreement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have not already vested and become nonforfeitable pursuant to Section 4 hereof will become nonforfeitable and payable to Grantee pursuant to Section 7 hereof earlier than the time provided in Section 4 hereof upon the occurrence of the earliest of any of the following events:</w:t>
      </w:r>
    </w:p>
    <w:p>
      <w:pPr>
        <w:spacing w:after="0" w:line="23" w:lineRule="exact"/>
        <w:rPr>
          <w:rFonts w:ascii="Arial" w:cs="Arial" w:eastAsia="Arial" w:hAnsi="Arial"/>
          <w:sz w:val="22"/>
          <w:szCs w:val="22"/>
          <w:color w:val="auto"/>
        </w:rPr>
      </w:pPr>
    </w:p>
    <w:p>
      <w:pPr>
        <w:ind w:left="968" w:right="280" w:hanging="320"/>
        <w:spacing w:after="0" w:line="296" w:lineRule="auto"/>
        <w:tabs>
          <w:tab w:leader="none" w:pos="959" w:val="left"/>
        </w:tabs>
        <w:numPr>
          <w:ilvl w:val="1"/>
          <w:numId w:val="119"/>
        </w:numPr>
        <w:rPr>
          <w:rFonts w:ascii="Arial" w:cs="Arial" w:eastAsia="Arial" w:hAnsi="Arial"/>
          <w:sz w:val="19"/>
          <w:szCs w:val="19"/>
          <w:color w:val="auto"/>
        </w:rPr>
      </w:pPr>
      <w:r>
        <w:rPr>
          <w:rFonts w:ascii="Arial" w:cs="Arial" w:eastAsia="Arial" w:hAnsi="Arial"/>
          <w:sz w:val="19"/>
          <w:szCs w:val="19"/>
          <w:color w:val="auto"/>
        </w:rPr>
        <w:t>While Grantee is continuously employed by the Company or any of its Subsidiaries (or any of their successors), Grantee’s employment with the Company or any of its Subsidiaries (or any of their successors) terminates as a result of: (i) Grantee’s death, (ii) Grantee’s Disability (pursuant to subparagraph 5(b)(ii) of the Employment Agreement), (iii) a Termination Without Cause or (iv) a Termination For Good Reason.</w:t>
      </w:r>
    </w:p>
    <w:p>
      <w:pPr>
        <w:spacing w:after="0" w:line="2" w:lineRule="exact"/>
        <w:rPr>
          <w:rFonts w:ascii="Arial" w:cs="Arial" w:eastAsia="Arial" w:hAnsi="Arial"/>
          <w:sz w:val="19"/>
          <w:szCs w:val="19"/>
          <w:color w:val="auto"/>
        </w:rPr>
      </w:pPr>
    </w:p>
    <w:p>
      <w:pPr>
        <w:ind w:left="968" w:right="120" w:hanging="320"/>
        <w:spacing w:after="0" w:line="253" w:lineRule="auto"/>
        <w:tabs>
          <w:tab w:leader="none" w:pos="959" w:val="left"/>
        </w:tabs>
        <w:numPr>
          <w:ilvl w:val="1"/>
          <w:numId w:val="119"/>
        </w:numPr>
        <w:rPr>
          <w:rFonts w:ascii="Arial" w:cs="Arial" w:eastAsia="Arial" w:hAnsi="Arial"/>
          <w:sz w:val="22"/>
          <w:szCs w:val="22"/>
          <w:color w:val="auto"/>
        </w:rPr>
      </w:pPr>
      <w:r>
        <w:rPr>
          <w:rFonts w:ascii="Arial" w:cs="Arial" w:eastAsia="Arial" w:hAnsi="Arial"/>
          <w:sz w:val="22"/>
          <w:szCs w:val="22"/>
          <w:color w:val="auto"/>
        </w:rPr>
        <w:t>While Grantee is continuously employed by the Company or any of its Subsidiaries (or any of their successors), a Change of Control occurs and a Replacement Award is not provided to Grantee on the date of such Change of Control.</w:t>
      </w:r>
    </w:p>
    <w:p>
      <w:pPr>
        <w:spacing w:after="0" w:line="17" w:lineRule="exact"/>
        <w:rPr>
          <w:rFonts w:ascii="Arial" w:cs="Arial" w:eastAsia="Arial" w:hAnsi="Arial"/>
          <w:sz w:val="22"/>
          <w:szCs w:val="22"/>
          <w:color w:val="auto"/>
        </w:rPr>
      </w:pPr>
    </w:p>
    <w:p>
      <w:pPr>
        <w:ind w:left="328" w:right="140" w:hanging="328"/>
        <w:spacing w:after="0" w:line="249" w:lineRule="auto"/>
        <w:tabs>
          <w:tab w:leader="none" w:pos="319"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Forfeiture</w:t>
      </w:r>
      <w:r>
        <w:rPr>
          <w:rFonts w:ascii="Arial" w:cs="Arial" w:eastAsia="Arial" w:hAnsi="Arial"/>
          <w:sz w:val="22"/>
          <w:szCs w:val="22"/>
          <w:color w:val="auto"/>
        </w:rPr>
        <w:t>. Except to the extent the RSUs covered by this Agreement have become nonforfeitable pursuant to Section 4</w:t>
      </w:r>
      <w:r>
        <w:rPr>
          <w:rFonts w:ascii="Arial" w:cs="Arial" w:eastAsia="Arial" w:hAnsi="Arial"/>
          <w:sz w:val="22"/>
          <w:szCs w:val="22"/>
          <w:b w:val="1"/>
          <w:bCs w:val="1"/>
          <w:color w:val="auto"/>
        </w:rPr>
        <w:t xml:space="preserve"> </w:t>
      </w:r>
      <w:r>
        <w:rPr>
          <w:rFonts w:ascii="Arial" w:cs="Arial" w:eastAsia="Arial" w:hAnsi="Arial"/>
          <w:sz w:val="22"/>
          <w:szCs w:val="22"/>
          <w:color w:val="auto"/>
        </w:rPr>
        <w:t>or Section 5 hereof, the 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spacing w:after="0" w:line="24" w:lineRule="exact"/>
        <w:rPr>
          <w:rFonts w:ascii="Arial" w:cs="Arial" w:eastAsia="Arial" w:hAnsi="Arial"/>
          <w:sz w:val="22"/>
          <w:szCs w:val="22"/>
          <w:color w:val="auto"/>
        </w:rPr>
      </w:pPr>
    </w:p>
    <w:p>
      <w:pPr>
        <w:ind w:left="308" w:hanging="308"/>
        <w:spacing w:after="0"/>
        <w:tabs>
          <w:tab w:leader="none" w:pos="308"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Form and Time of Payment of RSUs</w:t>
      </w:r>
      <w:r>
        <w:rPr>
          <w:rFonts w:ascii="Arial" w:cs="Arial" w:eastAsia="Arial" w:hAnsi="Arial"/>
          <w:sz w:val="22"/>
          <w:szCs w:val="22"/>
          <w:color w:val="auto"/>
        </w:rPr>
        <w:t>.</w:t>
      </w:r>
    </w:p>
    <w:p>
      <w:pPr>
        <w:spacing w:after="0" w:line="63" w:lineRule="exact"/>
        <w:rPr>
          <w:rFonts w:ascii="Arial" w:cs="Arial" w:eastAsia="Arial" w:hAnsi="Arial"/>
          <w:sz w:val="22"/>
          <w:szCs w:val="22"/>
          <w:color w:val="auto"/>
        </w:rPr>
      </w:pPr>
    </w:p>
    <w:p>
      <w:pPr>
        <w:ind w:left="968" w:hanging="320"/>
        <w:spacing w:after="0" w:line="293" w:lineRule="auto"/>
        <w:tabs>
          <w:tab w:leader="none" w:pos="959"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Form</w:t>
      </w:r>
      <w:r>
        <w:rPr>
          <w:rFonts w:ascii="Arial" w:cs="Arial" w:eastAsia="Arial" w:hAnsi="Arial"/>
          <w:sz w:val="19"/>
          <w:szCs w:val="19"/>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2" w:lineRule="exact"/>
        <w:rPr>
          <w:rFonts w:ascii="Arial" w:cs="Arial" w:eastAsia="Arial" w:hAnsi="Arial"/>
          <w:sz w:val="19"/>
          <w:szCs w:val="19"/>
          <w:color w:val="auto"/>
        </w:rPr>
      </w:pPr>
    </w:p>
    <w:p>
      <w:pPr>
        <w:ind w:left="968" w:hanging="320"/>
        <w:spacing w:after="0"/>
        <w:tabs>
          <w:tab w:leader="none" w:pos="968"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Timing</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628" w:right="80" w:hanging="440"/>
        <w:spacing w:after="0" w:line="263" w:lineRule="auto"/>
        <w:tabs>
          <w:tab w:leader="none" w:pos="1628" w:val="left"/>
        </w:tabs>
        <w:numPr>
          <w:ilvl w:val="2"/>
          <w:numId w:val="119"/>
        </w:numPr>
        <w:rPr>
          <w:rFonts w:ascii="Arial" w:cs="Arial" w:eastAsia="Arial" w:hAnsi="Arial"/>
          <w:sz w:val="22"/>
          <w:szCs w:val="22"/>
          <w:color w:val="auto"/>
        </w:rPr>
      </w:pPr>
      <w:r>
        <w:rPr>
          <w:rFonts w:ascii="Arial" w:cs="Arial" w:eastAsia="Arial" w:hAnsi="Arial"/>
          <w:sz w:val="22"/>
          <w:szCs w:val="22"/>
          <w:color w:val="auto"/>
        </w:rPr>
        <w:t>RSUs that become nonforfeitable pursuant to Section 4 hereof shall be paid within ten (10) days following the date on which such RSUs become nonforfeitable.</w:t>
      </w:r>
    </w:p>
    <w:p>
      <w:pPr>
        <w:spacing w:after="0" w:line="12" w:lineRule="exact"/>
        <w:rPr>
          <w:rFonts w:ascii="Arial" w:cs="Arial" w:eastAsia="Arial" w:hAnsi="Arial"/>
          <w:sz w:val="22"/>
          <w:szCs w:val="22"/>
          <w:color w:val="auto"/>
        </w:rPr>
      </w:pPr>
    </w:p>
    <w:p>
      <w:pPr>
        <w:ind w:left="1628" w:right="100" w:hanging="488"/>
        <w:spacing w:after="0" w:line="294" w:lineRule="auto"/>
        <w:tabs>
          <w:tab w:leader="none" w:pos="1628" w:val="left"/>
        </w:tabs>
        <w:numPr>
          <w:ilvl w:val="2"/>
          <w:numId w:val="119"/>
        </w:numPr>
        <w:rPr>
          <w:rFonts w:ascii="Arial" w:cs="Arial" w:eastAsia="Arial" w:hAnsi="Arial"/>
          <w:sz w:val="19"/>
          <w:szCs w:val="19"/>
          <w:color w:val="auto"/>
        </w:rPr>
      </w:pPr>
      <w:r>
        <w:rPr>
          <w:rFonts w:ascii="Arial" w:cs="Arial" w:eastAsia="Arial" w:hAnsi="Arial"/>
          <w:sz w:val="19"/>
          <w:szCs w:val="19"/>
          <w:color w:val="auto"/>
        </w:rPr>
        <w:t>RSUs that become nonforfeitable pursuant to Section 5(a) hereof shall be paid on the first payroll date following the 60th day after such termination of employment; provided that Grantee (or, if applicable, his estate) shall have first executed and not revoked the release described in subparagraph 6(f) of the Employment Agreement in accordance with the requirements of subparagraph 6(f) of the Employment Agreement; provided further that, for the avoidance of doubt, in no event shall such RSUs be paid to Grantee after March 15 of the calendar year following the calendar year in which such termination occurs.</w:t>
      </w:r>
    </w:p>
    <w:p>
      <w:pPr>
        <w:sectPr>
          <w:pgSz w:w="11900" w:h="16838" w:orient="portrait"/>
          <w:cols w:equalWidth="0" w:num="1">
            <w:col w:w="10908"/>
          </w:cols>
          <w:pgMar w:left="652" w:top="895" w:right="339" w:bottom="1440" w:gutter="0" w:footer="0" w:header="0"/>
        </w:sectPr>
      </w:pPr>
    </w:p>
    <w:bookmarkStart w:id="132" w:name="page133"/>
    <w:bookmarkEnd w:id="132"/>
    <w:p>
      <w:pPr>
        <w:ind w:left="1628" w:right="460" w:hanging="536"/>
        <w:spacing w:after="0" w:line="263" w:lineRule="auto"/>
        <w:tabs>
          <w:tab w:leader="none" w:pos="1628" w:val="left"/>
        </w:tabs>
        <w:numPr>
          <w:ilvl w:val="2"/>
          <w:numId w:val="120"/>
        </w:numPr>
        <w:rPr>
          <w:rFonts w:ascii="Arial" w:cs="Arial" w:eastAsia="Arial" w:hAnsi="Arial"/>
          <w:sz w:val="22"/>
          <w:szCs w:val="22"/>
          <w:color w:val="auto"/>
        </w:rPr>
      </w:pPr>
      <w:r>
        <w:rPr>
          <w:rFonts w:ascii="Arial" w:cs="Arial" w:eastAsia="Arial" w:hAnsi="Arial"/>
          <w:sz w:val="22"/>
          <w:szCs w:val="22"/>
          <w:color w:val="auto"/>
        </w:rPr>
        <w:t>RSUs that become nonforfeitable pursuant to Section 5(b) shall be paid on the date of such Change of Control.</w:t>
      </w:r>
    </w:p>
    <w:p>
      <w:pPr>
        <w:spacing w:after="0" w:line="6" w:lineRule="exact"/>
        <w:rPr>
          <w:rFonts w:ascii="Arial" w:cs="Arial" w:eastAsia="Arial" w:hAnsi="Arial"/>
          <w:sz w:val="22"/>
          <w:szCs w:val="22"/>
          <w:color w:val="auto"/>
        </w:rPr>
      </w:pPr>
    </w:p>
    <w:p>
      <w:pPr>
        <w:ind w:left="308" w:hanging="308"/>
        <w:spacing w:after="0"/>
        <w:tabs>
          <w:tab w:leader="none" w:pos="308"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Dividend Equivalents; Other Rights</w:t>
      </w:r>
      <w:r>
        <w:rPr>
          <w:rFonts w:ascii="Arial" w:cs="Arial" w:eastAsia="Arial" w:hAnsi="Arial"/>
          <w:sz w:val="22"/>
          <w:szCs w:val="22"/>
          <w:color w:val="auto"/>
        </w:rPr>
        <w:t>.</w:t>
      </w:r>
    </w:p>
    <w:p>
      <w:pPr>
        <w:spacing w:after="0" w:line="63" w:lineRule="exact"/>
        <w:rPr>
          <w:rFonts w:ascii="Arial" w:cs="Arial" w:eastAsia="Arial" w:hAnsi="Arial"/>
          <w:sz w:val="22"/>
          <w:szCs w:val="22"/>
          <w:color w:val="auto"/>
        </w:rPr>
      </w:pPr>
    </w:p>
    <w:p>
      <w:pPr>
        <w:ind w:left="968" w:hanging="320"/>
        <w:spacing w:after="0" w:line="287" w:lineRule="auto"/>
        <w:tabs>
          <w:tab w:leader="none" w:pos="959" w:val="left"/>
        </w:tabs>
        <w:numPr>
          <w:ilvl w:val="1"/>
          <w:numId w:val="121"/>
        </w:numPr>
        <w:rPr>
          <w:rFonts w:ascii="Arial" w:cs="Arial" w:eastAsia="Arial" w:hAnsi="Arial"/>
          <w:sz w:val="19"/>
          <w:szCs w:val="19"/>
          <w:color w:val="auto"/>
        </w:rPr>
      </w:pPr>
      <w:r>
        <w:rPr>
          <w:rFonts w:ascii="Arial" w:cs="Arial" w:eastAsia="Arial" w:hAnsi="Arial"/>
          <w:sz w:val="19"/>
          <w:szCs w:val="19"/>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1" w:lineRule="exact"/>
        <w:rPr>
          <w:rFonts w:ascii="Arial" w:cs="Arial" w:eastAsia="Arial" w:hAnsi="Arial"/>
          <w:sz w:val="19"/>
          <w:szCs w:val="19"/>
          <w:color w:val="auto"/>
        </w:rPr>
      </w:pPr>
    </w:p>
    <w:p>
      <w:pPr>
        <w:ind w:left="968" w:right="360" w:hanging="320"/>
        <w:spacing w:after="0" w:line="301" w:lineRule="auto"/>
        <w:tabs>
          <w:tab w:leader="none" w:pos="959" w:val="left"/>
        </w:tabs>
        <w:numPr>
          <w:ilvl w:val="1"/>
          <w:numId w:val="121"/>
        </w:numPr>
        <w:rPr>
          <w:rFonts w:ascii="Arial" w:cs="Arial" w:eastAsia="Arial" w:hAnsi="Arial"/>
          <w:sz w:val="19"/>
          <w:szCs w:val="19"/>
          <w:color w:val="auto"/>
        </w:rPr>
      </w:pPr>
      <w:r>
        <w:rPr>
          <w:rFonts w:ascii="Arial" w:cs="Arial" w:eastAsia="Arial" w:hAnsi="Arial"/>
          <w:sz w:val="19"/>
          <w:szCs w:val="19"/>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1" w:lineRule="exact"/>
        <w:rPr>
          <w:rFonts w:ascii="Arial" w:cs="Arial" w:eastAsia="Arial" w:hAnsi="Arial"/>
          <w:sz w:val="19"/>
          <w:szCs w:val="19"/>
          <w:color w:val="auto"/>
        </w:rPr>
      </w:pPr>
    </w:p>
    <w:p>
      <w:pPr>
        <w:ind w:left="968" w:right="100" w:hanging="320"/>
        <w:spacing w:after="0" w:line="265" w:lineRule="auto"/>
        <w:tabs>
          <w:tab w:leader="none" w:pos="960" w:val="left"/>
        </w:tabs>
        <w:numPr>
          <w:ilvl w:val="1"/>
          <w:numId w:val="121"/>
        </w:numPr>
        <w:rPr>
          <w:rFonts w:ascii="Arial" w:cs="Arial" w:eastAsia="Arial" w:hAnsi="Arial"/>
          <w:sz w:val="21"/>
          <w:szCs w:val="21"/>
          <w:color w:val="auto"/>
        </w:rPr>
      </w:pPr>
      <w:r>
        <w:rPr>
          <w:rFonts w:ascii="Arial" w:cs="Arial" w:eastAsia="Arial" w:hAnsi="Arial"/>
          <w:sz w:val="21"/>
          <w:szCs w:val="21"/>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7" w:lineRule="exact"/>
        <w:rPr>
          <w:rFonts w:ascii="Arial" w:cs="Arial" w:eastAsia="Arial" w:hAnsi="Arial"/>
          <w:sz w:val="21"/>
          <w:szCs w:val="21"/>
          <w:color w:val="auto"/>
        </w:rPr>
      </w:pPr>
    </w:p>
    <w:p>
      <w:pPr>
        <w:ind w:left="328" w:right="160" w:hanging="328"/>
        <w:spacing w:after="0" w:line="261" w:lineRule="auto"/>
        <w:tabs>
          <w:tab w:leader="none" w:pos="319" w:val="left"/>
        </w:tabs>
        <w:numPr>
          <w:ilvl w:val="0"/>
          <w:numId w:val="121"/>
        </w:numPr>
        <w:rPr>
          <w:rFonts w:ascii="Arial" w:cs="Arial" w:eastAsia="Arial" w:hAnsi="Arial"/>
          <w:sz w:val="21"/>
          <w:szCs w:val="21"/>
          <w:color w:val="auto"/>
        </w:rPr>
      </w:pPr>
      <w:r>
        <w:rPr>
          <w:rFonts w:ascii="Arial" w:cs="Arial" w:eastAsia="Arial" w:hAnsi="Arial"/>
          <w:sz w:val="21"/>
          <w:szCs w:val="21"/>
          <w:b w:val="1"/>
          <w:bCs w:val="1"/>
          <w:color w:val="auto"/>
        </w:rPr>
        <w:t>No Right to Future Awards or Employment</w:t>
      </w:r>
      <w:r>
        <w:rPr>
          <w:rFonts w:ascii="Arial" w:cs="Arial" w:eastAsia="Arial" w:hAnsi="Arial"/>
          <w:sz w:val="21"/>
          <w:szCs w:val="21"/>
          <w:color w:val="auto"/>
        </w:rPr>
        <w:t>. The grant of the RSUs under this Agreement to Grantee is a 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11" w:lineRule="exact"/>
        <w:rPr>
          <w:rFonts w:ascii="Arial" w:cs="Arial" w:eastAsia="Arial" w:hAnsi="Arial"/>
          <w:sz w:val="21"/>
          <w:szCs w:val="21"/>
          <w:color w:val="auto"/>
        </w:rPr>
      </w:pPr>
    </w:p>
    <w:p>
      <w:pPr>
        <w:ind w:left="328" w:right="200" w:hanging="328"/>
        <w:spacing w:after="0" w:line="311" w:lineRule="auto"/>
        <w:tabs>
          <w:tab w:leader="none" w:pos="318" w:val="left"/>
        </w:tabs>
        <w:numPr>
          <w:ilvl w:val="0"/>
          <w:numId w:val="121"/>
        </w:numPr>
        <w:rPr>
          <w:rFonts w:ascii="Arial" w:cs="Arial" w:eastAsia="Arial" w:hAnsi="Arial"/>
          <w:sz w:val="19"/>
          <w:szCs w:val="19"/>
          <w:color w:val="auto"/>
        </w:rPr>
      </w:pPr>
      <w:r>
        <w:rPr>
          <w:rFonts w:ascii="Arial" w:cs="Arial" w:eastAsia="Arial" w:hAnsi="Arial"/>
          <w:sz w:val="19"/>
          <w:szCs w:val="19"/>
          <w:b w:val="1"/>
          <w:bCs w:val="1"/>
          <w:color w:val="auto"/>
        </w:rPr>
        <w:t>Adjustments</w:t>
      </w:r>
      <w:r>
        <w:rPr>
          <w:rFonts w:ascii="Arial" w:cs="Arial" w:eastAsia="Arial" w:hAnsi="Arial"/>
          <w:sz w:val="19"/>
          <w:szCs w:val="19"/>
          <w:color w:val="auto"/>
        </w:rPr>
        <w:t>. The number of shares of Common Stock issuable for each RSU and the other terms and conditions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evidenced by this Agreement are subject to adjustment as provided in Section 11 of the Plan.</w:t>
      </w:r>
    </w:p>
    <w:p>
      <w:pPr>
        <w:ind w:left="328" w:hanging="328"/>
        <w:spacing w:after="0" w:line="291" w:lineRule="auto"/>
        <w:tabs>
          <w:tab w:leader="none" w:pos="318" w:val="left"/>
        </w:tabs>
        <w:numPr>
          <w:ilvl w:val="0"/>
          <w:numId w:val="121"/>
        </w:numPr>
        <w:rPr>
          <w:rFonts w:ascii="Arial" w:cs="Arial" w:eastAsia="Arial" w:hAnsi="Arial"/>
          <w:sz w:val="19"/>
          <w:szCs w:val="19"/>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To the extent that the Company is required to withhold federal, state, local or foreign taxes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w:t>
      </w:r>
    </w:p>
    <w:p>
      <w:pPr>
        <w:sectPr>
          <w:pgSz w:w="11900" w:h="16838" w:orient="portrait"/>
          <w:cols w:equalWidth="0" w:num="1">
            <w:col w:w="10888"/>
          </w:cols>
          <w:pgMar w:left="652" w:top="901" w:right="359" w:bottom="1440" w:gutter="0" w:footer="0" w:header="0"/>
        </w:sectPr>
      </w:pPr>
    </w:p>
    <w:bookmarkStart w:id="133" w:name="page134"/>
    <w:bookmarkEnd w:id="133"/>
    <w:p>
      <w:pPr>
        <w:ind w:left="328"/>
        <w:spacing w:after="0" w:line="290" w:lineRule="auto"/>
        <w:rPr>
          <w:sz w:val="20"/>
          <w:szCs w:val="20"/>
          <w:color w:val="auto"/>
        </w:rPr>
      </w:pPr>
      <w:r>
        <w:rPr>
          <w:rFonts w:ascii="Arial" w:cs="Arial" w:eastAsia="Arial" w:hAnsi="Arial"/>
          <w:sz w:val="19"/>
          <w:szCs w:val="19"/>
          <w:color w:val="auto"/>
        </w:rPr>
        <w:t>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minimum statutory tax rates applicable with respect to Grantee, unless (i) an additional amount can be withheld and not result in adverse accounting consequences, and (ii) such additional withholding amount is authorized by the Committee.</w:t>
      </w:r>
    </w:p>
    <w:p>
      <w:pPr>
        <w:spacing w:after="0" w:line="3" w:lineRule="exact"/>
        <w:rPr>
          <w:sz w:val="20"/>
          <w:szCs w:val="20"/>
          <w:color w:val="auto"/>
        </w:rPr>
      </w:pPr>
    </w:p>
    <w:p>
      <w:pPr>
        <w:ind w:left="328" w:right="360" w:hanging="328"/>
        <w:spacing w:after="0" w:line="252" w:lineRule="auto"/>
        <w:tabs>
          <w:tab w:leader="none" w:pos="318"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shall make reasonable efforts to comply with all applicable federal and state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17" w:lineRule="exact"/>
        <w:rPr>
          <w:rFonts w:ascii="Arial" w:cs="Arial" w:eastAsia="Arial" w:hAnsi="Arial"/>
          <w:sz w:val="22"/>
          <w:szCs w:val="22"/>
          <w:color w:val="auto"/>
        </w:rPr>
      </w:pPr>
    </w:p>
    <w:p>
      <w:pPr>
        <w:ind w:left="328" w:right="80" w:hanging="328"/>
        <w:spacing w:after="0" w:line="286" w:lineRule="auto"/>
        <w:tabs>
          <w:tab w:leader="none" w:pos="318"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Clawback</w:t>
      </w:r>
      <w:r>
        <w:rPr>
          <w:rFonts w:ascii="Arial" w:cs="Arial" w:eastAsia="Arial" w:hAnsi="Arial"/>
          <w:sz w:val="19"/>
          <w:szCs w:val="19"/>
          <w:color w:val="auto"/>
        </w:rPr>
        <w:t>. The RSUs shall be subject to the Company’s Clawback Policy, as in effect on the Date of Grant, as may be</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or supplemented 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 or as the Clawback Policy otherwise may be amended or adopted in good faith by the Board for the Company’s employees. In addition, in the event that Grantee breaches any provision of subparagraphs 7(a) and 7(b) of the Employment Agreement, Grantee shall forfeit any right to receive shares of Common Stock with respect to RSUs that have vested pursuant to Section 5(a)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3" w:lineRule="exact"/>
        <w:rPr>
          <w:rFonts w:ascii="Arial" w:cs="Arial" w:eastAsia="Arial" w:hAnsi="Arial"/>
          <w:sz w:val="19"/>
          <w:szCs w:val="19"/>
          <w:color w:val="auto"/>
        </w:rPr>
      </w:pPr>
    </w:p>
    <w:p>
      <w:pPr>
        <w:ind w:left="328" w:right="120" w:hanging="328"/>
        <w:spacing w:after="0" w:line="293" w:lineRule="auto"/>
        <w:tabs>
          <w:tab w:leader="none" w:pos="318"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Relation to Other Benefits</w:t>
      </w:r>
      <w:r>
        <w:rPr>
          <w:rFonts w:ascii="Arial" w:cs="Arial" w:eastAsia="Arial" w:hAnsi="Arial"/>
          <w:sz w:val="19"/>
          <w:szCs w:val="19"/>
          <w:color w:val="auto"/>
        </w:rPr>
        <w:t>. Any economic or other benefit to Grantee under this Agreement or the Plan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taken 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2" w:lineRule="exact"/>
        <w:rPr>
          <w:rFonts w:ascii="Arial" w:cs="Arial" w:eastAsia="Arial" w:hAnsi="Arial"/>
          <w:sz w:val="19"/>
          <w:szCs w:val="19"/>
          <w:color w:val="auto"/>
        </w:rPr>
      </w:pPr>
    </w:p>
    <w:p>
      <w:pPr>
        <w:ind w:left="328" w:right="100" w:hanging="328"/>
        <w:spacing w:after="0" w:line="288" w:lineRule="auto"/>
        <w:tabs>
          <w:tab w:leader="none" w:pos="318"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Any amendment to the Plan shall be deemed to be an amendment to this Agreement to the extent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 or as provided for in subparagraph [ ] of the Employment Agreement.</w:t>
      </w:r>
    </w:p>
    <w:p>
      <w:pPr>
        <w:spacing w:after="0" w:line="2" w:lineRule="exact"/>
        <w:rPr>
          <w:rFonts w:ascii="Arial" w:cs="Arial" w:eastAsia="Arial" w:hAnsi="Arial"/>
          <w:sz w:val="19"/>
          <w:szCs w:val="19"/>
          <w:color w:val="auto"/>
        </w:rPr>
      </w:pPr>
    </w:p>
    <w:p>
      <w:pPr>
        <w:ind w:left="328" w:right="320" w:hanging="328"/>
        <w:spacing w:after="0" w:line="269" w:lineRule="auto"/>
        <w:tabs>
          <w:tab w:leader="none" w:pos="318"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In the event that one or more of the provisions of this Agreement shall be invalidated for any reason by a</w:t>
      </w:r>
      <w:r>
        <w:rPr>
          <w:rFonts w:ascii="Arial" w:cs="Arial" w:eastAsia="Arial" w:hAnsi="Arial"/>
          <w:sz w:val="22"/>
          <w:szCs w:val="22"/>
          <w:b w:val="1"/>
          <w:bCs w:val="1"/>
          <w:color w:val="auto"/>
        </w:rPr>
        <w:t xml:space="preserve"> </w:t>
      </w:r>
      <w:r>
        <w:rPr>
          <w:rFonts w:ascii="Arial" w:cs="Arial" w:eastAsia="Arial" w:hAnsi="Arial"/>
          <w:sz w:val="22"/>
          <w:szCs w:val="22"/>
          <w:color w:val="auto"/>
        </w:rPr>
        <w:t>court of competent jurisdiction, any provision so invalidated shall</w:t>
      </w:r>
    </w:p>
    <w:p>
      <w:pPr>
        <w:sectPr>
          <w:pgSz w:w="11900" w:h="16838" w:orient="portrait"/>
          <w:cols w:equalWidth="0" w:num="1">
            <w:col w:w="10908"/>
          </w:cols>
          <w:pgMar w:left="652" w:top="901" w:right="339" w:bottom="1440" w:gutter="0" w:footer="0" w:header="0"/>
        </w:sectPr>
      </w:pPr>
    </w:p>
    <w:bookmarkStart w:id="134" w:name="page135"/>
    <w:bookmarkEnd w:id="134"/>
    <w:p>
      <w:pPr>
        <w:ind w:left="328"/>
        <w:spacing w:after="0" w:line="263" w:lineRule="auto"/>
        <w:rPr>
          <w:sz w:val="20"/>
          <w:szCs w:val="20"/>
          <w:color w:val="auto"/>
        </w:rPr>
      </w:pPr>
      <w:r>
        <w:rPr>
          <w:rFonts w:ascii="Arial" w:cs="Arial" w:eastAsia="Arial" w:hAnsi="Arial"/>
          <w:sz w:val="22"/>
          <w:szCs w:val="22"/>
          <w:color w:val="auto"/>
        </w:rPr>
        <w:t>be deemed to be separable from the other provisions hereof, and the remaining provisions hereof shall continue to be valid and fully enforceable.</w:t>
      </w:r>
    </w:p>
    <w:p>
      <w:pPr>
        <w:spacing w:after="0" w:line="7" w:lineRule="exact"/>
        <w:rPr>
          <w:sz w:val="20"/>
          <w:szCs w:val="20"/>
          <w:color w:val="auto"/>
        </w:rPr>
      </w:pPr>
    </w:p>
    <w:p>
      <w:pPr>
        <w:ind w:left="328" w:right="160" w:hanging="328"/>
        <w:spacing w:after="0" w:line="268" w:lineRule="auto"/>
        <w:tabs>
          <w:tab w:leader="none" w:pos="318"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Relation to Plan</w:t>
      </w:r>
      <w:r>
        <w:rPr>
          <w:rFonts w:ascii="Arial" w:cs="Arial" w:eastAsia="Arial" w:hAnsi="Arial"/>
          <w:sz w:val="22"/>
          <w:szCs w:val="22"/>
          <w:color w:val="auto"/>
        </w:rPr>
        <w:t>. This Agreement is subject to the terms and conditions of the Plan. To the extent not expressly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the terms of the Plan shall govern.</w:t>
      </w:r>
    </w:p>
    <w:p>
      <w:pPr>
        <w:spacing w:after="0" w:line="2" w:lineRule="exact"/>
        <w:rPr>
          <w:rFonts w:ascii="Arial" w:cs="Arial" w:eastAsia="Arial" w:hAnsi="Arial"/>
          <w:sz w:val="22"/>
          <w:szCs w:val="22"/>
          <w:color w:val="auto"/>
        </w:rPr>
      </w:pPr>
    </w:p>
    <w:p>
      <w:pPr>
        <w:jc w:val="both"/>
        <w:ind w:left="328" w:right="60" w:hanging="328"/>
        <w:spacing w:after="0" w:line="256" w:lineRule="auto"/>
        <w:tabs>
          <w:tab w:leader="none" w:pos="318"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Acknowledgement</w:t>
      </w:r>
      <w:r>
        <w:rPr>
          <w:rFonts w:ascii="Arial" w:cs="Arial" w:eastAsia="Arial" w:hAnsi="Arial"/>
          <w:sz w:val="22"/>
          <w:szCs w:val="22"/>
          <w:color w:val="auto"/>
        </w:rPr>
        <w:t>. Grantee acknowledges that Grantee (a) has received a copy of the Plan, (b) has had an opportunity to</w:t>
      </w:r>
      <w:r>
        <w:rPr>
          <w:rFonts w:ascii="Arial" w:cs="Arial" w:eastAsia="Arial" w:hAnsi="Arial"/>
          <w:sz w:val="22"/>
          <w:szCs w:val="22"/>
          <w:b w:val="1"/>
          <w:bCs w:val="1"/>
          <w:color w:val="auto"/>
        </w:rPr>
        <w:t xml:space="preserve"> </w:t>
      </w:r>
      <w:r>
        <w:rPr>
          <w:rFonts w:ascii="Arial" w:cs="Arial" w:eastAsia="Arial" w:hAnsi="Arial"/>
          <w:sz w:val="22"/>
          <w:szCs w:val="22"/>
          <w:color w:val="auto"/>
        </w:rPr>
        <w:t>review the terms of this Agreement and the Plan, (c) understands the terms and conditions of this Agreement and the Plan and (d) agrees to such terms and conditions.</w:t>
      </w:r>
    </w:p>
    <w:p>
      <w:pPr>
        <w:spacing w:after="0" w:line="14" w:lineRule="exact"/>
        <w:rPr>
          <w:rFonts w:ascii="Arial" w:cs="Arial" w:eastAsia="Arial" w:hAnsi="Arial"/>
          <w:sz w:val="22"/>
          <w:szCs w:val="22"/>
          <w:color w:val="auto"/>
        </w:rPr>
      </w:pPr>
    </w:p>
    <w:p>
      <w:pPr>
        <w:jc w:val="both"/>
        <w:ind w:left="328" w:hanging="328"/>
        <w:spacing w:after="0" w:line="256" w:lineRule="auto"/>
        <w:tabs>
          <w:tab w:leader="none" w:pos="318"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Without limiting Section 3 hereof, the provisions of this Agreement shall inure to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and be binding upon, the successors, administrators, heirs, legal representatives and assigns of Grantee, and the successors and assigns of the Company.</w:t>
      </w:r>
    </w:p>
    <w:p>
      <w:pPr>
        <w:spacing w:after="0" w:line="14" w:lineRule="exact"/>
        <w:rPr>
          <w:rFonts w:ascii="Arial" w:cs="Arial" w:eastAsia="Arial" w:hAnsi="Arial"/>
          <w:sz w:val="22"/>
          <w:szCs w:val="22"/>
          <w:color w:val="auto"/>
        </w:rPr>
      </w:pPr>
    </w:p>
    <w:p>
      <w:pPr>
        <w:ind w:left="328" w:right="100" w:hanging="328"/>
        <w:spacing w:after="0" w:line="256" w:lineRule="auto"/>
        <w:tabs>
          <w:tab w:leader="none" w:pos="318"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internal substantive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giving effect to any principle of law that would result in the application of the law of any other jurisdiction.</w:t>
      </w:r>
    </w:p>
    <w:p>
      <w:pPr>
        <w:spacing w:after="0" w:line="14" w:lineRule="exact"/>
        <w:rPr>
          <w:rFonts w:ascii="Arial" w:cs="Arial" w:eastAsia="Arial" w:hAnsi="Arial"/>
          <w:sz w:val="22"/>
          <w:szCs w:val="22"/>
          <w:color w:val="auto"/>
        </w:rPr>
      </w:pPr>
    </w:p>
    <w:p>
      <w:pPr>
        <w:ind w:left="328" w:right="100" w:hanging="328"/>
        <w:spacing w:after="0" w:line="290" w:lineRule="auto"/>
        <w:tabs>
          <w:tab w:leader="none" w:pos="318" w:val="left"/>
        </w:tabs>
        <w:numPr>
          <w:ilvl w:val="0"/>
          <w:numId w:val="123"/>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to the Company provided for herein shall be in writing (including electronically)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1" w:lineRule="exact"/>
        <w:rPr>
          <w:rFonts w:ascii="Arial" w:cs="Arial" w:eastAsia="Arial" w:hAnsi="Arial"/>
          <w:sz w:val="19"/>
          <w:szCs w:val="19"/>
          <w:color w:val="auto"/>
        </w:rPr>
      </w:pPr>
    </w:p>
    <w:p>
      <w:pPr>
        <w:ind w:left="328" w:right="180" w:hanging="328"/>
        <w:spacing w:after="0" w:line="249" w:lineRule="auto"/>
        <w:tabs>
          <w:tab w:leader="none" w:pos="318"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the RSUs and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4" w:lineRule="exact"/>
        <w:rPr>
          <w:rFonts w:ascii="Arial" w:cs="Arial" w:eastAsia="Arial" w:hAnsi="Arial"/>
          <w:sz w:val="22"/>
          <w:szCs w:val="22"/>
          <w:color w:val="auto"/>
        </w:rPr>
      </w:pPr>
    </w:p>
    <w:p>
      <w:pPr>
        <w:ind w:left="328" w:right="20" w:hanging="328"/>
        <w:spacing w:after="0" w:line="287" w:lineRule="auto"/>
        <w:tabs>
          <w:tab w:leader="none" w:pos="318" w:val="left"/>
        </w:tabs>
        <w:numPr>
          <w:ilvl w:val="0"/>
          <w:numId w:val="123"/>
        </w:numPr>
        <w:rPr>
          <w:rFonts w:ascii="Arial" w:cs="Arial" w:eastAsia="Arial" w:hAnsi="Arial"/>
          <w:sz w:val="19"/>
          <w:szCs w:val="19"/>
          <w:color w:val="auto"/>
        </w:rPr>
      </w:pPr>
      <w:r>
        <w:rPr>
          <w:rFonts w:ascii="Arial" w:cs="Arial" w:eastAsia="Arial" w:hAnsi="Arial"/>
          <w:sz w:val="19"/>
          <w:szCs w:val="19"/>
          <w:b w:val="1"/>
          <w:bCs w:val="1"/>
          <w:color w:val="auto"/>
        </w:rPr>
        <w:t>Section 409A of the Code</w:t>
      </w:r>
      <w:r>
        <w:rPr>
          <w:rFonts w:ascii="Arial" w:cs="Arial" w:eastAsia="Arial" w:hAnsi="Arial"/>
          <w:sz w:val="19"/>
          <w:szCs w:val="19"/>
          <w:color w:val="auto"/>
        </w:rPr>
        <w:t>. To the extent applicable, it is intended that this Agreement and the Plan comply with or be</w:t>
      </w:r>
      <w:r>
        <w:rPr>
          <w:rFonts w:ascii="Arial" w:cs="Arial" w:eastAsia="Arial" w:hAnsi="Arial"/>
          <w:sz w:val="19"/>
          <w:szCs w:val="19"/>
          <w:b w:val="1"/>
          <w:bCs w:val="1"/>
          <w:color w:val="auto"/>
        </w:rPr>
        <w:t xml:space="preserve"> </w:t>
      </w:r>
      <w:r>
        <w:rPr>
          <w:rFonts w:ascii="Arial" w:cs="Arial" w:eastAsia="Arial" w:hAnsi="Arial"/>
          <w:sz w:val="19"/>
          <w:szCs w:val="19"/>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 §1.409A-1(b)(4).</w:t>
      </w:r>
    </w:p>
    <w:p>
      <w:pPr>
        <w:spacing w:after="0" w:line="6" w:lineRule="exact"/>
        <w:rPr>
          <w:rFonts w:ascii="Arial" w:cs="Arial" w:eastAsia="Arial" w:hAnsi="Arial"/>
          <w:sz w:val="19"/>
          <w:szCs w:val="19"/>
          <w:color w:val="auto"/>
        </w:rPr>
      </w:pPr>
    </w:p>
    <w:p>
      <w:pPr>
        <w:ind w:left="328" w:right="20" w:hanging="328"/>
        <w:spacing w:after="0" w:line="256" w:lineRule="auto"/>
        <w:tabs>
          <w:tab w:leader="none" w:pos="318"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(including facsimile and other electronically</w:t>
      </w:r>
      <w:r>
        <w:rPr>
          <w:rFonts w:ascii="Arial" w:cs="Arial" w:eastAsia="Arial" w:hAnsi="Arial"/>
          <w:sz w:val="22"/>
          <w:szCs w:val="22"/>
          <w:b w:val="1"/>
          <w:bCs w:val="1"/>
          <w:color w:val="auto"/>
        </w:rPr>
        <w:t xml:space="preserve"> </w:t>
      </w:r>
      <w:r>
        <w:rPr>
          <w:rFonts w:ascii="Arial" w:cs="Arial" w:eastAsia="Arial" w:hAnsi="Arial"/>
          <w:sz w:val="22"/>
          <w:szCs w:val="22"/>
          <w:color w:val="auto"/>
        </w:rPr>
        <w:t>transmitted counterparts), each of which shall be deemed to be an original but all of which together will constitute one and the same agreement.</w:t>
      </w:r>
    </w:p>
    <w:p>
      <w:pPr>
        <w:spacing w:after="0" w:line="14"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[SIGNATURES ON FOLLOWING PAGE]</w:t>
      </w:r>
    </w:p>
    <w:p>
      <w:pPr>
        <w:sectPr>
          <w:pgSz w:w="11900" w:h="16838" w:orient="portrait"/>
          <w:cols w:equalWidth="0" w:num="1">
            <w:col w:w="10908"/>
          </w:cols>
          <w:pgMar w:left="652" w:top="901" w:right="339" w:bottom="1440" w:gutter="0" w:footer="0" w:header="0"/>
        </w:sectPr>
      </w:pPr>
    </w:p>
    <w:bookmarkStart w:id="135" w:name="page136"/>
    <w:bookmarkEnd w:id="135"/>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on its behalf by its duly authorized officer and Grantee has executed this Agreement, as of the Date of Grant.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AGNC INVESTMENT CORP.</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GRANTEE’S SIGNATURE</w:t>
      </w:r>
    </w:p>
    <w:p>
      <w:pPr>
        <w:spacing w:after="0" w:line="35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Print Name: _________________</w:t>
      </w:r>
    </w:p>
    <w:p>
      <w:pPr>
        <w:sectPr>
          <w:pgSz w:w="11900" w:h="16838" w:orient="portrait"/>
          <w:cols w:equalWidth="0" w:num="1">
            <w:col w:w="10940"/>
          </w:cols>
          <w:pgMar w:left="320" w:top="901" w:right="6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color w:val="auto"/>
        </w:rPr>
        <w:t>Exhibit 10.29</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AGNC INVESTMENT CORP.</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AND INCENTIVE COMPENSATION PLAN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PERFORMANCE-BASED RESTRICTED STOCK UNIT AGREEMENT</w:t>
      </w:r>
    </w:p>
    <w:p>
      <w:pPr>
        <w:spacing w:after="0" w:line="361" w:lineRule="exact"/>
        <w:rPr>
          <w:sz w:val="20"/>
          <w:szCs w:val="20"/>
          <w:color w:val="auto"/>
        </w:rPr>
      </w:pPr>
    </w:p>
    <w:p>
      <w:pPr>
        <w:ind w:right="240"/>
        <w:spacing w:after="0" w:line="343" w:lineRule="auto"/>
        <w:rPr>
          <w:sz w:val="20"/>
          <w:szCs w:val="20"/>
          <w:color w:val="auto"/>
        </w:rPr>
      </w:pPr>
      <w:r>
        <w:rPr>
          <w:rFonts w:ascii="Arial" w:cs="Arial" w:eastAsia="Arial" w:hAnsi="Arial"/>
          <w:sz w:val="19"/>
          <w:szCs w:val="19"/>
          <w:color w:val="auto"/>
        </w:rPr>
        <w:t>This PERFORMANCE-BASED RESTRICTED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 ]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AGNC Investment Corp.,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 ] (“</w:t>
      </w:r>
      <w:r>
        <w:rPr>
          <w:rFonts w:ascii="Arial" w:cs="Arial" w:eastAsia="Arial" w:hAnsi="Arial"/>
          <w:sz w:val="19"/>
          <w:szCs w:val="19"/>
          <w:u w:val="single" w:color="auto"/>
          <w:color w:val="auto"/>
        </w:rPr>
        <w:t>Grantee</w:t>
      </w:r>
      <w:r>
        <w:rPr>
          <w:rFonts w:ascii="Arial" w:cs="Arial" w:eastAsia="Arial" w:hAnsi="Arial"/>
          <w:sz w:val="19"/>
          <w:szCs w:val="19"/>
          <w:color w:val="auto"/>
        </w:rPr>
        <w:t>”).</w:t>
      </w:r>
    </w:p>
    <w:p>
      <w:pPr>
        <w:spacing w:after="0" w:line="233" w:lineRule="exact"/>
        <w:rPr>
          <w:sz w:val="20"/>
          <w:szCs w:val="20"/>
          <w:color w:val="auto"/>
        </w:rPr>
      </w:pPr>
    </w:p>
    <w:p>
      <w:pPr>
        <w:jc w:val="both"/>
        <w:ind w:left="660" w:right="200" w:hanging="328"/>
        <w:spacing w:after="0" w:line="314" w:lineRule="auto"/>
        <w:tabs>
          <w:tab w:leader="none" w:pos="651" w:val="left"/>
        </w:tabs>
        <w:numPr>
          <w:ilvl w:val="0"/>
          <w:numId w:val="124"/>
        </w:numPr>
        <w:rPr>
          <w:rFonts w:ascii="Arial" w:cs="Arial" w:eastAsia="Arial" w:hAnsi="Arial"/>
          <w:sz w:val="19"/>
          <w:szCs w:val="19"/>
          <w:color w:val="auto"/>
        </w:rPr>
      </w:pPr>
      <w:r>
        <w:rPr>
          <w:rFonts w:ascii="Arial" w:cs="Arial" w:eastAsia="Arial" w:hAnsi="Arial"/>
          <w:sz w:val="19"/>
          <w:szCs w:val="19"/>
          <w:b w:val="1"/>
          <w:bCs w:val="1"/>
          <w:color w:val="auto"/>
        </w:rPr>
        <w:t>Certain Definitions</w:t>
      </w:r>
      <w:r>
        <w:rPr>
          <w:rFonts w:ascii="Arial" w:cs="Arial" w:eastAsia="Arial" w:hAnsi="Arial"/>
          <w:sz w:val="19"/>
          <w:szCs w:val="19"/>
          <w:color w:val="auto"/>
        </w:rPr>
        <w:t>. Capitalized terms used, but not otherwise defined, in this Agreement will have the meanings given</w:t>
      </w:r>
      <w:r>
        <w:rPr>
          <w:rFonts w:ascii="Arial" w:cs="Arial" w:eastAsia="Arial" w:hAnsi="Arial"/>
          <w:sz w:val="19"/>
          <w:szCs w:val="19"/>
          <w:b w:val="1"/>
          <w:bCs w:val="1"/>
          <w:color w:val="auto"/>
        </w:rPr>
        <w:t xml:space="preserve"> </w:t>
      </w:r>
      <w:r>
        <w:rPr>
          <w:rFonts w:ascii="Arial" w:cs="Arial" w:eastAsia="Arial" w:hAnsi="Arial"/>
          <w:sz w:val="19"/>
          <w:szCs w:val="19"/>
          <w:color w:val="auto"/>
        </w:rPr>
        <w:t>to such terms in the Company’s 2016 Equity and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As used in this Agreement:</w:t>
      </w:r>
    </w:p>
    <w:p>
      <w:pPr>
        <w:spacing w:after="0" w:line="1" w:lineRule="exact"/>
        <w:rPr>
          <w:rFonts w:ascii="Arial" w:cs="Arial" w:eastAsia="Arial" w:hAnsi="Arial"/>
          <w:sz w:val="19"/>
          <w:szCs w:val="19"/>
          <w:color w:val="auto"/>
        </w:rPr>
      </w:pPr>
    </w:p>
    <w:p>
      <w:pPr>
        <w:ind w:left="1300" w:hanging="320"/>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 ].</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w:t>
      </w:r>
      <w:r>
        <w:rPr>
          <w:rFonts w:ascii="Arial" w:cs="Arial" w:eastAsia="Arial" w:hAnsi="Arial"/>
          <w:sz w:val="22"/>
          <w:szCs w:val="22"/>
          <w:color w:val="auto"/>
        </w:rPr>
        <w:t>” means AGNC Mortgage Management, LLC.</w:t>
      </w:r>
    </w:p>
    <w:p>
      <w:pPr>
        <w:spacing w:after="0" w:line="57" w:lineRule="exact"/>
        <w:rPr>
          <w:rFonts w:ascii="Arial" w:cs="Arial" w:eastAsia="Arial" w:hAnsi="Arial"/>
          <w:sz w:val="22"/>
          <w:szCs w:val="22"/>
          <w:color w:val="auto"/>
        </w:rPr>
      </w:pPr>
    </w:p>
    <w:p>
      <w:pPr>
        <w:ind w:left="1300" w:right="380" w:hanging="320"/>
        <w:spacing w:after="0" w:line="263" w:lineRule="auto"/>
        <w:tabs>
          <w:tab w:leader="none" w:pos="1291"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xml:space="preserve">” means the AER Performance Period or the RER Performance Period, each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as applicable.</w:t>
      </w:r>
    </w:p>
    <w:p>
      <w:pPr>
        <w:spacing w:after="0" w:line="12" w:lineRule="exact"/>
        <w:rPr>
          <w:rFonts w:ascii="Arial" w:cs="Arial" w:eastAsia="Arial" w:hAnsi="Arial"/>
          <w:sz w:val="22"/>
          <w:szCs w:val="22"/>
          <w:color w:val="auto"/>
        </w:rPr>
      </w:pPr>
    </w:p>
    <w:p>
      <w:pPr>
        <w:ind w:left="1300" w:right="80" w:hanging="320"/>
        <w:spacing w:after="0" w:line="253" w:lineRule="auto"/>
        <w:tabs>
          <w:tab w:leader="none" w:pos="1291"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Re-Externalization</w:t>
      </w:r>
      <w:r>
        <w:rPr>
          <w:rFonts w:ascii="Arial" w:cs="Arial" w:eastAsia="Arial" w:hAnsi="Arial"/>
          <w:sz w:val="22"/>
          <w:szCs w:val="22"/>
          <w:color w:val="auto"/>
        </w:rPr>
        <w:t>” means a sale, merger or other transaction that results in the transfer or issuance of a majority of the outstanding equity interests of the Manager or AGNC Management, LLC to a person or entity other than a Subsidiary of the Company.</w:t>
      </w:r>
    </w:p>
    <w:p>
      <w:pPr>
        <w:spacing w:after="0" w:line="23" w:lineRule="exact"/>
        <w:rPr>
          <w:rFonts w:ascii="Arial" w:cs="Arial" w:eastAsia="Arial" w:hAnsi="Arial"/>
          <w:sz w:val="22"/>
          <w:szCs w:val="22"/>
          <w:color w:val="auto"/>
        </w:rPr>
      </w:pPr>
    </w:p>
    <w:p>
      <w:pPr>
        <w:ind w:left="1300" w:right="60" w:hanging="320"/>
        <w:spacing w:after="0" w:line="285" w:lineRule="auto"/>
        <w:tabs>
          <w:tab w:leader="none" w:pos="1353" w:val="left"/>
        </w:tabs>
        <w:numPr>
          <w:ilvl w:val="1"/>
          <w:numId w:val="1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Award</w:t>
      </w:r>
      <w:r>
        <w:rPr>
          <w:rFonts w:ascii="Arial" w:cs="Arial" w:eastAsia="Arial" w:hAnsi="Arial"/>
          <w:sz w:val="19"/>
          <w:szCs w:val="19"/>
          <w:color w:val="auto"/>
        </w:rPr>
        <w:t xml:space="preserve">” means an award (i) of time-based RSUs (as defined in Section 2 hereof) with a value at least equal to the value of the RSUs covered by this Agreement, determined based on actual achievement of the performance conditions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on a Prorated Basis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of the most recent date prior to the Change of Control for which applicable data for such determination is publicly available, as determined by the Board or the Committee pursuant to </w:t>
      </w:r>
      <w:r>
        <w:rPr>
          <w:rFonts w:ascii="Arial" w:cs="Arial" w:eastAsia="Arial" w:hAnsi="Arial"/>
          <w:sz w:val="19"/>
          <w:szCs w:val="19"/>
          <w:u w:val="single" w:color="auto"/>
          <w:color w:val="auto"/>
        </w:rPr>
        <w:t>Exhibit A</w:t>
      </w:r>
      <w:r>
        <w:rPr>
          <w:rFonts w:ascii="Arial" w:cs="Arial" w:eastAsia="Arial" w:hAnsi="Arial"/>
          <w:sz w:val="19"/>
          <w:szCs w:val="19"/>
          <w:color w:val="auto"/>
        </w:rPr>
        <w:t>, (ii) that vests in full on the date set forth in Section 4,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1(f) are satisfied will be made by the Committee, as constituted immediately prior to the Change of Control, in its sole discretion.</w:t>
      </w:r>
    </w:p>
    <w:p>
      <w:pPr>
        <w:spacing w:after="0" w:line="260" w:lineRule="exact"/>
        <w:rPr>
          <w:rFonts w:ascii="Arial" w:cs="Arial" w:eastAsia="Arial" w:hAnsi="Arial"/>
          <w:sz w:val="19"/>
          <w:szCs w:val="19"/>
          <w:color w:val="auto"/>
        </w:rPr>
      </w:pPr>
    </w:p>
    <w:p>
      <w:pPr>
        <w:ind w:left="1340" w:hanging="360"/>
        <w:spacing w:after="0"/>
        <w:tabs>
          <w:tab w:leader="none" w:pos="134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For Good Reason</w:t>
      </w:r>
      <w:r>
        <w:rPr>
          <w:rFonts w:ascii="Arial" w:cs="Arial" w:eastAsia="Arial" w:hAnsi="Arial"/>
          <w:sz w:val="22"/>
          <w:szCs w:val="22"/>
          <w:color w:val="auto"/>
        </w:rPr>
        <w:t>” has the meaning set forth in the Employment Agreement.</w:t>
      </w:r>
    </w:p>
    <w:p>
      <w:pPr>
        <w:spacing w:after="0" w:line="57" w:lineRule="exact"/>
        <w:rPr>
          <w:rFonts w:ascii="Arial" w:cs="Arial" w:eastAsia="Arial" w:hAnsi="Arial"/>
          <w:sz w:val="22"/>
          <w:szCs w:val="22"/>
          <w:color w:val="auto"/>
        </w:rPr>
      </w:pPr>
    </w:p>
    <w:p>
      <w:pPr>
        <w:ind w:left="1300" w:hanging="320"/>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has the meaning set forth in the Employment Agreement.</w:t>
      </w:r>
    </w:p>
    <w:p>
      <w:pPr>
        <w:sectPr>
          <w:pgSz w:w="11900" w:h="16838" w:orient="portrait"/>
          <w:cols w:equalWidth="0" w:num="1">
            <w:col w:w="11240"/>
          </w:cols>
          <w:pgMar w:left="320" w:top="901" w:right="339" w:bottom="1440" w:gutter="0" w:footer="0" w:header="0"/>
        </w:sectPr>
      </w:pPr>
    </w:p>
    <w:bookmarkStart w:id="137" w:name="page138"/>
    <w:bookmarkEnd w:id="137"/>
    <w:p>
      <w:pPr>
        <w:ind w:left="328" w:right="60" w:hanging="328"/>
        <w:spacing w:after="0" w:line="261" w:lineRule="auto"/>
        <w:tabs>
          <w:tab w:leader="none" w:pos="319" w:val="left"/>
        </w:tabs>
        <w:numPr>
          <w:ilvl w:val="0"/>
          <w:numId w:val="125"/>
        </w:numPr>
        <w:rPr>
          <w:rFonts w:ascii="Arial" w:cs="Arial" w:eastAsia="Arial" w:hAnsi="Arial"/>
          <w:sz w:val="21"/>
          <w:szCs w:val="21"/>
          <w:color w:val="auto"/>
        </w:rPr>
      </w:pPr>
      <w:r>
        <w:rPr>
          <w:rFonts w:ascii="Arial" w:cs="Arial" w:eastAsia="Arial" w:hAnsi="Arial"/>
          <w:sz w:val="21"/>
          <w:szCs w:val="21"/>
          <w:b w:val="1"/>
          <w:bCs w:val="1"/>
          <w:color w:val="auto"/>
        </w:rPr>
        <w:t>Grant of RSUs</w:t>
      </w:r>
      <w:r>
        <w:rPr>
          <w:rFonts w:ascii="Arial" w:cs="Arial" w:eastAsia="Arial" w:hAnsi="Arial"/>
          <w:sz w:val="21"/>
          <w:szCs w:val="21"/>
          <w:color w:val="auto"/>
        </w:rPr>
        <w:t>. Subject to and upon the terms, conditions and restrictions set forth in this Agreement and in the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hereby grants to Grantee a target number of [ ] Restricted Stock Units (the “</w:t>
      </w:r>
      <w:r>
        <w:rPr>
          <w:rFonts w:ascii="Arial" w:cs="Arial" w:eastAsia="Arial" w:hAnsi="Arial"/>
          <w:sz w:val="21"/>
          <w:szCs w:val="21"/>
          <w:u w:val="single" w:color="auto"/>
          <w:color w:val="auto"/>
        </w:rPr>
        <w:t>Target Number of RSUs</w:t>
      </w:r>
      <w:r>
        <w:rPr>
          <w:rFonts w:ascii="Arial" w:cs="Arial" w:eastAsia="Arial" w:hAnsi="Arial"/>
          <w:sz w:val="21"/>
          <w:szCs w:val="21"/>
          <w:color w:val="auto"/>
        </w:rPr>
        <w:t xml:space="preserve">”) (with a maximum number of [ ] Restricted Stock Units to be potentially earned pursuant to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Maximum Number of</w:t>
      </w:r>
      <w:r>
        <w:rPr>
          <w:rFonts w:ascii="Arial" w:cs="Arial" w:eastAsia="Arial" w:hAnsi="Arial"/>
          <w:sz w:val="21"/>
          <w:szCs w:val="21"/>
          <w:color w:val="auto"/>
        </w:rPr>
        <w:t xml:space="preserve"> </w:t>
      </w:r>
      <w:r>
        <w:rPr>
          <w:rFonts w:ascii="Arial" w:cs="Arial" w:eastAsia="Arial" w:hAnsi="Arial"/>
          <w:sz w:val="21"/>
          <w:szCs w:val="21"/>
          <w:u w:val="single" w:color="auto"/>
          <w:color w:val="auto"/>
        </w:rPr>
        <w:t>RSUs</w:t>
      </w:r>
      <w:r>
        <w:rPr>
          <w:rFonts w:ascii="Arial" w:cs="Arial" w:eastAsia="Arial" w:hAnsi="Arial"/>
          <w:sz w:val="21"/>
          <w:szCs w:val="21"/>
          <w:color w:val="auto"/>
        </w:rPr>
        <w:t>”, and all Restricted Stock Units covered by this Agreement, the “</w:t>
      </w:r>
      <w:r>
        <w:rPr>
          <w:rFonts w:ascii="Arial" w:cs="Arial" w:eastAsia="Arial" w:hAnsi="Arial"/>
          <w:sz w:val="21"/>
          <w:szCs w:val="21"/>
          <w:u w:val="single" w:color="auto"/>
          <w:color w:val="auto"/>
        </w:rPr>
        <w:t>RSUs</w:t>
      </w:r>
      <w:r>
        <w:rPr>
          <w:rFonts w:ascii="Arial" w:cs="Arial" w:eastAsia="Arial" w:hAnsi="Arial"/>
          <w:sz w:val="21"/>
          <w:szCs w:val="21"/>
          <w:color w:val="auto"/>
        </w:rPr>
        <w:t xml:space="preserve">”)), plus the related RSUs granted as dividend equivalents pursuant to the terms of Section 8(a), and subject to the terms and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Each RSU shall represent the right of Grantee to receive one share of Common Stock subject to and upon the terms and conditions of this Agreement.</w:t>
      </w:r>
    </w:p>
    <w:p>
      <w:pPr>
        <w:spacing w:after="0" w:line="11" w:lineRule="exact"/>
        <w:rPr>
          <w:rFonts w:ascii="Arial" w:cs="Arial" w:eastAsia="Arial" w:hAnsi="Arial"/>
          <w:sz w:val="21"/>
          <w:szCs w:val="21"/>
          <w:color w:val="auto"/>
        </w:rPr>
      </w:pPr>
    </w:p>
    <w:p>
      <w:pPr>
        <w:ind w:left="328" w:right="440" w:hanging="328"/>
        <w:spacing w:after="0" w:line="256" w:lineRule="auto"/>
        <w:tabs>
          <w:tab w:leader="none" w:pos="319" w:val="left"/>
        </w:tabs>
        <w:numPr>
          <w:ilvl w:val="0"/>
          <w:numId w:val="125"/>
        </w:numPr>
        <w:rPr>
          <w:rFonts w:ascii="Arial" w:cs="Arial" w:eastAsia="Arial" w:hAnsi="Arial"/>
          <w:sz w:val="22"/>
          <w:szCs w:val="22"/>
          <w:color w:val="auto"/>
        </w:rPr>
      </w:pPr>
      <w:r>
        <w:rPr>
          <w:rFonts w:ascii="Arial" w:cs="Arial" w:eastAsia="Arial" w:hAnsi="Arial"/>
          <w:sz w:val="22"/>
          <w:szCs w:val="22"/>
          <w:b w:val="1"/>
          <w:bCs w:val="1"/>
          <w:color w:val="auto"/>
        </w:rPr>
        <w:t>Restrictions on Transfer of RSUs</w:t>
      </w:r>
      <w:r>
        <w:rPr>
          <w:rFonts w:ascii="Arial" w:cs="Arial" w:eastAsia="Arial" w:hAnsi="Arial"/>
          <w:sz w:val="22"/>
          <w:szCs w:val="22"/>
          <w:color w:val="auto"/>
        </w:rPr>
        <w:t>. Neither the RSUs evidenced hereby nor any interest therein or in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underlying such RSUs shall be transferable prior to payment to Grantee pursuant to Section 7 hereof, other than as described in Section 15 of the Plan.</w:t>
      </w:r>
    </w:p>
    <w:p>
      <w:pPr>
        <w:spacing w:after="0" w:line="14" w:lineRule="exact"/>
        <w:rPr>
          <w:rFonts w:ascii="Arial" w:cs="Arial" w:eastAsia="Arial" w:hAnsi="Arial"/>
          <w:sz w:val="22"/>
          <w:szCs w:val="22"/>
          <w:color w:val="auto"/>
        </w:rPr>
      </w:pPr>
    </w:p>
    <w:p>
      <w:pPr>
        <w:ind w:left="328" w:right="20" w:hanging="328"/>
        <w:spacing w:after="0" w:line="252" w:lineRule="auto"/>
        <w:tabs>
          <w:tab w:leader="none" w:pos="319" w:val="left"/>
        </w:tabs>
        <w:numPr>
          <w:ilvl w:val="0"/>
          <w:numId w:val="125"/>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The RSUs covered by this Agreement shall become nonforfeitable and payable to Grantee on [ ], provided that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Board or the Committee has certified achievement of the applicable performance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Grantee remains continuously employed by the Company or any of its Subsidiaries (or any of their successors) through such date.</w:t>
      </w:r>
    </w:p>
    <w:p>
      <w:pPr>
        <w:spacing w:after="0" w:line="17" w:lineRule="exact"/>
        <w:rPr>
          <w:rFonts w:ascii="Arial" w:cs="Arial" w:eastAsia="Arial" w:hAnsi="Arial"/>
          <w:sz w:val="22"/>
          <w:szCs w:val="22"/>
          <w:color w:val="auto"/>
        </w:rPr>
      </w:pPr>
    </w:p>
    <w:p>
      <w:pPr>
        <w:ind w:left="328" w:right="540" w:hanging="328"/>
        <w:spacing w:after="0" w:line="314" w:lineRule="auto"/>
        <w:tabs>
          <w:tab w:leader="none" w:pos="319" w:val="left"/>
        </w:tabs>
        <w:numPr>
          <w:ilvl w:val="0"/>
          <w:numId w:val="125"/>
        </w:numPr>
        <w:rPr>
          <w:rFonts w:ascii="Arial" w:cs="Arial" w:eastAsia="Arial" w:hAnsi="Arial"/>
          <w:sz w:val="19"/>
          <w:szCs w:val="19"/>
          <w:color w:val="auto"/>
        </w:rPr>
      </w:pPr>
      <w:r>
        <w:rPr>
          <w:rFonts w:ascii="Arial" w:cs="Arial" w:eastAsia="Arial" w:hAnsi="Arial"/>
          <w:sz w:val="19"/>
          <w:szCs w:val="19"/>
          <w:b w:val="1"/>
          <w:bCs w:val="1"/>
          <w:color w:val="auto"/>
        </w:rPr>
        <w:t>Accelerated Vesting</w:t>
      </w:r>
      <w:r>
        <w:rPr>
          <w:rFonts w:ascii="Arial" w:cs="Arial" w:eastAsia="Arial" w:hAnsi="Arial"/>
          <w:sz w:val="19"/>
          <w:szCs w:val="19"/>
          <w:color w:val="auto"/>
        </w:rPr>
        <w:t>. Notwithstanding the provisions of Section 4 hereof, the RSUs covered by this Agreement will</w:t>
      </w:r>
      <w:r>
        <w:rPr>
          <w:rFonts w:ascii="Arial" w:cs="Arial" w:eastAsia="Arial" w:hAnsi="Arial"/>
          <w:sz w:val="19"/>
          <w:szCs w:val="19"/>
          <w:b w:val="1"/>
          <w:bCs w:val="1"/>
          <w:color w:val="auto"/>
        </w:rPr>
        <w:t xml:space="preserve"> </w:t>
      </w:r>
      <w:r>
        <w:rPr>
          <w:rFonts w:ascii="Arial" w:cs="Arial" w:eastAsia="Arial" w:hAnsi="Arial"/>
          <w:sz w:val="19"/>
          <w:szCs w:val="19"/>
          <w:color w:val="auto"/>
        </w:rPr>
        <w:t>become nonforfeitable and payable to Grantee upon the occurrence of the earliest of any of the following events:</w:t>
      </w:r>
    </w:p>
    <w:p>
      <w:pPr>
        <w:spacing w:after="0" w:line="1" w:lineRule="exact"/>
        <w:rPr>
          <w:rFonts w:ascii="Arial" w:cs="Arial" w:eastAsia="Arial" w:hAnsi="Arial"/>
          <w:sz w:val="19"/>
          <w:szCs w:val="19"/>
          <w:color w:val="auto"/>
        </w:rPr>
      </w:pPr>
    </w:p>
    <w:p>
      <w:pPr>
        <w:ind w:left="968" w:right="20" w:hanging="320"/>
        <w:spacing w:after="0" w:line="259" w:lineRule="auto"/>
        <w:tabs>
          <w:tab w:leader="none" w:pos="959" w:val="left"/>
        </w:tabs>
        <w:numPr>
          <w:ilvl w:val="1"/>
          <w:numId w:val="125"/>
        </w:numPr>
        <w:rPr>
          <w:rFonts w:ascii="Arial" w:cs="Arial" w:eastAsia="Arial" w:hAnsi="Arial"/>
          <w:sz w:val="21"/>
          <w:szCs w:val="21"/>
          <w:color w:val="auto"/>
        </w:rPr>
      </w:pPr>
      <w:r>
        <w:rPr>
          <w:rFonts w:ascii="Arial" w:cs="Arial" w:eastAsia="Arial" w:hAnsi="Arial"/>
          <w:sz w:val="21"/>
          <w:szCs w:val="21"/>
          <w:color w:val="auto"/>
        </w:rPr>
        <w:t xml:space="preserve">If, while Grantee is continuously employed by the Company or any of its Subsidiaries (or any of their successors), a Change of Control occurs and a Replacement Award is not provided to Grantee on the date of such Change of Control, the number of RSUs that will become nonforfeitable and payable to Grantee shall equal the number of RSUs that Grantee would be entitled to receive based on actual achievement of the performance conditions described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on a Prorated Basis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 of the most recent date prior to the Change of Control for which applicable data for such determination is publicly available, as determined by the Board or the Committee pursuant to </w:t>
      </w:r>
      <w:r>
        <w:rPr>
          <w:rFonts w:ascii="Arial" w:cs="Arial" w:eastAsia="Arial" w:hAnsi="Arial"/>
          <w:sz w:val="21"/>
          <w:szCs w:val="21"/>
          <w:u w:val="single" w:color="auto"/>
          <w:color w:val="auto"/>
        </w:rPr>
        <w:t>Exhibit A</w:t>
      </w:r>
      <w:r>
        <w:rPr>
          <w:rFonts w:ascii="Arial" w:cs="Arial" w:eastAsia="Arial" w:hAnsi="Arial"/>
          <w:sz w:val="21"/>
          <w:szCs w:val="21"/>
          <w:color w:val="auto"/>
        </w:rPr>
        <w:t>. Such number of RSUs shall become nonforfeitable and payable to Grantee on the date of such Change of Control.</w:t>
      </w:r>
    </w:p>
    <w:p>
      <w:pPr>
        <w:spacing w:after="0" w:line="21" w:lineRule="exact"/>
        <w:rPr>
          <w:rFonts w:ascii="Arial" w:cs="Arial" w:eastAsia="Arial" w:hAnsi="Arial"/>
          <w:sz w:val="21"/>
          <w:szCs w:val="21"/>
          <w:color w:val="auto"/>
        </w:rPr>
      </w:pPr>
    </w:p>
    <w:p>
      <w:pPr>
        <w:ind w:left="968" w:hanging="320"/>
        <w:spacing w:after="0" w:line="287" w:lineRule="auto"/>
        <w:tabs>
          <w:tab w:leader="none" w:pos="959"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If Grantee’s employment with the Company or any of its Subsidiaries (or any of their successors) terminates at any time as a result of: (i) Grantee’s death, (ii) Grantee’s Disability (pursuant to subparagraph 5(b)(ii) of the Employment Agreement), (iii) a Termination Without Cause or (iv) a Termination For Good Reason, the number of RSUs that will become nonforfeitable and payable to Grantee shall equal the number of RSUs that Grantee would have been entitled to receive if Grantee had remained employed until the last day of the Performance Period (based on actual achievement of the performance conditions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during the Performance Period, as determined by the Board or the Committee after the end of the Performance Period). Such number of RSUs shall become nonforfeitable and payable to Grantee on or before March 15 of the calendar year immediately following the end of the Performance Period.</w:t>
      </w:r>
    </w:p>
    <w:p>
      <w:pPr>
        <w:spacing w:after="0" w:line="5" w:lineRule="exact"/>
        <w:rPr>
          <w:rFonts w:ascii="Arial" w:cs="Arial" w:eastAsia="Arial" w:hAnsi="Arial"/>
          <w:sz w:val="19"/>
          <w:szCs w:val="19"/>
          <w:color w:val="auto"/>
        </w:rPr>
      </w:pPr>
    </w:p>
    <w:p>
      <w:pPr>
        <w:ind w:left="328" w:right="140" w:hanging="328"/>
        <w:spacing w:after="0" w:line="249" w:lineRule="auto"/>
        <w:tabs>
          <w:tab w:leader="none" w:pos="319" w:val="left"/>
        </w:tabs>
        <w:numPr>
          <w:ilvl w:val="0"/>
          <w:numId w:val="125"/>
        </w:numPr>
        <w:rPr>
          <w:rFonts w:ascii="Arial" w:cs="Arial" w:eastAsia="Arial" w:hAnsi="Arial"/>
          <w:sz w:val="22"/>
          <w:szCs w:val="22"/>
          <w:color w:val="auto"/>
        </w:rPr>
      </w:pPr>
      <w:r>
        <w:rPr>
          <w:rFonts w:ascii="Arial" w:cs="Arial" w:eastAsia="Arial" w:hAnsi="Arial"/>
          <w:sz w:val="22"/>
          <w:szCs w:val="22"/>
          <w:b w:val="1"/>
          <w:bCs w:val="1"/>
          <w:color w:val="auto"/>
        </w:rPr>
        <w:t>Forfeiture</w:t>
      </w:r>
      <w:r>
        <w:rPr>
          <w:rFonts w:ascii="Arial" w:cs="Arial" w:eastAsia="Arial" w:hAnsi="Arial"/>
          <w:sz w:val="22"/>
          <w:szCs w:val="22"/>
          <w:color w:val="auto"/>
        </w:rPr>
        <w:t>. Except to the extent the RSUs covered by this Agreement have become nonforfeitable pursuant to Section 4</w:t>
      </w:r>
      <w:r>
        <w:rPr>
          <w:rFonts w:ascii="Arial" w:cs="Arial" w:eastAsia="Arial" w:hAnsi="Arial"/>
          <w:sz w:val="22"/>
          <w:szCs w:val="22"/>
          <w:b w:val="1"/>
          <w:bCs w:val="1"/>
          <w:color w:val="auto"/>
        </w:rPr>
        <w:t xml:space="preserve"> </w:t>
      </w:r>
      <w:r>
        <w:rPr>
          <w:rFonts w:ascii="Arial" w:cs="Arial" w:eastAsia="Arial" w:hAnsi="Arial"/>
          <w:sz w:val="22"/>
          <w:szCs w:val="22"/>
          <w:color w:val="auto"/>
        </w:rPr>
        <w:t>or Section 5 hereof, the 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spacing w:after="0" w:line="24" w:lineRule="exact"/>
        <w:rPr>
          <w:rFonts w:ascii="Arial" w:cs="Arial" w:eastAsia="Arial" w:hAnsi="Arial"/>
          <w:sz w:val="22"/>
          <w:szCs w:val="22"/>
          <w:color w:val="auto"/>
        </w:rPr>
      </w:pPr>
    </w:p>
    <w:p>
      <w:pPr>
        <w:ind w:left="308" w:hanging="308"/>
        <w:spacing w:after="0"/>
        <w:tabs>
          <w:tab w:leader="none" w:pos="308" w:val="left"/>
        </w:tabs>
        <w:numPr>
          <w:ilvl w:val="0"/>
          <w:numId w:val="125"/>
        </w:numPr>
        <w:rPr>
          <w:rFonts w:ascii="Arial" w:cs="Arial" w:eastAsia="Arial" w:hAnsi="Arial"/>
          <w:sz w:val="22"/>
          <w:szCs w:val="22"/>
          <w:color w:val="auto"/>
        </w:rPr>
      </w:pPr>
      <w:r>
        <w:rPr>
          <w:rFonts w:ascii="Arial" w:cs="Arial" w:eastAsia="Arial" w:hAnsi="Arial"/>
          <w:sz w:val="22"/>
          <w:szCs w:val="22"/>
          <w:b w:val="1"/>
          <w:bCs w:val="1"/>
          <w:color w:val="auto"/>
        </w:rPr>
        <w:t>Form and Time of Payment of RSUs</w:t>
      </w:r>
      <w:r>
        <w:rPr>
          <w:rFonts w:ascii="Arial" w:cs="Arial" w:eastAsia="Arial" w:hAnsi="Arial"/>
          <w:sz w:val="22"/>
          <w:szCs w:val="22"/>
          <w:color w:val="auto"/>
        </w:rPr>
        <w:t>.</w:t>
      </w:r>
    </w:p>
    <w:p>
      <w:pPr>
        <w:sectPr>
          <w:pgSz w:w="11900" w:h="16838" w:orient="portrait"/>
          <w:cols w:equalWidth="0" w:num="1">
            <w:col w:w="10908"/>
          </w:cols>
          <w:pgMar w:left="652" w:top="895" w:right="339" w:bottom="1440" w:gutter="0" w:footer="0" w:header="0"/>
        </w:sectPr>
      </w:pPr>
    </w:p>
    <w:bookmarkStart w:id="138" w:name="page139"/>
    <w:bookmarkEnd w:id="138"/>
    <w:p>
      <w:pPr>
        <w:ind w:left="968" w:hanging="320"/>
        <w:spacing w:after="0" w:line="293" w:lineRule="auto"/>
        <w:tabs>
          <w:tab w:leader="none" w:pos="959"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Form</w:t>
      </w:r>
      <w:r>
        <w:rPr>
          <w:rFonts w:ascii="Arial" w:cs="Arial" w:eastAsia="Arial" w:hAnsi="Arial"/>
          <w:sz w:val="19"/>
          <w:szCs w:val="19"/>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2" w:lineRule="exact"/>
        <w:rPr>
          <w:rFonts w:ascii="Arial" w:cs="Arial" w:eastAsia="Arial" w:hAnsi="Arial"/>
          <w:sz w:val="19"/>
          <w:szCs w:val="19"/>
          <w:color w:val="auto"/>
        </w:rPr>
      </w:pPr>
    </w:p>
    <w:p>
      <w:pPr>
        <w:ind w:left="968" w:hanging="320"/>
        <w:spacing w:after="0"/>
        <w:tabs>
          <w:tab w:leader="none" w:pos="968" w:val="left"/>
        </w:tabs>
        <w:numPr>
          <w:ilvl w:val="1"/>
          <w:numId w:val="126"/>
        </w:numPr>
        <w:rPr>
          <w:rFonts w:ascii="Arial" w:cs="Arial" w:eastAsia="Arial" w:hAnsi="Arial"/>
          <w:sz w:val="22"/>
          <w:szCs w:val="22"/>
          <w:color w:val="auto"/>
        </w:rPr>
      </w:pPr>
      <w:r>
        <w:rPr>
          <w:rFonts w:ascii="Arial" w:cs="Arial" w:eastAsia="Arial" w:hAnsi="Arial"/>
          <w:sz w:val="22"/>
          <w:szCs w:val="22"/>
          <w:u w:val="single" w:color="auto"/>
          <w:color w:val="auto"/>
        </w:rPr>
        <w:t>Timing</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628" w:right="580" w:hanging="440"/>
        <w:spacing w:after="0" w:line="263" w:lineRule="auto"/>
        <w:tabs>
          <w:tab w:leader="none" w:pos="1628" w:val="left"/>
        </w:tabs>
        <w:numPr>
          <w:ilvl w:val="2"/>
          <w:numId w:val="126"/>
        </w:numPr>
        <w:rPr>
          <w:rFonts w:ascii="Arial" w:cs="Arial" w:eastAsia="Arial" w:hAnsi="Arial"/>
          <w:sz w:val="22"/>
          <w:szCs w:val="22"/>
          <w:color w:val="auto"/>
        </w:rPr>
      </w:pPr>
      <w:r>
        <w:rPr>
          <w:rFonts w:ascii="Arial" w:cs="Arial" w:eastAsia="Arial" w:hAnsi="Arial"/>
          <w:sz w:val="22"/>
          <w:szCs w:val="22"/>
          <w:color w:val="auto"/>
        </w:rPr>
        <w:t>The RSUs that become nonforfeitable pursuant to Section 4 hereof shall be paid within ten (10) days following the date on which such RSUs become nonforfeitable.</w:t>
      </w:r>
    </w:p>
    <w:p>
      <w:pPr>
        <w:spacing w:after="0" w:line="12" w:lineRule="exact"/>
        <w:rPr>
          <w:rFonts w:ascii="Arial" w:cs="Arial" w:eastAsia="Arial" w:hAnsi="Arial"/>
          <w:sz w:val="22"/>
          <w:szCs w:val="22"/>
          <w:color w:val="auto"/>
        </w:rPr>
      </w:pPr>
    </w:p>
    <w:p>
      <w:pPr>
        <w:ind w:left="1628" w:right="460" w:hanging="488"/>
        <w:spacing w:after="0" w:line="263" w:lineRule="auto"/>
        <w:tabs>
          <w:tab w:leader="none" w:pos="1628" w:val="left"/>
        </w:tabs>
        <w:numPr>
          <w:ilvl w:val="2"/>
          <w:numId w:val="126"/>
        </w:numPr>
        <w:rPr>
          <w:rFonts w:ascii="Arial" w:cs="Arial" w:eastAsia="Arial" w:hAnsi="Arial"/>
          <w:sz w:val="22"/>
          <w:szCs w:val="22"/>
          <w:color w:val="auto"/>
        </w:rPr>
      </w:pPr>
      <w:r>
        <w:rPr>
          <w:rFonts w:ascii="Arial" w:cs="Arial" w:eastAsia="Arial" w:hAnsi="Arial"/>
          <w:sz w:val="22"/>
          <w:szCs w:val="22"/>
          <w:color w:val="auto"/>
        </w:rPr>
        <w:t>The RSUs that become nonforfeitable pursuant to Section 5(a) hereof shall be paid on the date of such Change of Control.</w:t>
      </w:r>
    </w:p>
    <w:p>
      <w:pPr>
        <w:spacing w:after="0" w:line="12" w:lineRule="exact"/>
        <w:rPr>
          <w:rFonts w:ascii="Arial" w:cs="Arial" w:eastAsia="Arial" w:hAnsi="Arial"/>
          <w:sz w:val="22"/>
          <w:szCs w:val="22"/>
          <w:color w:val="auto"/>
        </w:rPr>
      </w:pPr>
    </w:p>
    <w:p>
      <w:pPr>
        <w:ind w:left="1628" w:right="120" w:hanging="536"/>
        <w:spacing w:after="0" w:line="261" w:lineRule="auto"/>
        <w:tabs>
          <w:tab w:leader="none" w:pos="1628" w:val="left"/>
        </w:tabs>
        <w:numPr>
          <w:ilvl w:val="2"/>
          <w:numId w:val="126"/>
        </w:numPr>
        <w:rPr>
          <w:rFonts w:ascii="Arial" w:cs="Arial" w:eastAsia="Arial" w:hAnsi="Arial"/>
          <w:sz w:val="21"/>
          <w:szCs w:val="21"/>
          <w:color w:val="auto"/>
        </w:rPr>
      </w:pPr>
      <w:r>
        <w:rPr>
          <w:rFonts w:ascii="Arial" w:cs="Arial" w:eastAsia="Arial" w:hAnsi="Arial"/>
          <w:sz w:val="21"/>
          <w:szCs w:val="21"/>
          <w:color w:val="auto"/>
        </w:rPr>
        <w:t>The RSUs that become nonforfeitable pursuant to Section 5(b) hereof shall be paid on or before March 15 of the calendar year immediately following the end of the Performance Period; provided that if any of the events contemplated in Section 5(b) hereof occurs on or before the last day of the Performance Period, Grantee (or, if applicable, Grantee’s estate) shall have first executed and not revoked the release described in subparagraph 6(f) of the Employment Agreement in accordance with the requirements of subparagraph 6(f) of the Employment Agreement.</w:t>
      </w:r>
    </w:p>
    <w:p>
      <w:pPr>
        <w:spacing w:after="0" w:line="308" w:lineRule="exact"/>
        <w:rPr>
          <w:rFonts w:ascii="Arial" w:cs="Arial" w:eastAsia="Arial" w:hAnsi="Arial"/>
          <w:sz w:val="21"/>
          <w:szCs w:val="21"/>
          <w:color w:val="auto"/>
        </w:rPr>
      </w:pPr>
    </w:p>
    <w:p>
      <w:pPr>
        <w:ind w:left="308" w:hanging="308"/>
        <w:spacing w:after="0"/>
        <w:tabs>
          <w:tab w:leader="none" w:pos="308" w:val="left"/>
        </w:tabs>
        <w:numPr>
          <w:ilvl w:val="0"/>
          <w:numId w:val="127"/>
        </w:numPr>
        <w:rPr>
          <w:rFonts w:ascii="Arial" w:cs="Arial" w:eastAsia="Arial" w:hAnsi="Arial"/>
          <w:sz w:val="22"/>
          <w:szCs w:val="22"/>
          <w:color w:val="auto"/>
        </w:rPr>
      </w:pPr>
      <w:r>
        <w:rPr>
          <w:rFonts w:ascii="Arial" w:cs="Arial" w:eastAsia="Arial" w:hAnsi="Arial"/>
          <w:sz w:val="22"/>
          <w:szCs w:val="22"/>
          <w:b w:val="1"/>
          <w:bCs w:val="1"/>
          <w:color w:val="auto"/>
        </w:rPr>
        <w:t>Dividend Equivalents; Other Rights</w:t>
      </w:r>
      <w:r>
        <w:rPr>
          <w:rFonts w:ascii="Arial" w:cs="Arial" w:eastAsia="Arial" w:hAnsi="Arial"/>
          <w:sz w:val="22"/>
          <w:szCs w:val="22"/>
          <w:color w:val="auto"/>
        </w:rPr>
        <w:t>.</w:t>
      </w:r>
    </w:p>
    <w:p>
      <w:pPr>
        <w:spacing w:after="0" w:line="63" w:lineRule="exact"/>
        <w:rPr>
          <w:rFonts w:ascii="Arial" w:cs="Arial" w:eastAsia="Arial" w:hAnsi="Arial"/>
          <w:sz w:val="22"/>
          <w:szCs w:val="22"/>
          <w:color w:val="auto"/>
        </w:rPr>
      </w:pPr>
    </w:p>
    <w:p>
      <w:pPr>
        <w:ind w:left="968" w:right="20" w:hanging="320"/>
        <w:spacing w:after="0" w:line="287" w:lineRule="auto"/>
        <w:tabs>
          <w:tab w:leader="none" w:pos="959" w:val="left"/>
        </w:tabs>
        <w:numPr>
          <w:ilvl w:val="1"/>
          <w:numId w:val="127"/>
        </w:numPr>
        <w:rPr>
          <w:rFonts w:ascii="Arial" w:cs="Arial" w:eastAsia="Arial" w:hAnsi="Arial"/>
          <w:sz w:val="19"/>
          <w:szCs w:val="19"/>
          <w:color w:val="auto"/>
        </w:rPr>
      </w:pPr>
      <w:r>
        <w:rPr>
          <w:rFonts w:ascii="Arial" w:cs="Arial" w:eastAsia="Arial" w:hAnsi="Arial"/>
          <w:sz w:val="19"/>
          <w:szCs w:val="19"/>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1" w:lineRule="exact"/>
        <w:rPr>
          <w:rFonts w:ascii="Arial" w:cs="Arial" w:eastAsia="Arial" w:hAnsi="Arial"/>
          <w:sz w:val="19"/>
          <w:szCs w:val="19"/>
          <w:color w:val="auto"/>
        </w:rPr>
      </w:pPr>
    </w:p>
    <w:p>
      <w:pPr>
        <w:ind w:left="968" w:right="380" w:hanging="320"/>
        <w:spacing w:after="0" w:line="301" w:lineRule="auto"/>
        <w:tabs>
          <w:tab w:leader="none" w:pos="959" w:val="left"/>
        </w:tabs>
        <w:numPr>
          <w:ilvl w:val="1"/>
          <w:numId w:val="127"/>
        </w:numPr>
        <w:rPr>
          <w:rFonts w:ascii="Arial" w:cs="Arial" w:eastAsia="Arial" w:hAnsi="Arial"/>
          <w:sz w:val="19"/>
          <w:szCs w:val="19"/>
          <w:color w:val="auto"/>
        </w:rPr>
      </w:pPr>
      <w:r>
        <w:rPr>
          <w:rFonts w:ascii="Arial" w:cs="Arial" w:eastAsia="Arial" w:hAnsi="Arial"/>
          <w:sz w:val="19"/>
          <w:szCs w:val="19"/>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1" w:lineRule="exact"/>
        <w:rPr>
          <w:rFonts w:ascii="Arial" w:cs="Arial" w:eastAsia="Arial" w:hAnsi="Arial"/>
          <w:sz w:val="19"/>
          <w:szCs w:val="19"/>
          <w:color w:val="auto"/>
        </w:rPr>
      </w:pPr>
    </w:p>
    <w:p>
      <w:pPr>
        <w:ind w:left="968" w:right="120" w:hanging="320"/>
        <w:spacing w:after="0" w:line="265" w:lineRule="auto"/>
        <w:tabs>
          <w:tab w:leader="none" w:pos="960" w:val="left"/>
        </w:tabs>
        <w:numPr>
          <w:ilvl w:val="1"/>
          <w:numId w:val="127"/>
        </w:numPr>
        <w:rPr>
          <w:rFonts w:ascii="Arial" w:cs="Arial" w:eastAsia="Arial" w:hAnsi="Arial"/>
          <w:sz w:val="21"/>
          <w:szCs w:val="21"/>
          <w:color w:val="auto"/>
        </w:rPr>
      </w:pPr>
      <w:r>
        <w:rPr>
          <w:rFonts w:ascii="Arial" w:cs="Arial" w:eastAsia="Arial" w:hAnsi="Arial"/>
          <w:sz w:val="21"/>
          <w:szCs w:val="21"/>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7" w:lineRule="exact"/>
        <w:rPr>
          <w:rFonts w:ascii="Arial" w:cs="Arial" w:eastAsia="Arial" w:hAnsi="Arial"/>
          <w:sz w:val="21"/>
          <w:szCs w:val="21"/>
          <w:color w:val="auto"/>
        </w:rPr>
      </w:pPr>
    </w:p>
    <w:p>
      <w:pPr>
        <w:ind w:left="328" w:right="180" w:hanging="328"/>
        <w:spacing w:after="0" w:line="256" w:lineRule="auto"/>
        <w:tabs>
          <w:tab w:leader="none" w:pos="319" w:val="left"/>
        </w:tabs>
        <w:numPr>
          <w:ilvl w:val="0"/>
          <w:numId w:val="127"/>
        </w:numPr>
        <w:rPr>
          <w:rFonts w:ascii="Arial" w:cs="Arial" w:eastAsia="Arial" w:hAnsi="Arial"/>
          <w:sz w:val="22"/>
          <w:szCs w:val="22"/>
          <w:color w:val="auto"/>
        </w:rPr>
      </w:pPr>
      <w:r>
        <w:rPr>
          <w:rFonts w:ascii="Arial" w:cs="Arial" w:eastAsia="Arial" w:hAnsi="Arial"/>
          <w:sz w:val="22"/>
          <w:szCs w:val="22"/>
          <w:b w:val="1"/>
          <w:bCs w:val="1"/>
          <w:color w:val="auto"/>
        </w:rPr>
        <w:t>No Right to Future Awards or Employment</w:t>
      </w:r>
      <w:r>
        <w:rPr>
          <w:rFonts w:ascii="Arial" w:cs="Arial" w:eastAsia="Arial" w:hAnsi="Arial"/>
          <w:sz w:val="22"/>
          <w:szCs w:val="22"/>
          <w:color w:val="auto"/>
        </w:rPr>
        <w:t>. The grant of the RSUs under this Agreement to Grantee is a voluntary,</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discretionary award being made on a one-time basis and it does not constitute a commitment to make any future awards. The grant of the RSUs and any payments</w:t>
      </w:r>
    </w:p>
    <w:p>
      <w:pPr>
        <w:sectPr>
          <w:pgSz w:w="11900" w:h="16838" w:orient="portrait"/>
          <w:cols w:equalWidth="0" w:num="1">
            <w:col w:w="10908"/>
          </w:cols>
          <w:pgMar w:left="652" w:top="901" w:right="339" w:bottom="1440" w:gutter="0" w:footer="0" w:header="0"/>
        </w:sectPr>
      </w:pPr>
    </w:p>
    <w:bookmarkStart w:id="139" w:name="page140"/>
    <w:bookmarkEnd w:id="139"/>
    <w:p>
      <w:pPr>
        <w:ind w:left="328" w:right="60"/>
        <w:spacing w:after="0" w:line="294" w:lineRule="auto"/>
        <w:rPr>
          <w:sz w:val="20"/>
          <w:szCs w:val="20"/>
          <w:color w:val="auto"/>
        </w:rPr>
      </w:pPr>
      <w:r>
        <w:rPr>
          <w:rFonts w:ascii="Arial" w:cs="Arial" w:eastAsia="Arial" w:hAnsi="Arial"/>
          <w:sz w:val="19"/>
          <w:szCs w:val="19"/>
          <w:color w:val="auto"/>
        </w:rPr>
        <w:t>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3" w:lineRule="exact"/>
        <w:rPr>
          <w:sz w:val="20"/>
          <w:szCs w:val="20"/>
          <w:color w:val="auto"/>
        </w:rPr>
      </w:pPr>
    </w:p>
    <w:p>
      <w:pPr>
        <w:ind w:left="328" w:right="200" w:hanging="328"/>
        <w:spacing w:after="0" w:line="311" w:lineRule="auto"/>
        <w:tabs>
          <w:tab w:leader="none" w:pos="319"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Adjustments</w:t>
      </w:r>
      <w:r>
        <w:rPr>
          <w:rFonts w:ascii="Arial" w:cs="Arial" w:eastAsia="Arial" w:hAnsi="Arial"/>
          <w:sz w:val="19"/>
          <w:szCs w:val="19"/>
          <w:color w:val="auto"/>
        </w:rPr>
        <w:t>. The number of shares of Common Stock issuable for each RSU and the other terms and conditions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evidenced by this Agreement are subject to adjustment as provided in Section 11 of the Plan.</w:t>
      </w:r>
    </w:p>
    <w:p>
      <w:pPr>
        <w:ind w:left="328" w:hanging="328"/>
        <w:spacing w:after="0" w:line="285" w:lineRule="auto"/>
        <w:tabs>
          <w:tab w:leader="none" w:pos="319"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To the extent that the Company is required to withhold federal, state, local or foreign taxes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minimum statutory tax rates applicable with respect to Grantee, unless (i) an additional amount can be withheld and not result in adverse accounting consequences, and (ii) such additional withholding amount is authorized by the Committee.</w:t>
      </w:r>
    </w:p>
    <w:p>
      <w:pPr>
        <w:spacing w:after="0" w:line="12" w:lineRule="exact"/>
        <w:rPr>
          <w:rFonts w:ascii="Arial" w:cs="Arial" w:eastAsia="Arial" w:hAnsi="Arial"/>
          <w:sz w:val="19"/>
          <w:szCs w:val="19"/>
          <w:color w:val="auto"/>
        </w:rPr>
      </w:pPr>
    </w:p>
    <w:p>
      <w:pPr>
        <w:ind w:left="328" w:right="340" w:hanging="328"/>
        <w:spacing w:after="0" w:line="252" w:lineRule="auto"/>
        <w:tabs>
          <w:tab w:leader="none" w:pos="319"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shall make reasonable efforts to comply with all applicable federal and state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17" w:lineRule="exact"/>
        <w:rPr>
          <w:rFonts w:ascii="Arial" w:cs="Arial" w:eastAsia="Arial" w:hAnsi="Arial"/>
          <w:sz w:val="22"/>
          <w:szCs w:val="22"/>
          <w:color w:val="auto"/>
        </w:rPr>
      </w:pPr>
    </w:p>
    <w:p>
      <w:pPr>
        <w:ind w:left="328" w:right="60" w:hanging="328"/>
        <w:spacing w:after="0" w:line="287" w:lineRule="auto"/>
        <w:tabs>
          <w:tab w:leader="none" w:pos="319"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Clawback</w:t>
      </w:r>
      <w:r>
        <w:rPr>
          <w:rFonts w:ascii="Arial" w:cs="Arial" w:eastAsia="Arial" w:hAnsi="Arial"/>
          <w:sz w:val="19"/>
          <w:szCs w:val="19"/>
          <w:color w:val="auto"/>
        </w:rPr>
        <w:t>. The RSUs shall be subject to the Company’s Clawback Policy, as in effect on the Date of Grant, as may be</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or supplemented 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 or as the Clawback Policy otherwise may be amended or adopted in good faith by the Board for the Company’s employees. In addition, in the event that Grantee breaches any provision of subparagraphs 7(a) and 7(b) of the Employment Agreement, Grantee shall forfeit any right to receive shares of Common Stock with respect to RSUs that have vested pursuant to Section 5(b)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ectPr>
          <w:pgSz w:w="11900" w:h="16838" w:orient="portrait"/>
          <w:cols w:equalWidth="0" w:num="1">
            <w:col w:w="10888"/>
          </w:cols>
          <w:pgMar w:left="652" w:top="901" w:right="359" w:bottom="1440" w:gutter="0" w:footer="0" w:header="0"/>
        </w:sectPr>
      </w:pPr>
    </w:p>
    <w:bookmarkStart w:id="140" w:name="page141"/>
    <w:bookmarkEnd w:id="140"/>
    <w:p>
      <w:pPr>
        <w:ind w:left="328" w:right="120" w:hanging="328"/>
        <w:spacing w:after="0" w:line="293" w:lineRule="auto"/>
        <w:tabs>
          <w:tab w:leader="none" w:pos="319" w:val="left"/>
        </w:tabs>
        <w:numPr>
          <w:ilvl w:val="0"/>
          <w:numId w:val="129"/>
        </w:numPr>
        <w:rPr>
          <w:rFonts w:ascii="Arial" w:cs="Arial" w:eastAsia="Arial" w:hAnsi="Arial"/>
          <w:sz w:val="19"/>
          <w:szCs w:val="19"/>
          <w:color w:val="auto"/>
        </w:rPr>
      </w:pPr>
      <w:r>
        <w:rPr>
          <w:rFonts w:ascii="Arial" w:cs="Arial" w:eastAsia="Arial" w:hAnsi="Arial"/>
          <w:sz w:val="19"/>
          <w:szCs w:val="19"/>
          <w:b w:val="1"/>
          <w:bCs w:val="1"/>
          <w:color w:val="auto"/>
        </w:rPr>
        <w:t>Relation to Other Benefits</w:t>
      </w:r>
      <w:r>
        <w:rPr>
          <w:rFonts w:ascii="Arial" w:cs="Arial" w:eastAsia="Arial" w:hAnsi="Arial"/>
          <w:sz w:val="19"/>
          <w:szCs w:val="19"/>
          <w:color w:val="auto"/>
        </w:rPr>
        <w:t>. Any economic or other benefit to Grantee under this Agreement or the Plan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taken 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2" w:lineRule="exact"/>
        <w:rPr>
          <w:rFonts w:ascii="Arial" w:cs="Arial" w:eastAsia="Arial" w:hAnsi="Arial"/>
          <w:sz w:val="19"/>
          <w:szCs w:val="19"/>
          <w:color w:val="auto"/>
        </w:rPr>
      </w:pPr>
    </w:p>
    <w:p>
      <w:pPr>
        <w:ind w:left="328" w:right="100" w:hanging="328"/>
        <w:spacing w:after="0" w:line="288" w:lineRule="auto"/>
        <w:tabs>
          <w:tab w:leader="none" w:pos="319" w:val="left"/>
        </w:tabs>
        <w:numPr>
          <w:ilvl w:val="0"/>
          <w:numId w:val="129"/>
        </w:numPr>
        <w:rPr>
          <w:rFonts w:ascii="Arial" w:cs="Arial" w:eastAsia="Arial" w:hAnsi="Arial"/>
          <w:sz w:val="19"/>
          <w:szCs w:val="19"/>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Any amendment to the Plan shall be deemed to be an amendment to this Agreement to the extent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 or as provided for in subparagraph [ ] of the Employment Agreement.</w:t>
      </w:r>
    </w:p>
    <w:p>
      <w:pPr>
        <w:spacing w:after="0" w:line="2" w:lineRule="exact"/>
        <w:rPr>
          <w:rFonts w:ascii="Arial" w:cs="Arial" w:eastAsia="Arial" w:hAnsi="Arial"/>
          <w:sz w:val="19"/>
          <w:szCs w:val="19"/>
          <w:color w:val="auto"/>
        </w:rPr>
      </w:pPr>
    </w:p>
    <w:p>
      <w:pPr>
        <w:jc w:val="both"/>
        <w:ind w:left="328" w:right="320" w:hanging="328"/>
        <w:spacing w:after="0" w:line="301" w:lineRule="auto"/>
        <w:tabs>
          <w:tab w:leader="none" w:pos="319" w:val="left"/>
        </w:tabs>
        <w:numPr>
          <w:ilvl w:val="0"/>
          <w:numId w:val="129"/>
        </w:numPr>
        <w:rPr>
          <w:rFonts w:ascii="Arial" w:cs="Arial" w:eastAsia="Arial" w:hAnsi="Arial"/>
          <w:sz w:val="19"/>
          <w:szCs w:val="19"/>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In the event that one or more of the provisions of this Agreement shall be invalidated for any reason by a</w:t>
      </w:r>
      <w:r>
        <w:rPr>
          <w:rFonts w:ascii="Arial" w:cs="Arial" w:eastAsia="Arial" w:hAnsi="Arial"/>
          <w:sz w:val="19"/>
          <w:szCs w:val="19"/>
          <w:b w:val="1"/>
          <w:bCs w:val="1"/>
          <w:color w:val="auto"/>
        </w:rPr>
        <w:t xml:space="preserve"> </w:t>
      </w:r>
      <w:r>
        <w:rPr>
          <w:rFonts w:ascii="Arial" w:cs="Arial" w:eastAsia="Arial" w:hAnsi="Arial"/>
          <w:sz w:val="19"/>
          <w:szCs w:val="19"/>
          <w:color w:val="auto"/>
        </w:rPr>
        <w:t>court of competent jurisdiction, any provision so invalidated shall be deemed to be separable from the other provisions hereof, and the remaining provisions hereof shall continue to be valid and fully enforceable.</w:t>
      </w:r>
    </w:p>
    <w:p>
      <w:pPr>
        <w:spacing w:after="0" w:line="1" w:lineRule="exact"/>
        <w:rPr>
          <w:rFonts w:ascii="Arial" w:cs="Arial" w:eastAsia="Arial" w:hAnsi="Arial"/>
          <w:sz w:val="19"/>
          <w:szCs w:val="19"/>
          <w:color w:val="auto"/>
        </w:rPr>
      </w:pPr>
    </w:p>
    <w:p>
      <w:pPr>
        <w:ind w:left="328" w:right="160" w:hanging="328"/>
        <w:spacing w:after="0" w:line="268" w:lineRule="auto"/>
        <w:tabs>
          <w:tab w:leader="none" w:pos="318" w:val="left"/>
        </w:tabs>
        <w:numPr>
          <w:ilvl w:val="0"/>
          <w:numId w:val="129"/>
        </w:numPr>
        <w:rPr>
          <w:rFonts w:ascii="Arial" w:cs="Arial" w:eastAsia="Arial" w:hAnsi="Arial"/>
          <w:sz w:val="22"/>
          <w:szCs w:val="22"/>
          <w:color w:val="auto"/>
        </w:rPr>
      </w:pPr>
      <w:r>
        <w:rPr>
          <w:rFonts w:ascii="Arial" w:cs="Arial" w:eastAsia="Arial" w:hAnsi="Arial"/>
          <w:sz w:val="22"/>
          <w:szCs w:val="22"/>
          <w:b w:val="1"/>
          <w:bCs w:val="1"/>
          <w:color w:val="auto"/>
        </w:rPr>
        <w:t>Relation to Plan</w:t>
      </w:r>
      <w:r>
        <w:rPr>
          <w:rFonts w:ascii="Arial" w:cs="Arial" w:eastAsia="Arial" w:hAnsi="Arial"/>
          <w:sz w:val="22"/>
          <w:szCs w:val="22"/>
          <w:color w:val="auto"/>
        </w:rPr>
        <w:t>. This Agreement is subject to the terms and conditions of the Plan. To the extent not expressly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the terms of the Plan shall govern.</w:t>
      </w:r>
    </w:p>
    <w:p>
      <w:pPr>
        <w:spacing w:after="0" w:line="2" w:lineRule="exact"/>
        <w:rPr>
          <w:rFonts w:ascii="Arial" w:cs="Arial" w:eastAsia="Arial" w:hAnsi="Arial"/>
          <w:sz w:val="22"/>
          <w:szCs w:val="22"/>
          <w:color w:val="auto"/>
        </w:rPr>
      </w:pPr>
    </w:p>
    <w:p>
      <w:pPr>
        <w:jc w:val="both"/>
        <w:ind w:left="328" w:right="60" w:hanging="328"/>
        <w:spacing w:after="0" w:line="256" w:lineRule="auto"/>
        <w:tabs>
          <w:tab w:leader="none" w:pos="318" w:val="left"/>
        </w:tabs>
        <w:numPr>
          <w:ilvl w:val="0"/>
          <w:numId w:val="129"/>
        </w:numPr>
        <w:rPr>
          <w:rFonts w:ascii="Arial" w:cs="Arial" w:eastAsia="Arial" w:hAnsi="Arial"/>
          <w:sz w:val="22"/>
          <w:szCs w:val="22"/>
          <w:color w:val="auto"/>
        </w:rPr>
      </w:pPr>
      <w:r>
        <w:rPr>
          <w:rFonts w:ascii="Arial" w:cs="Arial" w:eastAsia="Arial" w:hAnsi="Arial"/>
          <w:sz w:val="22"/>
          <w:szCs w:val="22"/>
          <w:b w:val="1"/>
          <w:bCs w:val="1"/>
          <w:color w:val="auto"/>
        </w:rPr>
        <w:t>Acknowledgement</w:t>
      </w:r>
      <w:r>
        <w:rPr>
          <w:rFonts w:ascii="Arial" w:cs="Arial" w:eastAsia="Arial" w:hAnsi="Arial"/>
          <w:sz w:val="22"/>
          <w:szCs w:val="22"/>
          <w:color w:val="auto"/>
        </w:rPr>
        <w:t>. Grantee acknowledges that Grantee (a) has received a copy of the Plan, (b) has had an opportunity to</w:t>
      </w:r>
      <w:r>
        <w:rPr>
          <w:rFonts w:ascii="Arial" w:cs="Arial" w:eastAsia="Arial" w:hAnsi="Arial"/>
          <w:sz w:val="22"/>
          <w:szCs w:val="22"/>
          <w:b w:val="1"/>
          <w:bCs w:val="1"/>
          <w:color w:val="auto"/>
        </w:rPr>
        <w:t xml:space="preserve"> </w:t>
      </w:r>
      <w:r>
        <w:rPr>
          <w:rFonts w:ascii="Arial" w:cs="Arial" w:eastAsia="Arial" w:hAnsi="Arial"/>
          <w:sz w:val="22"/>
          <w:szCs w:val="22"/>
          <w:color w:val="auto"/>
        </w:rPr>
        <w:t>review the terms of this Agreement and the Plan, (c) understands the terms and conditions of this Agreement and the Plan and (d) agrees to such terms and conditions.</w:t>
      </w:r>
    </w:p>
    <w:p>
      <w:pPr>
        <w:spacing w:after="0" w:line="14" w:lineRule="exact"/>
        <w:rPr>
          <w:rFonts w:ascii="Arial" w:cs="Arial" w:eastAsia="Arial" w:hAnsi="Arial"/>
          <w:sz w:val="22"/>
          <w:szCs w:val="22"/>
          <w:color w:val="auto"/>
        </w:rPr>
      </w:pPr>
    </w:p>
    <w:p>
      <w:pPr>
        <w:jc w:val="both"/>
        <w:ind w:left="328" w:hanging="328"/>
        <w:spacing w:after="0" w:line="256" w:lineRule="auto"/>
        <w:tabs>
          <w:tab w:leader="none" w:pos="318" w:val="left"/>
        </w:tabs>
        <w:numPr>
          <w:ilvl w:val="0"/>
          <w:numId w:val="129"/>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Without limiting Section 3 hereof, the provisions of this Agreement shall inure to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and be binding upon, the successors, administrators, heirs, legal representatives and assigns of Grantee, and the successors and assigns of the Company.</w:t>
      </w:r>
    </w:p>
    <w:p>
      <w:pPr>
        <w:spacing w:after="0" w:line="14" w:lineRule="exact"/>
        <w:rPr>
          <w:rFonts w:ascii="Arial" w:cs="Arial" w:eastAsia="Arial" w:hAnsi="Arial"/>
          <w:sz w:val="22"/>
          <w:szCs w:val="22"/>
          <w:color w:val="auto"/>
        </w:rPr>
      </w:pPr>
    </w:p>
    <w:p>
      <w:pPr>
        <w:ind w:left="328" w:right="100" w:hanging="328"/>
        <w:spacing w:after="0" w:line="256" w:lineRule="auto"/>
        <w:tabs>
          <w:tab w:leader="none" w:pos="318" w:val="left"/>
        </w:tabs>
        <w:numPr>
          <w:ilvl w:val="0"/>
          <w:numId w:val="129"/>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internal substantive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giving effect to any principle of law that would result in the application of the law of any other jurisdiction.</w:t>
      </w:r>
    </w:p>
    <w:p>
      <w:pPr>
        <w:spacing w:after="0" w:line="14" w:lineRule="exact"/>
        <w:rPr>
          <w:rFonts w:ascii="Arial" w:cs="Arial" w:eastAsia="Arial" w:hAnsi="Arial"/>
          <w:sz w:val="22"/>
          <w:szCs w:val="22"/>
          <w:color w:val="auto"/>
        </w:rPr>
      </w:pPr>
    </w:p>
    <w:p>
      <w:pPr>
        <w:ind w:left="328" w:right="100" w:hanging="328"/>
        <w:spacing w:after="0" w:line="290" w:lineRule="auto"/>
        <w:tabs>
          <w:tab w:leader="none" w:pos="318" w:val="left"/>
        </w:tabs>
        <w:numPr>
          <w:ilvl w:val="0"/>
          <w:numId w:val="129"/>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to the Company provided for herein shall be in writing (including electronically)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1" w:lineRule="exact"/>
        <w:rPr>
          <w:rFonts w:ascii="Arial" w:cs="Arial" w:eastAsia="Arial" w:hAnsi="Arial"/>
          <w:sz w:val="19"/>
          <w:szCs w:val="19"/>
          <w:color w:val="auto"/>
        </w:rPr>
      </w:pPr>
    </w:p>
    <w:p>
      <w:pPr>
        <w:ind w:left="328" w:right="180" w:hanging="328"/>
        <w:spacing w:after="0" w:line="249" w:lineRule="auto"/>
        <w:tabs>
          <w:tab w:leader="none" w:pos="318" w:val="left"/>
        </w:tabs>
        <w:numPr>
          <w:ilvl w:val="0"/>
          <w:numId w:val="129"/>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the RSUs and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ectPr>
          <w:pgSz w:w="11900" w:h="16838" w:orient="portrait"/>
          <w:cols w:equalWidth="0" w:num="1">
            <w:col w:w="10908"/>
          </w:cols>
          <w:pgMar w:left="652" w:top="895" w:right="339" w:bottom="1440" w:gutter="0" w:footer="0" w:header="0"/>
        </w:sectPr>
      </w:pPr>
    </w:p>
    <w:bookmarkStart w:id="141" w:name="page142"/>
    <w:bookmarkEnd w:id="141"/>
    <w:p>
      <w:pPr>
        <w:ind w:left="328" w:hanging="328"/>
        <w:spacing w:after="0" w:line="287" w:lineRule="auto"/>
        <w:tabs>
          <w:tab w:leader="none" w:pos="318" w:val="left"/>
        </w:tabs>
        <w:numPr>
          <w:ilvl w:val="0"/>
          <w:numId w:val="130"/>
        </w:numPr>
        <w:rPr>
          <w:rFonts w:ascii="Arial" w:cs="Arial" w:eastAsia="Arial" w:hAnsi="Arial"/>
          <w:sz w:val="19"/>
          <w:szCs w:val="19"/>
          <w:color w:val="auto"/>
        </w:rPr>
      </w:pPr>
      <w:r>
        <w:rPr>
          <w:rFonts w:ascii="Arial" w:cs="Arial" w:eastAsia="Arial" w:hAnsi="Arial"/>
          <w:sz w:val="19"/>
          <w:szCs w:val="19"/>
          <w:b w:val="1"/>
          <w:bCs w:val="1"/>
          <w:color w:val="auto"/>
        </w:rPr>
        <w:t>Section 409A of the Code</w:t>
      </w:r>
      <w:r>
        <w:rPr>
          <w:rFonts w:ascii="Arial" w:cs="Arial" w:eastAsia="Arial" w:hAnsi="Arial"/>
          <w:sz w:val="19"/>
          <w:szCs w:val="19"/>
          <w:color w:val="auto"/>
        </w:rPr>
        <w:t>. To the extent applicable, it is intended that this Agreement and the Plan comply with or be</w:t>
      </w:r>
      <w:r>
        <w:rPr>
          <w:rFonts w:ascii="Arial" w:cs="Arial" w:eastAsia="Arial" w:hAnsi="Arial"/>
          <w:sz w:val="19"/>
          <w:szCs w:val="19"/>
          <w:b w:val="1"/>
          <w:bCs w:val="1"/>
          <w:color w:val="auto"/>
        </w:rPr>
        <w:t xml:space="preserve"> </w:t>
      </w:r>
      <w:r>
        <w:rPr>
          <w:rFonts w:ascii="Arial" w:cs="Arial" w:eastAsia="Arial" w:hAnsi="Arial"/>
          <w:sz w:val="19"/>
          <w:szCs w:val="19"/>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 §1.409A-1(b)(4).</w:t>
      </w:r>
    </w:p>
    <w:p>
      <w:pPr>
        <w:spacing w:after="0" w:line="6" w:lineRule="exact"/>
        <w:rPr>
          <w:rFonts w:ascii="Arial" w:cs="Arial" w:eastAsia="Arial" w:hAnsi="Arial"/>
          <w:sz w:val="19"/>
          <w:szCs w:val="19"/>
          <w:color w:val="auto"/>
        </w:rPr>
      </w:pPr>
    </w:p>
    <w:p>
      <w:pPr>
        <w:ind w:left="328" w:hanging="328"/>
        <w:spacing w:after="0" w:line="256" w:lineRule="auto"/>
        <w:tabs>
          <w:tab w:leader="none" w:pos="318"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(including facsimile and other electronically</w:t>
      </w:r>
      <w:r>
        <w:rPr>
          <w:rFonts w:ascii="Arial" w:cs="Arial" w:eastAsia="Arial" w:hAnsi="Arial"/>
          <w:sz w:val="22"/>
          <w:szCs w:val="22"/>
          <w:b w:val="1"/>
          <w:bCs w:val="1"/>
          <w:color w:val="auto"/>
        </w:rPr>
        <w:t xml:space="preserve"> </w:t>
      </w:r>
      <w:r>
        <w:rPr>
          <w:rFonts w:ascii="Arial" w:cs="Arial" w:eastAsia="Arial" w:hAnsi="Arial"/>
          <w:sz w:val="22"/>
          <w:szCs w:val="22"/>
          <w:color w:val="auto"/>
        </w:rPr>
        <w:t>transmitted counterparts), each of which shall be deemed to be an original but all of which together will constitute one and the same agreement.</w:t>
      </w:r>
    </w:p>
    <w:p>
      <w:pPr>
        <w:spacing w:after="0" w:line="14"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[SIGNATURES ON FOLLOWING PAGE]</w:t>
      </w:r>
    </w:p>
    <w:p>
      <w:pPr>
        <w:sectPr>
          <w:pgSz w:w="11900" w:h="16838" w:orient="portrait"/>
          <w:cols w:equalWidth="0" w:num="1">
            <w:col w:w="10888"/>
          </w:cols>
          <w:pgMar w:left="652" w:top="895" w:right="359" w:bottom="1440" w:gutter="0" w:footer="0" w:header="0"/>
        </w:sectPr>
      </w:pPr>
    </w:p>
    <w:bookmarkStart w:id="142" w:name="page143"/>
    <w:bookmarkEnd w:id="142"/>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on its behalf by its duly authorized officer and Grantee has executed this Agreement, as of the Date of Grant.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AGNC INVESTMENT CORP.</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GRANTEE’S SIGNATURE</w:t>
      </w:r>
    </w:p>
    <w:p>
      <w:pPr>
        <w:spacing w:after="0" w:line="35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Print Name: _________________</w:t>
      </w:r>
    </w:p>
    <w:p>
      <w:pPr>
        <w:sectPr>
          <w:pgSz w:w="11900" w:h="16838" w:orient="portrait"/>
          <w:cols w:equalWidth="0" w:num="1">
            <w:col w:w="10940"/>
          </w:cols>
          <w:pgMar w:left="320" w:top="901" w:right="6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9"/>
          <w:szCs w:val="19"/>
          <w:b w:val="1"/>
          <w:bCs w:val="1"/>
          <w:color w:val="auto"/>
        </w:rPr>
        <w:t>Exhibit A Performance Vesting Schedule</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w:t>
      </w:r>
    </w:p>
    <w:p>
      <w:pPr>
        <w:sectPr>
          <w:pgSz w:w="11900" w:h="16838" w:orient="portrait"/>
          <w:cols w:equalWidth="0" w:num="1">
            <w:col w:w="9019"/>
          </w:cols>
          <w:pgMar w:left="1440" w:top="895" w:right="1440"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w:t>
      </w:r>
    </w:p>
    <w:p>
      <w:pPr>
        <w:spacing w:after="0" w:line="25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260" w:hanging="252"/>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Form S-8 (No. 333-151027),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Form S-3 (No. 333-225628),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Form S-8 (No. 333-216282);</w:t>
      </w:r>
    </w:p>
    <w:p>
      <w:pPr>
        <w:spacing w:after="0" w:line="200" w:lineRule="exact"/>
        <w:rPr>
          <w:sz w:val="20"/>
          <w:szCs w:val="20"/>
          <w:color w:val="auto"/>
        </w:rPr>
      </w:pPr>
    </w:p>
    <w:p>
      <w:pPr>
        <w:spacing w:after="0" w:line="28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of our reports dated February 26, 2021, with respect to the consolidated financial statements of AGNC Investment Corp., and the effectiveness of internal control over financial reporting of AGNC Investment Corp., included in this Annual Report (Form 10-K) of AGNC Investment Corp. for the year ended December 31, 2020.</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Tysons, Virginia February 26,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w:t>
      </w:r>
    </w:p>
    <w:p>
      <w:pPr>
        <w:sectPr>
          <w:pgSz w:w="11900" w:h="16838" w:orient="portrait"/>
          <w:cols w:equalWidth="0" w:num="2">
            <w:col w:w="1820" w:space="720"/>
            <w:col w:w="8700"/>
          </w:cols>
          <w:pgMar w:left="320" w:top="891" w:right="3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22"/>
          <w:szCs w:val="22"/>
          <w:color w:val="auto"/>
        </w:rPr>
        <w:t>Exhibit 24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96" w:lineRule="exact"/>
        <w:rPr>
          <w:sz w:val="20"/>
          <w:szCs w:val="20"/>
          <w:color w:val="auto"/>
        </w:rPr>
      </w:pPr>
    </w:p>
    <w:p>
      <w:pPr>
        <w:jc w:val="both"/>
        <w:ind w:firstLine="364"/>
        <w:spacing w:after="0" w:line="258" w:lineRule="exact"/>
        <w:rPr>
          <w:sz w:val="20"/>
          <w:szCs w:val="20"/>
          <w:color w:val="auto"/>
        </w:rPr>
      </w:pPr>
      <w:r>
        <w:rPr>
          <w:rFonts w:ascii="Arial" w:cs="Arial" w:eastAsia="Arial" w:hAnsi="Arial"/>
          <w:sz w:val="19"/>
          <w:szCs w:val="19"/>
          <w:color w:val="auto"/>
        </w:rPr>
        <w:t>KNOW ALL MEN BY THESE PRESENTS, that the undersigned directors and officers of AGNC Investment Corp., a corporation organized under the laws of the state of Delaware (the “Corporation”), hereby constitute and appoint Peter Federico, Kenneth Pollack and Kasey Reisman and each of them (with full power to each of them to act alone), his/her true and lawful attorneys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2019,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and agents, or any of them, may lawfully do or cause to be done by virtue hereof.</w:t>
      </w:r>
    </w:p>
    <w:p>
      <w:pPr>
        <w:spacing w:after="0" w:line="231"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22"/>
          <w:szCs w:val="22"/>
          <w:color w:val="auto"/>
        </w:rPr>
        <w:t>IN WITNESS WHEREOF, each of the undersigned directors and/or officers has hereunto set his/her hand and seal, as of the date specified.</w:t>
      </w:r>
    </w:p>
    <w:p>
      <w:pPr>
        <w:spacing w:after="0" w:line="200" w:lineRule="exact"/>
        <w:rPr>
          <w:sz w:val="20"/>
          <w:szCs w:val="20"/>
          <w:color w:val="auto"/>
        </w:rPr>
      </w:pPr>
    </w:p>
    <w:p>
      <w:pPr>
        <w:spacing w:after="0" w:line="23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AGNC INVESTMENT CORP.</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19"/>
                <w:szCs w:val="19"/>
                <w:color w:val="auto"/>
              </w:rPr>
              <w:t>January 21, 2021</w:t>
            </w:r>
          </w:p>
        </w:tc>
        <w:tc>
          <w:tcPr>
            <w:tcW w:w="1480" w:type="dxa"/>
            <w:vAlign w:val="bottom"/>
            <w:gridSpan w:val="2"/>
          </w:tcPr>
          <w:p>
            <w:pPr>
              <w:ind w:left="80"/>
              <w:spacing w:after="0"/>
              <w:rPr>
                <w:sz w:val="20"/>
                <w:szCs w:val="20"/>
                <w:color w:val="auto"/>
              </w:rPr>
            </w:pPr>
            <w:r>
              <w:rPr>
                <w:rFonts w:ascii="Arial" w:cs="Arial" w:eastAsia="Arial" w:hAnsi="Arial"/>
                <w:sz w:val="20"/>
                <w:szCs w:val="20"/>
                <w:color w:val="auto"/>
                <w:w w:val="95"/>
              </w:rPr>
              <w:t>/S/ Gary D. Kain</w:t>
            </w:r>
          </w:p>
        </w:tc>
      </w:tr>
      <w:tr>
        <w:trPr>
          <w:trHeight w:val="287"/>
        </w:trPr>
        <w:tc>
          <w:tcPr>
            <w:tcW w:w="2340" w:type="dxa"/>
            <w:vAlign w:val="bottom"/>
          </w:tcPr>
          <w:p>
            <w:pPr>
              <w:ind w:left="1080"/>
              <w:spacing w:after="0"/>
              <w:rPr>
                <w:sz w:val="20"/>
                <w:szCs w:val="20"/>
                <w:color w:val="auto"/>
              </w:rPr>
            </w:pPr>
            <w:r>
              <w:rPr>
                <w:rFonts w:ascii="Arial" w:cs="Arial" w:eastAsia="Arial" w:hAnsi="Arial"/>
                <w:sz w:val="22"/>
                <w:szCs w:val="22"/>
                <w:color w:val="auto"/>
                <w:w w:val="98"/>
              </w:rPr>
              <w:t>Gary D. Kain</w:t>
            </w:r>
          </w:p>
        </w:tc>
        <w:tc>
          <w:tcPr>
            <w:tcW w:w="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bl>
    <w:p>
      <w:pPr>
        <w:ind w:left="220"/>
        <w:spacing w:after="0"/>
        <w:rPr>
          <w:sz w:val="20"/>
          <w:szCs w:val="20"/>
          <w:color w:val="auto"/>
        </w:rPr>
      </w:pPr>
      <w:r>
        <w:rPr>
          <w:rFonts w:ascii="Arial" w:cs="Arial" w:eastAsia="Arial" w:hAnsi="Arial"/>
          <w:sz w:val="22"/>
          <w:szCs w:val="22"/>
          <w:color w:val="auto"/>
        </w:rPr>
        <w:t>Chief Executive Officer and Chief Investment</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11240"/>
          </w:cols>
          <w:pgMar w:left="320" w:top="1157" w:right="339" w:bottom="1440" w:gutter="0" w:footer="0" w:header="0"/>
        </w:sectPr>
      </w:pPr>
    </w:p>
    <w:bookmarkStart w:id="146" w:name="page147"/>
    <w:bookmarkEnd w:id="146"/>
    <w:p>
      <w:pPr>
        <w:spacing w:after="0" w:line="23" w:lineRule="exact"/>
        <w:rPr>
          <w:sz w:val="20"/>
          <w:szCs w:val="20"/>
          <w:color w:val="auto"/>
        </w:rPr>
      </w:pPr>
    </w:p>
    <w:p>
      <w:pPr>
        <w:jc w:val="right"/>
        <w:ind w:right="1040"/>
        <w:spacing w:after="0"/>
        <w:rPr>
          <w:sz w:val="20"/>
          <w:szCs w:val="20"/>
          <w:color w:val="auto"/>
        </w:rPr>
      </w:pPr>
      <w:r>
        <w:rPr>
          <w:rFonts w:ascii="Arial" w:cs="Arial" w:eastAsia="Arial" w:hAnsi="Arial"/>
          <w:sz w:val="22"/>
          <w:szCs w:val="22"/>
          <w:b w:val="1"/>
          <w:bCs w:val="1"/>
          <w:u w:val="single" w:color="auto"/>
          <w:color w:val="auto"/>
        </w:rPr>
        <w:t>Signature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/S/ Gary D. Kain</w:t>
      </w:r>
    </w:p>
    <w:p>
      <w:pPr>
        <w:spacing w:after="0"/>
        <w:rPr>
          <w:sz w:val="20"/>
          <w:szCs w:val="20"/>
          <w:color w:val="auto"/>
        </w:rPr>
      </w:pPr>
      <w:r>
        <w:rPr>
          <w:rFonts w:ascii="Arial" w:cs="Arial" w:eastAsia="Arial" w:hAnsi="Arial"/>
          <w:sz w:val="20"/>
          <w:szCs w:val="20"/>
          <w:color w:val="auto"/>
        </w:rPr>
        <w:t>Gary D.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1762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Donna J. Blank</w:t>
      </w:r>
    </w:p>
    <w:p>
      <w:pPr>
        <w:spacing w:after="0"/>
        <w:rPr>
          <w:sz w:val="20"/>
          <w:szCs w:val="20"/>
          <w:color w:val="auto"/>
        </w:rPr>
      </w:pPr>
      <w:r>
        <w:rPr>
          <w:rFonts w:ascii="Arial" w:cs="Arial" w:eastAsia="Arial" w:hAnsi="Arial"/>
          <w:sz w:val="20"/>
          <w:szCs w:val="20"/>
          <w:color w:val="auto"/>
        </w:rPr>
        <w:t>Donna J.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17341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173418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Morris A. Davis</w:t>
      </w:r>
    </w:p>
    <w:p>
      <w:pPr>
        <w:spacing w:after="0"/>
        <w:rPr>
          <w:sz w:val="20"/>
          <w:szCs w:val="20"/>
          <w:color w:val="auto"/>
        </w:rPr>
      </w:pPr>
      <w:r>
        <w:rPr>
          <w:rFonts w:ascii="Arial" w:cs="Arial" w:eastAsia="Arial" w:hAnsi="Arial"/>
          <w:sz w:val="20"/>
          <w:szCs w:val="20"/>
          <w:color w:val="auto"/>
        </w:rPr>
        <w:t>Morris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17760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177609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John D. Fisk</w:t>
      </w:r>
    </w:p>
    <w:p>
      <w:pPr>
        <w:spacing w:after="0"/>
        <w:rPr>
          <w:sz w:val="20"/>
          <w:szCs w:val="20"/>
          <w:color w:val="auto"/>
        </w:rPr>
      </w:pPr>
      <w:r>
        <w:rPr>
          <w:rFonts w:ascii="Arial" w:cs="Arial" w:eastAsia="Arial" w:hAnsi="Arial"/>
          <w:sz w:val="20"/>
          <w:szCs w:val="20"/>
          <w:color w:val="auto"/>
        </w:rPr>
        <w:t>John D. Fisk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15633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Prue B. Larocca</w:t>
      </w:r>
    </w:p>
    <w:p>
      <w:pPr>
        <w:spacing w:after="0"/>
        <w:rPr>
          <w:sz w:val="20"/>
          <w:szCs w:val="20"/>
          <w:color w:val="auto"/>
        </w:rPr>
      </w:pPr>
      <w:r>
        <w:rPr>
          <w:rFonts w:ascii="Arial" w:cs="Arial" w:eastAsia="Arial" w:hAnsi="Arial"/>
          <w:sz w:val="20"/>
          <w:szCs w:val="20"/>
          <w:color w:val="auto"/>
        </w:rPr>
        <w:t>Prue B. Larocca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1800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Paul E. Mullings</w:t>
      </w:r>
    </w:p>
    <w:p>
      <w:pPr>
        <w:spacing w:after="0"/>
        <w:rPr>
          <w:sz w:val="20"/>
          <w:szCs w:val="20"/>
          <w:color w:val="auto"/>
        </w:rPr>
      </w:pPr>
      <w:r>
        <w:rPr>
          <w:rFonts w:ascii="Arial" w:cs="Arial" w:eastAsia="Arial" w:hAnsi="Arial"/>
          <w:sz w:val="20"/>
          <w:szCs w:val="20"/>
          <w:color w:val="auto"/>
        </w:rPr>
        <w:t>Paul E. Mullings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1804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180467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Frances R. Spark</w:t>
      </w:r>
    </w:p>
    <w:p>
      <w:pPr>
        <w:spacing w:after="0"/>
        <w:rPr>
          <w:sz w:val="20"/>
          <w:szCs w:val="20"/>
          <w:color w:val="auto"/>
        </w:rPr>
      </w:pPr>
      <w:r>
        <w:rPr>
          <w:rFonts w:ascii="Arial" w:cs="Arial" w:eastAsia="Arial" w:hAnsi="Arial"/>
          <w:sz w:val="20"/>
          <w:szCs w:val="20"/>
          <w:color w:val="auto"/>
        </w:rPr>
        <w:t>Frances R.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18180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80" w:type="dxa"/>
            <w:vAlign w:val="bottom"/>
          </w:tcPr>
          <w:p>
            <w:pPr>
              <w:spacing w:after="0"/>
              <w:rPr>
                <w:sz w:val="21"/>
                <w:szCs w:val="21"/>
                <w:color w:val="auto"/>
              </w:rPr>
            </w:pPr>
          </w:p>
        </w:tc>
        <w:tc>
          <w:tcPr>
            <w:tcW w:w="2120" w:type="dxa"/>
            <w:vAlign w:val="bottom"/>
            <w:gridSpan w:val="2"/>
          </w:tcPr>
          <w:p>
            <w:pPr>
              <w:jc w:val="center"/>
              <w:ind w:right="1700"/>
              <w:spacing w:after="0"/>
              <w:rPr>
                <w:sz w:val="20"/>
                <w:szCs w:val="20"/>
                <w:color w:val="auto"/>
              </w:rPr>
            </w:pPr>
            <w:r>
              <w:rPr>
                <w:rFonts w:ascii="Arial" w:cs="Arial" w:eastAsia="Arial" w:hAnsi="Arial"/>
                <w:sz w:val="22"/>
                <w:szCs w:val="22"/>
                <w:b w:val="1"/>
                <w:bCs w:val="1"/>
                <w:color w:val="auto"/>
                <w:w w:val="92"/>
              </w:rPr>
              <w:t>Title</w:t>
            </w:r>
          </w:p>
        </w:tc>
        <w:tc>
          <w:tcPr>
            <w:tcW w:w="860" w:type="dxa"/>
            <w:vAlign w:val="bottom"/>
          </w:tcPr>
          <w:p>
            <w:pPr>
              <w:spacing w:after="0"/>
              <w:rPr>
                <w:sz w:val="21"/>
                <w:szCs w:val="21"/>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22"/>
                <w:szCs w:val="22"/>
                <w:b w:val="1"/>
                <w:bCs w:val="1"/>
                <w:color w:val="auto"/>
                <w:w w:val="92"/>
              </w:rPr>
              <w:t>Date</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0" w:type="dxa"/>
            <w:vAlign w:val="bottom"/>
            <w:gridSpan w:val="3"/>
          </w:tcPr>
          <w:p>
            <w:pPr>
              <w:jc w:val="center"/>
              <w:ind w:right="420"/>
              <w:spacing w:after="0"/>
              <w:rPr>
                <w:sz w:val="20"/>
                <w:szCs w:val="20"/>
                <w:color w:val="auto"/>
              </w:rPr>
            </w:pPr>
            <w:r>
              <w:rPr>
                <w:rFonts w:ascii="Arial" w:cs="Arial" w:eastAsia="Arial" w:hAnsi="Arial"/>
                <w:sz w:val="20"/>
                <w:szCs w:val="20"/>
                <w:color w:val="auto"/>
                <w:w w:val="92"/>
              </w:rPr>
              <w:t>Director, Chief Executive Officer and</w:t>
            </w:r>
          </w:p>
        </w:tc>
        <w:tc>
          <w:tcPr>
            <w:tcW w:w="1760" w:type="dxa"/>
            <w:vAlign w:val="bottom"/>
            <w:gridSpan w:val="3"/>
            <w:vMerge w:val="restart"/>
          </w:tcPr>
          <w:p>
            <w:pPr>
              <w:jc w:val="center"/>
              <w:ind w:left="301"/>
              <w:spacing w:after="0"/>
              <w:rPr>
                <w:sz w:val="20"/>
                <w:szCs w:val="20"/>
                <w:color w:val="auto"/>
              </w:rPr>
            </w:pPr>
            <w:r>
              <w:rPr>
                <w:rFonts w:ascii="Arial" w:cs="Arial" w:eastAsia="Arial" w:hAnsi="Arial"/>
                <w:sz w:val="20"/>
                <w:szCs w:val="20"/>
                <w:color w:val="auto"/>
                <w:w w:val="87"/>
              </w:rPr>
              <w:t>January 21, 2021</w:t>
            </w:r>
          </w:p>
        </w:tc>
        <w:tc>
          <w:tcPr>
            <w:tcW w:w="0" w:type="dxa"/>
            <w:vAlign w:val="bottom"/>
          </w:tcPr>
          <w:p>
            <w:pPr>
              <w:spacing w:after="0"/>
              <w:rPr>
                <w:sz w:val="1"/>
                <w:szCs w:val="1"/>
                <w:color w:val="auto"/>
              </w:rPr>
            </w:pPr>
          </w:p>
        </w:tc>
      </w:tr>
      <w:tr>
        <w:trPr>
          <w:trHeight w:val="189"/>
        </w:trPr>
        <w:tc>
          <w:tcPr>
            <w:tcW w:w="3400" w:type="dxa"/>
            <w:vAlign w:val="bottom"/>
            <w:gridSpan w:val="3"/>
          </w:tcPr>
          <w:p>
            <w:pPr>
              <w:jc w:val="center"/>
              <w:ind w:right="420"/>
              <w:spacing w:after="0" w:line="189" w:lineRule="exact"/>
              <w:rPr>
                <w:sz w:val="20"/>
                <w:szCs w:val="20"/>
                <w:color w:val="auto"/>
              </w:rPr>
            </w:pPr>
            <w:r>
              <w:rPr>
                <w:rFonts w:ascii="Arial" w:cs="Arial" w:eastAsia="Arial" w:hAnsi="Arial"/>
                <w:sz w:val="20"/>
                <w:szCs w:val="20"/>
                <w:color w:val="auto"/>
                <w:w w:val="92"/>
              </w:rPr>
              <w:t>Chief Investment Officer (Principal</w:t>
            </w:r>
          </w:p>
        </w:tc>
        <w:tc>
          <w:tcPr>
            <w:tcW w:w="1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gridSpan w:val="3"/>
          </w:tcPr>
          <w:p>
            <w:pPr>
              <w:jc w:val="center"/>
              <w:ind w:right="420"/>
              <w:spacing w:after="0"/>
              <w:rPr>
                <w:sz w:val="20"/>
                <w:szCs w:val="20"/>
                <w:color w:val="auto"/>
              </w:rPr>
            </w:pPr>
            <w:r>
              <w:rPr>
                <w:rFonts w:ascii="Arial" w:cs="Arial" w:eastAsia="Arial" w:hAnsi="Arial"/>
                <w:sz w:val="20"/>
                <w:szCs w:val="20"/>
                <w:color w:val="auto"/>
                <w:w w:val="92"/>
              </w:rPr>
              <w:t>Executive Officer)</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6"/>
        </w:trPr>
        <w:tc>
          <w:tcPr>
            <w:tcW w:w="3400" w:type="dxa"/>
            <w:vAlign w:val="bottom"/>
            <w:gridSpan w:val="3"/>
          </w:tcPr>
          <w:p>
            <w:pPr>
              <w:jc w:val="center"/>
              <w:ind w:right="420"/>
              <w:spacing w:after="0"/>
              <w:rPr>
                <w:sz w:val="20"/>
                <w:szCs w:val="20"/>
                <w:color w:val="auto"/>
              </w:rPr>
            </w:pPr>
            <w:r>
              <w:rPr>
                <w:rFonts w:ascii="Arial" w:cs="Arial" w:eastAsia="Arial" w:hAnsi="Arial"/>
                <w:sz w:val="20"/>
                <w:szCs w:val="20"/>
                <w:color w:val="auto"/>
                <w:w w:val="94"/>
              </w:rPr>
              <w:t>Director</w:t>
            </w:r>
          </w:p>
        </w:tc>
        <w:tc>
          <w:tcPr>
            <w:tcW w:w="1760" w:type="dxa"/>
            <w:vAlign w:val="bottom"/>
            <w:gridSpan w:val="3"/>
          </w:tcPr>
          <w:p>
            <w:pPr>
              <w:jc w:val="center"/>
              <w:ind w:left="301"/>
              <w:spacing w:after="0"/>
              <w:rPr>
                <w:sz w:val="20"/>
                <w:szCs w:val="20"/>
                <w:color w:val="auto"/>
              </w:rPr>
            </w:pPr>
            <w:r>
              <w:rPr>
                <w:rFonts w:ascii="Arial" w:cs="Arial" w:eastAsia="Arial" w:hAnsi="Arial"/>
                <w:sz w:val="20"/>
                <w:szCs w:val="20"/>
                <w:color w:val="auto"/>
                <w:w w:val="87"/>
              </w:rPr>
              <w:t>January 21, 2021</w:t>
            </w:r>
          </w:p>
        </w:tc>
        <w:tc>
          <w:tcPr>
            <w:tcW w:w="0" w:type="dxa"/>
            <w:vAlign w:val="bottom"/>
          </w:tcPr>
          <w:p>
            <w:pPr>
              <w:spacing w:after="0"/>
              <w:rPr>
                <w:sz w:val="1"/>
                <w:szCs w:val="1"/>
                <w:color w:val="auto"/>
              </w:rPr>
            </w:pPr>
          </w:p>
        </w:tc>
      </w:tr>
      <w:tr>
        <w:trPr>
          <w:trHeight w:val="918"/>
        </w:trPr>
        <w:tc>
          <w:tcPr>
            <w:tcW w:w="3400" w:type="dxa"/>
            <w:vAlign w:val="bottom"/>
            <w:gridSpan w:val="3"/>
          </w:tcPr>
          <w:p>
            <w:pPr>
              <w:jc w:val="center"/>
              <w:ind w:right="420"/>
              <w:spacing w:after="0"/>
              <w:rPr>
                <w:sz w:val="20"/>
                <w:szCs w:val="20"/>
                <w:color w:val="auto"/>
              </w:rPr>
            </w:pPr>
            <w:r>
              <w:rPr>
                <w:rFonts w:ascii="Arial" w:cs="Arial" w:eastAsia="Arial" w:hAnsi="Arial"/>
                <w:sz w:val="20"/>
                <w:szCs w:val="20"/>
                <w:color w:val="auto"/>
                <w:w w:val="94"/>
              </w:rPr>
              <w:t>Director</w:t>
            </w:r>
          </w:p>
        </w:tc>
        <w:tc>
          <w:tcPr>
            <w:tcW w:w="1760" w:type="dxa"/>
            <w:vAlign w:val="bottom"/>
            <w:gridSpan w:val="3"/>
          </w:tcPr>
          <w:p>
            <w:pPr>
              <w:jc w:val="center"/>
              <w:ind w:left="301"/>
              <w:spacing w:after="0"/>
              <w:rPr>
                <w:sz w:val="20"/>
                <w:szCs w:val="20"/>
                <w:color w:val="auto"/>
              </w:rPr>
            </w:pPr>
            <w:r>
              <w:rPr>
                <w:rFonts w:ascii="Arial" w:cs="Arial" w:eastAsia="Arial" w:hAnsi="Arial"/>
                <w:sz w:val="20"/>
                <w:szCs w:val="20"/>
                <w:color w:val="auto"/>
                <w:w w:val="87"/>
              </w:rPr>
              <w:t>January 21, 2021</w:t>
            </w:r>
          </w:p>
        </w:tc>
        <w:tc>
          <w:tcPr>
            <w:tcW w:w="0" w:type="dxa"/>
            <w:vAlign w:val="bottom"/>
          </w:tcPr>
          <w:p>
            <w:pPr>
              <w:spacing w:after="0"/>
              <w:rPr>
                <w:sz w:val="1"/>
                <w:szCs w:val="1"/>
                <w:color w:val="auto"/>
              </w:rPr>
            </w:pPr>
          </w:p>
        </w:tc>
      </w:tr>
      <w:tr>
        <w:trPr>
          <w:trHeight w:val="918"/>
        </w:trPr>
        <w:tc>
          <w:tcPr>
            <w:tcW w:w="3400" w:type="dxa"/>
            <w:vAlign w:val="bottom"/>
            <w:gridSpan w:val="3"/>
          </w:tcPr>
          <w:p>
            <w:pPr>
              <w:jc w:val="center"/>
              <w:ind w:right="420"/>
              <w:spacing w:after="0"/>
              <w:rPr>
                <w:sz w:val="20"/>
                <w:szCs w:val="20"/>
                <w:color w:val="auto"/>
              </w:rPr>
            </w:pPr>
            <w:r>
              <w:rPr>
                <w:rFonts w:ascii="Arial" w:cs="Arial" w:eastAsia="Arial" w:hAnsi="Arial"/>
                <w:sz w:val="20"/>
                <w:szCs w:val="20"/>
                <w:color w:val="auto"/>
                <w:w w:val="94"/>
              </w:rPr>
              <w:t>Director</w:t>
            </w:r>
          </w:p>
        </w:tc>
        <w:tc>
          <w:tcPr>
            <w:tcW w:w="1760" w:type="dxa"/>
            <w:vAlign w:val="bottom"/>
            <w:gridSpan w:val="3"/>
          </w:tcPr>
          <w:p>
            <w:pPr>
              <w:jc w:val="center"/>
              <w:ind w:left="301"/>
              <w:spacing w:after="0"/>
              <w:rPr>
                <w:sz w:val="20"/>
                <w:szCs w:val="20"/>
                <w:color w:val="auto"/>
              </w:rPr>
            </w:pPr>
            <w:r>
              <w:rPr>
                <w:rFonts w:ascii="Arial" w:cs="Arial" w:eastAsia="Arial" w:hAnsi="Arial"/>
                <w:sz w:val="20"/>
                <w:szCs w:val="20"/>
                <w:color w:val="auto"/>
                <w:w w:val="87"/>
              </w:rPr>
              <w:t>January 21, 2021</w:t>
            </w:r>
          </w:p>
        </w:tc>
        <w:tc>
          <w:tcPr>
            <w:tcW w:w="0" w:type="dxa"/>
            <w:vAlign w:val="bottom"/>
          </w:tcPr>
          <w:p>
            <w:pPr>
              <w:spacing w:after="0"/>
              <w:rPr>
                <w:sz w:val="1"/>
                <w:szCs w:val="1"/>
                <w:color w:val="auto"/>
              </w:rPr>
            </w:pPr>
          </w:p>
        </w:tc>
      </w:tr>
      <w:tr>
        <w:trPr>
          <w:trHeight w:val="918"/>
        </w:trPr>
        <w:tc>
          <w:tcPr>
            <w:tcW w:w="3400" w:type="dxa"/>
            <w:vAlign w:val="bottom"/>
            <w:gridSpan w:val="3"/>
          </w:tcPr>
          <w:p>
            <w:pPr>
              <w:jc w:val="center"/>
              <w:ind w:right="420"/>
              <w:spacing w:after="0"/>
              <w:rPr>
                <w:sz w:val="20"/>
                <w:szCs w:val="20"/>
                <w:color w:val="auto"/>
              </w:rPr>
            </w:pPr>
            <w:r>
              <w:rPr>
                <w:rFonts w:ascii="Arial" w:cs="Arial" w:eastAsia="Arial" w:hAnsi="Arial"/>
                <w:sz w:val="20"/>
                <w:szCs w:val="20"/>
                <w:color w:val="auto"/>
                <w:w w:val="94"/>
              </w:rPr>
              <w:t>Director</w:t>
            </w:r>
          </w:p>
        </w:tc>
        <w:tc>
          <w:tcPr>
            <w:tcW w:w="1760" w:type="dxa"/>
            <w:vAlign w:val="bottom"/>
            <w:gridSpan w:val="3"/>
          </w:tcPr>
          <w:p>
            <w:pPr>
              <w:jc w:val="center"/>
              <w:ind w:left="301"/>
              <w:spacing w:after="0"/>
              <w:rPr>
                <w:sz w:val="20"/>
                <w:szCs w:val="20"/>
                <w:color w:val="auto"/>
              </w:rPr>
            </w:pPr>
            <w:r>
              <w:rPr>
                <w:rFonts w:ascii="Arial" w:cs="Arial" w:eastAsia="Arial" w:hAnsi="Arial"/>
                <w:sz w:val="20"/>
                <w:szCs w:val="20"/>
                <w:color w:val="auto"/>
                <w:w w:val="87"/>
              </w:rPr>
              <w:t>January 21, 2021</w:t>
            </w:r>
          </w:p>
        </w:tc>
        <w:tc>
          <w:tcPr>
            <w:tcW w:w="0" w:type="dxa"/>
            <w:vAlign w:val="bottom"/>
          </w:tcPr>
          <w:p>
            <w:pPr>
              <w:spacing w:after="0"/>
              <w:rPr>
                <w:sz w:val="1"/>
                <w:szCs w:val="1"/>
                <w:color w:val="auto"/>
              </w:rPr>
            </w:pPr>
          </w:p>
        </w:tc>
      </w:tr>
      <w:tr>
        <w:trPr>
          <w:trHeight w:val="918"/>
        </w:trPr>
        <w:tc>
          <w:tcPr>
            <w:tcW w:w="3400" w:type="dxa"/>
            <w:vAlign w:val="bottom"/>
            <w:gridSpan w:val="3"/>
          </w:tcPr>
          <w:p>
            <w:pPr>
              <w:jc w:val="center"/>
              <w:ind w:right="420"/>
              <w:spacing w:after="0"/>
              <w:rPr>
                <w:sz w:val="20"/>
                <w:szCs w:val="20"/>
                <w:color w:val="auto"/>
              </w:rPr>
            </w:pPr>
            <w:r>
              <w:rPr>
                <w:rFonts w:ascii="Arial" w:cs="Arial" w:eastAsia="Arial" w:hAnsi="Arial"/>
                <w:sz w:val="20"/>
                <w:szCs w:val="20"/>
                <w:color w:val="auto"/>
                <w:w w:val="94"/>
              </w:rPr>
              <w:t>Director</w:t>
            </w:r>
          </w:p>
        </w:tc>
        <w:tc>
          <w:tcPr>
            <w:tcW w:w="1760" w:type="dxa"/>
            <w:vAlign w:val="bottom"/>
            <w:gridSpan w:val="3"/>
          </w:tcPr>
          <w:p>
            <w:pPr>
              <w:jc w:val="center"/>
              <w:ind w:left="301"/>
              <w:spacing w:after="0"/>
              <w:rPr>
                <w:sz w:val="20"/>
                <w:szCs w:val="20"/>
                <w:color w:val="auto"/>
              </w:rPr>
            </w:pPr>
            <w:r>
              <w:rPr>
                <w:rFonts w:ascii="Arial" w:cs="Arial" w:eastAsia="Arial" w:hAnsi="Arial"/>
                <w:sz w:val="20"/>
                <w:szCs w:val="20"/>
                <w:color w:val="auto"/>
                <w:w w:val="87"/>
              </w:rPr>
              <w:t>January 21, 2021</w:t>
            </w:r>
          </w:p>
        </w:tc>
        <w:tc>
          <w:tcPr>
            <w:tcW w:w="0" w:type="dxa"/>
            <w:vAlign w:val="bottom"/>
          </w:tcPr>
          <w:p>
            <w:pPr>
              <w:spacing w:after="0"/>
              <w:rPr>
                <w:sz w:val="1"/>
                <w:szCs w:val="1"/>
                <w:color w:val="auto"/>
              </w:rPr>
            </w:pPr>
          </w:p>
        </w:tc>
      </w:tr>
      <w:tr>
        <w:trPr>
          <w:trHeight w:val="918"/>
        </w:trPr>
        <w:tc>
          <w:tcPr>
            <w:tcW w:w="3400" w:type="dxa"/>
            <w:vAlign w:val="bottom"/>
            <w:gridSpan w:val="3"/>
          </w:tcPr>
          <w:p>
            <w:pPr>
              <w:jc w:val="center"/>
              <w:ind w:right="420"/>
              <w:spacing w:after="0"/>
              <w:rPr>
                <w:sz w:val="20"/>
                <w:szCs w:val="20"/>
                <w:color w:val="auto"/>
              </w:rPr>
            </w:pPr>
            <w:r>
              <w:rPr>
                <w:rFonts w:ascii="Arial" w:cs="Arial" w:eastAsia="Arial" w:hAnsi="Arial"/>
                <w:sz w:val="20"/>
                <w:szCs w:val="20"/>
                <w:color w:val="auto"/>
                <w:w w:val="94"/>
              </w:rPr>
              <w:t>Director</w:t>
            </w:r>
          </w:p>
        </w:tc>
        <w:tc>
          <w:tcPr>
            <w:tcW w:w="1760" w:type="dxa"/>
            <w:vAlign w:val="bottom"/>
            <w:gridSpan w:val="3"/>
          </w:tcPr>
          <w:p>
            <w:pPr>
              <w:jc w:val="center"/>
              <w:ind w:left="301"/>
              <w:spacing w:after="0"/>
              <w:rPr>
                <w:sz w:val="20"/>
                <w:szCs w:val="20"/>
                <w:color w:val="auto"/>
              </w:rPr>
            </w:pPr>
            <w:r>
              <w:rPr>
                <w:rFonts w:ascii="Arial" w:cs="Arial" w:eastAsia="Arial" w:hAnsi="Arial"/>
                <w:sz w:val="20"/>
                <w:szCs w:val="20"/>
                <w:color w:val="auto"/>
                <w:w w:val="87"/>
              </w:rPr>
              <w:t>January 21, 2021</w:t>
            </w:r>
          </w:p>
        </w:tc>
        <w:tc>
          <w:tcPr>
            <w:tcW w:w="0" w:type="dxa"/>
            <w:vAlign w:val="bottom"/>
          </w:tcPr>
          <w:p>
            <w:pPr>
              <w:spacing w:after="0"/>
              <w:rPr>
                <w:sz w:val="1"/>
                <w:szCs w:val="1"/>
                <w:color w:val="auto"/>
              </w:rPr>
            </w:pPr>
          </w:p>
        </w:tc>
      </w:tr>
    </w:tbl>
    <w:p>
      <w:pPr>
        <w:sectPr>
          <w:pgSz w:w="11900" w:h="16838" w:orient="portrait"/>
          <w:cols w:equalWidth="0" w:num="2">
            <w:col w:w="3160" w:space="720"/>
            <w:col w:w="5299"/>
          </w:cols>
          <w:pgMar w:left="1280" w:top="993"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760" w:hanging="307"/>
        <w:spacing w:after="0"/>
        <w:tabs>
          <w:tab w:leader="none" w:pos="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51"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February 26, 2021</w:t>
      </w:r>
    </w:p>
    <w:p>
      <w:pPr>
        <w:spacing w:after="0" w:line="212"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Gary D. Kain</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Chief Executive Officer and Chief Investment</w:t>
      </w:r>
    </w:p>
    <w:p>
      <w:pPr>
        <w:ind w:left="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240"/>
          </w:cols>
          <w:pgMar w:left="320" w:top="895"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760" w:hanging="307"/>
        <w:spacing w:after="0"/>
        <w:tabs>
          <w:tab w:leader="none" w:pos="7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78"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February 26, 2021</w:t>
      </w:r>
    </w:p>
    <w:p>
      <w:pPr>
        <w:spacing w:after="0" w:line="212"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Bernice E. Bell</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Vice President and Chief Financial Officer</w:t>
      </w:r>
    </w:p>
    <w:p>
      <w:pPr>
        <w:ind w:left="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5"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88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2020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February 26, 2021</w:t>
            </w:r>
          </w:p>
        </w:tc>
        <w:tc>
          <w:tcPr>
            <w:tcW w:w="0" w:type="dxa"/>
            <w:vAlign w:val="bottom"/>
          </w:tcPr>
          <w:p>
            <w:pPr>
              <w:spacing w:after="0"/>
              <w:rPr>
                <w:sz w:val="1"/>
                <w:szCs w:val="1"/>
                <w:color w:val="auto"/>
              </w:rPr>
            </w:pPr>
          </w:p>
        </w:tc>
      </w:tr>
      <w:tr>
        <w:trPr>
          <w:trHeight w:val="486"/>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February 26, 2021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1."/>
      <w:numFmt w:val="decimal"/>
      <w:start w:val="1"/>
    </w:lvl>
  </w:abstractNum>
  <w:abstractNum w:abstractNumId="7">
    <w:nsid w:val="799D0247"/>
    <w:multiLevelType w:val="hybridMultilevel"/>
    <w:lvl w:ilvl="0">
      <w:lvlJc w:val="left"/>
      <w:lvlText w:val="%1."/>
      <w:numFmt w:val="decimal"/>
      <w:start w:val="1"/>
    </w:lvl>
  </w:abstractNum>
  <w:abstractNum w:abstractNumId="8">
    <w:nsid w:val="6B94764"/>
    <w:multiLevelType w:val="hybridMultilevel"/>
    <w:lvl w:ilvl="0">
      <w:lvlJc w:val="left"/>
      <w:lvlText w:val="%1."/>
      <w:numFmt w:val="decimal"/>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1."/>
      <w:numFmt w:val="decimal"/>
      <w:start w:val="1"/>
    </w:lvl>
  </w:abstractNum>
  <w:abstractNum w:abstractNumId="16">
    <w:nsid w:val="51D9C564"/>
    <w:multiLevelType w:val="hybridMultilevel"/>
    <w:lvl w:ilvl="0">
      <w:lvlJc w:val="left"/>
      <w:lvlText w:val="%1."/>
      <w:numFmt w:val="decimal"/>
      <w:start w:val="1"/>
    </w:lvl>
  </w:abstractNum>
  <w:abstractNum w:abstractNumId="17">
    <w:nsid w:val="613EFDC5"/>
    <w:multiLevelType w:val="hybridMultilevel"/>
    <w:lvl w:ilvl="0">
      <w:lvlJc w:val="left"/>
      <w:lvlText w:val="%1."/>
      <w:numFmt w:val="decimal"/>
      <w:start w:val="2"/>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1."/>
      <w:numFmt w:val="decimal"/>
      <w:start w:val="1"/>
    </w:lvl>
  </w:abstractNum>
  <w:abstractNum w:abstractNumId="20">
    <w:nsid w:val="42963E5A"/>
    <w:multiLevelType w:val="hybridMultilevel"/>
    <w:lvl w:ilvl="0">
      <w:lvlJc w:val="left"/>
      <w:lvlText w:val="%1."/>
      <w:numFmt w:val="decimal"/>
      <w:start w:val="1"/>
    </w:lvl>
  </w:abstractNum>
  <w:abstractNum w:abstractNumId="21">
    <w:nsid w:val="A0382C5"/>
    <w:multiLevelType w:val="hybridMultilevel"/>
    <w:lvl w:ilvl="0">
      <w:lvlJc w:val="left"/>
      <w:lvlText w:val="%1."/>
      <w:numFmt w:val="decimal"/>
      <w:start w:val="1"/>
    </w:lvl>
  </w:abstractNum>
  <w:abstractNum w:abstractNumId="22">
    <w:nsid w:val="8F2B15E"/>
    <w:multiLevelType w:val="hybridMultilevel"/>
    <w:lvl w:ilvl="0">
      <w:lvlJc w:val="left"/>
      <w:lvlText w:val="%1."/>
      <w:numFmt w:val="decimal"/>
      <w:start w:val="1"/>
    </w:lvl>
  </w:abstractNum>
  <w:abstractNum w:abstractNumId="23">
    <w:nsid w:val="1A32234B"/>
    <w:multiLevelType w:val="hybridMultilevel"/>
    <w:lvl w:ilvl="0">
      <w:lvlJc w:val="left"/>
      <w:lvlText w:val="%1."/>
      <w:numFmt w:val="decimal"/>
      <w:start w:val="1"/>
    </w:lvl>
  </w:abstractNum>
  <w:abstractNum w:abstractNumId="24">
    <w:nsid w:val="3B0FD379"/>
    <w:multiLevelType w:val="hybridMultilevel"/>
    <w:lvl w:ilvl="0">
      <w:lvlJc w:val="left"/>
      <w:lvlText w:val="%1."/>
      <w:numFmt w:val="decimal"/>
      <w:start w:val="1"/>
    </w:lvl>
  </w:abstractNum>
  <w:abstractNum w:abstractNumId="25">
    <w:nsid w:val="68EB2F63"/>
    <w:multiLevelType w:val="hybridMultilevel"/>
    <w:lvl w:ilvl="0">
      <w:lvlJc w:val="left"/>
      <w:lvlText w:val="%1."/>
      <w:numFmt w:val="decimal"/>
      <w:start w:val="1"/>
    </w:lvl>
  </w:abstractNum>
  <w:abstractNum w:abstractNumId="26">
    <w:nsid w:val="4962813B"/>
    <w:multiLevelType w:val="hybridMultilevel"/>
    <w:lvl w:ilvl="0">
      <w:lvlJc w:val="left"/>
      <w:lvlText w:val="%1."/>
      <w:numFmt w:val="decimal"/>
      <w:start w:val="1"/>
    </w:lvl>
  </w:abstractNum>
  <w:abstractNum w:abstractNumId="27">
    <w:nsid w:val="60B6DF70"/>
    <w:multiLevelType w:val="hybridMultilevel"/>
    <w:lvl w:ilvl="0">
      <w:lvlJc w:val="left"/>
      <w:lvlText w:val="%1."/>
      <w:numFmt w:val="decimal"/>
      <w:start w:val="1"/>
    </w:lvl>
  </w:abstractNum>
  <w:abstractNum w:abstractNumId="28">
    <w:nsid w:val="6A5EE64"/>
    <w:multiLevelType w:val="hybridMultilevel"/>
    <w:lvl w:ilvl="0">
      <w:lvlJc w:val="left"/>
      <w:lvlText w:val="%1."/>
      <w:numFmt w:val="decimal"/>
      <w:start w:val="1"/>
    </w:lvl>
  </w:abstractNum>
  <w:abstractNum w:abstractNumId="29">
    <w:nsid w:val="14330624"/>
    <w:multiLevelType w:val="hybridMultilevel"/>
    <w:lvl w:ilvl="0">
      <w:lvlJc w:val="left"/>
      <w:lvlText w:val="%1."/>
      <w:numFmt w:val="decimal"/>
      <w:start w:val="1"/>
    </w:lvl>
  </w:abstractNum>
  <w:abstractNum w:abstractNumId="30">
    <w:nsid w:val="7FFFCA11"/>
    <w:multiLevelType w:val="hybridMultilevel"/>
    <w:lvl w:ilvl="0">
      <w:lvlJc w:val="left"/>
      <w:lvlText w:val="%1."/>
      <w:numFmt w:val="decimal"/>
      <w:start w:val="1"/>
    </w:lvl>
  </w:abstractNum>
  <w:abstractNum w:abstractNumId="31">
    <w:nsid w:val="1A27709E"/>
    <w:multiLevelType w:val="hybridMultilevel"/>
    <w:lvl w:ilvl="0">
      <w:lvlJc w:val="left"/>
      <w:lvlText w:val="%1."/>
      <w:numFmt w:val="decimal"/>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1."/>
      <w:numFmt w:val="decimal"/>
      <w:start w:val="1"/>
    </w:lvl>
  </w:abstractNum>
  <w:abstractNum w:abstractNumId="34">
    <w:nsid w:val="7FB7E0AA"/>
    <w:multiLevelType w:val="hybridMultilevel"/>
    <w:lvl w:ilvl="0">
      <w:lvlJc w:val="left"/>
      <w:lvlText w:val="%1."/>
      <w:numFmt w:val="decimal"/>
      <w:start w:val="1"/>
    </w:lvl>
  </w:abstractNum>
  <w:abstractNum w:abstractNumId="35">
    <w:nsid w:val="6EB5BD4"/>
    <w:multiLevelType w:val="hybridMultilevel"/>
    <w:lvl w:ilvl="0">
      <w:lvlJc w:val="left"/>
      <w:lvlText w:val="%1."/>
      <w:numFmt w:val="decimal"/>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1."/>
      <w:numFmt w:val="decimal"/>
      <w:start w:val="1"/>
    </w:lvl>
  </w:abstractNum>
  <w:abstractNum w:abstractNumId="38">
    <w:nsid w:val="885E1B"/>
    <w:multiLevelType w:val="hybridMultilevel"/>
    <w:lvl w:ilvl="0">
      <w:lvlJc w:val="left"/>
      <w:lvlText w:val="%1."/>
      <w:numFmt w:val="decimal"/>
      <w:start w:val="1"/>
    </w:lvl>
  </w:abstractNum>
  <w:abstractNum w:abstractNumId="39">
    <w:nsid w:val="76272110"/>
    <w:multiLevelType w:val="hybridMultilevel"/>
    <w:lvl w:ilvl="0">
      <w:lvlJc w:val="left"/>
      <w:lvlText w:val="%1."/>
      <w:numFmt w:val="decimal"/>
      <w:start w:val="1"/>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1."/>
      <w:numFmt w:val="decimal"/>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1"/>
    </w:lvl>
  </w:abstractNum>
  <w:abstractNum w:abstractNumId="44">
    <w:nsid w:val="74DE0EE3"/>
    <w:multiLevelType w:val="hybridMultilevel"/>
    <w:lvl w:ilvl="0">
      <w:lvlJc w:val="left"/>
      <w:lvlText w:val="%1."/>
      <w:numFmt w:val="decimal"/>
      <w:start w:val="1"/>
    </w:lvl>
  </w:abstractNum>
  <w:abstractNum w:abstractNumId="45">
    <w:nsid w:val="68EBC550"/>
    <w:multiLevelType w:val="hybridMultilevel"/>
    <w:lvl w:ilvl="0">
      <w:lvlJc w:val="left"/>
      <w:lvlText w:val="%1."/>
      <w:numFmt w:val="decimal"/>
      <w:start w:val="1"/>
    </w:lvl>
  </w:abstractNum>
  <w:abstractNum w:abstractNumId="46">
    <w:nsid w:val="2DF6D648"/>
    <w:multiLevelType w:val="hybridMultilevel"/>
    <w:lvl w:ilvl="0">
      <w:lvlJc w:val="left"/>
      <w:lvlText w:val="%1."/>
      <w:numFmt w:val="decimal"/>
      <w:start w:val="1"/>
    </w:lvl>
  </w:abstractNum>
  <w:abstractNum w:abstractNumId="47">
    <w:nsid w:val="46B7D447"/>
    <w:multiLevelType w:val="hybridMultilevel"/>
    <w:lvl w:ilvl="0">
      <w:lvlJc w:val="left"/>
      <w:lvlText w:val="%1."/>
      <w:numFmt w:val="decimal"/>
      <w:start w:val="1"/>
    </w:lvl>
  </w:abstractNum>
  <w:abstractNum w:abstractNumId="48">
    <w:nsid w:val="4A2AC315"/>
    <w:multiLevelType w:val="hybridMultilevel"/>
    <w:lvl w:ilvl="0">
      <w:lvlJc w:val="left"/>
      <w:lvlText w:val="%1."/>
      <w:numFmt w:val="decimal"/>
      <w:start w:val="1"/>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1."/>
      <w:numFmt w:val="decimal"/>
      <w:start w:val="1"/>
    </w:lvl>
  </w:abstractNum>
  <w:abstractNum w:abstractNumId="51">
    <w:nsid w:val="CC1016F"/>
    <w:multiLevelType w:val="hybridMultilevel"/>
    <w:lvl w:ilvl="0">
      <w:lvlJc w:val="left"/>
      <w:lvlText w:val="%1."/>
      <w:numFmt w:val="decimal"/>
      <w:start w:val="1"/>
    </w:lvl>
  </w:abstractNum>
  <w:abstractNum w:abstractNumId="52">
    <w:nsid w:val="43F18422"/>
    <w:multiLevelType w:val="hybridMultilevel"/>
    <w:lvl w:ilvl="0">
      <w:lvlJc w:val="left"/>
      <w:lvlText w:val="%1."/>
      <w:numFmt w:val="decimal"/>
      <w:start w:val="1"/>
    </w:lvl>
  </w:abstractNum>
  <w:abstractNum w:abstractNumId="53">
    <w:nsid w:val="60EF0119"/>
    <w:multiLevelType w:val="hybridMultilevel"/>
    <w:lvl w:ilvl="0">
      <w:lvlJc w:val="left"/>
      <w:lvlText w:val="%1."/>
      <w:numFmt w:val="decimal"/>
      <w:start w:val="1"/>
    </w:lvl>
  </w:abstractNum>
  <w:abstractNum w:abstractNumId="54">
    <w:nsid w:val="26F324BA"/>
    <w:multiLevelType w:val="hybridMultilevel"/>
    <w:lvl w:ilvl="0">
      <w:lvlJc w:val="left"/>
      <w:lvlText w:val="%1."/>
      <w:numFmt w:val="decimal"/>
      <w:start w:val="1"/>
    </w:lvl>
  </w:abstractNum>
  <w:abstractNum w:abstractNumId="55">
    <w:nsid w:val="7F01579B"/>
    <w:multiLevelType w:val="hybridMultilevel"/>
    <w:lvl w:ilvl="0">
      <w:lvlJc w:val="left"/>
      <w:lvlText w:val="%1."/>
      <w:numFmt w:val="decimal"/>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1"/>
      <w:numFmt w:val="decimal"/>
      <w:start w:val="21"/>
    </w:lvl>
    <w:lvl w:ilvl="1">
      <w:lvlJc w:val="left"/>
      <w:lvlText w:val="%2)"/>
      <w:numFmt w:val="decimal"/>
      <w:start w:val="1"/>
    </w:lvl>
  </w:abstractNum>
  <w:abstractNum w:abstractNumId="58">
    <w:nsid w:val="5FB8370B"/>
    <w:multiLevelType w:val="hybridMultilevel"/>
    <w:lvl w:ilvl="0">
      <w:lvlJc w:val="left"/>
      <w:lvlText w:val="%1"/>
      <w:numFmt w:val="decimal"/>
      <w:start w:val="23"/>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1)"/>
      <w:numFmt w:val="lowerLetter"/>
      <w:start w:val="3"/>
    </w:lvl>
  </w:abstractNum>
  <w:abstractNum w:abstractNumId="61">
    <w:nsid w:val="5FB8011C"/>
    <w:multiLevelType w:val="hybridMultilevel"/>
    <w:lvl w:ilvl="0">
      <w:lvlJc w:val="left"/>
      <w:lvlText w:val="%1."/>
      <w:numFmt w:val="decimal"/>
      <w:start w:val="1"/>
    </w:lvl>
  </w:abstractNum>
  <w:abstractNum w:abstractNumId="62">
    <w:nsid w:val="6AA78F7F"/>
    <w:multiLevelType w:val="hybridMultilevel"/>
    <w:lvl w:ilvl="0">
      <w:lvlJc w:val="left"/>
      <w:lvlText w:val="%1."/>
      <w:numFmt w:val="lowerLetter"/>
      <w:start w:val="4"/>
    </w:lvl>
  </w:abstractNum>
  <w:abstractNum w:abstractNumId="63">
    <w:nsid w:val="7672BD23"/>
    <w:multiLevelType w:val="hybridMultilevel"/>
    <w:lvl w:ilvl="0">
      <w:lvlJc w:val="left"/>
      <w:lvlText w:val="%1."/>
      <w:numFmt w:val="lowerRoman"/>
      <w:start w:val="1"/>
    </w:lvl>
    <w:lvl w:ilvl="1">
      <w:lvlJc w:val="left"/>
      <w:lvlText w:val="%2."/>
      <w:numFmt w:val="lowerLetter"/>
      <w:start w:val="8"/>
    </w:lvl>
  </w:abstractNum>
  <w:abstractNum w:abstractNumId="64">
    <w:nsid w:val="6FC75AF8"/>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65">
    <w:nsid w:val="6A5F7029"/>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15"/>
    </w:lvl>
  </w:abstractNum>
  <w:abstractNum w:abstractNumId="66">
    <w:nsid w:val="7D5E18F8"/>
    <w:multiLevelType w:val="hybridMultilevel"/>
    <w:lvl w:ilvl="0">
      <w:lvlJc w:val="left"/>
      <w:lvlText w:val="%1."/>
      <w:numFmt w:val="lowerLetter"/>
      <w:start w:val="18"/>
    </w:lvl>
  </w:abstractNum>
  <w:abstractNum w:abstractNumId="67">
    <w:nsid w:val="5F3534A4"/>
    <w:multiLevelType w:val="hybridMultilevel"/>
    <w:lvl w:ilvl="0">
      <w:lvlJc w:val="left"/>
      <w:lvlText w:val="%1."/>
      <w:numFmt w:val="decimal"/>
      <w:start w:val="1"/>
    </w:lvl>
  </w:abstractNum>
  <w:abstractNum w:abstractNumId="68">
    <w:nsid w:val="73A1821B"/>
    <w:multiLevelType w:val="hybridMultilevel"/>
    <w:lvl w:ilvl="0">
      <w:lvlJc w:val="left"/>
      <w:lvlText w:val="%1"/>
      <w:numFmt w:val="lowerRoman"/>
      <w:start w:val="1"/>
    </w:lvl>
    <w:lvl w:ilvl="1">
      <w:lvlJc w:val="left"/>
      <w:lvlText w:val="%2."/>
      <w:numFmt w:val="lowerLetter"/>
      <w:start w:val="1"/>
    </w:lvl>
  </w:abstractNum>
  <w:abstractNum w:abstractNumId="69">
    <w:nsid w:val="7DE67713"/>
    <w:multiLevelType w:val="hybridMultilevel"/>
    <w:lvl w:ilvl="0">
      <w:lvlJc w:val="left"/>
      <w:lvlText w:val="(%1)"/>
      <w:numFmt w:val="lowerRoman"/>
      <w:start w:val="2"/>
    </w:lvl>
    <w:lvl w:ilvl="1">
      <w:lvlJc w:val="left"/>
      <w:lvlText w:val="%2."/>
      <w:numFmt w:val="lowerLetter"/>
      <w:start w:val="3"/>
    </w:lvl>
  </w:abstractNum>
  <w:abstractNum w:abstractNumId="70">
    <w:nsid w:val="555C55B5"/>
    <w:multiLevelType w:val="hybridMultilevel"/>
    <w:lvl w:ilvl="0">
      <w:lvlJc w:val="left"/>
      <w:lvlText w:val="%1."/>
      <w:numFmt w:val="decimal"/>
      <w:start w:val="3"/>
    </w:lvl>
  </w:abstractNum>
  <w:abstractNum w:abstractNumId="71">
    <w:nsid w:val="3FA62ACA"/>
    <w:multiLevelType w:val="hybridMultilevel"/>
    <w:lvl w:ilvl="0">
      <w:lvlJc w:val="left"/>
      <w:lvlText w:val="%1."/>
      <w:numFmt w:val="lowerLetter"/>
      <w:start w:val="1"/>
    </w:lvl>
  </w:abstractNum>
  <w:abstractNum w:abstractNumId="72">
    <w:nsid w:val="14FCE74E"/>
    <w:multiLevelType w:val="hybridMultilevel"/>
    <w:lvl w:ilvl="0">
      <w:lvlJc w:val="left"/>
      <w:lvlText w:val="%1."/>
      <w:numFmt w:val="lowerLetter"/>
      <w:start w:val="4"/>
    </w:lvl>
  </w:abstractNum>
  <w:abstractNum w:abstractNumId="73">
    <w:nsid w:val="6A3DD3E8"/>
    <w:multiLevelType w:val="hybridMultilevel"/>
    <w:lvl w:ilvl="0">
      <w:lvlJc w:val="left"/>
      <w:lvlText w:val="%1."/>
      <w:numFmt w:val="lowerLetter"/>
      <w:start w:val="1"/>
    </w:lvl>
  </w:abstractNum>
  <w:abstractNum w:abstractNumId="74">
    <w:nsid w:val="71C91298"/>
    <w:multiLevelType w:val="hybridMultilevel"/>
    <w:lvl w:ilvl="0">
      <w:lvlJc w:val="left"/>
      <w:lvlText w:val="%1."/>
      <w:numFmt w:val="lowerLetter"/>
      <w:start w:val="1"/>
    </w:lvl>
  </w:abstractNum>
  <w:abstractNum w:abstractNumId="75">
    <w:nsid w:val="9DAF632"/>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2"/>
    </w:lvl>
  </w:abstractNum>
  <w:abstractNum w:abstractNumId="76">
    <w:nsid w:val="53299938"/>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77">
    <w:nsid w:val="1FBFE8E0"/>
    <w:multiLevelType w:val="hybridMultilevel"/>
    <w:lvl w:ilvl="0">
      <w:lvlJc w:val="left"/>
      <w:lvlText w:val="%1."/>
      <w:numFmt w:val="lowerRoman"/>
      <w:start w:val="4"/>
    </w:lvl>
    <w:lvl w:ilvl="1">
      <w:lvlJc w:val="left"/>
      <w:lvlText w:val="%2."/>
      <w:numFmt w:val="lowerRoman"/>
      <w:start w:val="6"/>
    </w:lvl>
    <w:lvl w:ilvl="2">
      <w:lvlJc w:val="left"/>
      <w:lvlText w:val="%3"/>
      <w:numFmt w:val="lowerLetter"/>
      <w:start w:val="1"/>
    </w:lvl>
  </w:abstractNum>
  <w:abstractNum w:abstractNumId="78">
    <w:nsid w:val="5092CA79"/>
    <w:multiLevelType w:val="hybridMultilevel"/>
    <w:lvl w:ilvl="0">
      <w:lvlJc w:val="left"/>
      <w:lvlText w:val="%1."/>
      <w:numFmt w:val="decimal"/>
      <w:start w:val="5"/>
    </w:lvl>
  </w:abstractNum>
  <w:abstractNum w:abstractNumId="79">
    <w:nsid w:val="1D545C4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80">
    <w:nsid w:val="59ADEA3D"/>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81">
    <w:nsid w:val="288F1A34"/>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lvl w:ilvl="3">
      <w:lvlJc w:val="left"/>
      <w:lvlText w:val="%4"/>
      <w:numFmt w:val="lowerLetter"/>
      <w:start w:val="1"/>
    </w:lvl>
  </w:abstractNum>
  <w:abstractNum w:abstractNumId="82">
    <w:nsid w:val="2A155DBC"/>
    <w:multiLevelType w:val="hybridMultilevel"/>
    <w:lvl w:ilvl="0">
      <w:lvlJc w:val="left"/>
      <w:lvlText w:val="%1"/>
      <w:numFmt w:val="upperLetter"/>
      <w:start w:val="1"/>
    </w:lvl>
    <w:lvl w:ilvl="1">
      <w:lvlJc w:val="left"/>
      <w:lvlText w:val="%2."/>
      <w:numFmt w:val="lowerRoman"/>
      <w:start w:val="4"/>
    </w:lvl>
    <w:lvl w:ilvl="2">
      <w:lvlJc w:val="left"/>
      <w:lvlText w:val="%3."/>
      <w:numFmt w:val="lowerRoman"/>
      <w:start w:val="1"/>
    </w:lvl>
    <w:lvl w:ilvl="3">
      <w:lvlJc w:val="left"/>
      <w:lvlText w:val="%4"/>
      <w:numFmt w:val="lowerLetter"/>
      <w:start w:val="1"/>
    </w:lvl>
  </w:abstractNum>
  <w:abstractNum w:abstractNumId="83">
    <w:nsid w:val="1D9F6E5F"/>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2"/>
    </w:lvl>
    <w:lvl w:ilvl="3">
      <w:lvlJc w:val="left"/>
      <w:lvlText w:val="%4"/>
      <w:numFmt w:val="lowerLetter"/>
      <w:start w:val="1"/>
    </w:lvl>
  </w:abstractNum>
  <w:abstractNum w:abstractNumId="84">
    <w:nsid w:val="97E1B4E"/>
    <w:multiLevelType w:val="hybridMultilevel"/>
    <w:lvl w:ilvl="0">
      <w:lvlJc w:val="left"/>
      <w:lvlText w:val="%1."/>
      <w:numFmt w:val="lowerRoman"/>
      <w:start w:val="4"/>
    </w:lvl>
    <w:lvl w:ilvl="1">
      <w:lvlJc w:val="left"/>
      <w:lvlText w:val="%2."/>
      <w:numFmt w:val="lowerRoman"/>
    </w:lvl>
    <w:lvl w:ilvl="2">
      <w:lvlJc w:val="left"/>
      <w:lvlText w:val="%3."/>
      <w:numFmt w:val="lowerLetter"/>
      <w:start w:val="4"/>
    </w:lvl>
  </w:abstractNum>
  <w:abstractNum w:abstractNumId="85">
    <w:nsid w:val="51088277"/>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5"/>
    </w:lvl>
  </w:abstractNum>
  <w:abstractNum w:abstractNumId="86">
    <w:nsid w:val="1CA0C5FA"/>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87">
    <w:nsid w:val="53584BCB"/>
    <w:multiLevelType w:val="hybridMultilevel"/>
    <w:lvl w:ilvl="0">
      <w:lvlJc w:val="left"/>
      <w:lvlText w:val="%1"/>
      <w:numFmt w:val="decimal"/>
      <w:start w:val="1"/>
    </w:lvl>
    <w:lvl w:ilvl="1">
      <w:lvlJc w:val="left"/>
      <w:lvlText w:val="%2."/>
      <w:numFmt w:val="lowerRoman"/>
      <w:start w:val="1"/>
    </w:lvl>
  </w:abstractNum>
  <w:abstractNum w:abstractNumId="88">
    <w:nsid w:val="415E286C"/>
    <w:multiLevelType w:val="hybridMultilevel"/>
    <w:lvl w:ilvl="0">
      <w:lvlJc w:val="left"/>
      <w:lvlText w:val="(%1)"/>
      <w:numFmt w:val="decimal"/>
      <w:start w:val="2"/>
    </w:lvl>
    <w:lvl w:ilvl="1">
      <w:lvlJc w:val="left"/>
      <w:lvlText w:val="%2"/>
      <w:numFmt w:val="lowerRoman"/>
      <w:start w:val="1"/>
    </w:lvl>
  </w:abstractNum>
  <w:abstractNum w:abstractNumId="89">
    <w:nsid w:val="7C58FD05"/>
    <w:multiLevelType w:val="hybridMultilevel"/>
    <w:lvl w:ilvl="0">
      <w:lvlJc w:val="left"/>
      <w:lvlText w:val="%1."/>
      <w:numFmt w:val="lowerRoman"/>
      <w:start w:val="2"/>
    </w:lvl>
    <w:lvl w:ilvl="1">
      <w:lvlJc w:val="left"/>
      <w:lvlText w:val="(%2)"/>
      <w:numFmt w:val="lowerRoman"/>
      <w:start w:val="3"/>
    </w:lvl>
  </w:abstractNum>
  <w:abstractNum w:abstractNumId="90">
    <w:nsid w:val="23D86AAC"/>
    <w:multiLevelType w:val="hybridMultilevel"/>
    <w:lvl w:ilvl="0">
      <w:lvlJc w:val="left"/>
      <w:lvlText w:val="%1"/>
      <w:numFmt w:val="lowerLetter"/>
      <w:start w:val="1"/>
    </w:lvl>
    <w:lvl w:ilvl="1">
      <w:lvlJc w:val="left"/>
      <w:lvlText w:val="%2."/>
      <w:numFmt w:val="lowerLetter"/>
      <w:start w:val="1"/>
    </w:lvl>
  </w:abstractNum>
  <w:abstractNum w:abstractNumId="91">
    <w:nsid w:val="45E6D486"/>
    <w:multiLevelType w:val="hybridMultilevel"/>
    <w:lvl w:ilvl="0">
      <w:lvlJc w:val="left"/>
      <w:lvlText w:val="%1."/>
      <w:numFmt w:val="lowerRoman"/>
      <w:start w:val="2"/>
    </w:lvl>
    <w:lvl w:ilvl="1">
      <w:lvlJc w:val="left"/>
      <w:lvlText w:val="%2."/>
      <w:numFmt w:val="decimal"/>
      <w:start w:val="1"/>
    </w:lvl>
  </w:abstractNum>
  <w:abstractNum w:abstractNumId="92">
    <w:nsid w:val="5C10FE21"/>
    <w:multiLevelType w:val="hybridMultilevel"/>
    <w:lvl w:ilvl="0">
      <w:lvlJc w:val="left"/>
      <w:lvlText w:val="%1."/>
      <w:numFmt w:val="lowerLetter"/>
      <w:start w:val="2"/>
    </w:lvl>
  </w:abstractNum>
  <w:abstractNum w:abstractNumId="93">
    <w:nsid w:val="E7FFA2B"/>
    <w:multiLevelType w:val="hybridMultilevel"/>
    <w:lvl w:ilvl="0">
      <w:lvlJc w:val="left"/>
      <w:lvlText w:val="%1."/>
      <w:numFmt w:val="lowerRoman"/>
      <w:start w:val="1"/>
    </w:lvl>
    <w:lvl w:ilvl="1">
      <w:lvlJc w:val="left"/>
      <w:lvlText w:val="%2."/>
      <w:numFmt w:val="lowerLetter"/>
      <w:start w:val="4"/>
    </w:lvl>
  </w:abstractNum>
  <w:abstractNum w:abstractNumId="94">
    <w:nsid w:val="3C5991AA"/>
    <w:multiLevelType w:val="hybridMultilevel"/>
    <w:lvl w:ilvl="0">
      <w:lvlJc w:val="left"/>
      <w:lvlText w:val="%1."/>
      <w:numFmt w:val="decimal"/>
      <w:start w:val="7"/>
    </w:lvl>
  </w:abstractNum>
  <w:abstractNum w:abstractNumId="95">
    <w:nsid w:val="4BD8591A"/>
    <w:multiLevelType w:val="hybridMultilevel"/>
    <w:lvl w:ilvl="0">
      <w:lvlJc w:val="left"/>
      <w:lvlText w:val="%1."/>
      <w:numFmt w:val="lowerLetter"/>
      <w:start w:val="1"/>
    </w:lvl>
  </w:abstractNum>
  <w:abstractNum w:abstractNumId="96">
    <w:nsid w:val="78DF6A55"/>
    <w:multiLevelType w:val="hybridMultilevel"/>
    <w:lvl w:ilvl="0">
      <w:lvlJc w:val="left"/>
      <w:lvlText w:val="%1."/>
      <w:numFmt w:val="decimal"/>
      <w:start w:val="8"/>
    </w:lvl>
  </w:abstractNum>
  <w:abstractNum w:abstractNumId="97">
    <w:nsid w:val="39B7AAA2"/>
    <w:multiLevelType w:val="hybridMultilevel"/>
    <w:lvl w:ilvl="0">
      <w:lvlJc w:val="left"/>
      <w:lvlText w:val="%1."/>
      <w:numFmt w:val="decimal"/>
      <w:start w:val="15"/>
    </w:lvl>
  </w:abstractNum>
  <w:abstractNum w:abstractNumId="98">
    <w:nsid w:val="2B0D8DBE"/>
    <w:multiLevelType w:val="hybridMultilevel"/>
    <w:lvl w:ilvl="0">
      <w:lvlJc w:val="left"/>
      <w:lvlText w:val="%1."/>
      <w:numFmt w:val="lowerLetter"/>
      <w:start w:val="1"/>
    </w:lvl>
  </w:abstractNum>
  <w:abstractNum w:abstractNumId="99">
    <w:nsid w:val="6C80EC70"/>
    <w:multiLevelType w:val="hybridMultilevel"/>
    <w:lvl w:ilvl="0">
      <w:lvlJc w:val="left"/>
      <w:lvlText w:val="%1"/>
      <w:numFmt w:val="lowerRoman"/>
      <w:start w:val="1"/>
    </w:lvl>
    <w:lvl w:ilvl="1">
      <w:lvlJc w:val="left"/>
      <w:lvlText w:val="%2."/>
      <w:numFmt w:val="decimal"/>
      <w:start w:val="21"/>
    </w:lvl>
  </w:abstractNum>
  <w:abstractNum w:abstractNumId="100">
    <w:nsid w:val="379E21B5"/>
    <w:multiLevelType w:val="hybridMultilevel"/>
    <w:lvl w:ilvl="0">
      <w:lvlJc w:val="left"/>
      <w:lvlText w:val="(%1)"/>
      <w:numFmt w:val="lowerRoman"/>
      <w:start w:val="2"/>
    </w:lvl>
    <w:lvl w:ilvl="1">
      <w:lvlJc w:val="left"/>
      <w:lvlText w:val="%2"/>
      <w:numFmt w:val="decimal"/>
      <w:start w:val="1"/>
    </w:lvl>
  </w:abstractNum>
  <w:abstractNum w:abstractNumId="101">
    <w:nsid w:val="69E373"/>
    <w:multiLevelType w:val="hybridMultilevel"/>
    <w:lvl w:ilvl="0">
      <w:lvlJc w:val="left"/>
      <w:lvlText w:val="%1."/>
      <w:numFmt w:val="decimal"/>
      <w:start w:val="1"/>
    </w:lvl>
    <w:lvl w:ilvl="1">
      <w:lvlJc w:val="left"/>
      <w:lvlText w:val="%2."/>
      <w:numFmt w:val="lowerLetter"/>
      <w:start w:val="1"/>
    </w:lvl>
  </w:abstractNum>
  <w:abstractNum w:abstractNumId="102">
    <w:nsid w:val="2C27173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3">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4">
    <w:nsid w:val="6AA7B75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5">
    <w:nsid w:val="1DF029D3"/>
    <w:multiLevelType w:val="hybridMultilevel"/>
    <w:lvl w:ilvl="0">
      <w:lvlJc w:val="left"/>
      <w:lvlText w:val="%1"/>
      <w:numFmt w:val="decimal"/>
      <w:start w:val="1"/>
    </w:lvl>
    <w:lvl w:ilvl="1">
      <w:lvlJc w:val="left"/>
      <w:lvlText w:val="%2."/>
      <w:numFmt w:val="lowerLetter"/>
      <w:start w:val="3"/>
    </w:lvl>
  </w:abstractNum>
  <w:abstractNum w:abstractNumId="106">
    <w:nsid w:val="5675FF36"/>
    <w:multiLevelType w:val="hybridMultilevel"/>
    <w:lvl w:ilvl="0">
      <w:lvlJc w:val="left"/>
      <w:lvlText w:val="%1."/>
      <w:numFmt w:val="decimal"/>
      <w:start w:val="9"/>
    </w:lvl>
    <w:lvl w:ilvl="1">
      <w:lvlJc w:val="left"/>
      <w:lvlText w:val="%2"/>
      <w:numFmt w:val="lowerLetter"/>
      <w:start w:val="1"/>
    </w:lvl>
  </w:abstractNum>
  <w:abstractNum w:abstractNumId="107">
    <w:nsid w:val="3DD15094"/>
    <w:multiLevelType w:val="hybridMultilevel"/>
    <w:lvl w:ilvl="0">
      <w:lvlJc w:val="left"/>
      <w:lvlText w:val="%1."/>
      <w:numFmt w:val="decimal"/>
      <w:start w:val="14"/>
    </w:lvl>
  </w:abstractNum>
  <w:abstractNum w:abstractNumId="108">
    <w:nsid w:val="3DB012B3"/>
    <w:multiLevelType w:val="hybridMultilevel"/>
    <w:lvl w:ilvl="0">
      <w:lvlJc w:val="left"/>
      <w:lvlText w:val="%1."/>
      <w:numFmt w:val="decimal"/>
      <w:start w:val="22"/>
    </w:lvl>
  </w:abstractNum>
  <w:abstractNum w:abstractNumId="109">
    <w:nsid w:val="2708C9AF"/>
    <w:multiLevelType w:val="hybridMultilevel"/>
    <w:lvl w:ilvl="0">
      <w:lvlJc w:val="left"/>
      <w:lvlText w:val="%1."/>
      <w:numFmt w:val="decimal"/>
      <w:start w:val="1"/>
    </w:lvl>
    <w:lvl w:ilvl="1">
      <w:lvlJc w:val="left"/>
      <w:lvlText w:val="%2."/>
      <w:numFmt w:val="lowerLetter"/>
      <w:start w:val="1"/>
    </w:lvl>
  </w:abstractNum>
  <w:abstractNum w:abstractNumId="110">
    <w:nsid w:val="5B25ACE2"/>
    <w:multiLevelType w:val="hybridMultilevel"/>
    <w:lvl w:ilvl="0">
      <w:lvlJc w:val="left"/>
      <w:lvlText w:val="%1"/>
      <w:numFmt w:val="decimal"/>
      <w:start w:val="1"/>
    </w:lvl>
    <w:lvl w:ilvl="1">
      <w:lvlJc w:val="left"/>
      <w:lvlText w:val="%2."/>
      <w:numFmt w:val="lowerLetter"/>
      <w:start w:val="9"/>
    </w:lvl>
  </w:abstractNum>
  <w:abstractNum w:abstractNumId="111">
    <w:nsid w:val="175DFCF0"/>
    <w:multiLevelType w:val="hybridMultilevel"/>
    <w:lvl w:ilvl="0">
      <w:lvlJc w:val="left"/>
      <w:lvlText w:val="%1."/>
      <w:numFmt w:val="decimal"/>
      <w:start w:val="2"/>
    </w:lvl>
    <w:lvl w:ilvl="1">
      <w:lvlJc w:val="left"/>
      <w:lvlText w:val="%2."/>
      <w:numFmt w:val="lowerLetter"/>
      <w:start w:val="1"/>
    </w:lvl>
  </w:abstractNum>
  <w:abstractNum w:abstractNumId="112">
    <w:nsid w:val="4F97E3E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3">
    <w:nsid w:val="53B0A9E"/>
    <w:multiLevelType w:val="hybridMultilevel"/>
    <w:lvl w:ilvl="0">
      <w:lvlJc w:val="left"/>
      <w:lvlText w:val="%1"/>
      <w:numFmt w:val="decimal"/>
      <w:start w:val="1"/>
    </w:lvl>
    <w:lvl w:ilvl="1">
      <w:lvlJc w:val="left"/>
      <w:lvlText w:val="%2."/>
      <w:numFmt w:val="lowerLetter"/>
      <w:start w:val="3"/>
    </w:lvl>
  </w:abstractNum>
  <w:abstractNum w:abstractNumId="114">
    <w:nsid w:val="34FD6B4F"/>
    <w:multiLevelType w:val="hybridMultilevel"/>
    <w:lvl w:ilvl="0">
      <w:lvlJc w:val="left"/>
      <w:lvlText w:val="%1."/>
      <w:numFmt w:val="decimal"/>
      <w:start w:val="9"/>
    </w:lvl>
    <w:lvl w:ilvl="1">
      <w:lvlJc w:val="left"/>
      <w:lvlText w:val="%2"/>
      <w:numFmt w:val="lowerLetter"/>
      <w:start w:val="1"/>
    </w:lvl>
  </w:abstractNum>
  <w:abstractNum w:abstractNumId="115">
    <w:nsid w:val="5915FF32"/>
    <w:multiLevelType w:val="hybridMultilevel"/>
    <w:lvl w:ilvl="0">
      <w:lvlJc w:val="left"/>
      <w:lvlText w:val="%1."/>
      <w:numFmt w:val="decimal"/>
      <w:start w:val="14"/>
    </w:lvl>
  </w:abstractNum>
  <w:abstractNum w:abstractNumId="116">
    <w:nsid w:val="56438D15"/>
    <w:multiLevelType w:val="hybridMultilevel"/>
    <w:lvl w:ilvl="0">
      <w:lvlJc w:val="left"/>
      <w:lvlText w:val="%1."/>
      <w:numFmt w:val="decimal"/>
      <w:start w:val="22"/>
    </w:lvl>
  </w:abstractNum>
  <w:abstractNum w:abstractNumId="117">
    <w:nsid w:val="519E3149"/>
    <w:multiLevelType w:val="hybridMultilevel"/>
    <w:lvl w:ilvl="0">
      <w:lvlJc w:val="left"/>
      <w:lvlText w:val="%1."/>
      <w:numFmt w:val="decimal"/>
      <w:start w:val="1"/>
    </w:lvl>
    <w:lvl w:ilvl="1">
      <w:lvlJc w:val="left"/>
      <w:lvlText w:val="%2."/>
      <w:numFmt w:val="lowerLetter"/>
      <w:start w:val="1"/>
    </w:lvl>
  </w:abstractNum>
  <w:abstractNum w:abstractNumId="118">
    <w:nsid w:val="2C6E4AF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9">
    <w:nsid w:val="17A1B5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20">
    <w:nsid w:val="4DF72E4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21">
    <w:nsid w:val="5046B5A9"/>
    <w:multiLevelType w:val="hybridMultilevel"/>
    <w:lvl w:ilvl="0">
      <w:lvlJc w:val="left"/>
      <w:lvlText w:val="%1."/>
      <w:numFmt w:val="decimal"/>
      <w:start w:val="12"/>
    </w:lvl>
  </w:abstractNum>
  <w:abstractNum w:abstractNumId="122">
    <w:nsid w:val="5D888A08"/>
    <w:multiLevelType w:val="hybridMultilevel"/>
    <w:lvl w:ilvl="0">
      <w:lvlJc w:val="left"/>
      <w:lvlText w:val="%1."/>
      <w:numFmt w:val="decimal"/>
      <w:start w:val="17"/>
    </w:lvl>
  </w:abstractNum>
  <w:abstractNum w:abstractNumId="123">
    <w:nsid w:val="2A082C70"/>
    <w:multiLevelType w:val="hybridMultilevel"/>
    <w:lvl w:ilvl="0">
      <w:lvlJc w:val="left"/>
      <w:lvlText w:val="%1."/>
      <w:numFmt w:val="decimal"/>
      <w:start w:val="1"/>
    </w:lvl>
    <w:lvl w:ilvl="1">
      <w:lvlJc w:val="left"/>
      <w:lvlText w:val="%2."/>
      <w:numFmt w:val="lowerLetter"/>
      <w:start w:val="1"/>
    </w:lvl>
  </w:abstractNum>
  <w:abstractNum w:abstractNumId="124">
    <w:nsid w:val="5EC6AFD4"/>
    <w:multiLevelType w:val="hybridMultilevel"/>
    <w:lvl w:ilvl="0">
      <w:lvlJc w:val="left"/>
      <w:lvlText w:val="%1."/>
      <w:numFmt w:val="decimal"/>
      <w:start w:val="2"/>
    </w:lvl>
    <w:lvl w:ilvl="1">
      <w:lvlJc w:val="left"/>
      <w:lvlText w:val="%2."/>
      <w:numFmt w:val="lowerLetter"/>
      <w:start w:val="1"/>
    </w:lvl>
  </w:abstractNum>
  <w:abstractNum w:abstractNumId="125">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6">
    <w:nsid w:val="75E085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7">
    <w:nsid w:val="57A61A29"/>
    <w:multiLevelType w:val="hybridMultilevel"/>
    <w:lvl w:ilvl="0">
      <w:lvlJc w:val="left"/>
      <w:lvlText w:val="%1."/>
      <w:numFmt w:val="decimal"/>
      <w:start w:val="3"/>
    </w:lvl>
  </w:abstractNum>
  <w:abstractNum w:abstractNumId="128">
    <w:nsid w:val="5399C654"/>
    <w:multiLevelType w:val="hybridMultilevel"/>
    <w:lvl w:ilvl="0">
      <w:lvlJc w:val="left"/>
      <w:lvlText w:val="%1."/>
      <w:numFmt w:val="decimal"/>
      <w:start w:val="7"/>
    </w:lvl>
  </w:abstractNum>
  <w:abstractNum w:abstractNumId="129">
    <w:nsid w:val="20EE1348"/>
    <w:multiLevelType w:val="hybridMultilevel"/>
    <w:lvl w:ilvl="0">
      <w:lvlJc w:val="left"/>
      <w:lvlText w:val="%1."/>
      <w:numFmt w:val="decimal"/>
      <w:start w:val="16"/>
    </w:lvl>
  </w:abstractNum>
  <w:abstractNum w:abstractNumId="130">
    <w:nsid w:val="4427069A"/>
    <w:multiLevelType w:val="hybridMultilevel"/>
    <w:lvl w:ilvl="0">
      <w:lvlJc w:val="left"/>
      <w:lvlText w:val="(%1)"/>
      <w:numFmt w:val="decimal"/>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abstractNum>
  <w:abstractNum w:abstractNumId="132">
    <w:nsid w:val="2157F6BC"/>
    <w:multiLevelType w:val="hybridMultilevel"/>
    <w:lvl w:ilvl="0">
      <w:lvlJc w:val="left"/>
      <w:lvlText w:val="%1."/>
      <w:numFmt w:val="decimal"/>
      <w:start w:val="1"/>
    </w:lvl>
    <w:lvl w:ilvl="1">
      <w:lvlJc w:val="left"/>
      <w:lvlText w:val="(%2)"/>
      <w:numFmt w:val="lowerLetter"/>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1" Type="http://schemas.openxmlformats.org/officeDocument/2006/relationships/image" Target="media/image92.png"/><Relationship Id="rId122" Type="http://schemas.openxmlformats.org/officeDocument/2006/relationships/image" Target="media/image93.png"/><Relationship Id="rId138"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99" Type="http://schemas.openxmlformats.org/officeDocument/2006/relationships/hyperlink" Target="http://www.sec.gov/Archives/edgar/data/1423689/000142368920000042/agncexhibit313312010-q.htm" TargetMode="External"/><Relationship Id="rId100" Type="http://schemas.openxmlformats.org/officeDocument/2006/relationships/hyperlink" Target="http://www.sec.gov/Archives/edgar/data/1423689/000142368916000104/agncexhibit329301610-qbyla.htm" TargetMode="External"/><Relationship Id="rId101" Type="http://schemas.openxmlformats.org/officeDocument/2006/relationships/hyperlink" Target="http://www.sec.gov/Archives/edgar/data/1423689/000142368917000044/ex35certificateofdesignati.htm" TargetMode="External"/><Relationship Id="rId102" Type="http://schemas.openxmlformats.org/officeDocument/2006/relationships/hyperlink" Target="http://www.sec.gov/Archives/edgar/data/1423689/000142368917000065/certificateofelimination.htm" TargetMode="External"/><Relationship Id="rId103" Type="http://schemas.openxmlformats.org/officeDocument/2006/relationships/hyperlink" Target="http://www.sec.gov/Archives/edgar/data/1423689/000142368919000019/certificateofdesignations.htm" TargetMode="External"/><Relationship Id="rId104" Type="http://schemas.openxmlformats.org/officeDocument/2006/relationships/hyperlink" Target="http://www.sec.gov/Archives/edgar/data/1423689/000142368919000064/certofdesignations.htm" TargetMode="External"/><Relationship Id="rId105" Type="http://schemas.openxmlformats.org/officeDocument/2006/relationships/hyperlink" Target="http://www.sec.gov/Archives/edgar/data/1423689/000142368919000078/certificateofeliminati.htm" TargetMode="External"/><Relationship Id="rId106" Type="http://schemas.openxmlformats.org/officeDocument/2006/relationships/hyperlink" Target="http://www.sec.gov/Archives/edgar/data/1423689/000142368920000012/certificateofdesignations-.htm" TargetMode="External"/><Relationship Id="rId107" Type="http://schemas.openxmlformats.org/officeDocument/2006/relationships/hyperlink" Target="http://www.sec.gov/Archives/edgar/data/1423689/000142368918000016/agncexhibit313311810-q.htm" TargetMode="External"/><Relationship Id="rId108" Type="http://schemas.openxmlformats.org/officeDocument/2006/relationships/hyperlink" Target="http://www.sec.gov/Archives/edgar/data/1423689/000142368916000104/agncexhibit43.htm" TargetMode="External"/><Relationship Id="rId109" Type="http://schemas.openxmlformats.org/officeDocument/2006/relationships/hyperlink" Target="http://www.sec.gov/Archives/edgar/data/1423689/000142368917000044/exhibit41.htm" TargetMode="External"/><Relationship Id="rId110" Type="http://schemas.openxmlformats.org/officeDocument/2006/relationships/hyperlink" Target="http://www.sec.gov/Archives/edgar/data/1423689/000142368919000019/stockcertificateb98.htm" TargetMode="External"/><Relationship Id="rId112" Type="http://schemas.openxmlformats.org/officeDocument/2006/relationships/hyperlink" Target="http://www.sec.gov/Archives/edgar/data/1423689/000142368919000064/stockcertificate.htm" TargetMode="External"/><Relationship Id="rId113" Type="http://schemas.openxmlformats.org/officeDocument/2006/relationships/hyperlink" Target="http://www.sec.gov/Archives/edgar/data/1423689/000142368920000012/stockcertificate.htm" TargetMode="External"/><Relationship Id="rId114" Type="http://schemas.openxmlformats.org/officeDocument/2006/relationships/hyperlink" Target="http://www.sec.gov/Archives/edgar/data/1423689/000142368917000049/depositagreement.htm" TargetMode="External"/><Relationship Id="rId115" Type="http://schemas.openxmlformats.org/officeDocument/2006/relationships/hyperlink" Target="http://www.sec.gov/Archives/edgar/data/1423689/000142368919000021/prefddepositagmt.htm" TargetMode="External"/><Relationship Id="rId116" Type="http://schemas.openxmlformats.org/officeDocument/2006/relationships/hyperlink" Target="http://www.sec.gov/Archives/edgar/data/1423689/000142368919000068/depositagmt-prefe.htm" TargetMode="External"/><Relationship Id="rId117" Type="http://schemas.openxmlformats.org/officeDocument/2006/relationships/hyperlink" Target="http://www.sec.gov/Archives/edgar/data/1423689/000142368920000014/depositaryagmt-seriesf.htm" TargetMode="External"/><Relationship Id="rId118" Type="http://schemas.openxmlformats.org/officeDocument/2006/relationships/hyperlink" Target="http://www.sec.gov/Archives/edgar/data/1423689/000142368919000002/a102-kain.htm" TargetMode="External"/><Relationship Id="rId119" Type="http://schemas.openxmlformats.org/officeDocument/2006/relationships/hyperlink" Target="http://www.sec.gov/Archives/edgar/data/1423689/000119312520314929/d95688dex101.htm" TargetMode="External"/><Relationship Id="rId120" Type="http://schemas.openxmlformats.org/officeDocument/2006/relationships/hyperlink" Target="http://www.sec.gov/Archives/edgar/data/1423689/000142368916000102/federico.htm" TargetMode="External"/><Relationship Id="rId121" Type="http://schemas.openxmlformats.org/officeDocument/2006/relationships/hyperlink" Target="http://www.sec.gov/Archives/edgar/data/1423689/000142368916000102/kuehl.htm" TargetMode="External"/><Relationship Id="rId123" Type="http://schemas.openxmlformats.org/officeDocument/2006/relationships/hyperlink" Target="http://www.sec.gov/Archives/edgar/data/1423689/000142368920000017/a8-k101.htm" TargetMode="External"/><Relationship Id="rId124" Type="http://schemas.openxmlformats.org/officeDocument/2006/relationships/hyperlink" Target="http://www.sec.gov/Archives/edgar/data/1423689/000119312520314929/d95688dex102.htm" TargetMode="External"/><Relationship Id="rId125" Type="http://schemas.openxmlformats.org/officeDocument/2006/relationships/hyperlink" Target="http://www.sec.gov/Archives/edgar/data/1423689/000119312520314929/d95688dex103.htm" TargetMode="External"/><Relationship Id="rId126" Type="http://schemas.openxmlformats.org/officeDocument/2006/relationships/hyperlink" Target="http://www.sec.gov/Archives/edgar/data/1423689/000142368919000002/a101-bell.htm" TargetMode="External"/><Relationship Id="rId127" Type="http://schemas.openxmlformats.org/officeDocument/2006/relationships/hyperlink" Target="http://www.sec.gov/Archives/edgar/data/1423689/000142368919000002/a103-pas.htm" TargetMode="External"/><Relationship Id="rId128" Type="http://schemas.openxmlformats.org/officeDocument/2006/relationships/hyperlink" Target="http://www.sec.gov/Archives/edgar/data/1423689/000142368917000069/ex103.htm" TargetMode="External"/><Relationship Id="rId129" Type="http://schemas.openxmlformats.org/officeDocument/2006/relationships/hyperlink" Target="http://www.sec.gov/Archives/edgar/data/1423689/000142368919000002/a104-pollack.htm" TargetMode="External"/><Relationship Id="rId130" Type="http://schemas.openxmlformats.org/officeDocument/2006/relationships/hyperlink" Target="http://www.sec.gov/Archives/edgar/data/1423689/000142368920000017/a8-k102.htm" TargetMode="External"/><Relationship Id="rId131" Type="http://schemas.openxmlformats.org/officeDocument/2006/relationships/hyperlink" Target="http://www.sec.gov/Archives/edgar/data/1423689/000142368921000005/bell12221.htm" TargetMode="External"/><Relationship Id="rId132" Type="http://schemas.openxmlformats.org/officeDocument/2006/relationships/hyperlink" Target="http://www.sec.gov/Archives/edgar/data/1423689/000142368921000005/pas12221.htm" TargetMode="External"/><Relationship Id="rId133" Type="http://schemas.openxmlformats.org/officeDocument/2006/relationships/hyperlink" Target="http://www.sec.gov/Archives/edgar/data/1423689/000142368917000011/exhibit10712311610-k.htm" TargetMode="External"/><Relationship Id="rId134" Type="http://schemas.openxmlformats.org/officeDocument/2006/relationships/hyperlink" Target="http://www.sec.gov/Archives/edgar/data/1423689/000142368917000011/exhibit10812311610-k.htm" TargetMode="External"/><Relationship Id="rId135" Type="http://schemas.openxmlformats.org/officeDocument/2006/relationships/hyperlink" Target="http://www.sec.gov/Archives/edgar/data/1423689/000142368917000011/exhibit10912311610-k.htm" TargetMode="External"/><Relationship Id="rId136" Type="http://schemas.openxmlformats.org/officeDocument/2006/relationships/hyperlink" Target="http://www.sec.gov/Archives/edgar/data/1423689/000142368917000011/exhibit101012311610-k.htm" TargetMode="External"/><Relationship Id="rId137" Type="http://schemas.openxmlformats.org/officeDocument/2006/relationships/hyperlink" Target="http://www.sec.gov/Archives/edgar/data/1423689/000142368917000011/exhibit101112311610-k.htm" TargetMode="External"/><Relationship Id="rId139" Type="http://schemas.openxmlformats.org/officeDocument/2006/relationships/hyperlink" Target="http://www.sec.gov/Archives/edgar/data/1423689/000142368918000007/agncexhibit101412311710-k.htm" TargetMode="External"/><Relationship Id="rId140" Type="http://schemas.openxmlformats.org/officeDocument/2006/relationships/hyperlink" Target="http://www.sec.gov/Archives/edgar/data/1423689/000142368918000047/agncexhibit109301810-q.htm" TargetMode="External"/><Relationship Id="rId141" Type="http://schemas.openxmlformats.org/officeDocument/2006/relationships/hyperlink" Target="http://www.sec.gov/Archives/edgar/data/1423689/000142368919000007/agncexhibit101512311810-k.htm" TargetMode="External"/><Relationship Id="rId142" Type="http://schemas.openxmlformats.org/officeDocument/2006/relationships/hyperlink" Target="http://www.sec.gov/Archives/edgar/data/1423689/000142368919000007/agncexhibit101612311810-k.htm" TargetMode="External"/><Relationship Id="rId143" Type="http://schemas.openxmlformats.org/officeDocument/2006/relationships/hyperlink" Target="http://www.sec.gov/Archives/edgar/data/1423689/000142368919000007/agncexhibit101712311810-k.htm" TargetMode="External"/><Relationship Id="rId144" Type="http://schemas.openxmlformats.org/officeDocument/2006/relationships/hyperlink" Target="http://www.sec.gov/Archives/edgar/data/1423689/000142368920000019/0001423689-20-000019-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2021-02-26T16:10:39Z</dcterms:created>
  <dcterms:modified xsi:type="dcterms:W3CDTF">2021-02-26T16:10:39Z</dcterms:modified>
</cp:coreProperties>
</file>