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10-Q </w:t>
      </w:r>
    </w:p>
    <w:tbl>
      <w:tblPr>
        <w:tblW w:w="9057" w:type="dxa"/>
        <w:jc w:val="left"/>
        <w:tblInd w:w="0" w:type="dxa"/>
        <w:tblLayout w:type="fixed"/>
        <w:tblCellMar>
          <w:top w:w="28" w:type="dxa"/>
          <w:left w:w="28" w:type="dxa"/>
          <w:bottom w:w="28" w:type="dxa"/>
          <w:right w:w="28" w:type="dxa"/>
        </w:tblCellMar>
      </w:tblPr>
      <w:tblGrid>
        <w:gridCol w:w="124"/>
        <w:gridCol w:w="109"/>
        <w:gridCol w:w="109"/>
        <w:gridCol w:w="2547"/>
        <w:gridCol w:w="2547"/>
        <w:gridCol w:w="36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 the quarterly period ended September 30, 2025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9041" w:type="dxa"/>
        <w:jc w:val="left"/>
        <w:tblInd w:w="0" w:type="dxa"/>
        <w:tblLayout w:type="fixed"/>
        <w:tblCellMar>
          <w:top w:w="28" w:type="dxa"/>
          <w:left w:w="28" w:type="dxa"/>
          <w:bottom w:w="28" w:type="dxa"/>
          <w:right w:w="28" w:type="dxa"/>
        </w:tblCellMar>
      </w:tblPr>
      <w:tblGrid>
        <w:gridCol w:w="124"/>
        <w:gridCol w:w="109"/>
        <w:gridCol w:w="109"/>
        <w:gridCol w:w="2545"/>
        <w:gridCol w:w="2545"/>
        <w:gridCol w:w="36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36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Commission file number 001-34057 </w:t>
      </w:r>
    </w:p>
    <w:p>
      <w:pPr>
        <w:pStyle w:val="TextBody"/>
        <w:bidi w:val="0"/>
        <w:spacing w:before="180" w:after="283"/>
        <w:ind w:left="0" w:right="0" w:firstLine="720"/>
        <w:jc w:val="center"/>
        <w:rPr/>
      </w:pPr>
      <w:r>
        <w:rPr/>
        <w:drawing>
          <wp:inline distT="0" distB="0" distL="0" distR="0">
            <wp:extent cx="21145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14550" cy="638175"/>
                    </a:xfrm>
                    <a:prstGeom prst="rect">
                      <a:avLst/>
                    </a:prstGeom>
                  </pic:spPr>
                </pic:pic>
              </a:graphicData>
            </a:graphic>
          </wp:inline>
        </w:drawing>
      </w:r>
      <w:bookmarkStart w:id="0" w:name="i-1"/>
      <w:bookmarkEnd w:id="0"/>
    </w:p>
    <w:p>
      <w:pPr>
        <w:pStyle w:val="TextBody"/>
        <w:bidi w:val="0"/>
        <w:spacing w:lineRule="auto" w:line="288" w:before="0" w:after="0"/>
        <w:jc w:val="center"/>
        <w:rPr/>
      </w:pPr>
      <w:r>
        <w:rPr>
          <w:rFonts w:ascii="Times New Roman;serif" w:hAnsi="Times New Roman;serif"/>
          <w:b/>
          <w:color w:val="000000"/>
          <w:sz w:val="20"/>
        </w:rPr>
        <w:t>AGNC INVESTMENT CORP.</w:t>
      </w:r>
      <w:r>
        <w:rPr>
          <w:color w:val="000000"/>
        </w:rPr>
        <w:t xml:space="preserv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_________________________________________________________</w:t>
      </w:r>
    </w:p>
    <w:tbl>
      <w:tblPr>
        <w:tblW w:w="4240" w:type="dxa"/>
        <w:jc w:val="left"/>
        <w:tblInd w:w="0" w:type="dxa"/>
        <w:tblLayout w:type="fixed"/>
        <w:tblCellMar>
          <w:top w:w="28" w:type="dxa"/>
          <w:left w:w="28" w:type="dxa"/>
          <w:bottom w:w="28" w:type="dxa"/>
          <w:right w:w="28" w:type="dxa"/>
        </w:tblCellMar>
      </w:tblPr>
      <w:tblGrid>
        <w:gridCol w:w="879"/>
        <w:gridCol w:w="771"/>
        <w:gridCol w:w="779"/>
        <w:gridCol w:w="109"/>
        <w:gridCol w:w="109"/>
        <w:gridCol w:w="109"/>
        <w:gridCol w:w="432"/>
        <w:gridCol w:w="432"/>
        <w:gridCol w:w="620"/>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26-1701984</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7373 Wisconsin Avenue, 22nd Floor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Bethesda, Maryland 20814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(301) 968-9315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pPr>
      <w:r>
        <w:rPr>
          <w:color w:val="000000"/>
        </w:rPr>
        <w:t> </w:t>
      </w:r>
      <w:r>
        <w:rPr>
          <w:rFonts w:ascii="Times New Roman;serif" w:hAnsi="Times New Roman;serif"/>
          <w:b w:val="false"/>
          <w:color w:val="000000"/>
          <w:sz w:val="14"/>
        </w:rPr>
        <w:t>_________________________________________________________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205"/>
        <w:gridCol w:w="1764"/>
        <w:gridCol w:w="1775"/>
        <w:gridCol w:w="109"/>
        <w:gridCol w:w="109"/>
        <w:gridCol w:w="109"/>
        <w:gridCol w:w="426"/>
        <w:gridCol w:w="422"/>
        <w:gridCol w:w="424"/>
        <w:gridCol w:w="109"/>
        <w:gridCol w:w="109"/>
        <w:gridCol w:w="109"/>
        <w:gridCol w:w="740"/>
        <w:gridCol w:w="740"/>
        <w:gridCol w:w="1055"/>
      </w:tblGrid>
      <w:tr>
        <w:trPr/>
        <w:tc>
          <w:tcPr>
            <w:tcW w:w="2205"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5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of 7.000% Series C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of 6.875% Series D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of 6.50% Series E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of 6.125% Series F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Depositary shares of 7.75% Series G Fixed-Rate Reset Cumulative </w:t>
              <w:br/>
              <w:t>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Depositary shares of 8.75% Series H Fixed-Rate Cumulative </w:t>
              <w:br/>
              <w:t>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TextBody"/>
        <w:bidi w:val="0"/>
        <w:spacing w:lineRule="auto" w:line="288" w:before="0" w:after="0"/>
        <w:ind w:left="0" w:right="0" w:firstLine="360"/>
        <w:jc w:val="center"/>
        <w:rPr>
          <w:rFonts w:ascii="Times New Roman;serif" w:hAnsi="Times New Roman;serif"/>
          <w:b/>
          <w:color w:val="000000"/>
          <w:sz w:val="16"/>
        </w:rPr>
      </w:pPr>
      <w:r>
        <w:rPr>
          <w:rFonts w:ascii="Times New Roman;serif" w:hAnsi="Times New Roman;serif"/>
          <w:b/>
          <w:color w:val="000000"/>
          <w:sz w:val="16"/>
        </w:rPr>
        <w:t>Securities Registered Pursuant to Section 12(g) of the Act: None</w:t>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p>
    <w:p>
      <w:pPr>
        <w:pStyle w:val="TextBody"/>
        <w:bidi w:val="0"/>
        <w:spacing w:lineRule="auto" w:line="288" w:before="0" w:after="0"/>
        <w:ind w:left="0" w:right="0" w:firstLine="360"/>
        <w:jc w:val="both"/>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152" w:type="dxa"/>
        <w:jc w:val="center"/>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694"/>
        <w:gridCol w:w="694"/>
        <w:gridCol w:w="698"/>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is a shell company (as defined in Rule 12b-2 of the Exchange Act).    Yes  ☐    No  </w:t>
      </w:r>
      <w:r>
        <w:rPr>
          <w:rFonts w:ascii="Wingdings;sans-serif" w:hAnsi="Wingdings;sans-serif"/>
          <w:b w:val="false"/>
          <w:color w:val="000000"/>
          <w:sz w:val="16"/>
        </w:rPr>
        <w:t>x</w:t>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The number of shares of the issuer's common stock, $0.01 par value, outstanding as of October 31, 2025 was 1,072,724,070.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7690" w:type="dxa"/>
        <w:jc w:val="left"/>
        <w:tblInd w:w="0" w:type="dxa"/>
        <w:tblLayout w:type="fixed"/>
        <w:tblCellMar>
          <w:top w:w="28" w:type="dxa"/>
          <w:left w:w="28" w:type="dxa"/>
          <w:bottom w:w="28" w:type="dxa"/>
          <w:right w:w="28" w:type="dxa"/>
        </w:tblCellMar>
      </w:tblPr>
      <w:tblGrid>
        <w:gridCol w:w="309"/>
        <w:gridCol w:w="272"/>
        <w:gridCol w:w="273"/>
        <w:gridCol w:w="2153"/>
        <w:gridCol w:w="2153"/>
        <w:gridCol w:w="2158"/>
        <w:gridCol w:w="109"/>
        <w:gridCol w:w="109"/>
        <w:gridCol w:w="154"/>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121">
              <w:r>
                <w:rPr>
                  <w:rStyle w:val="InternetLink"/>
                  <w:rFonts w:ascii="Times New Roman;serif" w:hAnsi="Times New Roman;serif"/>
                  <w:b/>
                  <w:color w:val="0000FF"/>
                  <w:sz w:val="18"/>
                  <w:u w:val="single"/>
                </w:rPr>
                <w:t>PART I.</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10">
              <w:r>
                <w:rPr>
                  <w:rStyle w:val="InternetLink"/>
                  <w:rFonts w:ascii="Times New Roman;serif" w:hAnsi="Times New Roman;serif"/>
                  <w:b/>
                  <w:color w:val="0000FF"/>
                  <w:sz w:val="18"/>
                  <w:u w:val="single"/>
                </w:rPr>
                <w:t>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13">
              <w:r>
                <w:rPr>
                  <w:rStyle w:val="InternetLink"/>
                  <w:rFonts w:ascii="Times New Roman;serif" w:hAnsi="Times New Roman;serif"/>
                  <w:b w:val="false"/>
                  <w:color w:val="0000FF"/>
                  <w:sz w:val="18"/>
                  <w:u w:val="single"/>
                </w:rPr>
                <w:t>Item 1.</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13">
              <w:r>
                <w:rPr>
                  <w:rStyle w:val="InternetLink"/>
                  <w:rFonts w:ascii="Times New Roman;serif" w:hAnsi="Times New Roman;serif"/>
                  <w:b w:val="false"/>
                  <w:color w:val="0000FF"/>
                  <w:sz w:val="18"/>
                  <w:u w:val="single"/>
                </w:rPr>
                <w:t>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feb53fd1394c2bafd10e28259f650b_13">
              <w:r>
                <w:rPr>
                  <w:rStyle w:val="InternetLink"/>
                  <w:rFonts w:ascii="Times New Roman;serif" w:hAnsi="Times New Roman;serif"/>
                  <w:b w:val="false"/>
                  <w:color w:val="0000FF"/>
                  <w:sz w:val="18"/>
                  <w:u w:val="single"/>
                </w:rPr>
                <w:t>2</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70">
              <w:r>
                <w:rPr>
                  <w:rStyle w:val="InternetLink"/>
                  <w:rFonts w:ascii="Times New Roman;serif" w:hAnsi="Times New Roman;serif"/>
                  <w:b w:val="false"/>
                  <w:color w:val="0000FF"/>
                  <w:sz w:val="18"/>
                  <w:u w:val="single"/>
                </w:rPr>
                <w:t>Item 2.</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70">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feb53fd1394c2bafd10e28259f650b_70">
              <w:r>
                <w:rPr>
                  <w:rStyle w:val="InternetLink"/>
                  <w:rFonts w:ascii="Times New Roman;serif" w:hAnsi="Times New Roman;serif"/>
                  <w:b w:val="false"/>
                  <w:color w:val="0000FF"/>
                  <w:sz w:val="18"/>
                  <w:u w:val="single"/>
                </w:rPr>
                <w:t>26</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115">
              <w:r>
                <w:rPr>
                  <w:rStyle w:val="InternetLink"/>
                  <w:rFonts w:ascii="Times New Roman;serif" w:hAnsi="Times New Roman;serif"/>
                  <w:b w:val="false"/>
                  <w:color w:val="0000FF"/>
                  <w:sz w:val="18"/>
                  <w:u w:val="single"/>
                </w:rPr>
                <w:t>Item 3.</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115">
              <w:r>
                <w:rPr>
                  <w:rStyle w:val="InternetLink"/>
                  <w:rFonts w:ascii="Times New Roman;serif" w:hAnsi="Times New Roman;serif"/>
                  <w:b w:val="false"/>
                  <w:color w:val="0000FF"/>
                  <w:sz w:val="18"/>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feb53fd1394c2bafd10e28259f650b_115">
              <w:r>
                <w:rPr>
                  <w:rStyle w:val="InternetLink"/>
                  <w:rFonts w:ascii="Times New Roman;serif" w:hAnsi="Times New Roman;serif"/>
                  <w:b w:val="false"/>
                  <w:color w:val="0000FF"/>
                  <w:sz w:val="18"/>
                  <w:u w:val="single"/>
                </w:rPr>
                <w:t>45</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118">
              <w:r>
                <w:rPr>
                  <w:rStyle w:val="InternetLink"/>
                  <w:rFonts w:ascii="Times New Roman;serif" w:hAnsi="Times New Roman;serif"/>
                  <w:b w:val="false"/>
                  <w:color w:val="0000FF"/>
                  <w:sz w:val="18"/>
                  <w:u w:val="single"/>
                </w:rPr>
                <w:t>Item 4.</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118">
              <w:r>
                <w:rPr>
                  <w:rStyle w:val="InternetLink"/>
                  <w:rFonts w:ascii="Times New Roman;serif" w:hAnsi="Times New Roman;serif"/>
                  <w:b w:val="false"/>
                  <w:color w:val="0000FF"/>
                  <w:sz w:val="18"/>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feb53fd1394c2bafd10e28259f650b_118">
              <w:r>
                <w:rPr>
                  <w:rStyle w:val="InternetLink"/>
                  <w:rFonts w:ascii="Times New Roman;serif" w:hAnsi="Times New Roman;serif"/>
                  <w:b w:val="false"/>
                  <w:color w:val="0000FF"/>
                  <w:sz w:val="18"/>
                  <w:u w:val="single"/>
                </w:rPr>
                <w:t>49</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121">
              <w:r>
                <w:rPr>
                  <w:rStyle w:val="InternetLink"/>
                  <w:rFonts w:ascii="Times New Roman;serif" w:hAnsi="Times New Roman;serif"/>
                  <w:b/>
                  <w:color w:val="0000FF"/>
                  <w:sz w:val="18"/>
                  <w:u w:val="single"/>
                </w:rPr>
                <w:t>PART II.</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121">
              <w:r>
                <w:rPr>
                  <w:rStyle w:val="InternetLink"/>
                  <w:rFonts w:ascii="Times New Roman;serif" w:hAnsi="Times New Roman;serif"/>
                  <w:b/>
                  <w:color w:val="0000FF"/>
                  <w:sz w:val="18"/>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124">
              <w:r>
                <w:rPr>
                  <w:rStyle w:val="InternetLink"/>
                  <w:rFonts w:ascii="Times New Roman;serif" w:hAnsi="Times New Roman;serif"/>
                  <w:b w:val="false"/>
                  <w:color w:val="0000FF"/>
                  <w:sz w:val="18"/>
                  <w:u w:val="single"/>
                </w:rPr>
                <w:t>Item 1.</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124">
              <w:r>
                <w:rPr>
                  <w:rStyle w:val="InternetLink"/>
                  <w:rFonts w:ascii="Times New Roman;serif" w:hAnsi="Times New Roman;serif"/>
                  <w:b w:val="false"/>
                  <w:color w:val="0000FF"/>
                  <w:sz w:val="18"/>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feb53fd1394c2bafd10e28259f650b_124">
              <w:r>
                <w:rPr>
                  <w:rStyle w:val="InternetLink"/>
                  <w:rFonts w:ascii="Times New Roman;serif" w:hAnsi="Times New Roman;serif"/>
                  <w:b w:val="false"/>
                  <w:color w:val="0000FF"/>
                  <w:sz w:val="20"/>
                  <w:u w:val="single"/>
                </w:rPr>
                <w:t>49</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127">
              <w:r>
                <w:rPr>
                  <w:rStyle w:val="InternetLink"/>
                  <w:rFonts w:ascii="Times New Roman;serif" w:hAnsi="Times New Roman;serif"/>
                  <w:b w:val="false"/>
                  <w:color w:val="0000FF"/>
                  <w:sz w:val="18"/>
                  <w:u w:val="single"/>
                </w:rPr>
                <w:t>Item 1A.</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127">
              <w:r>
                <w:rPr>
                  <w:rStyle w:val="InternetLink"/>
                  <w:rFonts w:ascii="Times New Roman;serif" w:hAnsi="Times New Roman;serif"/>
                  <w:b w:val="false"/>
                  <w:color w:val="0000FF"/>
                  <w:sz w:val="18"/>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feb53fd1394c2bafd10e28259f650b_127">
              <w:r>
                <w:rPr>
                  <w:rStyle w:val="InternetLink"/>
                  <w:rFonts w:ascii="Times New Roman;serif" w:hAnsi="Times New Roman;serif"/>
                  <w:b w:val="false"/>
                  <w:color w:val="0000FF"/>
                  <w:sz w:val="18"/>
                  <w:u w:val="single"/>
                </w:rPr>
                <w:t>49</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130">
              <w:r>
                <w:rPr>
                  <w:rStyle w:val="InternetLink"/>
                  <w:rFonts w:ascii="Times New Roman;serif" w:hAnsi="Times New Roman;serif"/>
                  <w:b w:val="false"/>
                  <w:color w:val="0000FF"/>
                  <w:sz w:val="18"/>
                  <w:u w:val="single"/>
                </w:rPr>
                <w:t>Item 2.</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130">
              <w:r>
                <w:rPr>
                  <w:rStyle w:val="InternetLink"/>
                  <w:rFonts w:ascii="Times New Roman;serif" w:hAnsi="Times New Roman;serif"/>
                  <w:b w:val="false"/>
                  <w:color w:val="0000FF"/>
                  <w:sz w:val="18"/>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feb53fd1394c2bafd10e28259f650b_130">
              <w:r>
                <w:rPr>
                  <w:rStyle w:val="InternetLink"/>
                  <w:rFonts w:ascii="Times New Roman;serif" w:hAnsi="Times New Roman;serif"/>
                  <w:b w:val="false"/>
                  <w:color w:val="0000FF"/>
                  <w:sz w:val="18"/>
                  <w:u w:val="single"/>
                </w:rPr>
                <w:t>49</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133">
              <w:r>
                <w:rPr>
                  <w:rStyle w:val="InternetLink"/>
                  <w:rFonts w:ascii="Times New Roman;serif" w:hAnsi="Times New Roman;serif"/>
                  <w:b w:val="false"/>
                  <w:color w:val="0000FF"/>
                  <w:sz w:val="18"/>
                  <w:u w:val="single"/>
                </w:rPr>
                <w:t>Item 3.</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133">
              <w:r>
                <w:rPr>
                  <w:rStyle w:val="InternetLink"/>
                  <w:rFonts w:ascii="Times New Roman;serif" w:hAnsi="Times New Roman;serif"/>
                  <w:b w:val="false"/>
                  <w:color w:val="0000FF"/>
                  <w:sz w:val="18"/>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feb53fd1394c2bafd10e28259f650b_133">
              <w:r>
                <w:rPr>
                  <w:rStyle w:val="InternetLink"/>
                  <w:rFonts w:ascii="Times New Roman;serif" w:hAnsi="Times New Roman;serif"/>
                  <w:b w:val="false"/>
                  <w:color w:val="0000FF"/>
                  <w:sz w:val="20"/>
                  <w:u w:val="single"/>
                </w:rPr>
                <w:t>49</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136">
              <w:r>
                <w:rPr>
                  <w:rStyle w:val="InternetLink"/>
                  <w:rFonts w:ascii="Times New Roman;serif" w:hAnsi="Times New Roman;serif"/>
                  <w:b w:val="false"/>
                  <w:color w:val="0000FF"/>
                  <w:sz w:val="18"/>
                  <w:u w:val="single"/>
                </w:rPr>
                <w:t>Item 4.</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136">
              <w:r>
                <w:rPr>
                  <w:rStyle w:val="InternetLink"/>
                  <w:rFonts w:ascii="Times New Roman;serif" w:hAnsi="Times New Roman;serif"/>
                  <w:b w:val="false"/>
                  <w:color w:val="0000FF"/>
                  <w:sz w:val="18"/>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feb53fd1394c2bafd10e28259f650b_136">
              <w:r>
                <w:rPr>
                  <w:rStyle w:val="InternetLink"/>
                  <w:rFonts w:ascii="Times New Roman;serif" w:hAnsi="Times New Roman;serif"/>
                  <w:b w:val="false"/>
                  <w:color w:val="0000FF"/>
                  <w:sz w:val="18"/>
                  <w:u w:val="single"/>
                </w:rPr>
                <w:t>49</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139">
              <w:r>
                <w:rPr>
                  <w:rStyle w:val="InternetLink"/>
                  <w:rFonts w:ascii="Times New Roman;serif" w:hAnsi="Times New Roman;serif"/>
                  <w:b w:val="false"/>
                  <w:color w:val="0000FF"/>
                  <w:sz w:val="18"/>
                  <w:u w:val="single"/>
                </w:rPr>
                <w:t>Item 5.</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139">
              <w:r>
                <w:rPr>
                  <w:rStyle w:val="InternetLink"/>
                  <w:rFonts w:ascii="Times New Roman;serif" w:hAnsi="Times New Roman;serif"/>
                  <w:b w:val="false"/>
                  <w:color w:val="0000FF"/>
                  <w:sz w:val="18"/>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feb53fd1394c2bafd10e28259f650b_139">
              <w:r>
                <w:rPr>
                  <w:rStyle w:val="InternetLink"/>
                  <w:rFonts w:ascii="Times New Roman;serif" w:hAnsi="Times New Roman;serif"/>
                  <w:b w:val="false"/>
                  <w:color w:val="0000FF"/>
                  <w:sz w:val="18"/>
                  <w:u w:val="single"/>
                </w:rPr>
                <w:t>49</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142">
              <w:r>
                <w:rPr>
                  <w:rStyle w:val="InternetLink"/>
                  <w:rFonts w:ascii="Times New Roman;serif" w:hAnsi="Times New Roman;serif"/>
                  <w:b w:val="false"/>
                  <w:color w:val="0000FF"/>
                  <w:sz w:val="18"/>
                  <w:u w:val="single"/>
                </w:rPr>
                <w:t>Item 6.</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142">
              <w:r>
                <w:rPr>
                  <w:rStyle w:val="InternetLink"/>
                  <w:rFonts w:ascii="Times New Roman;serif" w:hAnsi="Times New Roman;serif"/>
                  <w:b w:val="false"/>
                  <w:color w:val="0000FF"/>
                  <w:sz w:val="18"/>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feb53fd1394c2bafd10e28259f650b_142">
              <w:r>
                <w:rPr>
                  <w:rStyle w:val="InternetLink"/>
                  <w:rFonts w:ascii="Times New Roman;serif" w:hAnsi="Times New Roman;serif"/>
                  <w:b w:val="false"/>
                  <w:color w:val="0000FF"/>
                  <w:sz w:val="18"/>
                  <w:u w:val="single"/>
                </w:rPr>
                <w:t>50</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2feb53fd1394c2bafd10e28259f650b_145">
              <w:r>
                <w:rPr>
                  <w:rStyle w:val="InternetLink"/>
                  <w:rFonts w:ascii="Times New Roman;serif" w:hAnsi="Times New Roman;serif"/>
                  <w:b w:val="false"/>
                  <w:color w:val="0000FF"/>
                  <w:sz w:val="18"/>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feb53fd1394c2bafd10e28259f650b_145">
              <w:r>
                <w:rPr>
                  <w:rStyle w:val="InternetLink"/>
                  <w:rFonts w:ascii="Times New Roman;serif" w:hAnsi="Times New Roman;serif"/>
                  <w:b w:val="false"/>
                  <w:color w:val="0000FF"/>
                  <w:sz w:val="18"/>
                  <w:u w:val="single"/>
                </w:rPr>
                <w:t>53</w:t>
              </w:r>
            </w:hyperlink>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pPr>
      <w:r>
        <w:rPr/>
      </w:r>
    </w:p>
    <w:p>
      <w:pPr>
        <w:pStyle w:val="TextBody"/>
        <w:bidi w:val="0"/>
        <w:spacing w:lineRule="auto" w:line="288" w:before="0" w:after="0"/>
        <w:jc w:val="left"/>
        <w:rPr/>
      </w:pPr>
      <w:r>
        <w:rPr>
          <w:rFonts w:ascii="Times New Roman;serif" w:hAnsi="Times New Roman;serif"/>
          <w:b/>
          <w:color w:val="000000"/>
          <w:sz w:val="20"/>
        </w:rPr>
        <w:t>Item 1.</w:t>
      </w:r>
      <w:r>
        <w:rPr>
          <w:color w:val="000000"/>
        </w:rPr>
        <w:t xml:space="preserve"> </w:t>
      </w:r>
      <w:r>
        <w:rPr>
          <w:rFonts w:ascii="Times New Roman;serif" w:hAnsi="Times New Roman;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2663"/>
        <w:gridCol w:w="2233"/>
        <w:gridCol w:w="2258"/>
        <w:gridCol w:w="257"/>
        <w:gridCol w:w="968"/>
        <w:gridCol w:w="142"/>
        <w:gridCol w:w="109"/>
        <w:gridCol w:w="109"/>
        <w:gridCol w:w="109"/>
        <w:gridCol w:w="266"/>
        <w:gridCol w:w="877"/>
        <w:gridCol w:w="214"/>
      </w:tblGrid>
      <w:tr>
        <w:trPr/>
        <w:tc>
          <w:tcPr>
            <w:tcW w:w="2663"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684" w:type="dxa"/>
            <w:gridSpan w:val="6"/>
            <w:tcBorders/>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Agency securities, at fair value (including pledged securities of $68,821 and $59,952, respectively)</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76,198 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65,367 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 securities transferred to consolidated variable interest entities, at fair value (pledged securities)</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Credit risk transfer securities, at fair value (including pledged securities of $554 and $590, respectively)</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Non-Agency securities, at fair value, and other mortgage credit investments (including pledged securities of $15 and $206, respectively)</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U.S. Treasury securities, at fair value (including pledged securities of $5,431 and $1,565, respectively)</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 for investment securities sold (including pledged securities of $1,340 and $0, respectively)</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 under reverse repurchase agreements</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assets (including pledged securities of $74 and $0, respectively)</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108,969 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88,015 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3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agreements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74,152 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60,798 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of consolidated variable interest entities, at fair value</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 for investment securities purchased</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at fair value</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payable</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Obligation to return securities borrowed under reverse repurchase agreements, at fair value</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97,525 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78,253 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 aggregate liquidation preference of $2,033 and $1,688, respectively</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$0.01 par value; 2,250 and 1,500 shares authorized, respectively; 1,072.7 and 897.4 shares issued and outstanding, respectively</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deficit</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9,762 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108,969 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88,015 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941"/>
        <w:gridCol w:w="1384"/>
        <w:gridCol w:w="1391"/>
        <w:gridCol w:w="278"/>
        <w:gridCol w:w="616"/>
        <w:gridCol w:w="131"/>
        <w:gridCol w:w="131"/>
        <w:gridCol w:w="131"/>
        <w:gridCol w:w="131"/>
        <w:gridCol w:w="254"/>
        <w:gridCol w:w="616"/>
        <w:gridCol w:w="131"/>
        <w:gridCol w:w="109"/>
        <w:gridCol w:w="109"/>
        <w:gridCol w:w="109"/>
        <w:gridCol w:w="237"/>
        <w:gridCol w:w="693"/>
        <w:gridCol w:w="122"/>
        <w:gridCol w:w="122"/>
        <w:gridCol w:w="122"/>
        <w:gridCol w:w="122"/>
        <w:gridCol w:w="237"/>
        <w:gridCol w:w="693"/>
        <w:gridCol w:w="122"/>
        <w:gridCol w:w="109"/>
        <w:gridCol w:w="164"/>
      </w:tblGrid>
      <w:tr>
        <w:trPr/>
        <w:tc>
          <w:tcPr>
            <w:tcW w:w="194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73" w:type="dxa"/>
            <w:gridSpan w:val="2"/>
            <w:tcBorders/>
          </w:tcPr>
          <w:p>
            <w:pPr>
              <w:pStyle w:val="TableContents"/>
              <w:bidi w:val="0"/>
              <w:spacing w:before="0" w:after="283"/>
              <w:jc w:val="left"/>
              <w:rPr>
                <w:sz w:val="4"/>
                <w:szCs w:val="4"/>
              </w:rPr>
            </w:pPr>
            <w:r>
              <w:rPr>
                <w:sz w:val="4"/>
                <w:szCs w:val="4"/>
              </w:rPr>
            </w:r>
          </w:p>
        </w:tc>
      </w:tr>
      <w:tr>
        <w:trPr/>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income:</w:t>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(expense)</w:t>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gain (loss), net:</w:t>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investment securities, net</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 securities measured at fair value through net income, net</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and other investments, net</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gain, net: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preferred stock</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available to common stockholders</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 securities measured at fair value through other comprehensive income, net</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Dividends on preferred stock</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available to common stockholders</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Weighted average number of common shares outstanding - basic</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Weighted average number of common shares outstanding - diluted</w:t>
            </w:r>
          </w:p>
        </w:tc>
        <w:tc>
          <w:tcPr>
            <w:tcW w:w="89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1,056.6 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810.1 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common share - basic</w:t>
            </w:r>
          </w:p>
        </w:tc>
        <w:tc>
          <w:tcPr>
            <w:tcW w:w="2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common share - diluted</w:t>
            </w:r>
          </w:p>
        </w:tc>
        <w:tc>
          <w:tcPr>
            <w:tcW w:w="2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Dividends declared per common share</w:t>
            </w:r>
          </w:p>
        </w:tc>
        <w:tc>
          <w:tcPr>
            <w:tcW w:w="27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881"/>
        <w:gridCol w:w="426"/>
        <w:gridCol w:w="384"/>
        <w:gridCol w:w="210"/>
        <w:gridCol w:w="596"/>
        <w:gridCol w:w="116"/>
        <w:gridCol w:w="109"/>
        <w:gridCol w:w="109"/>
        <w:gridCol w:w="109"/>
        <w:gridCol w:w="345"/>
        <w:gridCol w:w="346"/>
        <w:gridCol w:w="196"/>
        <w:gridCol w:w="109"/>
        <w:gridCol w:w="109"/>
        <w:gridCol w:w="109"/>
        <w:gridCol w:w="212"/>
        <w:gridCol w:w="359"/>
        <w:gridCol w:w="120"/>
        <w:gridCol w:w="109"/>
        <w:gridCol w:w="109"/>
        <w:gridCol w:w="109"/>
        <w:gridCol w:w="196"/>
        <w:gridCol w:w="646"/>
        <w:gridCol w:w="109"/>
        <w:gridCol w:w="109"/>
        <w:gridCol w:w="109"/>
        <w:gridCol w:w="109"/>
        <w:gridCol w:w="196"/>
        <w:gridCol w:w="580"/>
        <w:gridCol w:w="109"/>
        <w:gridCol w:w="109"/>
        <w:gridCol w:w="109"/>
        <w:gridCol w:w="109"/>
        <w:gridCol w:w="321"/>
        <w:gridCol w:w="715"/>
        <w:gridCol w:w="180"/>
        <w:gridCol w:w="109"/>
        <w:gridCol w:w="109"/>
        <w:gridCol w:w="109"/>
        <w:gridCol w:w="196"/>
        <w:gridCol w:w="646"/>
        <w:gridCol w:w="158"/>
      </w:tblGrid>
      <w:tr>
        <w:trPr/>
        <w:tc>
          <w:tcPr>
            <w:tcW w:w="88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Retained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 xml:space="preserve">Income (Loss)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2024</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on available-for-sale securities, net</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net</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 declared</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dividends declared</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September 30, 2024</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on available-for-sale securities, net</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net</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stock</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 declared</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dividends declared</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September 30, 2025</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2023</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Unrealized gain on available-for-sale securities, net </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net</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 declared</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dividends declared</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September 30, 2024</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Unrealized gain on available-for-sale securities, net </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net</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stock</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 declared</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dividends declared</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September 30, 2025</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pPr>
      <w:r>
        <w:rPr>
          <w:rFonts w:ascii="Times New Roman;serif" w:hAnsi="Times New Roman;serif"/>
          <w:b/>
          <w:color w:val="000000"/>
          <w:sz w:val="20"/>
        </w:rPr>
        <w:t>(in millions)</w:t>
      </w:r>
      <w:r>
        <w:rPr>
          <w:color w:val="000000"/>
        </w:rPr>
        <w:t> </w:t>
      </w:r>
    </w:p>
    <w:tbl>
      <w:tblPr>
        <w:tblW w:w="9732" w:type="dxa"/>
        <w:jc w:val="center"/>
        <w:tblInd w:w="0" w:type="dxa"/>
        <w:tblLayout w:type="fixed"/>
        <w:tblCellMar>
          <w:top w:w="28" w:type="dxa"/>
          <w:left w:w="28" w:type="dxa"/>
          <w:bottom w:w="28" w:type="dxa"/>
          <w:right w:w="28" w:type="dxa"/>
        </w:tblCellMar>
      </w:tblPr>
      <w:tblGrid>
        <w:gridCol w:w="2545"/>
        <w:gridCol w:w="2240"/>
        <w:gridCol w:w="2249"/>
        <w:gridCol w:w="245"/>
        <w:gridCol w:w="700"/>
        <w:gridCol w:w="109"/>
        <w:gridCol w:w="109"/>
        <w:gridCol w:w="109"/>
        <w:gridCol w:w="109"/>
        <w:gridCol w:w="245"/>
        <w:gridCol w:w="700"/>
        <w:gridCol w:w="109"/>
        <w:gridCol w:w="109"/>
        <w:gridCol w:w="154"/>
      </w:tblGrid>
      <w:tr>
        <w:trPr/>
        <w:tc>
          <w:tcPr>
            <w:tcW w:w="2545"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Nine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premiums and discounts on mortgage-backed securities,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investment securities,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investment securities measured at fair value through net income, net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derivative instruments and other securities,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other assets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other liabilities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Agency mortgage-backed securities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credit risk transfer and non-Agency securities and other mortgage credit investments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Agency mortgage-backed securities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credit risk transfer and non-Agency securities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collections on Agency mortgage-backed securities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collections on credit risk transfer and non-Agency securities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U.S. Treasury securities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U.S. Treasury securities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payments on reverse repurchase agreements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payments on derivative instruments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repurchase arrangements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4,968,577 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3,980,103 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repurchase agreements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(4,955,223)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(3,964,550)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debt of consolidated variable interest entities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preferred stock issuance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common stock issuances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restricted cash</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 end of period:</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end of period</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100" w:after="1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00" w:after="12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Organization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AGNC Investment Corp. (referred throughout this report as the "Company," "we," "us" and "our") was organized in Delaware on January 7, 2008 and commenced operations on May 20, 2008 following the completion of our initial public offering. Our common stock is traded on The Nasdaq Global Select Market under the symbol "AGNC."</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a leading provider of private capital to the U.S. housing market, enhancing liquidity in the residential real estate mortgage markets and, in turn, facilitating home ownership in the U.S. 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within the time limits prescribed by the Internal Revenue Code, which may extend into the subsequent tax year.</w:t>
      </w:r>
      <w:r>
        <w:rPr>
          <w:color w:val="000000"/>
        </w:rPr>
        <w:t xml:space="preserv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accompanying consolidated financial statements and related notes have been prepared in accordance with U.S. generally accepted accounting principles ("GAAP") for interim financial information and pursuant to the requirements for reporting on Form 10-Q and Article 10 of Regulation S-X. The accompanying consolidated financial statements and related notes are unaudited and include the accounts of all our wholly-owned subsidiaries and variable interest entities for which we are the primary beneficiary. Significant intercompany accounts and transactions have been eliminated. The accompanying consolidated financial statements and related notes should be read in conjunction with the audited consolidated financial statements included in our most recent Annual Report on Form 10-K for the fiscal year ended December 31, 2024.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income and expenses during the reporting period. In the opinion of management, all adjustments, consisting solely of normal recurring accruals, necessary for the fair presentation of consolidated financial statements for the interim period have been included. The current period’s results of operations are not necessarily indicative of results that ultimately may be achieved for the year.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 Securities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CRT securities are risk sharing instruments issued by the GSEs, and similarly structured transactions issued by third-party market participants, that synthetically transfer a portion of the risk associated with credit losses within pools of conventional residential and multi-family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related pool of loans exceed certain thresholds. By reducing the principal amount that they are obligated to repay to holders of CRT securities, the GSEs and/or other third parties offset credit losses on the related loans.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All of our securities are reported at fair value on our consolidated balance sheet. Accounting Standards Codification ("ASC") Topic 320, </w:t>
      </w:r>
      <w:r>
        <w:rPr>
          <w:rFonts w:ascii="Times New Roman;serif" w:hAnsi="Times New Roman;serif"/>
          <w:b w:val="false"/>
          <w:i/>
          <w:color w:val="000000"/>
          <w:sz w:val="20"/>
        </w:rPr>
        <w:t>Investments—Debt and Equity Securities</w:t>
      </w:r>
      <w:r>
        <w:rPr>
          <w:rFonts w:ascii="Times New Roman;serif" w:hAnsi="Times New Roman;serif"/>
          <w:b w:val="false"/>
          <w:color w:val="000000"/>
          <w:sz w:val="20"/>
        </w:rPr>
        <w:t xml:space="preserve">, requires that at the time of purchase, we designate a security as held-to-maturity, available-for-sale or trading, depending on our ability and intent to hold such security to maturity. Alternatively, we may elect the fair value option of accounting for securities pursuant to ASC Topic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Prior to fiscal year 2017, we primarily designated our investment securities as available-for-sale. On January 1, 2017, we began electing 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value in net income as a component of other gain (loss). We did not recognize any loss on available for sale securities through net income that we held as of September 30, 2025 because, as of such date, we neither intended to sell any securities in an unrealized loss position nor was it more likely than not that we would be required to sell such securities before recovery of their amortized cost basis.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Times New Roman;serif" w:hAnsi="Times New Roman;serif"/>
          <w:b w:val="false"/>
          <w:i/>
          <w:color w:val="000000"/>
          <w:sz w:val="20"/>
        </w:rPr>
        <w:t>Receivables—Nonrefundable Fees and Other Costs</w:t>
      </w:r>
      <w:r>
        <w:rPr>
          <w:rFonts w:ascii="Times New Roman;serif" w:hAnsi="Times New Roman;serif"/>
          <w:b w:val="false"/>
          <w:color w:val="000000"/>
          <w:sz w:val="20"/>
        </w:rPr>
        <w:t>.</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collateral call provisions,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factors. Any resulting changes in effective yield are recognized prospectively based on the current amortized cost of the investment adjusted for credit impairments, if any.</w:t>
      </w:r>
    </w:p>
    <w:p>
      <w:pPr>
        <w:pStyle w:val="TextBody"/>
        <w:bidi w:val="0"/>
        <w:spacing w:lineRule="auto" w:line="288" w:before="180" w:after="283"/>
        <w:jc w:val="both"/>
        <w:rPr/>
      </w:pPr>
      <w:r>
        <w:rPr>
          <w:rFonts w:ascii="Times New Roman;serif" w:hAnsi="Times New Roman;serif"/>
          <w:b/>
          <w:i/>
          <w:color w:val="000000"/>
          <w:sz w:val="20"/>
        </w:rPr>
        <w:t>Repurchase Agreements</w:t>
      </w:r>
      <w:r>
        <w:rPr>
          <w:color w:val="000000"/>
        </w:rPr>
        <w:t>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We finance the acquisition of securities for our investment portfolio primarily through repurchase agreements with our lending counterparties. Repurchase arrangements involve the sale and a simultaneous agreement to repurchase the securities at a future date. We maintain a beneficial interest in the specific securities pledged during the term of each repurchase arrangement and we receive the related principal and interest payments. Pursuant to ASC Topic 860, </w:t>
      </w:r>
      <w:r>
        <w:rPr>
          <w:rFonts w:ascii="Times New Roman;serif" w:hAnsi="Times New Roman;serif"/>
          <w:b w:val="false"/>
          <w:i/>
          <w:color w:val="000000"/>
          <w:sz w:val="20"/>
        </w:rPr>
        <w:t>Transfers and Servicing</w:t>
      </w:r>
      <w:r>
        <w:rPr>
          <w:rFonts w:ascii="Times New Roman;serif" w:hAnsi="Times New Roman;serif"/>
          <w:b w:val="false"/>
          <w:color w:val="000000"/>
          <w:sz w:val="20"/>
        </w:rPr>
        <w:t>, we account for repurchase agreements as collateralized financing transactions, which are carried at their contractual amounts (cost), plus accrued interest. Our repurchase agreements typically have maturities of less than one year.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Reverse Repurchase Agreements and Obligation to Return Securities Borrowed under Reverse Repurchase Agreements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We borrow securities to cover short sales of U.S. Treasury securities through reverse repurchase transactions (see </w:t>
      </w:r>
      <w:r>
        <w:rPr>
          <w:rFonts w:ascii="Times New Roman;serif" w:hAnsi="Times New Roman;serif"/>
          <w:b w:val="false"/>
          <w:i/>
          <w:color w:val="000000"/>
          <w:sz w:val="20"/>
        </w:rPr>
        <w:t>Derivative Instruments</w:t>
      </w:r>
      <w:r>
        <w:rPr>
          <w:color w:val="000000"/>
        </w:rPr>
        <w:t xml:space="preserve"> </w:t>
      </w:r>
      <w:r>
        <w:rPr>
          <w:rFonts w:ascii="Times New Roman;serif" w:hAnsi="Times New Roman;serif"/>
          <w:b w:val="false"/>
          <w:color w:val="000000"/>
          <w:sz w:val="20"/>
        </w:rPr>
        <w:t>below). We account for these as securities borrowing transactions and recognize an obligation to return the borrowed securities at fair 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We account for derivative instruments in accordance with ASC Topic 815, </w:t>
      </w:r>
      <w:r>
        <w:rPr>
          <w:rFonts w:ascii="Times New Roman;serif" w:hAnsi="Times New Roman;serif"/>
          <w:b w:val="false"/>
          <w:i/>
          <w:color w:val="000000"/>
          <w:sz w:val="20"/>
        </w:rPr>
        <w:t xml:space="preserve">Derivatives and Hedging </w:t>
      </w:r>
      <w:r>
        <w:rPr>
          <w:rFonts w:ascii="Times New Roman;serif" w:hAnsi="Times New Roman;serif"/>
          <w:b w:val="false"/>
          <w:color w:val="000000"/>
          <w:sz w:val="20"/>
        </w:rPr>
        <w:t>("ASC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Net cash receipts from and payments on our derivative instruments are classified in our consolidated statements of cash flows according to the underlying nature or purpose of the derivative transaction, generally in the investing section.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Interest rate swap agreements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and Overnight Index Swap Rate ("OIS"). Our interest rate swaps typically have terms from one to 10 years. Our interest rate swaps are centrally cleared through a registered commodities exchange. The clearing exchange requires that we post an "initial margin" amount determined by the exchange. The initial margin amount is intended to be set at a level sufficient to protect the exchange from the interest rate swap's maximum estimated single-day price movement and is subject to adjustment based on changes in market volatility and other factors.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Interest rate swaptions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TBA securities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U.S. Treasury securities and US Treasury futures contracts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use U.S. Treasury securities and U.S. Treasury futures contracts to mitigate the potential impact of changes in interest rates on the performance of our portfolio. We enter into short-sales of U.S. Treasury securities by borrowing the securities under reverse repurchase agreements and selling them into the market. We account for these as securities borrowing transactions and recognize an obligation to return the borrowed securities at fair value on our accompanying consolidated balance sheets based on the value of the underlying U.S. Treasury security as of the reporting date. Treasury futures contracts are standardized contracts that obligate us to sell or buy U.S. Treasury securities for future delivery. Gains and losses associated with U.S. Treasury securities and U.S. Treasury futures contracts are recognized in gain (loss) on derivative instruments and other securities, net in our consolidated statements of comprehensive income.</w:t>
      </w:r>
    </w:p>
    <w:p>
      <w:pPr>
        <w:pStyle w:val="TextBody"/>
        <w:bidi w:val="0"/>
        <w:spacing w:lineRule="auto" w:line="288" w:before="180" w:after="283"/>
        <w:jc w:val="both"/>
        <w:rPr/>
      </w:pPr>
      <w:r>
        <w:rPr>
          <w:rFonts w:ascii="Times New Roman;serif" w:hAnsi="Times New Roman;serif"/>
          <w:b/>
          <w:i/>
          <w:color w:val="000000"/>
          <w:sz w:val="20"/>
        </w:rPr>
        <w:t>Fair Value Measurements</w:t>
      </w:r>
      <w:r>
        <w:rPr>
          <w:color w:val="000000"/>
        </w:rPr>
        <w:t xml:space="preserv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three levels of valuation hierarchy are defined as follows: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1 Inputs —Quoted prices (unadjusted) for identical unrestricted assets and liabilities in active markets that are accessible at the measurement date.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3 Inputs —Instruments with primarily unobservable market data that cannot be corroborated.</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party pricing sources, such as pricing services and dealers, or, if applicable, from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 would indicate and we cannot obtain an understanding from the third-party source as to the significant inputs used to determine the price.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description of the valuation methodologies used for financial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instruments to those actively traded enable our pricing sources and us to utilize the observed quoted prices as a basis for formulating fair value measurements. </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Investment securities</w:t>
      </w:r>
      <w:r>
        <w:rPr>
          <w:color w:val="000000"/>
        </w:rPr>
        <w:t xml:space="preserve"> </w:t>
      </w:r>
      <w:r>
        <w:rPr>
          <w:rFonts w:ascii="Times New Roman;serif" w:hAnsi="Times New Roman;serif"/>
          <w:b w:val="false"/>
          <w:color w:val="000000"/>
          <w:sz w:val="20"/>
        </w:rPr>
        <w:t xml:space="preserve">- are valued based on prices obtained from multiple third-party pricing sources. The pricing sources utilize various valuation approaches, including market and income approaches. For Agency RMBS, the pricing sources primarily utilize a matrix pricing technique that interpolates the estimated fair value based on observed quoted prices for TBA securities having the same coupon, maturity and issuer, adjusted to reflect the specific characteristics of the pool of mortgages underlying the Agency security, such as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 </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TBA securities</w:t>
      </w:r>
      <w:r>
        <w:rPr>
          <w:color w:val="000000"/>
        </w:rPr>
        <w:t xml:space="preserve"> </w:t>
      </w:r>
      <w:r>
        <w:rPr>
          <w:rFonts w:ascii="Times New Roman;serif" w:hAnsi="Times New Roman;serif"/>
          <w:b w:val="false"/>
          <w:color w:val="000000"/>
          <w:sz w:val="20"/>
        </w:rPr>
        <w:t>- are valued using prices obtained from third-party pricing sources based on pricing models that reference recent trading activity.</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Interest rate swaps</w:t>
      </w:r>
      <w:r>
        <w:rPr>
          <w:color w:val="000000"/>
        </w:rPr>
        <w:t xml:space="preserve"> </w:t>
      </w:r>
      <w:r>
        <w:rPr>
          <w:rFonts w:ascii="Times New Roman;serif" w:hAnsi="Times New Roman;serif"/>
          <w:b w:val="false"/>
          <w:color w:val="000000"/>
          <w:sz w:val="20"/>
        </w:rPr>
        <w:t xml:space="preserve">- are valued using the daily settlement price, or fair value, determined by the clearing exchange based on a pricing model that references observable market inputs, including current benchmark rates and the forward yield curve. </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Interest rate swaptions</w:t>
      </w:r>
      <w:r>
        <w:rPr>
          <w:color w:val="000000"/>
        </w:rPr>
        <w:t xml:space="preserve"> </w:t>
      </w:r>
      <w:r>
        <w:rPr>
          <w:rFonts w:ascii="Times New Roman;serif" w:hAnsi="Times New Roman;serif"/>
          <w:b w:val="false"/>
          <w:color w:val="000000"/>
          <w:sz w:val="20"/>
        </w:rPr>
        <w:t xml:space="preserve">- are valued using prices obtained from the counterparty and other third-party pricing models. The pricing models are based on the value of the future interest rate swap that we have the option to enter into as well as the remaining length of time that we have to exercise the option based on observable market inputs, adjusted for non-performance risk, if any.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U.S. Treasury securities and futures are valued based on quoted prices for identical instruments in active markets and are classified as Level 1 assets. None of our financial instruments are classified as Level 3 inputs.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Investment Securities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our investment portfolio consisted of $76.9 billion and $66.3 billion investment securities, at fair value, respectively, $13.8 billion and $6.9 billion net TBA securities, at fair value, respectively, and other mortgage credit investments of $69 million and $64 million, respectively, which we account for under the equity method of accounting. Our TBA position is reported at its net carrying value totaling $36 million and $(26) million as of September 30, 2025 and December 31, 2024, respectively, in derivative assets / (liabilities) on our accompanying consolidated balance sheets. The net carrying value of our TBA position represents the difference between the fair value of the underlying security and the cost basis or the forward price to be paid or received for the underlying security.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our investment securities had a net unamortized premium balance of $0.9 billion and $1.0 billion,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investment securities as of September 30, 2025 and December 31, 2024, excluding TBA securities and other mortgage credit investments (dollars in millions). Details of our TBA securities are included in Note 5.</w:t>
      </w:r>
    </w:p>
    <w:tbl>
      <w:tblPr>
        <w:tblW w:w="7902" w:type="dxa"/>
        <w:jc w:val="center"/>
        <w:tblInd w:w="0" w:type="dxa"/>
        <w:tblLayout w:type="fixed"/>
        <w:tblCellMar>
          <w:top w:w="28" w:type="dxa"/>
          <w:left w:w="28" w:type="dxa"/>
          <w:bottom w:w="28" w:type="dxa"/>
          <w:right w:w="28" w:type="dxa"/>
        </w:tblCellMar>
      </w:tblPr>
      <w:tblGrid>
        <w:gridCol w:w="995"/>
        <w:gridCol w:w="872"/>
        <w:gridCol w:w="878"/>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Interest-only and principal-only strips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Agency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Non-Agency RMBS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971" w:type="dxa"/>
        <w:jc w:val="left"/>
        <w:tblInd w:w="0" w:type="dxa"/>
        <w:tblLayout w:type="fixed"/>
        <w:tblCellMar>
          <w:top w:w="28" w:type="dxa"/>
          <w:left w:w="28" w:type="dxa"/>
          <w:bottom w:w="28" w:type="dxa"/>
          <w:right w:w="28" w:type="dxa"/>
        </w:tblCellMar>
      </w:tblPr>
      <w:tblGrid>
        <w:gridCol w:w="572"/>
        <w:gridCol w:w="291"/>
        <w:gridCol w:w="293"/>
        <w:gridCol w:w="109"/>
        <w:gridCol w:w="109"/>
        <w:gridCol w:w="109"/>
        <w:gridCol w:w="181"/>
        <w:gridCol w:w="541"/>
        <w:gridCol w:w="109"/>
        <w:gridCol w:w="109"/>
        <w:gridCol w:w="109"/>
        <w:gridCol w:w="109"/>
        <w:gridCol w:w="181"/>
        <w:gridCol w:w="406"/>
        <w:gridCol w:w="109"/>
        <w:gridCol w:w="109"/>
        <w:gridCol w:w="109"/>
        <w:gridCol w:w="109"/>
        <w:gridCol w:w="181"/>
        <w:gridCol w:w="406"/>
        <w:gridCol w:w="109"/>
        <w:gridCol w:w="109"/>
        <w:gridCol w:w="109"/>
        <w:gridCol w:w="109"/>
        <w:gridCol w:w="181"/>
        <w:gridCol w:w="406"/>
        <w:gridCol w:w="109"/>
        <w:gridCol w:w="109"/>
        <w:gridCol w:w="109"/>
        <w:gridCol w:w="109"/>
        <w:gridCol w:w="181"/>
        <w:gridCol w:w="541"/>
        <w:gridCol w:w="109"/>
        <w:gridCol w:w="109"/>
        <w:gridCol w:w="109"/>
        <w:gridCol w:w="109"/>
        <w:gridCol w:w="181"/>
        <w:gridCol w:w="541"/>
        <w:gridCol w:w="109"/>
        <w:gridCol w:w="109"/>
        <w:gridCol w:w="109"/>
        <w:gridCol w:w="109"/>
        <w:gridCol w:w="181"/>
        <w:gridCol w:w="406"/>
        <w:gridCol w:w="109"/>
        <w:gridCol w:w="109"/>
        <w:gridCol w:w="109"/>
        <w:gridCol w:w="109"/>
        <w:gridCol w:w="181"/>
        <w:gridCol w:w="406"/>
        <w:gridCol w:w="109"/>
        <w:gridCol w:w="109"/>
        <w:gridCol w:w="109"/>
        <w:gridCol w:w="109"/>
        <w:gridCol w:w="181"/>
        <w:gridCol w:w="406"/>
        <w:gridCol w:w="109"/>
        <w:gridCol w:w="109"/>
        <w:gridCol w:w="109"/>
        <w:gridCol w:w="109"/>
        <w:gridCol w:w="181"/>
        <w:gridCol w:w="541"/>
        <w:gridCol w:w="154"/>
      </w:tblGrid>
      <w:tr>
        <w:trPr/>
        <w:tc>
          <w:tcPr>
            <w:tcW w:w="57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27"/>
            <w:tcBorders/>
            <w:tcMar>
              <w:top w:w="0" w:type="dxa"/>
              <w:left w:w="0" w:type="dxa"/>
              <w:bottom w:w="0" w:type="dxa"/>
              <w:right w:w="0" w:type="dxa"/>
            </w:tcMar>
            <w:vAlign w:val="center"/>
          </w:tcPr>
          <w:p>
            <w:pPr>
              <w:pStyle w:val="TableContents"/>
              <w:bidi w:val="0"/>
              <w:spacing w:lineRule="auto" w:line="240" w:before="180" w:after="180"/>
              <w:ind w:left="0" w:right="0" w:firstLine="495"/>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Non-Agency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Non-Agency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Agency RMBS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RMBS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Agency RMBS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RMBS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pPr>
            <w:r>
              <w:rPr>
                <w:rFonts w:ascii="Times New Roman;serif" w:hAnsi="Times New Roman;serif"/>
                <w:b w:val="false"/>
                <w:color w:val="000000"/>
                <w:sz w:val="14"/>
              </w:rPr>
              <w:t xml:space="preserve">Par value </w:t>
            </w:r>
            <w:r>
              <w:rPr>
                <w:rFonts w:ascii="Times New Roman;serif" w:hAnsi="Times New Roman;serif"/>
                <w:b w:val="false"/>
                <w:color w:val="000000"/>
                <w:sz w:val="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Unamortized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Unamortized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Gross unrealized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available-for-sale securities,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Securities remeasured at fair value through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4"/>
              </w:rPr>
              <w:t xml:space="preserve">Par value </w:t>
            </w:r>
            <w:r>
              <w:rPr>
                <w:rFonts w:ascii="Times New Roman;serif" w:hAnsi="Times New Roman;serif"/>
                <w:b w:val="false"/>
                <w:color w:val="000000"/>
                <w:sz w:val="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Unamortized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Unamortized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64,735 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Gross unrealized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securities remeasured at fair value through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62,228 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76,923 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65,464 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1.Non-Agency amounts exclude other mortgage credit investments of $69 million and $64 million as of September 30, 2025 and December 31, 2024,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2.Par value excludes interest-only securities. As of September 30, 2025 and December 31, 2024, Agency RMBS interest-only securities had a par value of $3,581 million and $307 million, respectively, and non-Agency interest-only securities had a par value of $16 million and $93 million,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Agency RMBS portfolio by issuing GSE or U.S. Government agency at fair value as of September 30, 2025 and December 31, 2024 (in millions):</w:t>
      </w:r>
    </w:p>
    <w:tbl>
      <w:tblPr>
        <w:tblW w:w="4253" w:type="dxa"/>
        <w:jc w:val="center"/>
        <w:tblInd w:w="0" w:type="dxa"/>
        <w:tblLayout w:type="fixed"/>
        <w:tblCellMar>
          <w:top w:w="28" w:type="dxa"/>
          <w:left w:w="28" w:type="dxa"/>
          <w:bottom w:w="28" w:type="dxa"/>
          <w:right w:w="28" w:type="dxa"/>
        </w:tblCellMar>
      </w:tblPr>
      <w:tblGrid>
        <w:gridCol w:w="478"/>
        <w:gridCol w:w="419"/>
        <w:gridCol w:w="422"/>
        <w:gridCol w:w="109"/>
        <w:gridCol w:w="109"/>
        <w:gridCol w:w="109"/>
        <w:gridCol w:w="235"/>
        <w:gridCol w:w="775"/>
        <w:gridCol w:w="130"/>
        <w:gridCol w:w="109"/>
        <w:gridCol w:w="109"/>
        <w:gridCol w:w="109"/>
        <w:gridCol w:w="224"/>
        <w:gridCol w:w="740"/>
        <w:gridCol w:w="176"/>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1467" w:type="dxa"/>
            <w:gridSpan w:val="6"/>
            <w:tcBorders/>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Fannie Mae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40,258 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35,220 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Freddie Mac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Ginnie Mae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76,286 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65,464 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our investments in CRT and non-Agency securities had the following credit ratings (in millions):</w:t>
      </w:r>
    </w:p>
    <w:tbl>
      <w:tblPr>
        <w:tblW w:w="9828" w:type="dxa"/>
        <w:jc w:val="center"/>
        <w:tblInd w:w="0" w:type="dxa"/>
        <w:tblLayout w:type="fixed"/>
        <w:tblCellMar>
          <w:top w:w="28" w:type="dxa"/>
          <w:left w:w="28" w:type="dxa"/>
          <w:bottom w:w="28" w:type="dxa"/>
          <w:right w:w="28" w:type="dxa"/>
        </w:tblCellMar>
      </w:tblPr>
      <w:tblGrid>
        <w:gridCol w:w="1299"/>
        <w:gridCol w:w="1141"/>
        <w:gridCol w:w="1144"/>
        <w:gridCol w:w="109"/>
        <w:gridCol w:w="109"/>
        <w:gridCol w:w="109"/>
        <w:gridCol w:w="196"/>
        <w:gridCol w:w="421"/>
        <w:gridCol w:w="109"/>
        <w:gridCol w:w="109"/>
        <w:gridCol w:w="109"/>
        <w:gridCol w:w="109"/>
        <w:gridCol w:w="208"/>
        <w:gridCol w:w="351"/>
        <w:gridCol w:w="115"/>
        <w:gridCol w:w="109"/>
        <w:gridCol w:w="109"/>
        <w:gridCol w:w="109"/>
        <w:gridCol w:w="196"/>
        <w:gridCol w:w="406"/>
        <w:gridCol w:w="109"/>
        <w:gridCol w:w="109"/>
        <w:gridCol w:w="109"/>
        <w:gridCol w:w="109"/>
        <w:gridCol w:w="196"/>
        <w:gridCol w:w="421"/>
        <w:gridCol w:w="109"/>
        <w:gridCol w:w="109"/>
        <w:gridCol w:w="109"/>
        <w:gridCol w:w="109"/>
        <w:gridCol w:w="208"/>
        <w:gridCol w:w="351"/>
        <w:gridCol w:w="115"/>
        <w:gridCol w:w="109"/>
        <w:gridCol w:w="109"/>
        <w:gridCol w:w="109"/>
        <w:gridCol w:w="196"/>
        <w:gridCol w:w="421"/>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CRT and Non-Agency Security Credit Ratings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RMBS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RMBS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CMBS</w:t>
            </w:r>
          </w:p>
        </w:tc>
      </w:tr>
      <w:tr>
        <w:trPr/>
        <w:tc>
          <w:tcPr>
            <w:tcW w:w="3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 Rated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1.Represents the lowest of Standard and Poor's ("S&amp;P"), Moody's, Fitch, DBRS, Kroll Bond Rating Agency ("KBRA") and Morningstar credit ratings, stated in terms of the S&amp;P equivalent rating as of each date.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2.RMBS excludes other mortgage credit investments of $69 million and $64 million as of September 30, 2025 and December 31, 2024, respectively.</w:t>
      </w:r>
    </w:p>
    <w:p>
      <w:pPr>
        <w:pStyle w:val="TextBody"/>
        <w:bidi w:val="0"/>
        <w:spacing w:before="0" w:after="0"/>
        <w:ind w:left="0" w:right="0" w:firstLine="495"/>
        <w:jc w:val="left"/>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CRT securities primarily reference the performance of single- and multi-family mortgage loans underlying Agency RMBS and CMBS issued by Fannie Mae or Freddie Mac, which are subject to the respective agency’s underwriting standards. The remainder of our CRT holdings reference single-family loans originated and issued by third-party market participants and may not be subject to the same standards.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September 30, 2025 and December 31, 2024, the weighted average expected constant prepayment rate ("CPR") over the remaining life of our Agency and high credit quality non-Agency RMBS investment portfolio was 8.6% and 7.7%, respectively. Our estimates can differ materially for different securities and thus our individual holdings have a wide range of projected CPRs. The following table summarizes our investments as of September 30, 2025 and December 31, 2024 according to their estimated weighted average life classification (dollars in millions):</w:t>
      </w:r>
    </w:p>
    <w:tbl>
      <w:tblPr>
        <w:tblW w:w="10565"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196"/>
        <w:gridCol w:w="646"/>
        <w:gridCol w:w="109"/>
        <w:gridCol w:w="109"/>
        <w:gridCol w:w="109"/>
        <w:gridCol w:w="109"/>
        <w:gridCol w:w="196"/>
        <w:gridCol w:w="646"/>
        <w:gridCol w:w="109"/>
        <w:gridCol w:w="109"/>
        <w:gridCol w:w="109"/>
        <w:gridCol w:w="109"/>
        <w:gridCol w:w="265"/>
        <w:gridCol w:w="265"/>
        <w:gridCol w:w="266"/>
        <w:gridCol w:w="109"/>
        <w:gridCol w:w="109"/>
        <w:gridCol w:w="109"/>
        <w:gridCol w:w="265"/>
        <w:gridCol w:w="265"/>
        <w:gridCol w:w="266"/>
        <w:gridCol w:w="109"/>
        <w:gridCol w:w="109"/>
        <w:gridCol w:w="109"/>
        <w:gridCol w:w="196"/>
        <w:gridCol w:w="646"/>
        <w:gridCol w:w="109"/>
        <w:gridCol w:w="109"/>
        <w:gridCol w:w="109"/>
        <w:gridCol w:w="109"/>
        <w:gridCol w:w="196"/>
        <w:gridCol w:w="646"/>
        <w:gridCol w:w="109"/>
        <w:gridCol w:w="109"/>
        <w:gridCol w:w="109"/>
        <w:gridCol w:w="109"/>
        <w:gridCol w:w="265"/>
        <w:gridCol w:w="265"/>
        <w:gridCol w:w="266"/>
        <w:gridCol w:w="109"/>
        <w:gridCol w:w="109"/>
        <w:gridCol w:w="109"/>
        <w:gridCol w:w="246"/>
        <w:gridCol w:w="246"/>
        <w:gridCol w:w="349"/>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Estimated Weighted Average Life of Investment Securities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Yield</w:t>
            </w:r>
          </w:p>
        </w:tc>
      </w:tr>
      <w:tr>
        <w:trPr/>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8.06%</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 3 years and ≤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5.48%</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 5 years and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4.66%</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5.24%</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4.77%</w:t>
            </w:r>
          </w:p>
        </w:tc>
      </w:tr>
    </w:tbl>
    <w:p>
      <w:pPr>
        <w:pStyle w:val="TextBody"/>
        <w:bidi w:val="0"/>
        <w:spacing w:lineRule="auto" w:line="288" w:before="0" w:after="60"/>
        <w:jc w:val="both"/>
        <w:rPr>
          <w:color w:val="000000"/>
        </w:rPr>
      </w:pPr>
      <w:r>
        <w:rPr>
          <w:color w:val="000000"/>
        </w:rPr>
        <w:t> </w:t>
      </w: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1.Table excludes other mortgage credit investments of $69 million and $64 million as of September 30, 2025 and December 31, 2024, respectively.</w:t>
      </w:r>
    </w:p>
    <w:p>
      <w:pPr>
        <w:pStyle w:val="TextBody"/>
        <w:bidi w:val="0"/>
        <w:spacing w:lineRule="auto" w:line="288" w:before="180" w:after="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gross unrealized loss and fair values of securities classified as available-for-sale by length of time that such securities have been in a continuous unrealized loss position as of September 30, 2025 and December 31, 2024 (in millions):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15"/>
        <w:gridCol w:w="982"/>
        <w:gridCol w:w="984"/>
        <w:gridCol w:w="109"/>
        <w:gridCol w:w="109"/>
        <w:gridCol w:w="109"/>
        <w:gridCol w:w="196"/>
        <w:gridCol w:w="406"/>
        <w:gridCol w:w="109"/>
        <w:gridCol w:w="109"/>
        <w:gridCol w:w="109"/>
        <w:gridCol w:w="109"/>
        <w:gridCol w:w="244"/>
        <w:gridCol w:w="505"/>
        <w:gridCol w:w="137"/>
        <w:gridCol w:w="109"/>
        <w:gridCol w:w="109"/>
        <w:gridCol w:w="109"/>
        <w:gridCol w:w="201"/>
        <w:gridCol w:w="572"/>
        <w:gridCol w:w="113"/>
        <w:gridCol w:w="109"/>
        <w:gridCol w:w="109"/>
        <w:gridCol w:w="109"/>
        <w:gridCol w:w="234"/>
        <w:gridCol w:w="521"/>
        <w:gridCol w:w="131"/>
        <w:gridCol w:w="109"/>
        <w:gridCol w:w="109"/>
        <w:gridCol w:w="109"/>
        <w:gridCol w:w="196"/>
        <w:gridCol w:w="556"/>
        <w:gridCol w:w="109"/>
        <w:gridCol w:w="109"/>
        <w:gridCol w:w="109"/>
        <w:gridCol w:w="109"/>
        <w:gridCol w:w="232"/>
        <w:gridCol w:w="516"/>
        <w:gridCol w:w="184"/>
      </w:tblGrid>
      <w:tr>
        <w:trPr/>
        <w:tc>
          <w:tcPr>
            <w:tcW w:w="1115"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 Position For</w:t>
            </w:r>
          </w:p>
        </w:tc>
      </w:tr>
      <w:tr>
        <w:trPr/>
        <w:tc>
          <w:tcPr>
            <w:tcW w:w="3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Securities Classified as Available-for-Sale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r>
      <w:tr>
        <w:trPr/>
        <w:tc>
          <w:tcPr>
            <w:tcW w:w="3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both"/>
              <w:rPr>
                <w:rFonts w:ascii="Times New Roman;serif" w:hAnsi="Times New Roman;serif"/>
                <w:b w:val="false"/>
                <w:color w:val="000000"/>
                <w:sz w:val="16"/>
              </w:rPr>
            </w:pPr>
            <w:r>
              <w:rPr>
                <w:rFonts w:ascii="Times New Roman;serif" w:hAnsi="Times New Roman;serif"/>
                <w:b w:val="false"/>
                <w:color w:val="000000"/>
                <w:sz w:val="16"/>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left"/>
        <w:rPr>
          <w:rFonts w:ascii="Times New Roman;serif" w:hAnsi="Times New Roman;serif"/>
          <w:b/>
          <w:i/>
          <w:color w:val="000000"/>
          <w:sz w:val="20"/>
        </w:rPr>
      </w:pPr>
      <w:r>
        <w:rPr>
          <w:rFonts w:ascii="Times New Roman;serif" w:hAnsi="Times New Roman;serif"/>
          <w:b/>
          <w:i/>
          <w:color w:val="000000"/>
          <w:sz w:val="20"/>
        </w:rPr>
        <w:t>Gains and Losses on Sale of Investment Securities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our net gain (loss) from the sale of investment securities for the three and nine months ended September 30, 2025 and 2024 by investment classification of accounting (in millions):</w:t>
      </w:r>
    </w:p>
    <w:p>
      <w:pPr>
        <w:pStyle w:val="TextBody"/>
        <w:bidi w:val="0"/>
        <w:spacing w:before="0" w:after="60"/>
        <w:jc w:val="both"/>
        <w:rPr/>
      </w:pPr>
      <w:r>
        <w:rPr/>
      </w:r>
    </w:p>
    <w:tbl>
      <w:tblPr>
        <w:tblW w:w="10205" w:type="dxa"/>
        <w:jc w:val="center"/>
        <w:tblInd w:w="0" w:type="dxa"/>
        <w:tblLayout w:type="fixed"/>
        <w:tblCellMar>
          <w:top w:w="28" w:type="dxa"/>
          <w:left w:w="28" w:type="dxa"/>
          <w:bottom w:w="28" w:type="dxa"/>
          <w:right w:w="28" w:type="dxa"/>
        </w:tblCellMar>
      </w:tblPr>
      <w:tblGrid>
        <w:gridCol w:w="456"/>
        <w:gridCol w:w="316"/>
        <w:gridCol w:w="318"/>
        <w:gridCol w:w="109"/>
        <w:gridCol w:w="109"/>
        <w:gridCol w:w="109"/>
        <w:gridCol w:w="321"/>
        <w:gridCol w:w="716"/>
        <w:gridCol w:w="180"/>
        <w:gridCol w:w="109"/>
        <w:gridCol w:w="109"/>
        <w:gridCol w:w="109"/>
        <w:gridCol w:w="208"/>
        <w:gridCol w:w="712"/>
        <w:gridCol w:w="115"/>
        <w:gridCol w:w="109"/>
        <w:gridCol w:w="109"/>
        <w:gridCol w:w="109"/>
        <w:gridCol w:w="196"/>
        <w:gridCol w:w="666"/>
        <w:gridCol w:w="109"/>
        <w:gridCol w:w="109"/>
        <w:gridCol w:w="109"/>
        <w:gridCol w:w="109"/>
        <w:gridCol w:w="335"/>
        <w:gridCol w:w="695"/>
        <w:gridCol w:w="187"/>
        <w:gridCol w:w="109"/>
        <w:gridCol w:w="109"/>
        <w:gridCol w:w="109"/>
        <w:gridCol w:w="208"/>
        <w:gridCol w:w="712"/>
        <w:gridCol w:w="115"/>
        <w:gridCol w:w="109"/>
        <w:gridCol w:w="109"/>
        <w:gridCol w:w="109"/>
        <w:gridCol w:w="196"/>
        <w:gridCol w:w="666"/>
        <w:gridCol w:w="109"/>
        <w:gridCol w:w="109"/>
        <w:gridCol w:w="109"/>
        <w:gridCol w:w="109"/>
        <w:gridCol w:w="109"/>
        <w:gridCol w:w="109"/>
        <w:gridCol w:w="162"/>
      </w:tblGrid>
      <w:tr>
        <w:trPr/>
        <w:tc>
          <w:tcPr>
            <w:tcW w:w="4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707" w:type="dxa"/>
            <w:gridSpan w:val="6"/>
            <w:tcBorders/>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Available-for-Sale </w:t>
            </w:r>
          </w:p>
          <w:p>
            <w:pPr>
              <w:pStyle w:val="TableContents"/>
              <w:bidi w:val="0"/>
              <w:spacing w:lineRule="auto" w:line="240" w:before="0" w:after="0"/>
              <w:jc w:val="center"/>
              <w:rPr/>
            </w:pPr>
            <w:r>
              <w:rPr>
                <w:rFonts w:ascii="Times New Roman;serif" w:hAnsi="Times New Roman;serif"/>
                <w:b/>
                <w:color w:val="000000"/>
                <w:sz w:val="14"/>
              </w:rPr>
              <w:t xml:space="preserve">Securities </w:t>
            </w:r>
            <w:r>
              <w:rPr>
                <w:rFonts w:ascii="Times New Roman;serif" w:hAnsi="Times New Roman;serif"/>
                <w:b/>
                <w:color w:val="000000"/>
                <w:sz w:val="9"/>
              </w:rPr>
              <w:t>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 Option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Available-for-Sale</w:t>
            </w:r>
          </w:p>
          <w:p>
            <w:pPr>
              <w:pStyle w:val="TableContents"/>
              <w:bidi w:val="0"/>
              <w:spacing w:lineRule="auto" w:line="240" w:before="0" w:after="0"/>
              <w:jc w:val="center"/>
              <w:rPr/>
            </w:pPr>
            <w:r>
              <w:rPr>
                <w:rFonts w:ascii="Times New Roman;serif" w:hAnsi="Times New Roman;serif"/>
                <w:b/>
                <w:color w:val="000000"/>
                <w:sz w:val="14"/>
              </w:rPr>
              <w:t xml:space="preserve">Securities </w:t>
            </w:r>
            <w:r>
              <w:rPr>
                <w:rFonts w:ascii="Times New Roman;serif" w:hAnsi="Times New Roman;serif"/>
                <w:b/>
                <w:color w:val="000000"/>
                <w:sz w:val="9"/>
              </w:rPr>
              <w:t>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 Option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sold,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(8,055)</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(4,805)</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Proceeds from investment securities sold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gain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loss on sale of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707" w:type="dxa"/>
            <w:gridSpan w:val="6"/>
            <w:tcBorders/>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Available-for-Sale </w:t>
            </w:r>
          </w:p>
          <w:p>
            <w:pPr>
              <w:pStyle w:val="TableContents"/>
              <w:bidi w:val="0"/>
              <w:spacing w:lineRule="auto" w:line="240" w:before="0" w:after="0"/>
              <w:jc w:val="center"/>
              <w:rPr/>
            </w:pPr>
            <w:r>
              <w:rPr>
                <w:rFonts w:ascii="Times New Roman;serif" w:hAnsi="Times New Roman;serif"/>
                <w:b/>
                <w:color w:val="000000"/>
                <w:sz w:val="14"/>
              </w:rPr>
              <w:t xml:space="preserve">Securities </w:t>
            </w:r>
            <w:r>
              <w:rPr>
                <w:rFonts w:ascii="Times New Roman;serif" w:hAnsi="Times New Roman;serif"/>
                <w:b/>
                <w:color w:val="000000"/>
                <w:sz w:val="9"/>
              </w:rPr>
              <w:t>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 Option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Available-for-Sale </w:t>
            </w:r>
          </w:p>
          <w:p>
            <w:pPr>
              <w:pStyle w:val="TableContents"/>
              <w:bidi w:val="0"/>
              <w:spacing w:lineRule="auto" w:line="240" w:before="0" w:after="0"/>
              <w:jc w:val="center"/>
              <w:rPr/>
            </w:pPr>
            <w:r>
              <w:rPr>
                <w:rFonts w:ascii="Times New Roman;serif" w:hAnsi="Times New Roman;serif"/>
                <w:b/>
                <w:color w:val="000000"/>
                <w:sz w:val="14"/>
              </w:rPr>
              <w:t xml:space="preserve">Securities </w:t>
            </w:r>
            <w:r>
              <w:rPr>
                <w:rFonts w:ascii="Times New Roman;serif" w:hAnsi="Times New Roman;serif"/>
                <w:b/>
                <w:color w:val="000000"/>
                <w:sz w:val="9"/>
              </w:rPr>
              <w:t>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 Option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sold,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(20,959)</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Proceeds from investment securities sold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gain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loss on sale of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color w:val="000000"/>
        </w:rPr>
      </w:pPr>
      <w:r>
        <w:rPr>
          <w:color w:val="000000"/>
        </w:rPr>
        <w:t> </w:t>
      </w: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1.Proceeds include cash received during the period, plus receivable for investment securities sold during the period as of period end.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2.See Note 9 for a summary of changes in accumulated OCI.</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3.During the nine months ended September 30, 2025 and 2024, we received principal repayments on available-for-sale securities of $408 million and $882 million, respectively.</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Repurchase Agreements and Reverse Repurchase Agreements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Repurchase Agreements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September 30, 2025, we had met all margin call requirements. For additional information regarding our pledged assets, please refer to Note 6.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we had $74.2 billion and $60.8 billion, respectively, of repurchase agreements outstanding used to fund our investment portfolio and temporary holdings of U.S. Treasury securities. The terms and conditions of our repurchase agreements are typically negotiated on a transaction-by-transaction basis or subject to a tri-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party repo agreement. The following table summarizes our borrowings under repurchase agreements by their remaining maturities as of September 30, 2025 and December 31, 2024 (dollars in millions):</w:t>
      </w:r>
    </w:p>
    <w:tbl>
      <w:tblPr>
        <w:tblW w:w="10205" w:type="dxa"/>
        <w:jc w:val="center"/>
        <w:tblInd w:w="0" w:type="dxa"/>
        <w:tblLayout w:type="fixed"/>
        <w:tblCellMar>
          <w:top w:w="28" w:type="dxa"/>
          <w:left w:w="28" w:type="dxa"/>
          <w:bottom w:w="28" w:type="dxa"/>
          <w:right w:w="28" w:type="dxa"/>
        </w:tblCellMar>
      </w:tblPr>
      <w:tblGrid>
        <w:gridCol w:w="516"/>
        <w:gridCol w:w="454"/>
        <w:gridCol w:w="456"/>
        <w:gridCol w:w="109"/>
        <w:gridCol w:w="109"/>
        <w:gridCol w:w="109"/>
        <w:gridCol w:w="280"/>
        <w:gridCol w:w="925"/>
        <w:gridCol w:w="157"/>
        <w:gridCol w:w="109"/>
        <w:gridCol w:w="109"/>
        <w:gridCol w:w="109"/>
        <w:gridCol w:w="233"/>
        <w:gridCol w:w="233"/>
        <w:gridCol w:w="430"/>
        <w:gridCol w:w="109"/>
        <w:gridCol w:w="109"/>
        <w:gridCol w:w="109"/>
        <w:gridCol w:w="375"/>
        <w:gridCol w:w="375"/>
        <w:gridCol w:w="376"/>
        <w:gridCol w:w="109"/>
        <w:gridCol w:w="109"/>
        <w:gridCol w:w="109"/>
        <w:gridCol w:w="280"/>
        <w:gridCol w:w="925"/>
        <w:gridCol w:w="157"/>
        <w:gridCol w:w="109"/>
        <w:gridCol w:w="109"/>
        <w:gridCol w:w="109"/>
        <w:gridCol w:w="233"/>
        <w:gridCol w:w="233"/>
        <w:gridCol w:w="430"/>
        <w:gridCol w:w="109"/>
        <w:gridCol w:w="109"/>
        <w:gridCol w:w="109"/>
        <w:gridCol w:w="343"/>
        <w:gridCol w:w="343"/>
        <w:gridCol w:w="489"/>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Remaining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Days</w:t>
              <w:br/>
              <w:t>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Days</w:t>
              <w:br/>
              <w:t>to Maturity</w:t>
            </w:r>
          </w:p>
        </w:tc>
      </w:tr>
      <w:tr>
        <w:trPr/>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 Repo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1 to ≤ 3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3 to ≤ 6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 Repo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68,999 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59,362 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Repo: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74,152 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60,798 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$29.5 billion and $25.4 billion, respectively, of our investment securities repurchase agreements and $1.5 billion and $1.4 billion, respectively, of our U.S. Treasury repurchase agreements had an overnight maturity of one business day and none of our repurchase agreements were due on demand. As of September 30, 2025, we had $19.3 billion of forward commitments to enter into repurchase agreements with a weighted average forward start date of 1 day and a weighted average interest rate of 4.26%. As of December 31, 2024, we had $17.3 billion of forward commitments to enter into repurchase agreements, with a weighted average forward start date of 2 days and a weighted average interest rate of 4.61%. As of September 30, 2025 and December 31, 2024, 45% and 50%,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44% and 47% of our repurchase agreement funding outstanding as of September 30, 2025 and December 31, 2024, respectively.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Reverse Repurchase Agreements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we had $21.4 billion and $17.1 billion, respectively, of reverse repurchase agreements outstanding used primarily to borrow securities to cover short sales of U.S. Treasury securities, for which we had associated obligations to return borrowed securities at fair value of $20.8 billion and $16.7 billion, respectively. As of September 30, 2025 and December 31, 2024, $4.6 billion and $3.9 billion, respectively, of our reverse repurchase agreements were with the FICC sourced through BES. </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Derivative and Other Hedging Instruments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For the periods presented, our interest rate based hedges primarily consisted of interest rate swaps, interest rate swaptions, U.S. Treasury securities and U.S. Treasury futures contracts. We also utilized forward contracts, primarily consisting of TBA securities, for the purchase and sale of investment securities. For additional information regarding our derivative instruments and our overall risk management strategy, please refer to the discussion of derivative and other hedging instruments in Note 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Derivative and Other Hedging Instrument Assets (Liabilities), at Fair Value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fair value information about our derivative and other hedging instrument assets/(liabilities) as of September 30, 2025 and December 31, 2024 (in millions):</w:t>
      </w:r>
    </w:p>
    <w:tbl>
      <w:tblPr>
        <w:tblW w:w="10205" w:type="dxa"/>
        <w:jc w:val="left"/>
        <w:tblInd w:w="0" w:type="dxa"/>
        <w:tblLayout w:type="fixed"/>
        <w:tblCellMar>
          <w:top w:w="28" w:type="dxa"/>
          <w:left w:w="28" w:type="dxa"/>
          <w:bottom w:w="28" w:type="dxa"/>
          <w:right w:w="28" w:type="dxa"/>
        </w:tblCellMar>
      </w:tblPr>
      <w:tblGrid>
        <w:gridCol w:w="956"/>
        <w:gridCol w:w="832"/>
        <w:gridCol w:w="834"/>
        <w:gridCol w:w="109"/>
        <w:gridCol w:w="109"/>
        <w:gridCol w:w="109"/>
        <w:gridCol w:w="1525"/>
        <w:gridCol w:w="1452"/>
        <w:gridCol w:w="1456"/>
        <w:gridCol w:w="109"/>
        <w:gridCol w:w="109"/>
        <w:gridCol w:w="109"/>
        <w:gridCol w:w="209"/>
        <w:gridCol w:w="748"/>
        <w:gridCol w:w="116"/>
        <w:gridCol w:w="109"/>
        <w:gridCol w:w="109"/>
        <w:gridCol w:w="109"/>
        <w:gridCol w:w="203"/>
        <w:gridCol w:w="728"/>
        <w:gridCol w:w="165"/>
      </w:tblGrid>
      <w:tr>
        <w:trPr/>
        <w:tc>
          <w:tcPr>
            <w:tcW w:w="95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423" w:type="dxa"/>
            <w:gridSpan w:val="6"/>
            <w:tcBorders/>
          </w:tcPr>
          <w:p>
            <w:pPr>
              <w:pStyle w:val="TableContents"/>
              <w:bidi w:val="0"/>
              <w:spacing w:before="0" w:after="283"/>
              <w:jc w:val="left"/>
              <w:rPr>
                <w:sz w:val="4"/>
                <w:szCs w:val="4"/>
              </w:rPr>
            </w:pPr>
            <w:r>
              <w:rPr>
                <w:sz w:val="4"/>
                <w:szCs w:val="4"/>
              </w:rPr>
            </w:r>
          </w:p>
        </w:tc>
      </w:tr>
      <w:tr>
        <w:trPr/>
        <w:tc>
          <w:tcPr>
            <w:tcW w:w="2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and Other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rate swaps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TBA and forward settling non-Agency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 short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SOFR futures contracts - long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Total derivative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rate swaps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TBA and forward settling non-Agency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 short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SOFR futures contracts - long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long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short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Obligation to return securities borrowed under reverse repurchase agreements,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Total U.S. Treasury securities, net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(14,875)</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(15,101)</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1.As of September 30, 2025 and December 31, 2024, the net fair value of our interest rate swaps excluding the recognition of variation margin settlements as a direct reduction of carrying value (see Note 2) was a net asset (liability) of $0.7 billion and $2.3 billion, respectively.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certain characteristics of our derivative and other hedging instruments outstanding as of September 30, 2025 and December 31, 2024 (dollars in millions):</w:t>
      </w:r>
    </w:p>
    <w:tbl>
      <w:tblPr>
        <w:tblW w:w="10205" w:type="dxa"/>
        <w:jc w:val="center"/>
        <w:tblInd w:w="0" w:type="dxa"/>
        <w:tblLayout w:type="fixed"/>
        <w:tblCellMar>
          <w:top w:w="28" w:type="dxa"/>
          <w:left w:w="28" w:type="dxa"/>
          <w:bottom w:w="28" w:type="dxa"/>
          <w:right w:w="28" w:type="dxa"/>
        </w:tblCellMar>
      </w:tblPr>
      <w:tblGrid>
        <w:gridCol w:w="389"/>
        <w:gridCol w:w="331"/>
        <w:gridCol w:w="332"/>
        <w:gridCol w:w="109"/>
        <w:gridCol w:w="109"/>
        <w:gridCol w:w="109"/>
        <w:gridCol w:w="196"/>
        <w:gridCol w:w="646"/>
        <w:gridCol w:w="109"/>
        <w:gridCol w:w="109"/>
        <w:gridCol w:w="109"/>
        <w:gridCol w:w="109"/>
        <w:gridCol w:w="245"/>
        <w:gridCol w:w="245"/>
        <w:gridCol w:w="246"/>
        <w:gridCol w:w="109"/>
        <w:gridCol w:w="109"/>
        <w:gridCol w:w="109"/>
        <w:gridCol w:w="263"/>
        <w:gridCol w:w="263"/>
        <w:gridCol w:w="264"/>
        <w:gridCol w:w="109"/>
        <w:gridCol w:w="109"/>
        <w:gridCol w:w="109"/>
        <w:gridCol w:w="255"/>
        <w:gridCol w:w="255"/>
        <w:gridCol w:w="256"/>
        <w:gridCol w:w="109"/>
        <w:gridCol w:w="109"/>
        <w:gridCol w:w="109"/>
        <w:gridCol w:w="196"/>
        <w:gridCol w:w="646"/>
        <w:gridCol w:w="109"/>
        <w:gridCol w:w="109"/>
        <w:gridCol w:w="109"/>
        <w:gridCol w:w="109"/>
        <w:gridCol w:w="245"/>
        <w:gridCol w:w="245"/>
        <w:gridCol w:w="246"/>
        <w:gridCol w:w="109"/>
        <w:gridCol w:w="109"/>
        <w:gridCol w:w="109"/>
        <w:gridCol w:w="263"/>
        <w:gridCol w:w="263"/>
        <w:gridCol w:w="264"/>
        <w:gridCol w:w="109"/>
        <w:gridCol w:w="109"/>
        <w:gridCol w:w="109"/>
        <w:gridCol w:w="237"/>
        <w:gridCol w:w="237"/>
        <w:gridCol w:w="343"/>
      </w:tblGrid>
      <w:tr>
        <w:trPr/>
        <w:tc>
          <w:tcPr>
            <w:tcW w:w="38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Pay Fixed / Receive Variable 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Fixed Pay </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Variable Receive</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Maturity</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Fixed Pay </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Variable Receive</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Maturity</w:t>
              <w:br/>
              <w:t>(Years)</w:t>
            </w:r>
          </w:p>
        </w:tc>
      </w:tr>
      <w:tr>
        <w:trPr/>
        <w:tc>
          <w:tcPr>
            <w:tcW w:w="1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w:t>
            </w:r>
          </w:p>
        </w:tc>
      </w:tr>
      <w:tr>
        <w:trPr/>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1 to ≤ 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3 to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w:t>
            </w:r>
          </w:p>
        </w:tc>
      </w:tr>
      <w:tr>
        <w:trPr/>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5 to ≤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w:t>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7 to ≤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8.8</w:t>
            </w:r>
          </w:p>
        </w:tc>
      </w:tr>
      <w:tr>
        <w:trPr/>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w:t>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1.As of September 30, 2025, 93% and 7% of notional amount receive index references SOFR and OIS, respectively. As of December 31, 2024, 82% and 18% of notional amount receive index references SOFR and OIS, respectively.</w:t>
      </w:r>
    </w:p>
    <w:p>
      <w:pPr>
        <w:pStyle w:val="TextBody"/>
        <w:bidi w:val="0"/>
        <w:spacing w:before="0" w:after="0"/>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45"/>
        <w:gridCol w:w="391"/>
        <w:gridCol w:w="394"/>
        <w:gridCol w:w="128"/>
        <w:gridCol w:w="128"/>
        <w:gridCol w:w="128"/>
        <w:gridCol w:w="364"/>
        <w:gridCol w:w="364"/>
        <w:gridCol w:w="365"/>
        <w:gridCol w:w="109"/>
        <w:gridCol w:w="109"/>
        <w:gridCol w:w="109"/>
        <w:gridCol w:w="214"/>
        <w:gridCol w:w="445"/>
        <w:gridCol w:w="119"/>
        <w:gridCol w:w="109"/>
        <w:gridCol w:w="109"/>
        <w:gridCol w:w="109"/>
        <w:gridCol w:w="221"/>
        <w:gridCol w:w="459"/>
        <w:gridCol w:w="122"/>
        <w:gridCol w:w="109"/>
        <w:gridCol w:w="109"/>
        <w:gridCol w:w="109"/>
        <w:gridCol w:w="385"/>
        <w:gridCol w:w="385"/>
        <w:gridCol w:w="387"/>
        <w:gridCol w:w="109"/>
        <w:gridCol w:w="109"/>
        <w:gridCol w:w="109"/>
        <w:gridCol w:w="196"/>
        <w:gridCol w:w="556"/>
        <w:gridCol w:w="109"/>
        <w:gridCol w:w="109"/>
        <w:gridCol w:w="109"/>
        <w:gridCol w:w="109"/>
        <w:gridCol w:w="386"/>
        <w:gridCol w:w="386"/>
        <w:gridCol w:w="388"/>
        <w:gridCol w:w="109"/>
        <w:gridCol w:w="109"/>
        <w:gridCol w:w="109"/>
        <w:gridCol w:w="224"/>
        <w:gridCol w:w="224"/>
        <w:gridCol w:w="330"/>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Payer Swaptions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Underlying Payer Swap</w:t>
            </w:r>
          </w:p>
        </w:tc>
      </w:tr>
      <w:tr>
        <w:trPr/>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Option </w:t>
              <w:b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Months to Option</w:t>
              <w:b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Average Fixed Pay </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Term</w:t>
              <w:br/>
              <w:t>(Years)</w:t>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30, 2025</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w:t>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1.Receive index references SOFR.</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437"/>
        <w:gridCol w:w="384"/>
        <w:gridCol w:w="387"/>
        <w:gridCol w:w="138"/>
        <w:gridCol w:w="138"/>
        <w:gridCol w:w="138"/>
        <w:gridCol w:w="359"/>
        <w:gridCol w:w="359"/>
        <w:gridCol w:w="361"/>
        <w:gridCol w:w="109"/>
        <w:gridCol w:w="109"/>
        <w:gridCol w:w="109"/>
        <w:gridCol w:w="227"/>
        <w:gridCol w:w="384"/>
        <w:gridCol w:w="126"/>
        <w:gridCol w:w="109"/>
        <w:gridCol w:w="109"/>
        <w:gridCol w:w="109"/>
        <w:gridCol w:w="234"/>
        <w:gridCol w:w="396"/>
        <w:gridCol w:w="130"/>
        <w:gridCol w:w="109"/>
        <w:gridCol w:w="109"/>
        <w:gridCol w:w="109"/>
        <w:gridCol w:w="379"/>
        <w:gridCol w:w="379"/>
        <w:gridCol w:w="381"/>
        <w:gridCol w:w="109"/>
        <w:gridCol w:w="109"/>
        <w:gridCol w:w="109"/>
        <w:gridCol w:w="196"/>
        <w:gridCol w:w="556"/>
        <w:gridCol w:w="109"/>
        <w:gridCol w:w="109"/>
        <w:gridCol w:w="109"/>
        <w:gridCol w:w="109"/>
        <w:gridCol w:w="422"/>
        <w:gridCol w:w="422"/>
        <w:gridCol w:w="424"/>
        <w:gridCol w:w="109"/>
        <w:gridCol w:w="109"/>
        <w:gridCol w:w="109"/>
        <w:gridCol w:w="224"/>
        <w:gridCol w:w="224"/>
        <w:gridCol w:w="329"/>
      </w:tblGrid>
      <w:tr>
        <w:trPr/>
        <w:tc>
          <w:tcPr>
            <w:tcW w:w="43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70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Receiver Swaptions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Underlying Receiver Swap</w:t>
            </w:r>
          </w:p>
        </w:tc>
      </w:tr>
      <w:tr>
        <w:trPr/>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Option </w:t>
              <w:b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Months to Option</w:t>
              <w:b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Average Fixed Receive </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Term</w:t>
              <w:br/>
              <w:t>(Years)</w:t>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12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30, 2025</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9.2</w:t>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120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r>
    </w:tbl>
    <w:p>
      <w:pPr>
        <w:pStyle w:val="TextBody"/>
        <w:bidi w:val="0"/>
        <w:spacing w:lineRule="auto" w:line="288" w:before="0" w:after="2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1.Pay index references SOFR.</w:t>
      </w:r>
    </w:p>
    <w:tbl>
      <w:tblPr>
        <w:tblW w:w="10205" w:type="dxa"/>
        <w:jc w:val="left"/>
        <w:tblInd w:w="0" w:type="dxa"/>
        <w:tblLayout w:type="fixed"/>
        <w:tblCellMar>
          <w:top w:w="28" w:type="dxa"/>
          <w:left w:w="28" w:type="dxa"/>
          <w:bottom w:w="28" w:type="dxa"/>
          <w:right w:w="28" w:type="dxa"/>
        </w:tblCellMar>
      </w:tblPr>
      <w:tblGrid>
        <w:gridCol w:w="506"/>
        <w:gridCol w:w="444"/>
        <w:gridCol w:w="445"/>
        <w:gridCol w:w="109"/>
        <w:gridCol w:w="109"/>
        <w:gridCol w:w="109"/>
        <w:gridCol w:w="277"/>
        <w:gridCol w:w="987"/>
        <w:gridCol w:w="154"/>
        <w:gridCol w:w="109"/>
        <w:gridCol w:w="109"/>
        <w:gridCol w:w="109"/>
        <w:gridCol w:w="196"/>
        <w:gridCol w:w="685"/>
        <w:gridCol w:w="109"/>
        <w:gridCol w:w="109"/>
        <w:gridCol w:w="109"/>
        <w:gridCol w:w="109"/>
        <w:gridCol w:w="196"/>
        <w:gridCol w:w="685"/>
        <w:gridCol w:w="109"/>
        <w:gridCol w:w="109"/>
        <w:gridCol w:w="109"/>
        <w:gridCol w:w="109"/>
        <w:gridCol w:w="277"/>
        <w:gridCol w:w="987"/>
        <w:gridCol w:w="154"/>
        <w:gridCol w:w="109"/>
        <w:gridCol w:w="109"/>
        <w:gridCol w:w="109"/>
        <w:gridCol w:w="196"/>
        <w:gridCol w:w="685"/>
        <w:gridCol w:w="109"/>
        <w:gridCol w:w="109"/>
        <w:gridCol w:w="109"/>
        <w:gridCol w:w="109"/>
        <w:gridCol w:w="196"/>
        <w:gridCol w:w="685"/>
        <w:gridCol w:w="161"/>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U.S. Treasury Securities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Amount Long/(Short)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Amount Long/(Short)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5 year ≤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7 year ≤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(15,101)</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1.As of September 30, 2025 and December 31, 2024, short U.S. Treasury securities totaling $(20.8) billion and $(16.7) billion, at fair value, respectively, had a weighted average yield of 4.22% and 3.85%, respectively. As of September 30, 2025 and December 31, 2024, long U.S. Treasury securities totaling $5.9 billion and $1.6 billion, at fair value, respectively, had a weighted average yield of 4.02% and 4.27%, respectively.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11"/>
        <w:gridCol w:w="272"/>
        <w:gridCol w:w="274"/>
        <w:gridCol w:w="109"/>
        <w:gridCol w:w="109"/>
        <w:gridCol w:w="109"/>
        <w:gridCol w:w="196"/>
        <w:gridCol w:w="574"/>
        <w:gridCol w:w="109"/>
        <w:gridCol w:w="109"/>
        <w:gridCol w:w="109"/>
        <w:gridCol w:w="109"/>
        <w:gridCol w:w="196"/>
        <w:gridCol w:w="574"/>
        <w:gridCol w:w="109"/>
        <w:gridCol w:w="109"/>
        <w:gridCol w:w="109"/>
        <w:gridCol w:w="109"/>
        <w:gridCol w:w="196"/>
        <w:gridCol w:w="574"/>
        <w:gridCol w:w="109"/>
        <w:gridCol w:w="109"/>
        <w:gridCol w:w="109"/>
        <w:gridCol w:w="109"/>
        <w:gridCol w:w="206"/>
        <w:gridCol w:w="381"/>
        <w:gridCol w:w="114"/>
        <w:gridCol w:w="109"/>
        <w:gridCol w:w="109"/>
        <w:gridCol w:w="109"/>
        <w:gridCol w:w="196"/>
        <w:gridCol w:w="574"/>
        <w:gridCol w:w="109"/>
        <w:gridCol w:w="109"/>
        <w:gridCol w:w="109"/>
        <w:gridCol w:w="109"/>
        <w:gridCol w:w="196"/>
        <w:gridCol w:w="574"/>
        <w:gridCol w:w="109"/>
        <w:gridCol w:w="109"/>
        <w:gridCol w:w="109"/>
        <w:gridCol w:w="109"/>
        <w:gridCol w:w="196"/>
        <w:gridCol w:w="574"/>
        <w:gridCol w:w="109"/>
        <w:gridCol w:w="109"/>
        <w:gridCol w:w="109"/>
        <w:gridCol w:w="109"/>
        <w:gridCol w:w="215"/>
        <w:gridCol w:w="363"/>
        <w:gridCol w:w="179"/>
      </w:tblGrid>
      <w:tr>
        <w:trPr/>
        <w:tc>
          <w:tcPr>
            <w:tcW w:w="31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U.S. Treasury Futures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Notional </w:t>
              <w:br/>
              <w:t>Amount</w:t>
              <w:br/>
              <w:t>Long (Short)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Net Carrying Value </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Notional </w:t>
              <w:br/>
              <w:t>Amount</w:t>
              <w:br/>
              <w:t>Long (Short)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Net Carrying Value </w:t>
            </w:r>
            <w:r>
              <w:rPr>
                <w:rFonts w:ascii="Times New Roman;serif" w:hAnsi="Times New Roman;serif"/>
                <w:b/>
                <w:color w:val="000000"/>
                <w:sz w:val="9"/>
              </w:rPr>
              <w:t>1</w:t>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 5 year ≤ 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 7 year ≤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U.S. Treasury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tbl>
      <w:tblPr>
        <w:tblW w:w="10472" w:type="dxa"/>
        <w:jc w:val="left"/>
        <w:tblInd w:w="0" w:type="dxa"/>
        <w:tblLayout w:type="fixed"/>
        <w:tblCellMar>
          <w:top w:w="28" w:type="dxa"/>
          <w:left w:w="28" w:type="dxa"/>
          <w:bottom w:w="28" w:type="dxa"/>
          <w:right w:w="28" w:type="dxa"/>
        </w:tblCellMar>
      </w:tblPr>
      <w:tblGrid>
        <w:gridCol w:w="345"/>
        <w:gridCol w:w="225"/>
        <w:gridCol w:w="226"/>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06"/>
        <w:gridCol w:w="311"/>
      </w:tblGrid>
      <w:tr>
        <w:trPr/>
        <w:tc>
          <w:tcPr>
            <w:tcW w:w="34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TBA Securities by Coupon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Notional </w:t>
              <w:br/>
              <w:t>Amount</w:t>
              <w:br/>
              <w:t>Long (Short)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Net Carrying Value </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Notional </w:t>
              <w:br/>
              <w:t>Amount</w:t>
              <w:br/>
              <w:t>Long (Short)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Net Carrying Value </w:t>
            </w:r>
            <w:r>
              <w:rPr>
                <w:rFonts w:ascii="Times New Roman;serif" w:hAnsi="Times New Roman;serif"/>
                <w:b/>
                <w:color w:val="000000"/>
                <w:sz w:val="9"/>
              </w:rPr>
              <w:t>1</w:t>
            </w:r>
          </w:p>
        </w:tc>
      </w:tr>
      <w:tr>
        <w:trPr/>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15-Year 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15-Year 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TBA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30-Year TBA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TBA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 </w:t>
      </w:r>
    </w:p>
    <w:p>
      <w:pPr>
        <w:pStyle w:val="TextBody"/>
        <w:bidi w:val="0"/>
        <w:spacing w:lineRule="auto" w:line="26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we held SOFR futures contracts with a long notional position of $1.2 billion and $1.2 billion, respectively, measured on a two-year swap equivalent basis, with a net carrying value of $6 million and $(7) million, respectively.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Gain (Loss) From Derivative Instruments and Other Securities, Net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our derivative and other hedge portfolio and their effect on our consolidated statements of comprehensive income for the three and nine months ended September 30, 2025 and 2024 (in millions):</w:t>
      </w:r>
    </w:p>
    <w:p>
      <w:pPr>
        <w:pStyle w:val="TextBody"/>
        <w:bidi w:val="0"/>
        <w:spacing w:before="0" w:after="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7"/>
        <w:gridCol w:w="561"/>
        <w:gridCol w:w="563"/>
        <w:gridCol w:w="109"/>
        <w:gridCol w:w="109"/>
        <w:gridCol w:w="109"/>
        <w:gridCol w:w="219"/>
        <w:gridCol w:w="765"/>
        <w:gridCol w:w="121"/>
        <w:gridCol w:w="109"/>
        <w:gridCol w:w="109"/>
        <w:gridCol w:w="109"/>
        <w:gridCol w:w="368"/>
        <w:gridCol w:w="368"/>
        <w:gridCol w:w="266"/>
        <w:gridCol w:w="109"/>
        <w:gridCol w:w="109"/>
        <w:gridCol w:w="109"/>
        <w:gridCol w:w="505"/>
        <w:gridCol w:w="408"/>
        <w:gridCol w:w="410"/>
        <w:gridCol w:w="109"/>
        <w:gridCol w:w="109"/>
        <w:gridCol w:w="109"/>
        <w:gridCol w:w="216"/>
        <w:gridCol w:w="755"/>
        <w:gridCol w:w="120"/>
        <w:gridCol w:w="109"/>
        <w:gridCol w:w="109"/>
        <w:gridCol w:w="109"/>
        <w:gridCol w:w="109"/>
        <w:gridCol w:w="109"/>
        <w:gridCol w:w="109"/>
        <w:gridCol w:w="414"/>
        <w:gridCol w:w="1216"/>
        <w:gridCol w:w="331"/>
      </w:tblGrid>
      <w:tr>
        <w:trPr/>
        <w:tc>
          <w:tcPr>
            <w:tcW w:w="63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and Other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Beginning</w:t>
              <w:br/>
              <w:t xml:space="preserve">Notional 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Settlement, Termination,</w:t>
              <w:br/>
              <w:t>Expiration or</w:t>
              <w:br/>
              <w:t>Exercise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Ending</w:t>
              <w:b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Gain/(Loss)</w:t>
            </w:r>
          </w:p>
          <w:p>
            <w:pPr>
              <w:pStyle w:val="TableContents"/>
              <w:bidi w:val="0"/>
              <w:spacing w:lineRule="auto" w:line="240" w:before="0" w:after="0"/>
              <w:jc w:val="center"/>
              <w:rPr/>
            </w:pPr>
            <w:r>
              <w:rPr>
                <w:rFonts w:ascii="Times New Roman;serif" w:hAnsi="Times New Roman;serif"/>
                <w:b/>
                <w:color w:val="000000"/>
                <w:sz w:val="16"/>
              </w:rPr>
              <w:t xml:space="preserve">on Derivative Instruments and Other Securities, Net </w:t>
            </w:r>
            <w:r>
              <w:rPr>
                <w:rFonts w:ascii="Times New Roman;serif" w:hAnsi="Times New Roman;serif"/>
                <w:b/>
                <w:color w:val="000000"/>
                <w:sz w:val="10"/>
              </w:rPr>
              <w:t>1</w:t>
            </w:r>
          </w:p>
        </w:tc>
      </w:tr>
      <w:tr>
        <w:trPr/>
        <w:tc>
          <w:tcPr>
            <w:tcW w:w="17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Three months ended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TBA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53,321 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(47,762)</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payer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Payer 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Receiver swaptions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5,225 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long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contracts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Three months ended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TBA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27,804 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(29,151)</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payer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(9,575)</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39,146 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default swaps - buy protection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Receiver Swaptions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4,759 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long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(4,248)</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contracts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Nine months ended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TBA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116,987 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(109,976)</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payer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(9,050)</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Payer 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Receiver swaptions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13,413 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long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(10,825)</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contracts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10,486 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Nine months ended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TBA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89,717 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(90,885)</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payer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44,476 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(16,925)</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39,146 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receiver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default swaps - buy protection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Payer 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Receiver swaptions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8,371 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long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(6,654)</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contracts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10,395 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1.Amounts exclude other miscellaneous gains and losses and other interest income (expense) recognized in gain (loss) on derivative instruments and other securities, net in our consolidated statements of comprehensive income.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as of September 30, 2025 and 2024, we held SOFR futures contracts with a long notional position of $1.2 billion and $1.0 billion, respectively, measured on a two-year swap equivalent basis. For the three and nine months ended September 30, 2025, we recognized a gain of $8 million and $21 million, respectively, and for the three and nine months ended September 30, 2024 we recognized a gain of $36 million and $23 million, respectively, on our SOFR futures contracts in gain (loss) on derivative instruments and other securities, net in our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6. Pledged Assets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funding agreements require us to fully collateralize our obligations based on our counterparties' collateral requirements and their determination of the fair value of the securities pledged, which fluctuates with changes in interest rates, credit spreads, liquidity, and overall market conditions.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Bilateral funding agreements typically include a "haircut," or discount applied to the market value of pledged collateral, which reflects the risk characteristics of the underlying securities. Haircuts are determined on a transaction-specific basis and are not contractually fixed under the applicable Master Repurchase Agreement.</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Margin requirements for centrally cleared repurchase agreements executed through the Fixed Income Clearing Corporation ("FICC") are determined in accordance with the FICC's clearing rules. These include an initial margin requirement, calculated daily using a Value-at-Risk ("VaR") model, which takes into account any offsetting risk sensitivities of positions such as repos and reverse repos and is intended to protect the FICC against potential future exposure from a member default. The FICC also imposes variation margin based on amounts borrowed plus accrued interest, adjusted daily for fluctuations in collateral value, which is intended to cover our current repo exposure. Initial margin posted to the FICC may also be mutualized, meaning it can be used to absorb losses from the default of another clearing member, subject to applicable caps and withdrawal provisions.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also required to post collateral under our derivative agreements. These agreements typically require the posting of initial margin at inception and the daily exchange of variation margin as market values change. Initial margin for derivatives is generally based on counterparty risk models, including VaR-based approaches, and is intended to cover potential future exposure in the event of a default. Variation margin reflects current exposure and serves to settle gains and losses on a daily basis.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funding and derivative agreements expose us to credit risk in the event a counterparty fails to perform its obligations. We seek to mitigate this risk by limiting our counterparties to regulated financial institutions, registered clearinghouses, and U.S. government agencies with acceptable credit ratings, and by monitoring exposures to individual counterparties. In the event of a counterparty default, we may experience delays or losses in recovering pledged collateral or receiving payments due. We believe the credit risk associated with centrally cleared transactions is limited by the clearinghouses' daily margin practices, mutualized loss protections, designations as systemically important financial market utilities, and other risk management safeguards.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our maximum amount at risk with any counterparty related to our repurchase agreements, excluding the FICC, was less than 2% of our tangible stockholders' equity (or the excess/shortfall of the value of collateral pledged/received over our repurchase agreement liabilities/reverse repurchase agreement receivables). As of September 30, 2025, less than 8% of our tangible stockholders' equity was at risk with the FICC.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Assets Pledged to Counterparties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assets pledged as collateral under our funding, derivative and brokerage and clearing agreements by type, including securities pledged related to securities sold but not yet settled, as of September 30, 2025 and December 31, 2024 (in millions):</w:t>
      </w:r>
    </w:p>
    <w:tbl>
      <w:tblPr>
        <w:tblW w:w="10205" w:type="dxa"/>
        <w:jc w:val="center"/>
        <w:tblInd w:w="0" w:type="dxa"/>
        <w:tblLayout w:type="fixed"/>
        <w:tblCellMar>
          <w:top w:w="28" w:type="dxa"/>
          <w:left w:w="28" w:type="dxa"/>
          <w:bottom w:w="28" w:type="dxa"/>
          <w:right w:w="28" w:type="dxa"/>
        </w:tblCellMar>
      </w:tblPr>
      <w:tblGrid>
        <w:gridCol w:w="933"/>
        <w:gridCol w:w="820"/>
        <w:gridCol w:w="825"/>
        <w:gridCol w:w="109"/>
        <w:gridCol w:w="109"/>
        <w:gridCol w:w="109"/>
        <w:gridCol w:w="379"/>
        <w:gridCol w:w="1250"/>
        <w:gridCol w:w="212"/>
        <w:gridCol w:w="109"/>
        <w:gridCol w:w="109"/>
        <w:gridCol w:w="109"/>
        <w:gridCol w:w="334"/>
        <w:gridCol w:w="566"/>
        <w:gridCol w:w="188"/>
        <w:gridCol w:w="109"/>
        <w:gridCol w:w="109"/>
        <w:gridCol w:w="109"/>
        <w:gridCol w:w="542"/>
        <w:gridCol w:w="1542"/>
        <w:gridCol w:w="305"/>
        <w:gridCol w:w="109"/>
        <w:gridCol w:w="109"/>
        <w:gridCol w:w="109"/>
        <w:gridCol w:w="196"/>
        <w:gridCol w:w="646"/>
        <w:gridCol w:w="159"/>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57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Assets Pledged to Counterparties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Repurchase Agreements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Debt of </w:t>
              <w:br/>
              <w:t xml:space="preserve">Consolidated </w:t>
              <w:br/>
              <w:t>VIEs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Agreements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RMBS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70,058 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70,280 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CRT -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Non-Agency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U.S. Treasury securities -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Accrued interest on pledged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76,466 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1,635 </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78,189 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33"/>
        <w:gridCol w:w="820"/>
        <w:gridCol w:w="825"/>
        <w:gridCol w:w="109"/>
        <w:gridCol w:w="109"/>
        <w:gridCol w:w="109"/>
        <w:gridCol w:w="379"/>
        <w:gridCol w:w="1250"/>
        <w:gridCol w:w="212"/>
        <w:gridCol w:w="109"/>
        <w:gridCol w:w="109"/>
        <w:gridCol w:w="109"/>
        <w:gridCol w:w="334"/>
        <w:gridCol w:w="566"/>
        <w:gridCol w:w="188"/>
        <w:gridCol w:w="109"/>
        <w:gridCol w:w="109"/>
        <w:gridCol w:w="109"/>
        <w:gridCol w:w="542"/>
        <w:gridCol w:w="1542"/>
        <w:gridCol w:w="305"/>
        <w:gridCol w:w="109"/>
        <w:gridCol w:w="109"/>
        <w:gridCol w:w="109"/>
        <w:gridCol w:w="196"/>
        <w:gridCol w:w="646"/>
        <w:gridCol w:w="159"/>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57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Assets Pledged to Counterparties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Repurchase Agreements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Debt of </w:t>
              <w:br/>
              <w:t xml:space="preserve">Consolidated </w:t>
              <w:br/>
              <w:t>VIEs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Agreements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RMBS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59,958 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60,082 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CRT -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Non-Agency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U.S. Treasury securities -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Accrued interest on pledged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62,833 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1,059 </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63,989 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repledged assets received as collateral from counterparties and securities sold but not yet settled.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2.Includes $31 million and $33 million of retained interests in our consolidated VIEs pledged as collateral under repurchase agreements as of September 30, 2025 and December 31, 2024, respectively.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The following table summarizes our securities pledged as collateral under our repurchase agreements by the remaining maturity of our borrowings, including securities pledged related to sold but not yet settled securities, as of September 30, 2025 and December 31, 2024 (in millions). For the corresponding borrowings associated with the following amounts and the interest rates thereon, refer to Note 4</w:t>
      </w:r>
      <w:r>
        <w:rPr>
          <w:rFonts w:ascii="Times New Roman;serif" w:hAnsi="Times New Roman;serif"/>
          <w:b w:val="false"/>
          <w:i/>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92"/>
        <w:gridCol w:w="610"/>
        <w:gridCol w:w="612"/>
        <w:gridCol w:w="109"/>
        <w:gridCol w:w="109"/>
        <w:gridCol w:w="109"/>
        <w:gridCol w:w="262"/>
        <w:gridCol w:w="866"/>
        <w:gridCol w:w="146"/>
        <w:gridCol w:w="109"/>
        <w:gridCol w:w="109"/>
        <w:gridCol w:w="109"/>
        <w:gridCol w:w="216"/>
        <w:gridCol w:w="714"/>
        <w:gridCol w:w="120"/>
        <w:gridCol w:w="109"/>
        <w:gridCol w:w="109"/>
        <w:gridCol w:w="109"/>
        <w:gridCol w:w="219"/>
        <w:gridCol w:w="472"/>
        <w:gridCol w:w="123"/>
        <w:gridCol w:w="109"/>
        <w:gridCol w:w="109"/>
        <w:gridCol w:w="109"/>
        <w:gridCol w:w="262"/>
        <w:gridCol w:w="866"/>
        <w:gridCol w:w="146"/>
        <w:gridCol w:w="109"/>
        <w:gridCol w:w="109"/>
        <w:gridCol w:w="109"/>
        <w:gridCol w:w="216"/>
        <w:gridCol w:w="714"/>
        <w:gridCol w:w="120"/>
        <w:gridCol w:w="109"/>
        <w:gridCol w:w="109"/>
        <w:gridCol w:w="109"/>
        <w:gridCol w:w="217"/>
        <w:gridCol w:w="469"/>
        <w:gridCol w:w="181"/>
      </w:tblGrid>
      <w:tr>
        <w:trPr/>
        <w:tc>
          <w:tcPr>
            <w:tcW w:w="69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9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Securities Pledged by Remaining Maturity of Repurchase Agreements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Pledged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 of</w:t>
              <w:br/>
              <w:t>Pledged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Accrued</w:t>
              <w:br/>
              <w:t>Interest on</w:t>
              <w:br/>
              <w:t>Pledged</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Pledged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 of</w:t>
              <w:br/>
              <w:t>Pledged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Accrued</w:t>
              <w:br/>
              <w:t>Interest on</w:t>
              <w:br/>
              <w:t>Pledged</w:t>
              <w:br/>
              <w:t>Securities</w:t>
            </w:r>
          </w:p>
        </w:tc>
      </w:tr>
      <w:tr>
        <w:trPr/>
        <w:tc>
          <w:tcPr>
            <w:tcW w:w="1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 </w:t>
            </w:r>
            <w:r>
              <w:rPr>
                <w:rFonts w:ascii="Times New Roman;serif" w:hAnsi="Times New Roman;serif"/>
                <w:b w:val="false"/>
                <w:color w:val="000000"/>
                <w:sz w:val="16"/>
              </w:rPr>
              <w:t>1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71,394 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71,813 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58,180 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60,506 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&gt; 1 and ≤ 2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&gt; 2 and ≤ 3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&gt; 3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75,750 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76,234 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62,168 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64,882 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$31 million and $33 million of retained interests in our consolidated VIEs pledged as collateral under repurchase agreements as of September 30, 2025 and December 31, 2024, respectively.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Assets Pledged from Counterparties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we had assets pledged to us from counterparties as collateral under our reverse repurchase and derivative agreements summarized in the tables below (in millions).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tbl>
      <w:tblPr>
        <w:tblW w:w="11080" w:type="dxa"/>
        <w:jc w:val="left"/>
        <w:tblInd w:w="0" w:type="dxa"/>
        <w:tblLayout w:type="fixed"/>
        <w:tblCellMar>
          <w:top w:w="28" w:type="dxa"/>
          <w:left w:w="28" w:type="dxa"/>
          <w:bottom w:w="28" w:type="dxa"/>
          <w:right w:w="28" w:type="dxa"/>
        </w:tblCellMar>
      </w:tblPr>
      <w:tblGrid>
        <w:gridCol w:w="310"/>
        <w:gridCol w:w="220"/>
        <w:gridCol w:w="221"/>
        <w:gridCol w:w="109"/>
        <w:gridCol w:w="109"/>
        <w:gridCol w:w="109"/>
        <w:gridCol w:w="198"/>
        <w:gridCol w:w="652"/>
        <w:gridCol w:w="111"/>
        <w:gridCol w:w="109"/>
        <w:gridCol w:w="109"/>
        <w:gridCol w:w="109"/>
        <w:gridCol w:w="264"/>
        <w:gridCol w:w="548"/>
        <w:gridCol w:w="149"/>
        <w:gridCol w:w="109"/>
        <w:gridCol w:w="109"/>
        <w:gridCol w:w="109"/>
        <w:gridCol w:w="296"/>
        <w:gridCol w:w="500"/>
        <w:gridCol w:w="165"/>
        <w:gridCol w:w="109"/>
        <w:gridCol w:w="109"/>
        <w:gridCol w:w="109"/>
        <w:gridCol w:w="196"/>
        <w:gridCol w:w="646"/>
        <w:gridCol w:w="109"/>
        <w:gridCol w:w="109"/>
        <w:gridCol w:w="109"/>
        <w:gridCol w:w="109"/>
        <w:gridCol w:w="198"/>
        <w:gridCol w:w="652"/>
        <w:gridCol w:w="111"/>
        <w:gridCol w:w="109"/>
        <w:gridCol w:w="109"/>
        <w:gridCol w:w="109"/>
        <w:gridCol w:w="264"/>
        <w:gridCol w:w="548"/>
        <w:gridCol w:w="149"/>
        <w:gridCol w:w="109"/>
        <w:gridCol w:w="109"/>
        <w:gridCol w:w="109"/>
        <w:gridCol w:w="296"/>
        <w:gridCol w:w="500"/>
        <w:gridCol w:w="165"/>
        <w:gridCol w:w="109"/>
        <w:gridCol w:w="109"/>
        <w:gridCol w:w="109"/>
        <w:gridCol w:w="196"/>
        <w:gridCol w:w="646"/>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 Pledged to AGNC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Reverse 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Reverse 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securities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U.S. Treasury securities - fair value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Cash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21,191 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Offsetting Assets and Liabilities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September 30, 2025 and December 31, 2024 (in millions):</w:t>
      </w:r>
    </w:p>
    <w:tbl>
      <w:tblPr>
        <w:tblW w:w="10205" w:type="dxa"/>
        <w:jc w:val="left"/>
        <w:tblInd w:w="0" w:type="dxa"/>
        <w:tblLayout w:type="fixed"/>
        <w:tblCellMar>
          <w:top w:w="28" w:type="dxa"/>
          <w:left w:w="28" w:type="dxa"/>
          <w:bottom w:w="28" w:type="dxa"/>
          <w:right w:w="28" w:type="dxa"/>
        </w:tblCellMar>
      </w:tblPr>
      <w:tblGrid>
        <w:gridCol w:w="514"/>
        <w:gridCol w:w="405"/>
        <w:gridCol w:w="407"/>
        <w:gridCol w:w="109"/>
        <w:gridCol w:w="109"/>
        <w:gridCol w:w="109"/>
        <w:gridCol w:w="240"/>
        <w:gridCol w:w="792"/>
        <w:gridCol w:w="133"/>
        <w:gridCol w:w="109"/>
        <w:gridCol w:w="109"/>
        <w:gridCol w:w="109"/>
        <w:gridCol w:w="394"/>
        <w:gridCol w:w="818"/>
        <w:gridCol w:w="220"/>
        <w:gridCol w:w="109"/>
        <w:gridCol w:w="109"/>
        <w:gridCol w:w="109"/>
        <w:gridCol w:w="313"/>
        <w:gridCol w:w="1034"/>
        <w:gridCol w:w="177"/>
        <w:gridCol w:w="109"/>
        <w:gridCol w:w="109"/>
        <w:gridCol w:w="109"/>
        <w:gridCol w:w="210"/>
        <w:gridCol w:w="723"/>
        <w:gridCol w:w="117"/>
        <w:gridCol w:w="109"/>
        <w:gridCol w:w="109"/>
        <w:gridCol w:w="109"/>
        <w:gridCol w:w="213"/>
        <w:gridCol w:w="634"/>
        <w:gridCol w:w="118"/>
        <w:gridCol w:w="109"/>
        <w:gridCol w:w="109"/>
        <w:gridCol w:w="109"/>
        <w:gridCol w:w="221"/>
        <w:gridCol w:w="374"/>
        <w:gridCol w:w="186"/>
      </w:tblGrid>
      <w:tr>
        <w:trPr/>
        <w:tc>
          <w:tcPr>
            <w:tcW w:w="51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Offsetting of Financial and Derivative Assets</w:t>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Offset in the 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of Assets Presented in the 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w:t>
              <w:br/>
              <w:t xml:space="preserve"> in the </w:t>
              <w:br/>
              <w:t>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Collateral Received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Interest rate swap and swaption agreements, at fair value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TBA securities, at fair value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under reverse 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21,399 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21,399 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(17,187)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21,538 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21,538 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(17,234)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Interest rate swap and swaption agreements, at fair value</w:t>
            </w:r>
            <w:r>
              <w:rPr>
                <w:color w:val="000000"/>
              </w:rPr>
              <w:t xml:space="preserve">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TBA securities, at fair value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under reverse 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17,137 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17,137 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(11,741)</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(5,485)</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70"/>
        <w:gridCol w:w="366"/>
        <w:gridCol w:w="367"/>
        <w:gridCol w:w="109"/>
        <w:gridCol w:w="109"/>
        <w:gridCol w:w="109"/>
        <w:gridCol w:w="245"/>
        <w:gridCol w:w="810"/>
        <w:gridCol w:w="136"/>
        <w:gridCol w:w="109"/>
        <w:gridCol w:w="109"/>
        <w:gridCol w:w="109"/>
        <w:gridCol w:w="391"/>
        <w:gridCol w:w="813"/>
        <w:gridCol w:w="219"/>
        <w:gridCol w:w="109"/>
        <w:gridCol w:w="109"/>
        <w:gridCol w:w="109"/>
        <w:gridCol w:w="317"/>
        <w:gridCol w:w="1048"/>
        <w:gridCol w:w="179"/>
        <w:gridCol w:w="109"/>
        <w:gridCol w:w="109"/>
        <w:gridCol w:w="109"/>
        <w:gridCol w:w="210"/>
        <w:gridCol w:w="721"/>
        <w:gridCol w:w="117"/>
        <w:gridCol w:w="109"/>
        <w:gridCol w:w="109"/>
        <w:gridCol w:w="109"/>
        <w:gridCol w:w="207"/>
        <w:gridCol w:w="711"/>
        <w:gridCol w:w="115"/>
        <w:gridCol w:w="109"/>
        <w:gridCol w:w="109"/>
        <w:gridCol w:w="109"/>
        <w:gridCol w:w="204"/>
        <w:gridCol w:w="423"/>
        <w:gridCol w:w="174"/>
      </w:tblGrid>
      <w:tr>
        <w:trPr/>
        <w:tc>
          <w:tcPr>
            <w:tcW w:w="47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Offsetting of Financial and Derivative Liabilities</w:t>
            </w:r>
          </w:p>
        </w:tc>
      </w:tr>
      <w:tr>
        <w:trPr/>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Offset in the 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of Liabilities Presented in the 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w:t>
              <w:br/>
              <w:t xml:space="preserve"> in the </w:t>
              <w:br/>
              <w:t>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Collateral Pledged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Interest rate swap agreements, at fair value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TBA securities, at fair value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74,152 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74,152 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(17,187)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(56,965)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74,205 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74,205 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(17,234)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(56,971)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TBA securities, at fair value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60,798 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60,798 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(49,118)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60,885 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60,885 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(11,741)</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(49,144)</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1.Reported under derivative assets / liabilities, at fair value in the accompanying consolidated balance sheets. Refer to Note 5 for a reconciliation of derivative assets / liabilities, at fair value to their sub-components.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2.Includes cash and securities pledged / received as collateral, at fair value. Amounts include repledged collateral. Amounts presented are limited to collateral pledged sufficient to reduce the net amount to zero for individual counterparties, as applicable.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7. Fair Value Measurements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summary of our assets and liabilities that are measured at fair value on a recurring basis, as of September 30, 2025 and December 31, 2024, based on their categorization within the valuation hierarchy (in millions). There were no transfers between valuation hierarchy levels during the periods presented in our accompanying consolidated statements of comprehensive income. </w:t>
      </w:r>
    </w:p>
    <w:tbl>
      <w:tblPr>
        <w:tblW w:w="10205" w:type="dxa"/>
        <w:jc w:val="left"/>
        <w:tblInd w:w="0" w:type="dxa"/>
        <w:tblLayout w:type="fixed"/>
        <w:tblCellMar>
          <w:top w:w="28" w:type="dxa"/>
          <w:left w:w="28" w:type="dxa"/>
          <w:bottom w:w="28" w:type="dxa"/>
          <w:right w:w="28" w:type="dxa"/>
        </w:tblCellMar>
      </w:tblPr>
      <w:tblGrid>
        <w:gridCol w:w="1118"/>
        <w:gridCol w:w="852"/>
        <w:gridCol w:w="843"/>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09"/>
        <w:gridCol w:w="109"/>
        <w:gridCol w:w="109"/>
        <w:gridCol w:w="109"/>
        <w:gridCol w:w="196"/>
        <w:gridCol w:w="646"/>
        <w:gridCol w:w="109"/>
        <w:gridCol w:w="109"/>
        <w:gridCol w:w="109"/>
        <w:gridCol w:w="109"/>
        <w:gridCol w:w="196"/>
        <w:gridCol w:w="406"/>
        <w:gridCol w:w="313"/>
      </w:tblGrid>
      <w:tr>
        <w:trPr/>
        <w:tc>
          <w:tcPr>
            <w:tcW w:w="111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Agency securities transferred to consolidated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Credit risk transfer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Non-Agency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6"/>
              </w:rPr>
              <w:t xml:space="preserve">Interest rate swaps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U.S. Treasury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of consolidated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Obligation to return U.S. Treasury securities borrowed under reverse repurchase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6"/>
              </w:rPr>
              <w:t xml:space="preserve">Interest rate swaps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1.As of September 30, 2025 and December 31, 2024, the net fair value of our interest rate swaps excluding the recognition of variation margin settlements as a direct reduction of carrying value was a net asset (liability) of $0.7 billion and $2.3 billion, respectively, based on "Level 2" inputs.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Excluded from the table above are financial instruments reported at cost and other mortgage credit investments reported under the equity method of accounting in our consolidated financial statements. As of September 30, 2025 and December 31, 2024, the fair value of our repurchase agreements approximated cost, given their short-term nature (less than one year) and the rates on our outstanding repurchase agreements largely corresponded to prevailing rates observed in the repo market. The fair value of cash and cash equivalents, restricted cash, receivables and other payables were determined to approximate cost as of such dates due to their short duration. We estimate the fair value of these instruments carried at cost using "Level 1" or "Level 2" inputs. As of September 30, 2025 and December 31, 2024, the carrying value of other mortgage credit investments reported under the equity method of accounting was $69 million and $64 million, respectively.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8. Net Income (Loss) Per Common Share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that were outstanding during the period, which were granted under our long-term incentive program to employees and non-employee members of the Board of Directors ("the Board"). Diluted net income (loss) per common share assumes the issuance of all potential common stock equivalents unless doing so would reduce a loss or increase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10"/>
        <w:gridCol w:w="1400"/>
        <w:gridCol w:w="1409"/>
        <w:gridCol w:w="109"/>
        <w:gridCol w:w="109"/>
        <w:gridCol w:w="109"/>
        <w:gridCol w:w="265"/>
        <w:gridCol w:w="614"/>
        <w:gridCol w:w="143"/>
        <w:gridCol w:w="143"/>
        <w:gridCol w:w="143"/>
        <w:gridCol w:w="143"/>
        <w:gridCol w:w="258"/>
        <w:gridCol w:w="614"/>
        <w:gridCol w:w="143"/>
        <w:gridCol w:w="109"/>
        <w:gridCol w:w="109"/>
        <w:gridCol w:w="109"/>
        <w:gridCol w:w="251"/>
        <w:gridCol w:w="598"/>
        <w:gridCol w:w="139"/>
        <w:gridCol w:w="139"/>
        <w:gridCol w:w="139"/>
        <w:gridCol w:w="139"/>
        <w:gridCol w:w="251"/>
        <w:gridCol w:w="598"/>
        <w:gridCol w:w="139"/>
        <w:gridCol w:w="109"/>
        <w:gridCol w:w="164"/>
      </w:tblGrid>
      <w:tr>
        <w:trPr/>
        <w:tc>
          <w:tcPr>
            <w:tcW w:w="161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273" w:type="dxa"/>
            <w:gridSpan w:val="2"/>
            <w:tcBorders/>
          </w:tcPr>
          <w:p>
            <w:pPr>
              <w:pStyle w:val="TableContents"/>
              <w:bidi w:val="0"/>
              <w:spacing w:before="0" w:after="283"/>
              <w:jc w:val="left"/>
              <w:rPr>
                <w:sz w:val="4"/>
                <w:szCs w:val="4"/>
              </w:rPr>
            </w:pPr>
            <w:r>
              <w:rPr>
                <w:sz w:val="4"/>
                <w:szCs w:val="4"/>
              </w:rPr>
            </w:r>
          </w:p>
        </w:tc>
      </w:tr>
      <w:tr>
        <w:trPr/>
        <w:tc>
          <w:tcPr>
            <w:tcW w:w="4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fully vested restricted stock units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dilutive unvested restricted stock units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752.3</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764 </w:t>
            </w:r>
          </w:p>
        </w:tc>
        <w:tc>
          <w:tcPr>
            <w:tcW w:w="1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common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0.73 </w:t>
            </w:r>
          </w:p>
        </w:tc>
        <w:tc>
          <w:tcPr>
            <w:tcW w:w="1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0.39 </w:t>
            </w:r>
          </w:p>
        </w:tc>
        <w:tc>
          <w:tcPr>
            <w:tcW w:w="1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13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0.86 </w:t>
            </w:r>
          </w:p>
        </w:tc>
        <w:tc>
          <w:tcPr>
            <w:tcW w:w="13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common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0.72 </w:t>
            </w:r>
          </w:p>
        </w:tc>
        <w:tc>
          <w:tcPr>
            <w:tcW w:w="14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0.39 </w:t>
            </w:r>
          </w:p>
        </w:tc>
        <w:tc>
          <w:tcPr>
            <w:tcW w:w="14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1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0.86 </w:t>
            </w:r>
          </w:p>
        </w:tc>
        <w:tc>
          <w:tcPr>
            <w:tcW w:w="1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9. Stockholders' Equity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authorized to designate and issue up to 10.0 million shares of preferred stock in one or more classes or series. As of September 30, 2025 and December 31, 2024, 13,800, 10,350, 16,100, 23,000 and 6,900 shares of preferred stock were designated as 7.00% Series C Fixed-to-Floating Rate Cumulative Redeemable Preferred Stock, 6.875% Series D Fixed-to-Floating Rate Cumulative Redeemable Preferred Stock, 6.50% Series E Fixed-to-Floating Rate Cumulative Redeemable Preferred Stock, 6.125% Series F Fixed-to-Floating Rate Cumulative Redeemable Preferred Stock and 7.75% Series G Fixed-Rate Reset Cumulative Redeemable Preferred Stock, respectively, (referred to as "Series C, D, E, F and G Preferred Stock", respectively). As of September 30, 2025, an additional 13,800 shares were designated as 8.75% Series H Fixed-Rate Cumulative Redeemable Preferred stock (referred to as "Series H Preferred Stock"). As of September 30, 2025 and December 31, 2024, 13,000, 9,400, 16,100, 23,000 and 6,000 shares of Series C, D, E, F and G Preferred Stock, respectively, were issued and outstanding. As of September 30, 2025, an additional 13,800 shares of Series H Preferred Stock were issued and outstanding. Each share of preferred stock is represented by 1,000 depositary shares. Each share of preferred stock has a liquidation preference of $25,000 per share ($25 per depositary share).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includes a summary of preferred stock depositary shares issued and outstanding as of September 30, 2025 (dollars and shares in millions):</w:t>
      </w:r>
    </w:p>
    <w:tbl>
      <w:tblPr>
        <w:tblW w:w="10205" w:type="dxa"/>
        <w:jc w:val="center"/>
        <w:tblInd w:w="0" w:type="dxa"/>
        <w:tblLayout w:type="fixed"/>
        <w:tblCellMar>
          <w:top w:w="28" w:type="dxa"/>
          <w:left w:w="28" w:type="dxa"/>
          <w:bottom w:w="28" w:type="dxa"/>
          <w:right w:w="28" w:type="dxa"/>
        </w:tblCellMar>
      </w:tblPr>
      <w:tblGrid>
        <w:gridCol w:w="745"/>
        <w:gridCol w:w="481"/>
        <w:gridCol w:w="482"/>
        <w:gridCol w:w="109"/>
        <w:gridCol w:w="109"/>
        <w:gridCol w:w="109"/>
        <w:gridCol w:w="415"/>
        <w:gridCol w:w="272"/>
        <w:gridCol w:w="247"/>
        <w:gridCol w:w="109"/>
        <w:gridCol w:w="109"/>
        <w:gridCol w:w="109"/>
        <w:gridCol w:w="310"/>
        <w:gridCol w:w="310"/>
        <w:gridCol w:w="311"/>
        <w:gridCol w:w="109"/>
        <w:gridCol w:w="109"/>
        <w:gridCol w:w="109"/>
        <w:gridCol w:w="181"/>
        <w:gridCol w:w="496"/>
        <w:gridCol w:w="109"/>
        <w:gridCol w:w="109"/>
        <w:gridCol w:w="109"/>
        <w:gridCol w:w="109"/>
        <w:gridCol w:w="261"/>
        <w:gridCol w:w="716"/>
        <w:gridCol w:w="158"/>
        <w:gridCol w:w="109"/>
        <w:gridCol w:w="109"/>
        <w:gridCol w:w="109"/>
        <w:gridCol w:w="325"/>
        <w:gridCol w:w="325"/>
        <w:gridCol w:w="326"/>
        <w:gridCol w:w="109"/>
        <w:gridCol w:w="109"/>
        <w:gridCol w:w="109"/>
        <w:gridCol w:w="501"/>
        <w:gridCol w:w="501"/>
        <w:gridCol w:w="502"/>
        <w:gridCol w:w="109"/>
        <w:gridCol w:w="160"/>
      </w:tblGrid>
      <w:tr>
        <w:trPr/>
        <w:tc>
          <w:tcPr>
            <w:tcW w:w="74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Depositary</w:t>
              <w:br/>
              <w:t>Shares</w:t>
              <w:br/>
              <w:t>Issued</w:t>
              <w:br/>
              <w:t>and</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Aggregate</w:t>
              <w:br/>
              <w:t>Liquidation Preference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 Annum Dividend</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First Optional</w:t>
            </w:r>
          </w:p>
          <w:p>
            <w:pPr>
              <w:pStyle w:val="TableContents"/>
              <w:bidi w:val="0"/>
              <w:spacing w:lineRule="auto" w:line="240" w:before="0" w:after="0"/>
              <w:jc w:val="center"/>
              <w:rPr/>
            </w:pPr>
            <w:r>
              <w:rPr>
                <w:rFonts w:ascii="Times New Roman;serif" w:hAnsi="Times New Roman;serif"/>
                <w:b/>
                <w:color w:val="000000"/>
                <w:sz w:val="16"/>
              </w:rPr>
              <w:t xml:space="preserve">Redemption Date / Conversion Date </w:t>
            </w:r>
            <w:r>
              <w:rPr>
                <w:rFonts w:ascii="Times New Roman;serif" w:hAnsi="Times New Roman;serif"/>
                <w:b/>
                <w:color w:val="000000"/>
                <w:sz w:val="10"/>
              </w:rPr>
              <w:t>2,3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Fixed-to-Floating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22,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9.69038%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15, 2022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6,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8.91138%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15, 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3,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9.57238%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15, 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11,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9.27638%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15,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Fixed-Rate Reset: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14,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15, 2027</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10,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15, 2030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1.The depositary shares underlying our preferred stock accrue dividends on the $25.00 liquidation preference per depositary share from the issuance date until they are redeemed in accordance with their terms. The per annum dividend rates for the depositary shares underlying the Series C, D, E and F Preferred Stock represent the rates in effect as of September 30, 2025, and are reset quarterly. The depositary shares underlying the Series G Preferred Stock accrue dividends at an initial annual fixed rate until the fixed-rate-reset conversion date, after which dividends on these depositary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shares accrue on a fixed-rate-reset basis equal to the conversion rate plus a fixed spread. The depositary shares underlying the Series H Preferred Stock accrue dividends at a fixed rate.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2.The Series C, D, E and F dividends accrue at a rate equal to the 3-Month CME Term SOFR plus 0.26161%, plus spreads of 5.111%, 4.332%, 4.993% and 4.697%, respectively, per annum, resetting quarterly in accordance with the certificate of designations for such series and the Adjustable Interest Rate (LIBOR) Act of 2021 (the “LIBOR Act”). At the conclusion of the fixed rate period for the Series G Preferred Stock, the dividend will accrue at a floating rate equal to the 5-Year US Treasury rate plus a spread of 4.39% per annum and will reset in accordance with the certificate of designations for such series.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3.Shares may be redeemed prior to our optional redemption date under certain circumstances intended to preserve our qualification as a REIT for U.S federal income tax purposes.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At-the-Market Offering Program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authorized by our Board to enter into agreements with sales agents to publicly offer and sell shares of our common stock in privately negotiated and/or at-the-market transactions from time-to-time up to a maximum aggregate offering price of our common stock. The following table includes a summary of shares of our common stock issued under the sales agreements during the three and nine months ended September 30, 2025 and 2024 (in millions, except for per share data). As of September 30, 2025, shares of our common stock with an aggregate offering price of $1.0 billion remained authorized for issuance under this program through December 31, 2026.</w:t>
      </w:r>
    </w:p>
    <w:tbl>
      <w:tblPr>
        <w:tblW w:w="7764" w:type="dxa"/>
        <w:jc w:val="center"/>
        <w:tblInd w:w="0" w:type="dxa"/>
        <w:tblLayout w:type="fixed"/>
        <w:tblCellMar>
          <w:top w:w="28" w:type="dxa"/>
          <w:left w:w="28" w:type="dxa"/>
          <w:bottom w:w="28" w:type="dxa"/>
          <w:right w:w="28" w:type="dxa"/>
        </w:tblCellMar>
      </w:tblPr>
      <w:tblGrid>
        <w:gridCol w:w="620"/>
        <w:gridCol w:w="544"/>
        <w:gridCol w:w="546"/>
        <w:gridCol w:w="109"/>
        <w:gridCol w:w="109"/>
        <w:gridCol w:w="109"/>
        <w:gridCol w:w="979"/>
        <w:gridCol w:w="979"/>
        <w:gridCol w:w="982"/>
        <w:gridCol w:w="109"/>
        <w:gridCol w:w="109"/>
        <w:gridCol w:w="109"/>
        <w:gridCol w:w="318"/>
        <w:gridCol w:w="318"/>
        <w:gridCol w:w="325"/>
        <w:gridCol w:w="109"/>
        <w:gridCol w:w="109"/>
        <w:gridCol w:w="109"/>
        <w:gridCol w:w="364"/>
        <w:gridCol w:w="354"/>
        <w:gridCol w:w="454"/>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ATM Offerings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Received Per Share,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Proceeds</w:t>
            </w:r>
          </w:p>
        </w:tc>
      </w:tr>
      <w:tr>
        <w:trPr/>
        <w:tc>
          <w:tcPr>
            <w:tcW w:w="1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   </w:t>
            </w:r>
            <w:r>
              <w:rPr>
                <w:rFonts w:ascii="Times New Roman;serif" w:hAnsi="Times New Roman;serif"/>
                <w:b w:val="false"/>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$309</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$781</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   </w:t>
            </w:r>
            <w:r>
              <w:rPr>
                <w:rFonts w:ascii="Times New Roman;serif" w:hAnsi="Times New Roman;serif"/>
                <w:b w:val="false"/>
                <w:color w:val="000000"/>
                <w:sz w:val="16"/>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68" w:before="180" w:after="283"/>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173.3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68" w:before="180" w:after="283"/>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$1,617</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$9.78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149.0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$1,456</w:t>
            </w:r>
          </w:p>
        </w:tc>
      </w:tr>
    </w:tbl>
    <w:p>
      <w:pPr>
        <w:pStyle w:val="TextBody"/>
        <w:bidi w:val="0"/>
        <w:spacing w:lineRule="auto" w:line="288" w:before="18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Accumulated Other Comprehensive Income (Loss)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to accumulated OCI for the three and nine months ended September 30, 2025 and 2024 (in millions):</w:t>
      </w:r>
    </w:p>
    <w:tbl>
      <w:tblPr>
        <w:tblW w:w="10205" w:type="dxa"/>
        <w:jc w:val="center"/>
        <w:tblInd w:w="0" w:type="dxa"/>
        <w:tblLayout w:type="fixed"/>
        <w:tblCellMar>
          <w:top w:w="28" w:type="dxa"/>
          <w:left w:w="28" w:type="dxa"/>
          <w:bottom w:w="28" w:type="dxa"/>
          <w:right w:w="28" w:type="dxa"/>
        </w:tblCellMar>
      </w:tblPr>
      <w:tblGrid>
        <w:gridCol w:w="2065"/>
        <w:gridCol w:w="1744"/>
        <w:gridCol w:w="1748"/>
        <w:gridCol w:w="109"/>
        <w:gridCol w:w="109"/>
        <w:gridCol w:w="109"/>
        <w:gridCol w:w="196"/>
        <w:gridCol w:w="463"/>
        <w:gridCol w:w="109"/>
        <w:gridCol w:w="109"/>
        <w:gridCol w:w="109"/>
        <w:gridCol w:w="109"/>
        <w:gridCol w:w="196"/>
        <w:gridCol w:w="463"/>
        <w:gridCol w:w="109"/>
        <w:gridCol w:w="109"/>
        <w:gridCol w:w="109"/>
        <w:gridCol w:w="109"/>
        <w:gridCol w:w="196"/>
        <w:gridCol w:w="463"/>
        <w:gridCol w:w="109"/>
        <w:gridCol w:w="109"/>
        <w:gridCol w:w="109"/>
        <w:gridCol w:w="109"/>
        <w:gridCol w:w="196"/>
        <w:gridCol w:w="463"/>
        <w:gridCol w:w="109"/>
        <w:gridCol w:w="109"/>
        <w:gridCol w:w="159"/>
      </w:tblGrid>
      <w:tr>
        <w:trPr/>
        <w:tc>
          <w:tcPr>
            <w:tcW w:w="2065"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Nine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Beginning Balance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OCI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amounts for available-for-sale securities reclassified from accumulated OCI to realized gain (loss) on sale of investment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Segment Reporting</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investment portfolio consists primarily of Agency RMBS, and we fund our investments primarily through collateralized borrowings structured as repurchase agreements. As part of our operations, we are exposed to market risks, including interest rate, prepayment, extension, spread, and credit risks.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Our portfolio is managed as a whole, with investment and hedging decisions assessed collectively by the Chief Operating Decision Maker (CODM). The CODM, represented by our Chief Executive Officer with the support of our Executive Management Committee, allocates resources and evaluates financial performance by considering the market risks identified above. The CODM also considers factors such as total assets and repurchase agreements outstanding, as reported on the consolidated balance sheet; our TBA position, as disclosed in Note 5. </w:t>
      </w:r>
      <w:r>
        <w:rPr>
          <w:rFonts w:ascii="Times New Roman;serif" w:hAnsi="Times New Roman;serif"/>
          <w:b w:val="false"/>
          <w:i/>
          <w:color w:val="000000"/>
          <w:sz w:val="20"/>
        </w:rPr>
        <w:t>Derivative and Other Hedging Instruments</w:t>
      </w:r>
      <w:r>
        <w:rPr>
          <w:rFonts w:ascii="Times New Roman;serif" w:hAnsi="Times New Roman;serif"/>
          <w:b w:val="false"/>
          <w:color w:val="000000"/>
          <w:sz w:val="20"/>
        </w:rPr>
        <w:t>; our ability to hedge certain risks; and our intention to qualify as a REIT. Consequently, the Company operates as a single reportable segment, as reflected in the accompanying consolidated financial statements and notes.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CODM assesses performance using comprehensive income (loss), as reported on the consolidated statement of comprehensive income (loss). Comprehensive income (loss) is a key determinant of the Company’s economic return, calculated as the change in tangible stockholders’ equity attributable to common stockholders plus common stock dividends declared, divided by the prior period’s tangible stockholders’ equity attributable to common stockholders, each computed on a per common share basis. This measure is used to monitor actual results, benchmark performance against peers, and inform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management’s compensation. Additionally, the CODM also evaluates consolidated expense information, including interest expense, compensation and benefits, and other operating expenses, as significant metrics in decision-making.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September 30, 2025. Our MD&amp;A is presented in the following sections: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Executive Overview</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Financial Condition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Results of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Liquidity and Capital Resources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Off-Balance Sheet Arrangements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Forward-Looking Statements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Website and Social Media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Federal National Mortgage Association ("Fannie Mae") and Federal Home Loan Mortgage Corporation ("Freddie Mac," and together with Fannie Mae, the "GSEs"), or by a U.S. Government agency, such as Government National Mortgage Association ("Ginnie Mae"). We may also invest in other assets related to the housing, mortgage or real estate markets that are not guaranteed by a GSE or U.S. Government agency.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 We operate in a manner to qualify to be taxed as a REIT under the Internal Revenue Code.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employ an active management strategy that is dynamic and responsive to evolving market conditions. The composition of our portfolio and our investment, funding, and hedging strategies are tailored to reflect our analysis of market conditions and the relative values of available options.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 </w:t>
      </w:r>
    </w:p>
    <w:p>
      <w:pPr>
        <w:pStyle w:val="TextBody"/>
        <w:bidi w:val="0"/>
        <w:spacing w:before="0" w:after="0"/>
        <w:ind w:left="0" w:right="0" w:firstLine="495"/>
        <w:jc w:val="both"/>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Trends and Recent Market Impacts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Market Trends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2025, the pivot by the Federal Reserve (the "Fed") to a less restrictive monetary policy stance, combined with easing fiscal policy concerns, drove strong financial market performance and a notable improvement in investor sentiment. Agency RMBS were one of the best-performing fixed income asset classes during the quarter and have outperformed U.S. Treasuries for five consecutive months for the first time since 2013. In this favorable investment environment, AGNC generated an economic return on tangible common equity of 10.6% for the third quarter.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its September meeting, the Fed lowered the federal funds rate as expected and signaled further monetary policy accommodation with the possibility of additional rate cuts at the October and December meetings. On the fiscal policy front, the passage of the tax bill early in the quarter and several positive tariff developments reduced uncertainty that had weighed on the investment outlook in the second quarter. Collectively, these investor-friendly developments contributed to a material decline in interest rate volatility and supported the relative outperformance of Agency RMBS.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Looking ahead, a number of macroeconomic dynamics support a constructive outlook for Agency RMBS. First, the Administration has begun to focus on mortgage spreads as a means of improving housing affordability. In a late-September interview, the Treasury Secretary underscored this view, stating: "the really important thing here is that we either maintain mortgage spreads, or narrow them further, to help the American people."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Second, the supply and demand dynamic for Agency RMBS remains well balanced. With the primary mortgage rate year-to-date remaining above 6%, net new issuance of Agency RMBS is expected to total approximately $200 billion in 2025—toward the lower end of initial expectations. Meanwhile, the demand outlook has improved, with banks expected to increase demand following anticipated regulatory reforms. In addition, money manager demand for Agency RMBS, which increased meaningfully in the third quarter, should remain robust given the favorable shift in monetary policy.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Third, the financing market for Agency RMBS remains strong. The Fed recently announced that it will conclude the reduction of its aggregate securities holdings on December 1, 2025 to ensure bank reserves remain at levels consistent with ongoing funding market liquidity. Over the longer-term, the Fed is also considering joining the FICC for purposes of the Standing Repo Facility and moving to a repo-based rate as its primary policy target. If implemented, each of these measures would further strengthen the repo market for U.S. Treasuries and Agency RMBS, particularly during periods of market stress.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Fourth, the outlook for GSE reform continues to move in a favorable direction, with policymakers emphasizing the importance of maintaining mortgage market stability. To that end, the Treasury Department has emphasized three guiding principles for GSE reform: (i) maximize taxpayer value; (ii) lower mortgage rates through stable or tighter mortgage spreads; and (iii) avoid disruptions to the housing finance system.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While these dynamics currently point in a favorable direction for Agency RMBS, episodes of financial market volatility and disruption are possible given ongoing monetary and fiscal policy uncertainty. In this evolving investment environment, AGNC’s disciplined approach to asset selection and risk management positions it well to generate favorable risk-adjusted returns.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Portfolio and Summary Financial Results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third quarter, AGNC generated total comprehensive income of $0.78 per diluted common share and an economic return of 10.6% on tangible common equity, comprised of $0.36 in dividends declared and a $0.47 increase in tangible net book value per common share. For the first three quarters of 2025, total comprehensive income was $0.80 per diluted common share, resulting in an economic return of 11.3%, comprised of $1.08 in dividends and a $0.13 decline in tangible net book value per common share.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Agency spreads to both Treasury and swap rates tightened meaningfully across the coupon stack during the third quarter, reflecting a sharp decline in interest rate volatility. Intermediate coupon securities performed the best, supported by strong index-based demand from money managers. Higher coupon RMBS also generated positive excess returns, though to a lesser extent, as the sizable intra-quarter rally in long-term interest rates increased prepayment concerns associated with these coupons. Hedge composition was another meaningful driver of performance, as swap spreads widened 2 to 5 basis points across the curve.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investment portfolio totaled $90.8 billion as of September 30, 2025, an increase of $8.5 billion from the prior quarter, reflecting the full deployment of preferred and common equity capital raised in the second and third quarters. As is typically the case when new capital is deployed, the assets added were primarily newly originated production coupon RMBS. Over time, we seek to optimize the composition of our asset base by rotating into pools with more favorable prepayment characteristics as market opportunities arise.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Consistent with the growth in our investment portfolio, our TBA position increased to $13.8 billion at quarter end from $8.3 billion as of June 30, 2025. As a result, the percentage of assets with favorable prepayment attributes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declined to 76%, compared to 81% at June 30, 2025. The weighted average coupon of our portfolio, excluding TBAs, increased modestly to 5.17% as of quarter end, compared to 5.14% as of June 30, 2025. Including TBAs, the weighted average coupon was unchanged at 5.15%.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average projected life CPR of our portfolio increased to 8.6% at quarter end from 7.8% as of June 30, 2025, reflecting lower mortgage rates. Actual CPRs averaged 8.3% for the quarter, down from 8.7% in the second quarter.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ended the third quarter with tangible “at risk” leverage of 7.6x, unchanged from the prior quarter, and a substantial liquidity position of $7.2 billion in unencumbered cash and Agency RMBS, which represented 66% of tangible equity, up slightly from the second quarter.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notional balance of our swap and Treasury-based hedges remained relatively stable during the third quarter; however, the composition shifted toward a greater share of longer-dated swap-based hedges. In duration dollar terms, swap-based hedges increased to 59% of our overall hedge portfolio, compared to 54% as of June 30,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Given the convexity profile of our assets and the significant decline in interest rate volatility, we added $7 billion of receiver swaptions during the third quarter to provide additional protection in a declining rate environment. Our duration gap,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which measures the estimated difference between the interest rate sensitivity of our assets and liabilities including hedges, was 0.3 years at quarter end compared to 0.2 years as of June 30,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spread and dollar roll income (a non-GAAP measure) declined $0.03 to $0.35 per common share for the third quarter. This decline was primarily driven by lower swap income due to the maturity of legacy interest rate swaps with ultra-low fixed pay rates totaling $3.8 billion in the third quarter and $5.3 billion in the second quarter, as well as a timing mismatch between the issuance and deployment of new preferred and common equity capital.</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Another important driver of net spread and dollar roll income is the amount of unhedged short-term debt in our funding mix, as measured by our hedge ratio. As of September 30, 2025, our interest rate hedge ratio—excluding option-based hedges—declined to 77% of total funding liabilities, compared to 86% as of June 30, 2025. This decline reflects our expectations for an accommodative monetary policy environment and positions AGNC’s earnings profile to benefit from future rate cuts as they occur.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Looking ahead, lower funding costs resulting from the September rate cut and potential future rate cuts, together with the full deployment of recently raised equity capital and a shift in our hedge mix toward a greater share of swap-based hedges, are likely to benefit net spread and dollar roll income, despite a gradual decline in the benefit of legacy swaps.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For information regarding non-GAAP financial measures, including reconciliations to the most comparable GAAP measure please refer to Results of Operations included in this MD&amp;A below. For information regarding the sensitivity of our tangible net book value per common share to changes in interest rates and mortgage spreads, please refer to Item 3.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in this form 10-Q.</w:t>
      </w:r>
    </w:p>
    <w:p>
      <w:pPr>
        <w:pStyle w:val="TextBody"/>
        <w:bidi w:val="0"/>
        <w:spacing w:lineRule="auto" w:line="288" w:before="180" w:after="2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1.Specified pools with favorable prepayment attributes include: (i) specified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and (ii) other pools backed by loans with credit, loan balances, geographies, occupancy types, and other characteristics that exhibit favorable prepayment behavior.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60"/>
        <w:jc w:val="both"/>
        <w:rPr>
          <w:rFonts w:ascii="Times New Roman;serif" w:hAnsi="Times New Roman;serif"/>
          <w:b/>
          <w:i/>
          <w:color w:val="000000"/>
          <w:sz w:val="20"/>
        </w:rPr>
      </w:pPr>
      <w:r>
        <w:rPr>
          <w:rFonts w:ascii="Times New Roman;serif" w:hAnsi="Times New Roman;serif"/>
          <w:b/>
          <w:i/>
          <w:color w:val="000000"/>
          <w:sz w:val="20"/>
        </w:rPr>
        <w:t>Market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benchmark interest rates and prices of generic fixed rate Agency RMBS as of each date presented below: </w:t>
      </w:r>
    </w:p>
    <w:tbl>
      <w:tblPr>
        <w:tblW w:w="10205" w:type="dxa"/>
        <w:jc w:val="left"/>
        <w:tblInd w:w="0" w:type="dxa"/>
        <w:tblLayout w:type="fixed"/>
        <w:tblCellMar>
          <w:top w:w="28" w:type="dxa"/>
          <w:left w:w="28" w:type="dxa"/>
          <w:bottom w:w="28" w:type="dxa"/>
          <w:right w:w="28" w:type="dxa"/>
        </w:tblCellMar>
      </w:tblPr>
      <w:tblGrid>
        <w:gridCol w:w="696"/>
        <w:gridCol w:w="501"/>
        <w:gridCol w:w="505"/>
        <w:gridCol w:w="109"/>
        <w:gridCol w:w="109"/>
        <w:gridCol w:w="109"/>
        <w:gridCol w:w="379"/>
        <w:gridCol w:w="236"/>
        <w:gridCol w:w="236"/>
        <w:gridCol w:w="109"/>
        <w:gridCol w:w="109"/>
        <w:gridCol w:w="109"/>
        <w:gridCol w:w="364"/>
        <w:gridCol w:w="249"/>
        <w:gridCol w:w="222"/>
        <w:gridCol w:w="109"/>
        <w:gridCol w:w="109"/>
        <w:gridCol w:w="109"/>
        <w:gridCol w:w="379"/>
        <w:gridCol w:w="236"/>
        <w:gridCol w:w="236"/>
        <w:gridCol w:w="109"/>
        <w:gridCol w:w="109"/>
        <w:gridCol w:w="109"/>
        <w:gridCol w:w="374"/>
        <w:gridCol w:w="240"/>
        <w:gridCol w:w="231"/>
        <w:gridCol w:w="109"/>
        <w:gridCol w:w="109"/>
        <w:gridCol w:w="109"/>
        <w:gridCol w:w="379"/>
        <w:gridCol w:w="236"/>
        <w:gridCol w:w="236"/>
        <w:gridCol w:w="109"/>
        <w:gridCol w:w="109"/>
        <w:gridCol w:w="109"/>
        <w:gridCol w:w="195"/>
        <w:gridCol w:w="196"/>
        <w:gridCol w:w="138"/>
        <w:gridCol w:w="150"/>
        <w:gridCol w:w="138"/>
        <w:gridCol w:w="138"/>
        <w:gridCol w:w="109"/>
        <w:gridCol w:w="109"/>
        <w:gridCol w:w="109"/>
        <w:gridCol w:w="202"/>
        <w:gridCol w:w="204"/>
        <w:gridCol w:w="135"/>
        <w:gridCol w:w="148"/>
        <w:gridCol w:w="135"/>
        <w:gridCol w:w="202"/>
      </w:tblGrid>
      <w:tr>
        <w:trPr/>
        <w:tc>
          <w:tcPr>
            <w:tcW w:w="69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Interest Rate/Security Price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 30, 2025</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 30, 2025</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 31, 2024</w:t>
            </w:r>
          </w:p>
        </w:tc>
      </w:tr>
      <w:tr>
        <w:trPr/>
        <w:tc>
          <w:tcPr>
            <w:tcW w:w="17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Target Federal Funds 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Target Federal Funds Rate - Upper Band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SOFR Interest Rate Swap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2-Year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5-Year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10-Year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30-Year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U.S. Treasury Security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2-Year 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5-Year 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10-Year 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30-Year 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30-Year Fixed Rate Agency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+$2.87</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+$2.97</w:t>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+$3.02</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+$2.95</w:t>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+$3.04</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+$2.75</w:t>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+$2.23</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+$1.71</w:t>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+$1.24</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15-Year Fixed Rate Agency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+$3.68</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+$3.63</w:t>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+$3.22</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+$2.71</w:t>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+$2.33</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+$2.35</w:t>
            </w:r>
          </w:p>
        </w:tc>
      </w:tr>
    </w:tbl>
    <w:p>
      <w:pPr>
        <w:pStyle w:val="TextBody"/>
        <w:bidi w:val="0"/>
        <w:spacing w:lineRule="auto" w:line="288" w:before="180" w:after="2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1.Price information is for generic instruments only and is not reflective of our specific portfolio holdings. Price information is as of 3:00 p.m. (EST) on such date and can vary by source. Price information is sourced from Barclays. Interest rate information is sourced from Bloomberg.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mortgage and credit spreads as of each date presented below: </w:t>
      </w:r>
    </w:p>
    <w:tbl>
      <w:tblPr>
        <w:tblW w:w="10205" w:type="dxa"/>
        <w:jc w:val="left"/>
        <w:tblInd w:w="0" w:type="dxa"/>
        <w:tblLayout w:type="fixed"/>
        <w:tblCellMar>
          <w:top w:w="28" w:type="dxa"/>
          <w:left w:w="28" w:type="dxa"/>
          <w:bottom w:w="28" w:type="dxa"/>
          <w:right w:w="28" w:type="dxa"/>
        </w:tblCellMar>
      </w:tblPr>
      <w:tblGrid>
        <w:gridCol w:w="876"/>
        <w:gridCol w:w="772"/>
        <w:gridCol w:w="775"/>
        <w:gridCol w:w="109"/>
        <w:gridCol w:w="109"/>
        <w:gridCol w:w="109"/>
        <w:gridCol w:w="231"/>
        <w:gridCol w:w="231"/>
        <w:gridCol w:w="233"/>
        <w:gridCol w:w="109"/>
        <w:gridCol w:w="109"/>
        <w:gridCol w:w="109"/>
        <w:gridCol w:w="216"/>
        <w:gridCol w:w="216"/>
        <w:gridCol w:w="218"/>
        <w:gridCol w:w="109"/>
        <w:gridCol w:w="109"/>
        <w:gridCol w:w="109"/>
        <w:gridCol w:w="231"/>
        <w:gridCol w:w="231"/>
        <w:gridCol w:w="233"/>
        <w:gridCol w:w="109"/>
        <w:gridCol w:w="109"/>
        <w:gridCol w:w="109"/>
        <w:gridCol w:w="226"/>
        <w:gridCol w:w="226"/>
        <w:gridCol w:w="228"/>
        <w:gridCol w:w="109"/>
        <w:gridCol w:w="109"/>
        <w:gridCol w:w="109"/>
        <w:gridCol w:w="231"/>
        <w:gridCol w:w="231"/>
        <w:gridCol w:w="233"/>
        <w:gridCol w:w="109"/>
        <w:gridCol w:w="109"/>
        <w:gridCol w:w="109"/>
        <w:gridCol w:w="195"/>
        <w:gridCol w:w="196"/>
        <w:gridCol w:w="136"/>
        <w:gridCol w:w="149"/>
        <w:gridCol w:w="136"/>
        <w:gridCol w:w="136"/>
        <w:gridCol w:w="109"/>
        <w:gridCol w:w="109"/>
        <w:gridCol w:w="109"/>
        <w:gridCol w:w="195"/>
        <w:gridCol w:w="196"/>
        <w:gridCol w:w="134"/>
        <w:gridCol w:w="184"/>
        <w:gridCol w:w="184"/>
        <w:gridCol w:w="237"/>
      </w:tblGrid>
      <w:tr>
        <w:trPr/>
        <w:tc>
          <w:tcPr>
            <w:tcW w:w="87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Mortgage Rate/Credit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 30, 2025</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 30, 2025</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 31, 2024</w:t>
            </w:r>
          </w:p>
        </w:tc>
      </w:tr>
      <w:tr>
        <w:trPr/>
        <w:tc>
          <w:tcPr>
            <w:tcW w:w="2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Mortgage Rate: </w:t>
            </w:r>
            <w:r>
              <w:rPr>
                <w:rFonts w:ascii="Times New Roman;serif" w:hAnsi="Times New Roman;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 to 5-Year U.S. Treasury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 to 10-Year U.S. Treasury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 to 5/10-Year U.S. Treasury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 to 5/10-Year Swap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 to 3/5/10-Year U.S. Treasury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 to 3/5/10-Year Swap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Mortgage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Credit Spread (in bps): </w:t>
            </w:r>
            <w:r>
              <w:rPr>
                <w:rFonts w:ascii="Times New Roman;serif" w:hAnsi="Times New Roman;serif"/>
                <w:b/>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CRT M2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CMBS AAA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CDX IG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CDX 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bl>
    <w:p>
      <w:pPr>
        <w:pStyle w:val="TextBody"/>
        <w:bidi w:val="0"/>
        <w:spacing w:lineRule="auto" w:line="288" w:before="18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1.30-Year Current Coupon Yield represents the yield on new production Agency RMBS. 30-Year Current Coupon Yields are sourced from Bloomberg and 30-Year Mortgage Rates are sourced from Clear Blue.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2.CRT and CDX spreads sourced from JP Morgan. CMBS spreads are the average of spreads sourced from Bank of America, JP Morgan and Wells Fargo.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our investment portfolio totaled $90.8 billion and $73.3 billion, respectively, consisting of: $76.3 billion and $65.5 billion Agency RMBS, at fair value, respectively; $13.8 billion and $6.9 billion net TBA securities, at fair value, respectively; $0.6 billion and $0.9 billion CRT, non-Agency RMBS and CMBS, at fair value, respectively; and other mortgage credit investments of $69 million and $64 million, respectively, which we account for under the equity method of accounting. The following table is a summary of our investment securities (including TBA securities) as of September 30, 2025 and December 31, 2024 (dollars in millions): </w:t>
      </w:r>
    </w:p>
    <w:tbl>
      <w:tblPr>
        <w:tblW w:w="10770" w:type="dxa"/>
        <w:jc w:val="center"/>
        <w:tblInd w:w="0" w:type="dxa"/>
        <w:tblLayout w:type="fixed"/>
        <w:tblCellMar>
          <w:top w:w="28" w:type="dxa"/>
          <w:left w:w="28" w:type="dxa"/>
          <w:bottom w:w="28" w:type="dxa"/>
          <w:right w:w="28" w:type="dxa"/>
        </w:tblCellMar>
      </w:tblPr>
      <w:tblGrid>
        <w:gridCol w:w="527"/>
        <w:gridCol w:w="291"/>
        <w:gridCol w:w="293"/>
        <w:gridCol w:w="109"/>
        <w:gridCol w:w="109"/>
        <w:gridCol w:w="109"/>
        <w:gridCol w:w="196"/>
        <w:gridCol w:w="646"/>
        <w:gridCol w:w="109"/>
        <w:gridCol w:w="109"/>
        <w:gridCol w:w="109"/>
        <w:gridCol w:w="109"/>
        <w:gridCol w:w="196"/>
        <w:gridCol w:w="646"/>
        <w:gridCol w:w="109"/>
        <w:gridCol w:w="109"/>
        <w:gridCol w:w="109"/>
        <w:gridCol w:w="109"/>
        <w:gridCol w:w="316"/>
        <w:gridCol w:w="240"/>
        <w:gridCol w:w="379"/>
        <w:gridCol w:w="109"/>
        <w:gridCol w:w="109"/>
        <w:gridCol w:w="109"/>
        <w:gridCol w:w="210"/>
        <w:gridCol w:w="211"/>
        <w:gridCol w:w="241"/>
        <w:gridCol w:w="109"/>
        <w:gridCol w:w="109"/>
        <w:gridCol w:w="109"/>
        <w:gridCol w:w="196"/>
        <w:gridCol w:w="646"/>
        <w:gridCol w:w="109"/>
        <w:gridCol w:w="109"/>
        <w:gridCol w:w="109"/>
        <w:gridCol w:w="109"/>
        <w:gridCol w:w="196"/>
        <w:gridCol w:w="646"/>
        <w:gridCol w:w="109"/>
        <w:gridCol w:w="109"/>
        <w:gridCol w:w="109"/>
        <w:gridCol w:w="109"/>
        <w:gridCol w:w="316"/>
        <w:gridCol w:w="240"/>
        <w:gridCol w:w="379"/>
        <w:gridCol w:w="109"/>
        <w:gridCol w:w="109"/>
        <w:gridCol w:w="109"/>
        <w:gridCol w:w="210"/>
        <w:gridCol w:w="211"/>
        <w:gridCol w:w="286"/>
      </w:tblGrid>
      <w:tr>
        <w:trPr/>
        <w:tc>
          <w:tcPr>
            <w:tcW w:w="5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Investment Securities (Includes TBAs)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rate Agency RMBS and 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color w:val="000000"/>
              </w:rPr>
            </w:pPr>
            <w:r>
              <w:rPr>
                <w:color w:val="000000"/>
              </w:rPr>
              <w:t xml:space="preserve"> ≤ </w:t>
            </w:r>
            <w:r>
              <w:rPr>
                <w:rFonts w:ascii="Times New Roman;serif" w:hAnsi="Times New Roman;serif"/>
                <w:b w:val="false"/>
                <w:color w:val="000000"/>
                <w:sz w:val="16"/>
              </w:rPr>
              <w:t>15-year: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 </w:t>
            </w:r>
            <w:r>
              <w:rPr>
                <w:rFonts w:ascii="Times New Roman;serif" w:hAnsi="Times New Roman;serif"/>
                <w:b w:val="false"/>
                <w:color w:val="000000"/>
                <w:sz w:val="16"/>
              </w:rPr>
              <w:t>15-year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15-year TBA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Total ≤ 15-year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20-year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30-year TBA securities, net </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Total 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fixed rate Agency RMBS and 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Adjustable rate Agency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CMO Agency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Interest-only strips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0.70 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Principal-only strips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Total CMO Agency RMBS </w:t>
            </w:r>
            <w:r>
              <w:rPr>
                <w:rFonts w:ascii="Times New Roman;serif" w:hAnsi="Times New Roman;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Total Agency RMBS and TBA securities </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Non-Agency RMBS </w:t>
            </w:r>
            <w:r>
              <w:rPr>
                <w:rFonts w:ascii="Times New Roman;serif" w:hAnsi="Times New Roman;serif"/>
                <w:b w:val="false"/>
                <w:color w:val="000000"/>
                <w:sz w:val="1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CMBS </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Total investment securities </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5.15 </w:t>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1.Table excludes other mortgage credit investments of $69 million and $64 million as of September 30, 2025 and December 31, 2024,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2.TBA securities are presented net of long and short positions. For further details of our TBA securities refer to Note 5 of our Consolidated Financial Statements in this Form 10-Q</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3.Average coupon excludes interest-only and principal-only securities.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TBA securities are recorded as derivative instruments in our accompanying consolidated financial statements, and our TBA dollar roll transactions represent a form of off-balance sheet financing. As of September 30, 2025 and December 31, 2024, our TBA securities had a net carrying value of $36 million and $(26) million, respectively, reported in derivative assets/(liabilities) on our accompanying consolidated balance sheets. The net carrying value represents the difference between the fair value of the underlying security in the TBA contract and the price to be paid or received for the underlying security.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weighted average yield on our investment securities (excluding TBA and forward settling securities) was 4.94% and 4.77%,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certain characteristics of our fixed rate Agency RMBS portfolio, inclusive of TBA securities, as of September 30, 2025 and December 31, 2024 (dollars in millions): </w:t>
      </w:r>
    </w:p>
    <w:tbl>
      <w:tblPr>
        <w:tblW w:w="11226"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50"/>
        <w:gridCol w:w="250"/>
        <w:gridCol w:w="251"/>
        <w:gridCol w:w="109"/>
        <w:gridCol w:w="109"/>
        <w:gridCol w:w="109"/>
        <w:gridCol w:w="265"/>
        <w:gridCol w:w="265"/>
        <w:gridCol w:w="266"/>
        <w:gridCol w:w="109"/>
        <w:gridCol w:w="109"/>
        <w:gridCol w:w="109"/>
        <w:gridCol w:w="290"/>
        <w:gridCol w:w="290"/>
        <w:gridCol w:w="291"/>
        <w:gridCol w:w="109"/>
        <w:gridCol w:w="109"/>
        <w:gridCol w:w="109"/>
        <w:gridCol w:w="161"/>
        <w:gridCol w:w="161"/>
        <w:gridCol w:w="161"/>
        <w:gridCol w:w="161"/>
        <w:gridCol w:w="161"/>
        <w:gridCol w:w="161"/>
        <w:gridCol w:w="231"/>
        <w:gridCol w:w="231"/>
        <w:gridCol w:w="244"/>
        <w:gridCol w:w="109"/>
        <w:gridCol w:w="109"/>
        <w:gridCol w:w="109"/>
        <w:gridCol w:w="250"/>
        <w:gridCol w:w="250"/>
        <w:gridCol w:w="35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8" w:type="dxa"/>
            <w:gridSpan w:val="5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Includes Net TBA Position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Excludes Net TBA Position</w:t>
            </w:r>
          </w:p>
        </w:tc>
      </w:tr>
      <w:tr>
        <w:trPr/>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Fixed Rate Agency RMBS and TBA Securities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Specified Pool % </w:t>
            </w:r>
            <w:r>
              <w:rPr>
                <w:rFonts w:ascii="Times New Roman;serif" w:hAnsi="Times New Roman;serif"/>
                <w:b/>
                <w:color w:val="000000"/>
                <w:sz w:val="10"/>
              </w:rPr>
              <w:t>1</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Coupon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Projected </w:t>
            </w:r>
          </w:p>
          <w:p>
            <w:pPr>
              <w:pStyle w:val="TableContents"/>
              <w:bidi w:val="0"/>
              <w:spacing w:lineRule="auto" w:line="240" w:before="0" w:after="0"/>
              <w:jc w:val="center"/>
              <w:rPr/>
            </w:pPr>
            <w:r>
              <w:rPr>
                <w:rFonts w:ascii="Times New Roman;serif" w:hAnsi="Times New Roman;serif"/>
                <w:b/>
                <w:color w:val="000000"/>
                <w:sz w:val="16"/>
              </w:rPr>
              <w:t xml:space="preserve">CPR </w:t>
            </w:r>
            <w:r>
              <w:rPr>
                <w:rFonts w:ascii="Times New Roman;serif" w:hAnsi="Times New Roman;serif"/>
                <w:b/>
                <w:color w:val="000000"/>
                <w:sz w:val="10"/>
              </w:rPr>
              <w:t>2</w:t>
            </w:r>
          </w:p>
        </w:tc>
      </w:tr>
      <w:tr>
        <w:trPr/>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Yield </w:t>
            </w:r>
            <w:r>
              <w:rPr>
                <w:rFonts w:ascii="Times New Roman;serif" w:hAnsi="Times New Roman;serif"/>
                <w:b/>
                <w:color w:val="000000"/>
                <w:sz w:val="10"/>
              </w:rPr>
              <w:t>2</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 (Months)</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 </w:t>
            </w:r>
            <w:r>
              <w:rPr>
                <w:rFonts w:ascii="Times New Roman;serif" w:hAnsi="Times New Roman;serif"/>
                <w:b w:val="false"/>
                <w:color w:val="000000"/>
                <w:sz w:val="16"/>
              </w:rPr>
              <w:t>15-year: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2.62%</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 15-year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1.75%</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2.97%</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3.40%</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20-year: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2.92%</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2.83%</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3.06%</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3.96%</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5.16%</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5.42%</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5.64%</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5.75%</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4.92%</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4.91%</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September 30, 2025, lower balance specified pools had a weighted average original loan balance of $188,000 and $141,000 for 15-year and 30-year securities, respectively, and HARP pools had a weighted average original LTV of 128% and 142% for 15-year and 30-year securities, respectively.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2.Portfolio yield incorporates a projected life CPR based on forward rate assumptions as of September 30, 2025.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tbl>
      <w:tblPr>
        <w:tblW w:w="11226"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50"/>
        <w:gridCol w:w="250"/>
        <w:gridCol w:w="251"/>
        <w:gridCol w:w="109"/>
        <w:gridCol w:w="109"/>
        <w:gridCol w:w="109"/>
        <w:gridCol w:w="265"/>
        <w:gridCol w:w="265"/>
        <w:gridCol w:w="266"/>
        <w:gridCol w:w="109"/>
        <w:gridCol w:w="109"/>
        <w:gridCol w:w="109"/>
        <w:gridCol w:w="290"/>
        <w:gridCol w:w="290"/>
        <w:gridCol w:w="291"/>
        <w:gridCol w:w="109"/>
        <w:gridCol w:w="109"/>
        <w:gridCol w:w="109"/>
        <w:gridCol w:w="161"/>
        <w:gridCol w:w="161"/>
        <w:gridCol w:w="161"/>
        <w:gridCol w:w="161"/>
        <w:gridCol w:w="161"/>
        <w:gridCol w:w="161"/>
        <w:gridCol w:w="231"/>
        <w:gridCol w:w="231"/>
        <w:gridCol w:w="244"/>
        <w:gridCol w:w="109"/>
        <w:gridCol w:w="109"/>
        <w:gridCol w:w="109"/>
        <w:gridCol w:w="250"/>
        <w:gridCol w:w="250"/>
        <w:gridCol w:w="35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8" w:type="dxa"/>
            <w:gridSpan w:val="5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Includes Net TBA Position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Excludes Net TBA Position</w:t>
            </w:r>
          </w:p>
        </w:tc>
      </w:tr>
      <w:tr>
        <w:trPr/>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Fixed Rate Agency RMBS and TBA Securities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Specified Pool % </w:t>
            </w:r>
            <w:r>
              <w:rPr>
                <w:rFonts w:ascii="Times New Roman;serif" w:hAnsi="Times New Roman;serif"/>
                <w:b/>
                <w:color w:val="000000"/>
                <w:sz w:val="10"/>
              </w:rPr>
              <w:t>1</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Coupon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Projected </w:t>
            </w:r>
          </w:p>
          <w:p>
            <w:pPr>
              <w:pStyle w:val="TableContents"/>
              <w:bidi w:val="0"/>
              <w:spacing w:lineRule="auto" w:line="240" w:before="0" w:after="0"/>
              <w:jc w:val="center"/>
              <w:rPr/>
            </w:pPr>
            <w:r>
              <w:rPr>
                <w:rFonts w:ascii="Times New Roman;serif" w:hAnsi="Times New Roman;serif"/>
                <w:b/>
                <w:color w:val="000000"/>
                <w:sz w:val="16"/>
              </w:rPr>
              <w:t xml:space="preserve">CPR </w:t>
            </w:r>
            <w:r>
              <w:rPr>
                <w:rFonts w:ascii="Times New Roman;serif" w:hAnsi="Times New Roman;serif"/>
                <w:b/>
                <w:color w:val="000000"/>
                <w:sz w:val="10"/>
              </w:rPr>
              <w:t>2</w:t>
            </w:r>
          </w:p>
        </w:tc>
      </w:tr>
      <w:tr>
        <w:trPr/>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Yield </w:t>
            </w:r>
            <w:r>
              <w:rPr>
                <w:rFonts w:ascii="Times New Roman;serif" w:hAnsi="Times New Roman;serif"/>
                <w:b/>
                <w:color w:val="000000"/>
                <w:sz w:val="10"/>
              </w:rPr>
              <w:t>2</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 (Months)</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15-year: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2.61%</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2.71%</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 15-year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2.05%</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2.97%</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3.42%</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20-year: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3.92%</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5.72%</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5.97%</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4.74%</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4.71%</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bl>
    <w:p>
      <w:pPr>
        <w:pStyle w:val="TextBody"/>
        <w:bidi w:val="0"/>
        <w:spacing w:lineRule="auto" w:line="288" w:before="8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1.See Note 1 of the preceding table for specified pool composition. As of December 31, 2024, lower balance specified pools had a weighted average original loan balance of $188,000 and $148,000 for 15-year and 30-year securities, respectively, and HARP pools had a weighted average original LTV of 128% and 141% for 15-year and 30-year securities,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2.Portfolio yield incorporates a projected life CPR based on forward rate assumptions as of December 31, 2024.</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additional details regarding our CRT and non-Agency securities, including credit ratings, as of September 30, 2025 and December 31, 2024, please refer to Note 3 of our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the results presented in accordance with GAAP, our results of operations discussed below include certain non-GAAP financial information, including "economic interest income," "economic interest expense," and "net spread and dollar roll income available to common stockholders" and the related per common share measures and certain financial metrics derived from such non-GAAP information.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"Economic interest income" is measured as interest income (GAAP measure), adjusted to (i) exclude retrospective "catch-up" adjustments to premium amortization cost associated with changes in projected CPR estimates and (ii) include TBA dollar roll implied interest income. "Economic interest expense" is measured as interest expense (GAAP measure) adjusted to include TBA dollar roll implied interest expense/benefit and interest rate swap periodic cost/income. "Net spread and dollar roll income available to common stockholders" is measured as comprehensive income (loss) available (attributable) to common stockholders (GAAP measure) adjusted to: (i) exclude gains/losses on investment securities recognized through net income and other comprehensive income and gains/losses on derivative instruments and other securities (GAAP measures); (ii) exclude retrospective "catch-up" adjustments to premium amortization cost associated with changes in projected CPR estimates; and (iii) include interest rate swap periodic income/cost, TBA dollar roll income and other interest income/expense. As defined,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spread and dollar roll income available to common stockholders" includes (i) the components of "economic interest income" and "economic interest expense", plus (ii) other interest income/expense, and less (iii) total operating expenses and dividends on preferred stock (GAAP measures).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Specifically, in the case "net spread and dollar roll income available to common stockholders" and components of such measure, "economic interest income" and "economic interest expense,"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is meaningful as interest rate swaps are the primary instrument we use to economically hedge against fluctuations in our borrowing costs, and it is more indicative of our total cost of funds than interest expense alone. Additionally, we believe the exclusion of "catch-up" premium amortization adjustments is meaningful as it excludes the cumulative effect from prior reporting periods due to current changes in future prepayment expectations and, therefore, exclusion of such adjustments is more indicative of the current earnings potential of our investment portfolio.</w:t>
      </w:r>
    </w:p>
    <w:p>
      <w:pPr>
        <w:pStyle w:val="TextBody"/>
        <w:bidi w:val="0"/>
        <w:spacing w:lineRule="auto" w:line="288" w:before="180" w:after="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 titled measures of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Selected Financial Data</w:t>
      </w:r>
    </w:p>
    <w:p>
      <w:pPr>
        <w:pStyle w:val="TextBody"/>
        <w:bidi w:val="0"/>
        <w:spacing w:before="0" w:after="0"/>
        <w:jc w:val="both"/>
        <w:rPr/>
      </w:pPr>
      <w:r>
        <w:rPr/>
      </w:r>
    </w:p>
    <w:p>
      <w:pPr>
        <w:pStyle w:val="TextBody"/>
        <w:bidi w:val="0"/>
        <w:spacing w:lineRule="auto" w:line="268" w:before="0" w:after="0"/>
        <w:ind w:left="0" w:right="0" w:firstLine="495"/>
        <w:jc w:val="both"/>
        <w:rPr/>
      </w:pPr>
      <w:r>
        <w:rPr>
          <w:rFonts w:ascii="Times New Roman;serif" w:hAnsi="Times New Roman;serif"/>
          <w:b w:val="false"/>
          <w:color w:val="000000"/>
          <w:sz w:val="20"/>
        </w:rPr>
        <w:t xml:space="preserve">The following selected financial data is derived from our interim consolidated financial statements and the notes thereto. The selected financial data should be read in conjunction with the more detailed information contained in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 xml:space="preserve">and in this Item 2. </w:t>
      </w:r>
      <w:r>
        <w:rPr>
          <w:rFonts w:ascii="Times New Roman;serif" w:hAnsi="Times New Roman;serif"/>
          <w:b w:val="false"/>
          <w:i/>
          <w:color w:val="000000"/>
          <w:sz w:val="20"/>
        </w:rPr>
        <w:t xml:space="preserve">Management's Discussion and Analysis of Financial Condition and Results of Operations </w:t>
      </w:r>
      <w:r>
        <w:rPr>
          <w:rFonts w:ascii="Times New Roman;serif" w:hAnsi="Times New Roman;serif"/>
          <w:b w:val="false"/>
          <w:color w:val="000000"/>
          <w:sz w:val="20"/>
        </w:rPr>
        <w:t>(in millions, except per share amounts):</w:t>
      </w:r>
    </w:p>
    <w:tbl>
      <w:tblPr>
        <w:tblW w:w="10205" w:type="dxa"/>
        <w:jc w:val="center"/>
        <w:tblInd w:w="0" w:type="dxa"/>
        <w:tblLayout w:type="fixed"/>
        <w:tblCellMar>
          <w:top w:w="28" w:type="dxa"/>
          <w:left w:w="28" w:type="dxa"/>
          <w:bottom w:w="28" w:type="dxa"/>
          <w:right w:w="28" w:type="dxa"/>
        </w:tblCellMar>
      </w:tblPr>
      <w:tblGrid>
        <w:gridCol w:w="2592"/>
        <w:gridCol w:w="2242"/>
        <w:gridCol w:w="2251"/>
        <w:gridCol w:w="109"/>
        <w:gridCol w:w="109"/>
        <w:gridCol w:w="109"/>
        <w:gridCol w:w="211"/>
        <w:gridCol w:w="796"/>
        <w:gridCol w:w="117"/>
        <w:gridCol w:w="109"/>
        <w:gridCol w:w="109"/>
        <w:gridCol w:w="109"/>
        <w:gridCol w:w="221"/>
        <w:gridCol w:w="731"/>
        <w:gridCol w:w="122"/>
        <w:gridCol w:w="109"/>
        <w:gridCol w:w="159"/>
      </w:tblGrid>
      <w:tr>
        <w:trPr/>
        <w:tc>
          <w:tcPr>
            <w:tcW w:w="2592"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669" w:type="dxa"/>
            <w:gridSpan w:val="8"/>
            <w:tcBorders/>
          </w:tcPr>
          <w:p>
            <w:pPr>
              <w:pStyle w:val="TableContents"/>
              <w:bidi w:val="0"/>
              <w:spacing w:before="0" w:after="283"/>
              <w:jc w:val="left"/>
              <w:rPr>
                <w:sz w:val="4"/>
                <w:szCs w:val="4"/>
              </w:rPr>
            </w:pPr>
            <w:r>
              <w:rPr>
                <w:sz w:val="4"/>
                <w:szCs w:val="4"/>
              </w:rPr>
            </w:r>
          </w:p>
        </w:tc>
      </w:tr>
      <w:tr>
        <w:trPr/>
        <w:tc>
          <w:tcPr>
            <w:tcW w:w="7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Sheet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securities, at fair value of $76,923 and $66,348, respectively, and other mortgage credit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agreements and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60,862 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book value per common share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Tangible net book value per common share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tbl>
      <w:tblPr>
        <w:tblW w:w="9618" w:type="dxa"/>
        <w:jc w:val="center"/>
        <w:tblInd w:w="0" w:type="dxa"/>
        <w:tblLayout w:type="fixed"/>
        <w:tblCellMar>
          <w:top w:w="28" w:type="dxa"/>
          <w:left w:w="28" w:type="dxa"/>
          <w:bottom w:w="28" w:type="dxa"/>
          <w:right w:w="28" w:type="dxa"/>
        </w:tblCellMar>
      </w:tblPr>
      <w:tblGrid>
        <w:gridCol w:w="1723"/>
        <w:gridCol w:w="1514"/>
        <w:gridCol w:w="1517"/>
        <w:gridCol w:w="109"/>
        <w:gridCol w:w="109"/>
        <w:gridCol w:w="109"/>
        <w:gridCol w:w="204"/>
        <w:gridCol w:w="487"/>
        <w:gridCol w:w="109"/>
        <w:gridCol w:w="109"/>
        <w:gridCol w:w="109"/>
        <w:gridCol w:w="109"/>
        <w:gridCol w:w="196"/>
        <w:gridCol w:w="466"/>
        <w:gridCol w:w="109"/>
        <w:gridCol w:w="109"/>
        <w:gridCol w:w="109"/>
        <w:gridCol w:w="109"/>
        <w:gridCol w:w="196"/>
        <w:gridCol w:w="556"/>
        <w:gridCol w:w="109"/>
        <w:gridCol w:w="109"/>
        <w:gridCol w:w="109"/>
        <w:gridCol w:w="109"/>
        <w:gridCol w:w="196"/>
        <w:gridCol w:w="556"/>
        <w:gridCol w:w="109"/>
        <w:gridCol w:w="109"/>
        <w:gridCol w:w="154"/>
      </w:tblGrid>
      <w:tr>
        <w:trPr/>
        <w:tc>
          <w:tcPr>
            <w:tcW w:w="1723"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Nine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Statement of Comprehensive Income Data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gain,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available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common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common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per common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per common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21"/>
        <w:gridCol w:w="1309"/>
        <w:gridCol w:w="1320"/>
        <w:gridCol w:w="109"/>
        <w:gridCol w:w="109"/>
        <w:gridCol w:w="109"/>
        <w:gridCol w:w="196"/>
        <w:gridCol w:w="73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256"/>
        <w:gridCol w:w="109"/>
        <w:gridCol w:w="156"/>
      </w:tblGrid>
      <w:tr>
        <w:trPr/>
        <w:tc>
          <w:tcPr>
            <w:tcW w:w="152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Nine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Data (Unaudited)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investment securities - at par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65,748 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70,139 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59,756 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investment securities -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net TBA dollar roll position -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total assets -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Average repurchase agreements and other debt outstanding </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Average stockholders' equity </w:t>
            </w: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Average tangible net book value "at risk" leverage </w:t>
            </w:r>
            <w:r>
              <w:rPr>
                <w:rFonts w:ascii="Times New Roman;serif" w:hAnsi="Times New Roman;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Tangible net book value "at risk" leverage </w:t>
            </w:r>
            <w:r>
              <w:rPr>
                <w:rFonts w:ascii="Times New Roman;serif" w:hAnsi="Times New Roman;serif"/>
                <w:b w:val="false"/>
                <w:i/>
                <w:color w:val="000000"/>
                <w:sz w:val="16"/>
              </w:rPr>
              <w:t>(as of period end)</w:t>
            </w:r>
            <w:r>
              <w:rPr>
                <w:color w:val="000000"/>
              </w:rPr>
              <w:t xml:space="preserve"> </w:t>
            </w:r>
            <w:r>
              <w:rPr>
                <w:rFonts w:ascii="Times New Roman;serif" w:hAnsi="Times New Roman;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Economic return on tangible common equity </w:t>
            </w:r>
            <w:r>
              <w:rPr>
                <w:rFonts w:ascii="Times New Roman;serif" w:hAnsi="Times New Roman;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Expenses % of average total assets - annualized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Expenses % of average assets, including average net TBA position - annualized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Expenses % of average stockholders' equity - annualized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 Except as noted below, average numbers for each period are weighted based on days on our books and records.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1.Net book value per common share is calculated as total stockholders' equity, less preferred stock liquidation preference, divided by number of common shares outstanding as of period end.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2.Tangible net book value per common share excludes goodwill.</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3.Amount represents the daily weighted average repurchase agreements outstanding for the period used to fund our investment securities and other debt. Amount excludes U.S. Treasury repurchase agreements and TBA contracts. Other debt includes debt of consolidated VIEs.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4.Average stockholders' equity calculated as average month-ended stockholders' equity during the period.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5.Average tangible net book value "at risk" leverage is calculated by dividing the sum of daily weighted average repurchase agreements used to fund our investment securities, other debt, and TBA and forward settling securities (at cost) (collectively "mortgage borrowings") outstanding for the period by the sum of average stockholders' equity adjusted to exclude goodwill for the period. Leverage excludes U.S. Treasury repurchase agreements.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6.Tangible net book value "at risk" leverage as of period end is calculated by dividing the sum of mortgage borrowings outstanding and receivable/payable for unsettled investment securities as of period end by the sum of total stockholders' equity adjusted to exclude goodwill as of period end. Leverage excludes U.S. Treasury repurchase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7.Economic return on tangible common equity represents the sum of the change in tangible net book value per common share and dividends declared per share of common stock during the period over beginning tangible net book value per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Economic Interest Income and Asset Yields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economic interest income (a non-GAAP measure) for the three and nine months ended September 30, 2025 and 2024, which includes the combination of interest income (a GAAP measure) on our holdings reported as investment securities on our consolidated balance sheets, adjusted to exclude estimated "catch-up" premium amortization adjustments for the cumulative effect from prior reporting periods due to changes in our CPR forecast, and implied interest income on our TBA securities (dollars in millions): </w:t>
      </w:r>
    </w:p>
    <w:tbl>
      <w:tblPr>
        <w:tblW w:w="10928" w:type="dxa"/>
        <w:jc w:val="center"/>
        <w:tblInd w:w="0" w:type="dxa"/>
        <w:tblLayout w:type="fixed"/>
        <w:tblCellMar>
          <w:top w:w="28" w:type="dxa"/>
          <w:left w:w="28" w:type="dxa"/>
          <w:bottom w:w="28" w:type="dxa"/>
          <w:right w:w="28" w:type="dxa"/>
        </w:tblCellMar>
      </w:tblPr>
      <w:tblGrid>
        <w:gridCol w:w="588"/>
        <w:gridCol w:w="201"/>
        <w:gridCol w:w="202"/>
        <w:gridCol w:w="109"/>
        <w:gridCol w:w="109"/>
        <w:gridCol w:w="109"/>
        <w:gridCol w:w="196"/>
        <w:gridCol w:w="556"/>
        <w:gridCol w:w="241"/>
        <w:gridCol w:w="109"/>
        <w:gridCol w:w="109"/>
        <w:gridCol w:w="109"/>
        <w:gridCol w:w="240"/>
        <w:gridCol w:w="241"/>
        <w:gridCol w:w="253"/>
        <w:gridCol w:w="109"/>
        <w:gridCol w:w="109"/>
        <w:gridCol w:w="109"/>
        <w:gridCol w:w="196"/>
        <w:gridCol w:w="421"/>
        <w:gridCol w:w="241"/>
        <w:gridCol w:w="109"/>
        <w:gridCol w:w="109"/>
        <w:gridCol w:w="109"/>
        <w:gridCol w:w="240"/>
        <w:gridCol w:w="241"/>
        <w:gridCol w:w="253"/>
        <w:gridCol w:w="109"/>
        <w:gridCol w:w="109"/>
        <w:gridCol w:w="109"/>
        <w:gridCol w:w="196"/>
        <w:gridCol w:w="556"/>
        <w:gridCol w:w="241"/>
        <w:gridCol w:w="109"/>
        <w:gridCol w:w="109"/>
        <w:gridCol w:w="109"/>
        <w:gridCol w:w="240"/>
        <w:gridCol w:w="241"/>
        <w:gridCol w:w="253"/>
        <w:gridCol w:w="109"/>
        <w:gridCol w:w="109"/>
        <w:gridCol w:w="109"/>
        <w:gridCol w:w="196"/>
        <w:gridCol w:w="556"/>
        <w:gridCol w:w="241"/>
        <w:gridCol w:w="109"/>
        <w:gridCol w:w="109"/>
        <w:gridCol w:w="109"/>
        <w:gridCol w:w="240"/>
        <w:gridCol w:w="241"/>
        <w:gridCol w:w="253"/>
        <w:gridCol w:w="109"/>
        <w:gridCol w:w="109"/>
        <w:gridCol w:w="109"/>
        <w:gridCol w:w="221"/>
      </w:tblGrid>
      <w:tr>
        <w:trPr/>
        <w:tc>
          <w:tcPr>
            <w:tcW w:w="5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tc>
        <w:tc>
          <w:tcPr>
            <w:tcW w:w="548" w:type="dxa"/>
            <w:gridSpan w:val="4"/>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2"/>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Cash/coupon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premium amortization benefit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(0.37)</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(0.48)</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(0.31)</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(0.38)</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(GAAP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Estimated "catch-up" premium amortization cost (benefit) due to change in CPR forecast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0.14 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excluding "catch-up" premium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6"/>
              </w:rPr>
              <w:t xml:space="preserve">TBA dollar roll income - implied interest income </w:t>
            </w:r>
            <w:r>
              <w:rPr>
                <w:rFonts w:ascii="Times New Roman;serif" w:hAnsi="Times New Roman;serif"/>
                <w:b w:val="false"/>
                <w:color w:val="000000"/>
                <w:sz w:val="1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Economic interest income (non-GAAP measure) </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actual portfolio CPR for investment securities held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projected CPR for the remaining life of investment securities held as of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30-year fixed rate mortgage rate as of period end </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10-year U.S. Treasury rate as of period end </w:t>
            </w: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1.Reported in gain (loss) on derivatives instruments and other securities, net in the accompanying consolidated statements of operations.</w:t>
      </w:r>
    </w:p>
    <w:p>
      <w:pPr>
        <w:pStyle w:val="TextBody"/>
        <w:bidi w:val="0"/>
        <w:spacing w:lineRule="auto" w:line="288" w:before="0" w:after="0"/>
        <w:ind w:left="0" w:right="0" w:hanging="360"/>
        <w:jc w:val="both"/>
        <w:rPr/>
      </w:pPr>
      <w:r>
        <w:rPr>
          <w:rFonts w:ascii="Times New Roman;serif" w:hAnsi="Times New Roman;serif"/>
          <w:b w:val="false"/>
          <w:color w:val="000000"/>
          <w:sz w:val="16"/>
        </w:rPr>
        <w:t xml:space="preserve">2.Implied interest income from TBA dollar roll transactions is computed as the sum of (i) TBA dollar roll income and (ii) estimated TBA implied funding cost (see </w:t>
      </w:r>
      <w:r>
        <w:rPr>
          <w:rFonts w:ascii="Times New Roman;serif" w:hAnsi="Times New Roman;serif"/>
          <w:b w:val="false"/>
          <w:i/>
          <w:color w:val="000000"/>
          <w:sz w:val="16"/>
        </w:rPr>
        <w:t>Economic Interest Expense and Aggregate Cost of Funds</w:t>
      </w:r>
      <w:r>
        <w:rPr>
          <w:color w:val="000000"/>
        </w:rPr>
        <w:t xml:space="preserve"> </w:t>
      </w:r>
      <w:r>
        <w:rPr>
          <w:rFonts w:ascii="Times New Roman;serif" w:hAnsi="Times New Roman;serif"/>
          <w:b w:val="false"/>
          <w:color w:val="000000"/>
          <w:sz w:val="16"/>
        </w:rPr>
        <w:t>below). TBA dollar roll income represents the price differential, or "price drop," between the TBA price for current month settlement versus the 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3.The combined asset yield is calculated on a weighted average basis based on our average investment and TBA balances outstanding during the period and their respective yields.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4.30-year fixed rate mortgage rates are sourced from Optimal Blue. 10-year U.S. Treasury rates are sourced from Bloomberg.</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principal elements impacting our economic interest income are the average size of our investment portfolio and the average yield on our securities. The following table includes a summary of the estimated impact of each of these elements on our economic interest income for the three and nine months ended September 30, 2025 compared to the prior year period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82"/>
        <w:gridCol w:w="1598"/>
        <w:gridCol w:w="1614"/>
        <w:gridCol w:w="172"/>
        <w:gridCol w:w="172"/>
        <w:gridCol w:w="172"/>
        <w:gridCol w:w="325"/>
        <w:gridCol w:w="669"/>
        <w:gridCol w:w="172"/>
        <w:gridCol w:w="172"/>
        <w:gridCol w:w="172"/>
        <w:gridCol w:w="172"/>
        <w:gridCol w:w="318"/>
        <w:gridCol w:w="669"/>
        <w:gridCol w:w="172"/>
        <w:gridCol w:w="172"/>
        <w:gridCol w:w="172"/>
        <w:gridCol w:w="172"/>
        <w:gridCol w:w="311"/>
        <w:gridCol w:w="669"/>
        <w:gridCol w:w="258"/>
      </w:tblGrid>
      <w:tr>
        <w:trPr/>
        <w:tc>
          <w:tcPr>
            <w:tcW w:w="1882"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Changes in the Principal Elements Impacting Economic Interest Income</w:t>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5111" w:type="dxa"/>
            <w:gridSpan w:val="18"/>
            <w:tcBorders/>
          </w:tcPr>
          <w:p>
            <w:pPr>
              <w:pStyle w:val="TableContents"/>
              <w:bidi w:val="0"/>
              <w:spacing w:before="0" w:after="283"/>
              <w:jc w:val="left"/>
              <w:rPr>
                <w:sz w:val="4"/>
                <w:szCs w:val="4"/>
              </w:rPr>
            </w:pPr>
            <w:r>
              <w:rPr>
                <w:sz w:val="4"/>
                <w:szCs w:val="4"/>
              </w:rPr>
            </w:r>
          </w:p>
        </w:tc>
      </w:tr>
      <w:tr>
        <w:trPr/>
        <w:tc>
          <w:tcPr>
            <w:tcW w:w="5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Due to Change in Average</w:t>
            </w:r>
          </w:p>
        </w:tc>
      </w:tr>
      <w:tr>
        <w:trPr/>
        <w:tc>
          <w:tcPr>
            <w:tcW w:w="50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Three months ended:</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Increase /</w:t>
              <w:br/>
              <w:t>(Decrease)</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Portfolio</w:t>
              <w:br/>
              <w:t>Size</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br/>
              <w:t>Yield</w:t>
            </w:r>
          </w:p>
        </w:tc>
      </w:tr>
      <w:tr>
        <w:trPr/>
        <w:tc>
          <w:tcPr>
            <w:tcW w:w="5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(GAAP measure)</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Estimated "catch-up" premium amortization due to change in CPR forecast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excluding "catch-up" premium amortization</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dollar roll income - implied interest income</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interest income, excluding "catch-up" amortization (non-GAAP measure)</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Due to Change in Average</w:t>
            </w:r>
          </w:p>
        </w:tc>
      </w:tr>
      <w:tr>
        <w:trPr/>
        <w:tc>
          <w:tcPr>
            <w:tcW w:w="50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Nine months ended:</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Increase /</w:t>
              <w:br/>
              <w:t>(Decrease)</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Portfolio</w:t>
              <w:br/>
              <w:t>Size</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br/>
              <w:t>Yield</w:t>
            </w:r>
          </w:p>
        </w:tc>
      </w:tr>
      <w:tr>
        <w:trPr/>
        <w:tc>
          <w:tcPr>
            <w:tcW w:w="5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(GAAP measure)</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Estimated "catch-up" premium amortization due to change in CPR forecast </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excluding "catch-up" premium amortization</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dollar roll income - implied interest income</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interest income, excluding "catch-up" amortization (non-GAAP measure)</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average investment portfolio (at cost), inclusive of TBAs, increased 23% and 23% for the three and nine months ended September 30, 2025, respectively, compared to the prior year period, primarily due to an increase in our capital base. The average yield on our investment portfolio, including TBA implied asset yields and excluding "catch-up" premium amortization, increased 22 and 24 basis points for the three and nine months ended September 30, 2025, respectively, largely as a result of shifting our asset portfolio from lower coupon holdings toward a greater share of higher coupon, specified pools.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Leverage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primary measure of leverage is our tangible net book value "at risk" leverage ratio, which is measured as the sum of our repurchase agreements and other debt used to fund our investment securities and net TBA and forward settling securities position (at cost) (together referred to as "mortgage borrowings") and our net receivable/payable for unsettled investment securities, divided by our total stockholders' equity adjusted to exclude goodwill.</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Times New Roman;serif" w:hAnsi="Times New Roman;serif"/>
          <w:b w:val="false"/>
          <w:i/>
          <w:color w:val="000000"/>
          <w:sz w:val="20"/>
        </w:rPr>
        <w:t xml:space="preserve">Liquidity and Capital Resources </w:t>
      </w:r>
      <w:r>
        <w:rPr>
          <w:rFonts w:ascii="Times New Roman;serif" w:hAnsi="Times New Roman;serif"/>
          <w:b w:val="false"/>
          <w:color w:val="000000"/>
          <w:sz w:val="20"/>
        </w:rPr>
        <w:t xml:space="preserve">in this Form 10-Q for further discussion of TBA securities and dollar roll transactions). Repurchase agreements used to fund short-term investments in U.S. Treasury securities ("U.S. Treasury Repo") are excluded from our measure of leverage due to the temporary and highly liquid nature of these investments. The following table presents a summary of our leverage ratios for the periods listed (dollars in millions): </w:t>
      </w:r>
    </w:p>
    <w:tbl>
      <w:tblPr>
        <w:tblW w:w="10205" w:type="dxa"/>
        <w:jc w:val="center"/>
        <w:tblInd w:w="0" w:type="dxa"/>
        <w:tblLayout w:type="fixed"/>
        <w:tblCellMar>
          <w:top w:w="28" w:type="dxa"/>
          <w:left w:w="28" w:type="dxa"/>
          <w:bottom w:w="28" w:type="dxa"/>
          <w:right w:w="28" w:type="dxa"/>
        </w:tblCellMar>
      </w:tblPr>
      <w:tblGrid>
        <w:gridCol w:w="400"/>
        <w:gridCol w:w="336"/>
        <w:gridCol w:w="252"/>
        <w:gridCol w:w="109"/>
        <w:gridCol w:w="109"/>
        <w:gridCol w:w="109"/>
        <w:gridCol w:w="199"/>
        <w:gridCol w:w="657"/>
        <w:gridCol w:w="110"/>
        <w:gridCol w:w="110"/>
        <w:gridCol w:w="110"/>
        <w:gridCol w:w="110"/>
        <w:gridCol w:w="199"/>
        <w:gridCol w:w="657"/>
        <w:gridCol w:w="110"/>
        <w:gridCol w:w="110"/>
        <w:gridCol w:w="110"/>
        <w:gridCol w:w="110"/>
        <w:gridCol w:w="199"/>
        <w:gridCol w:w="657"/>
        <w:gridCol w:w="110"/>
        <w:gridCol w:w="109"/>
        <w:gridCol w:w="109"/>
        <w:gridCol w:w="109"/>
        <w:gridCol w:w="196"/>
        <w:gridCol w:w="647"/>
        <w:gridCol w:w="109"/>
        <w:gridCol w:w="109"/>
        <w:gridCol w:w="109"/>
        <w:gridCol w:w="109"/>
        <w:gridCol w:w="196"/>
        <w:gridCol w:w="646"/>
        <w:gridCol w:w="109"/>
        <w:gridCol w:w="109"/>
        <w:gridCol w:w="109"/>
        <w:gridCol w:w="109"/>
        <w:gridCol w:w="331"/>
        <w:gridCol w:w="331"/>
        <w:gridCol w:w="332"/>
        <w:gridCol w:w="109"/>
        <w:gridCol w:w="109"/>
        <w:gridCol w:w="109"/>
        <w:gridCol w:w="325"/>
        <w:gridCol w:w="325"/>
        <w:gridCol w:w="477"/>
      </w:tblGrid>
      <w:tr>
        <w:trPr/>
        <w:tc>
          <w:tcPr>
            <w:tcW w:w="40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Investment Securities Repurchase Agreements and Other Debt </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Net TBA Position</w:t>
              <w:br/>
              <w:t xml:space="preserve">Long/(Short) </w:t>
            </w:r>
            <w:r>
              <w:rPr>
                <w:rFonts w:ascii="Times New Roman;serif" w:hAnsi="Times New Roman;serif"/>
                <w:b/>
                <w:color w:val="000000"/>
                <w:sz w:val="9"/>
              </w:rPr>
              <w:t>2</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Average Tangible Net Book Value </w:t>
            </w:r>
          </w:p>
          <w:p>
            <w:pPr>
              <w:pStyle w:val="TableContents"/>
              <w:bidi w:val="0"/>
              <w:spacing w:lineRule="auto" w:line="240" w:before="0" w:after="0"/>
              <w:jc w:val="center"/>
              <w:rPr/>
            </w:pPr>
            <w:r>
              <w:rPr>
                <w:rFonts w:ascii="Times New Roman;serif" w:hAnsi="Times New Roman;serif"/>
                <w:b/>
                <w:color w:val="000000"/>
                <w:sz w:val="14"/>
              </w:rPr>
              <w:t xml:space="preserve">"At Risk" Leverage during the Period </w:t>
            </w:r>
            <w:r>
              <w:rPr>
                <w:rFonts w:ascii="Times New Roman;serif" w:hAnsi="Times New Roman;serif"/>
                <w:b/>
                <w:color w:val="000000"/>
                <w:sz w:val="9"/>
              </w:rPr>
              <w:t>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Tangible Net Book Value "At Risk" Leverage</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as of</w:t>
            </w:r>
          </w:p>
          <w:p>
            <w:pPr>
              <w:pStyle w:val="TableContents"/>
              <w:bidi w:val="0"/>
              <w:spacing w:lineRule="auto" w:line="240" w:before="0" w:after="0"/>
              <w:jc w:val="center"/>
              <w:rPr/>
            </w:pPr>
            <w:r>
              <w:rPr>
                <w:rFonts w:ascii="Times New Roman;serif" w:hAnsi="Times New Roman;serif"/>
                <w:b/>
                <w:color w:val="000000"/>
                <w:sz w:val="14"/>
              </w:rPr>
              <w:t xml:space="preserve">Period End </w:t>
            </w:r>
            <w:r>
              <w:rPr>
                <w:rFonts w:ascii="Times New Roman;serif" w:hAnsi="Times New Roman;serif"/>
                <w:b/>
                <w:color w:val="000000"/>
                <w:sz w:val="9"/>
              </w:rPr>
              <w:t>4</w:t>
            </w:r>
          </w:p>
        </w:tc>
      </w:tr>
      <w:tr>
        <w:trPr/>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Average Daily</w:t>
              <w:br/>
              <w:t>Amount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Maximum</w:t>
              <w:br/>
              <w:t>Daily Amount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Ending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Average Daily</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Ending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2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66,654 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70,066 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7.6:1</w:t>
            </w:r>
          </w:p>
        </w:tc>
      </w:tr>
      <w:tr>
        <w:trPr/>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7.6:1</w:t>
            </w:r>
          </w:p>
        </w:tc>
      </w:tr>
      <w:tr>
        <w:trPr/>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7.5:1</w:t>
            </w:r>
          </w:p>
        </w:tc>
      </w:tr>
      <w:tr>
        <w:trPr/>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w:t>
            </w:r>
          </w:p>
        </w:tc>
      </w:tr>
      <w:tr>
        <w:trPr/>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w:t>
            </w:r>
          </w:p>
        </w:tc>
      </w:tr>
      <w:tr>
        <w:trPr/>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7.4:1</w:t>
            </w:r>
          </w:p>
        </w:tc>
      </w:tr>
      <w:tr>
        <w:trPr/>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7.1:1</w:t>
            </w:r>
          </w:p>
        </w:tc>
      </w:tr>
      <w:tr>
        <w:trPr/>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1.Other debt includes debt of consolidated VIEs. Amounts exclude U.S. Treasury Repo agreements.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2.Daily average and ending net TBA position outstanding measured at cost. Includes forward settling non-Agency securities.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3.Average tangible net book value "at risk" leverage during the period represents the sum of our daily weighted average repurchase agreements and other debt used to fund acquisitions of investment securities and net TBA and forward settling securities position outstanding, divided by the sum of our average month-ended stockholders' equity, adjusted to exclude goodwill.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4.Tangible net book value "at risk" leverage as of period end represents the sum of our repurchase agreements and other debt used to fund acquisitions of investments securities, net TBA and forward settling securities position (at cost), and net receivable/payable for unsettled investment securities outstanding as of period end, divided by total stockholders' equity, adjusted to exclude goodwill as of period end.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r>
        <w:rPr>
          <w:rFonts w:ascii="Times New Roman;serif" w:hAnsi="Times New Roman;serif"/>
          <w:b/>
          <w:i/>
          <w:color w:val="000000"/>
          <w:sz w:val="20"/>
        </w:rPr>
        <w:t>Economic Interest Expense and Aggregate Cost of Funds</w:t>
      </w:r>
      <w:r>
        <w:rPr>
          <w:color w:val="000000"/>
        </w:rPr>
        <w: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economic interest expense and aggregate cost of funds (non-GAAP measures) for the three and nine months ended September 30, 2025 and 2024 (dollars in millions), which includes the combination of interest expense on repurchase agreements and other debt used to fund acquisitions of investment securities (GAAP measure), implied financing cost of our TBA securities and interest rate swap periodic income: </w:t>
      </w:r>
    </w:p>
    <w:tbl>
      <w:tblPr>
        <w:tblW w:w="10296" w:type="dxa"/>
        <w:jc w:val="center"/>
        <w:tblInd w:w="0" w:type="dxa"/>
        <w:tblLayout w:type="fixed"/>
        <w:tblCellMar>
          <w:top w:w="28" w:type="dxa"/>
          <w:left w:w="28" w:type="dxa"/>
          <w:bottom w:w="28" w:type="dxa"/>
          <w:right w:w="28" w:type="dxa"/>
        </w:tblCellMar>
      </w:tblPr>
      <w:tblGrid>
        <w:gridCol w:w="396"/>
        <w:gridCol w:w="282"/>
        <w:gridCol w:w="283"/>
        <w:gridCol w:w="109"/>
        <w:gridCol w:w="109"/>
        <w:gridCol w:w="109"/>
        <w:gridCol w:w="196"/>
        <w:gridCol w:w="421"/>
        <w:gridCol w:w="109"/>
        <w:gridCol w:w="109"/>
        <w:gridCol w:w="109"/>
        <w:gridCol w:w="109"/>
        <w:gridCol w:w="262"/>
        <w:gridCol w:w="219"/>
        <w:gridCol w:w="285"/>
        <w:gridCol w:w="109"/>
        <w:gridCol w:w="109"/>
        <w:gridCol w:w="109"/>
        <w:gridCol w:w="196"/>
        <w:gridCol w:w="421"/>
        <w:gridCol w:w="109"/>
        <w:gridCol w:w="109"/>
        <w:gridCol w:w="109"/>
        <w:gridCol w:w="109"/>
        <w:gridCol w:w="262"/>
        <w:gridCol w:w="219"/>
        <w:gridCol w:w="285"/>
        <w:gridCol w:w="109"/>
        <w:gridCol w:w="109"/>
        <w:gridCol w:w="109"/>
        <w:gridCol w:w="196"/>
        <w:gridCol w:w="556"/>
        <w:gridCol w:w="109"/>
        <w:gridCol w:w="109"/>
        <w:gridCol w:w="109"/>
        <w:gridCol w:w="109"/>
        <w:gridCol w:w="262"/>
        <w:gridCol w:w="219"/>
        <w:gridCol w:w="285"/>
        <w:gridCol w:w="109"/>
        <w:gridCol w:w="109"/>
        <w:gridCol w:w="109"/>
        <w:gridCol w:w="196"/>
        <w:gridCol w:w="556"/>
        <w:gridCol w:w="109"/>
        <w:gridCol w:w="109"/>
        <w:gridCol w:w="109"/>
        <w:gridCol w:w="109"/>
        <w:gridCol w:w="262"/>
        <w:gridCol w:w="219"/>
        <w:gridCol w:w="285"/>
        <w:gridCol w:w="109"/>
        <w:gridCol w:w="109"/>
        <w:gridCol w:w="109"/>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tc>
        <w:tc>
          <w:tcPr>
            <w:tcW w:w="481" w:type="dxa"/>
            <w:gridSpan w:val="4"/>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Economic Interest Expense and Aggregate Cost of Funds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Funds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repurchase agreement and other debt - interest expense (GAAP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TBA dollar roll income - implied interest expense </w:t>
            </w:r>
            <w:r>
              <w:rPr>
                <w:rFonts w:ascii="Times New Roman;serif" w:hAnsi="Times New Roman;serif"/>
                <w:b w:val="false"/>
                <w:color w:val="000000"/>
                <w:sz w:val="1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Economic interest expense - before interest rate swap periodic income, net </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Interest rate swap periodic income, net </w:t>
            </w:r>
            <w:r>
              <w:rPr>
                <w:rFonts w:ascii="Times New Roman;serif" w:hAnsi="Times New Roman;serif"/>
                <w:b w:val="false"/>
                <w:color w:val="000000"/>
                <w:sz w:val="1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economic interest expense (non-GAAP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1.Amounts exclude interest rate swap termination fees and variation margin settlements paid or received, forward starting swaps and the impact of other supplemental hedges, such as swaptions and U.S. Treasury positions.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2.Reported in gain (loss) on derivative instruments and other securities, net in our consolidated statements of comprehensive income.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(benefit) for all TBA transactions is weighted based on our daily average TBA balance outstanding for the period.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4.The combined cost of funds for total mortgage borrowings outstanding, before interest rate swap periodic income, is calculated on a weighted average basis based on average investment securities repurchase agreements, other debt and TBA securities outstanding during the period and their respective cost of funds.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5.Interest rate swap periodic income is measured as a percent of average mortgage borrowings outstanding for the period. </w:t>
      </w:r>
    </w:p>
    <w:p>
      <w:pPr>
        <w:pStyle w:val="TextBody"/>
        <w:bidi w:val="0"/>
        <w:spacing w:before="0" w:after="0"/>
        <w:ind w:left="0" w:right="0" w:firstLine="495"/>
        <w:jc w:val="both"/>
        <w:rPr/>
      </w:pPr>
      <w:r>
        <w:rPr/>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elements impacting our economic interest expense are (i) the size of our average mortgage borrowings and interest rate swap portfolio outstanding during the period, (ii) the average interest rate on our mortgage borrowings and (iii) the average net interest rate paid/received on our interest rate swaps. The following table includes a summary of the estimated impact of these elements on our economic interest expense for the three and nine months ended September 30, 2025 compared to the prior year period (in millions): </w:t>
      </w:r>
    </w:p>
    <w:tbl>
      <w:tblPr>
        <w:tblW w:w="10205" w:type="dxa"/>
        <w:jc w:val="center"/>
        <w:tblInd w:w="0" w:type="dxa"/>
        <w:tblLayout w:type="fixed"/>
        <w:tblCellMar>
          <w:top w:w="28" w:type="dxa"/>
          <w:left w:w="28" w:type="dxa"/>
          <w:bottom w:w="28" w:type="dxa"/>
          <w:right w:w="28" w:type="dxa"/>
        </w:tblCellMar>
      </w:tblPr>
      <w:tblGrid>
        <w:gridCol w:w="1469"/>
        <w:gridCol w:w="1221"/>
        <w:gridCol w:w="1233"/>
        <w:gridCol w:w="148"/>
        <w:gridCol w:w="148"/>
        <w:gridCol w:w="148"/>
        <w:gridCol w:w="471"/>
        <w:gridCol w:w="967"/>
        <w:gridCol w:w="244"/>
        <w:gridCol w:w="148"/>
        <w:gridCol w:w="148"/>
        <w:gridCol w:w="148"/>
        <w:gridCol w:w="468"/>
        <w:gridCol w:w="956"/>
        <w:gridCol w:w="242"/>
        <w:gridCol w:w="148"/>
        <w:gridCol w:w="148"/>
        <w:gridCol w:w="148"/>
        <w:gridCol w:w="394"/>
        <w:gridCol w:w="911"/>
        <w:gridCol w:w="297"/>
      </w:tblGrid>
      <w:tr>
        <w:trPr/>
        <w:tc>
          <w:tcPr>
            <w:tcW w:w="146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Changes in the Principal Elements of Economic Interest Expense</w:t>
            </w:r>
          </w:p>
        </w:tc>
      </w:tr>
      <w:tr>
        <w:trPr/>
        <w:tc>
          <w:tcPr>
            <w:tcW w:w="3923" w:type="dxa"/>
            <w:gridSpan w:val="3"/>
            <w:tcBorders/>
            <w:vAlign w:val="center"/>
          </w:tcPr>
          <w:p>
            <w:pPr>
              <w:pStyle w:val="TableContents"/>
              <w:bidi w:val="0"/>
              <w:spacing w:before="0" w:after="283"/>
              <w:jc w:val="left"/>
              <w:rPr>
                <w:sz w:val="4"/>
                <w:szCs w:val="4"/>
              </w:rPr>
            </w:pPr>
            <w:r>
              <w:rPr>
                <w:sz w:val="4"/>
                <w:szCs w:val="4"/>
              </w:rPr>
            </w:r>
          </w:p>
        </w:tc>
        <w:tc>
          <w:tcPr>
            <w:tcW w:w="6282" w:type="dxa"/>
            <w:gridSpan w:val="18"/>
            <w:tcBorders/>
          </w:tcPr>
          <w:p>
            <w:pPr>
              <w:pStyle w:val="TableContents"/>
              <w:bidi w:val="0"/>
              <w:spacing w:before="0" w:after="283"/>
              <w:jc w:val="left"/>
              <w:rPr>
                <w:sz w:val="4"/>
                <w:szCs w:val="4"/>
              </w:rPr>
            </w:pPr>
            <w:r>
              <w:rPr>
                <w:sz w:val="4"/>
                <w:szCs w:val="4"/>
              </w:rPr>
            </w:r>
          </w:p>
        </w:tc>
      </w:tr>
      <w:tr>
        <w:trPr/>
        <w:tc>
          <w:tcPr>
            <w:tcW w:w="3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Due to Change in Average</w:t>
            </w:r>
          </w:p>
        </w:tc>
      </w:tr>
      <w:tr>
        <w:trPr/>
        <w:tc>
          <w:tcPr>
            <w:tcW w:w="39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Three months ended:</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Increase / (Decrease)</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 / Swap Balance</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Borrowing / Swap Rate </w:t>
            </w:r>
          </w:p>
        </w:tc>
      </w:tr>
      <w:tr>
        <w:trPr/>
        <w:tc>
          <w:tcPr>
            <w:tcW w:w="39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repurchase agreement and other debt interest expense</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dollar roll income - implied interest expense</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 periodic income/cost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change in economic interest expense</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Due to Change in Average</w:t>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Nine months ended:</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Increase / (Decrease)</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 / Swap Balance</w:t>
            </w:r>
          </w:p>
        </w:tc>
        <w:tc>
          <w:tcPr>
            <w:tcW w:w="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Borrowing / Swap Rate </w:t>
            </w:r>
          </w:p>
        </w:tc>
      </w:tr>
      <w:tr>
        <w:trPr/>
        <w:tc>
          <w:tcPr>
            <w:tcW w:w="39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repurchase agreement and other debt interest expense</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dollar roll income - implied interest benefit/expense</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 periodic income/cost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change in economic interest benefit/expense</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average mortgage borrowings, inclusive of TBAs, increased 24% and 25% for the three and nine months ended September 30, 2025, respectively, consistent with the increase to our average investment portfolio. The average interest rate on our mortgage borrowings, excluding the impact of interest rate swap periodic income, decreased 98 and 99 basis points for the three and nine months ended September 30, 2025, respectively, due to lower short-term interest rates. </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Interest rate swap periodic income declined for the three and nine months ended September 30, 2025, primarily due to higher pay rates on our pay-fixed swaps—driven by the maturity of lower-cost swaps—and lower receive rates. The ratio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interest rate swaps outstanding to mortgage borrowings also declined, reflecting a decline in the Company's total hedge ratio and a shift towards a higher proportion of U.S. Treasury-based hedges. The following is a summary of our interest rate swaps outstanding during the three and nine months ended September 30, 2025 (dollars in millions). Amounts exclude forward starting swaps not yet in effect.</w:t>
      </w:r>
    </w:p>
    <w:tbl>
      <w:tblPr>
        <w:tblW w:w="10205" w:type="dxa"/>
        <w:jc w:val="center"/>
        <w:tblInd w:w="0" w:type="dxa"/>
        <w:tblLayout w:type="fixed"/>
        <w:tblCellMar>
          <w:top w:w="28" w:type="dxa"/>
          <w:left w:w="28" w:type="dxa"/>
          <w:bottom w:w="28" w:type="dxa"/>
          <w:right w:w="28" w:type="dxa"/>
        </w:tblCellMar>
      </w:tblPr>
      <w:tblGrid>
        <w:gridCol w:w="1564"/>
        <w:gridCol w:w="1366"/>
        <w:gridCol w:w="1371"/>
        <w:gridCol w:w="109"/>
        <w:gridCol w:w="109"/>
        <w:gridCol w:w="109"/>
        <w:gridCol w:w="196"/>
        <w:gridCol w:w="646"/>
        <w:gridCol w:w="241"/>
        <w:gridCol w:w="109"/>
        <w:gridCol w:w="109"/>
        <w:gridCol w:w="109"/>
        <w:gridCol w:w="196"/>
        <w:gridCol w:w="646"/>
        <w:gridCol w:w="241"/>
        <w:gridCol w:w="109"/>
        <w:gridCol w:w="109"/>
        <w:gridCol w:w="109"/>
        <w:gridCol w:w="196"/>
        <w:gridCol w:w="646"/>
        <w:gridCol w:w="241"/>
        <w:gridCol w:w="109"/>
        <w:gridCol w:w="109"/>
        <w:gridCol w:w="109"/>
        <w:gridCol w:w="196"/>
        <w:gridCol w:w="646"/>
        <w:gridCol w:w="241"/>
        <w:gridCol w:w="109"/>
        <w:gridCol w:w="155"/>
      </w:tblGrid>
      <w:tr>
        <w:trPr/>
        <w:tc>
          <w:tcPr>
            <w:tcW w:w="156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tc>
        <w:tc>
          <w:tcPr>
            <w:tcW w:w="264" w:type="dxa"/>
            <w:gridSpan w:val="2"/>
            <w:tcBorders/>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Average Ratio of Interest Rate Swaps (Excluding Forward Starting Swaps) to Mortgage Borrowings Outstanding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investment securities repo and other debt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66,654 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59,322 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62,628 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52,969 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net TBA dollar roll position outstanding -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Average mortgage borrowings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76,817 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61,972 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58,175 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notional amount of interest rate swaps outstanding (excluding forward starting swaps),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Ratio of average interest rate swaps to mortgage borrowings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interest rate swap pay-fixed rate (excluding forward starting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Average interest rate swap receive-floating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Average interest rate swap net pay/(receive)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September 30, 2025, we had an average forward starting net pay-fixed rate swap balance of $238 million and $196 million, respectively. For the three and nine months ended September 30, 2024, we had an average forward starting net pay-fixed rate swap balance of $1 million and $894 million, respectively. Forward starting interest rate swaps do not impact our economic interest expense and aggregate cost of funds until they commence accruing net interest settlements on their forward start dates.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Net Interest Spread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net interest spread (including the impact of TBA dollar roll income, interest rate swaps and excluding "catch-up" premium amortization) for the three and nine months ended September 30, 2025 and 2024:</w:t>
      </w:r>
    </w:p>
    <w:tbl>
      <w:tblPr>
        <w:tblW w:w="9701" w:type="dxa"/>
        <w:jc w:val="center"/>
        <w:tblInd w:w="0" w:type="dxa"/>
        <w:tblLayout w:type="fixed"/>
        <w:tblCellMar>
          <w:top w:w="28" w:type="dxa"/>
          <w:left w:w="28" w:type="dxa"/>
          <w:bottom w:w="28" w:type="dxa"/>
          <w:right w:w="28" w:type="dxa"/>
        </w:tblCellMar>
      </w:tblPr>
      <w:tblGrid>
        <w:gridCol w:w="1413"/>
        <w:gridCol w:w="1239"/>
        <w:gridCol w:w="1247"/>
        <w:gridCol w:w="109"/>
        <w:gridCol w:w="109"/>
        <w:gridCol w:w="109"/>
        <w:gridCol w:w="272"/>
        <w:gridCol w:w="268"/>
        <w:gridCol w:w="519"/>
        <w:gridCol w:w="235"/>
        <w:gridCol w:w="235"/>
        <w:gridCol w:w="235"/>
        <w:gridCol w:w="272"/>
        <w:gridCol w:w="268"/>
        <w:gridCol w:w="519"/>
        <w:gridCol w:w="109"/>
        <w:gridCol w:w="109"/>
        <w:gridCol w:w="109"/>
        <w:gridCol w:w="277"/>
        <w:gridCol w:w="263"/>
        <w:gridCol w:w="293"/>
        <w:gridCol w:w="132"/>
        <w:gridCol w:w="132"/>
        <w:gridCol w:w="132"/>
        <w:gridCol w:w="277"/>
        <w:gridCol w:w="263"/>
        <w:gridCol w:w="293"/>
        <w:gridCol w:w="109"/>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and TBA Securities - Net Interest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asset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aggregate cost of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net interest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Net Spread and Dollar Roll Income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spread and dollar roll income available to common stockholders (non-GAAP measure) from comprehensive income (loss) available (attributable) to common stockholders (the most comparable GAAP financial measure) for the three and nine months ended September 30, 2025 and 2024 (dollars in millions):</w:t>
      </w:r>
    </w:p>
    <w:tbl>
      <w:tblPr>
        <w:tblW w:w="10205" w:type="dxa"/>
        <w:jc w:val="center"/>
        <w:tblInd w:w="0" w:type="dxa"/>
        <w:tblLayout w:type="fixed"/>
        <w:tblCellMar>
          <w:top w:w="28" w:type="dxa"/>
          <w:left w:w="28" w:type="dxa"/>
          <w:bottom w:w="28" w:type="dxa"/>
          <w:right w:w="28" w:type="dxa"/>
        </w:tblCellMar>
      </w:tblPr>
      <w:tblGrid>
        <w:gridCol w:w="1860"/>
        <w:gridCol w:w="1602"/>
        <w:gridCol w:w="1605"/>
        <w:gridCol w:w="109"/>
        <w:gridCol w:w="109"/>
        <w:gridCol w:w="109"/>
        <w:gridCol w:w="257"/>
        <w:gridCol w:w="583"/>
        <w:gridCol w:w="136"/>
        <w:gridCol w:w="136"/>
        <w:gridCol w:w="136"/>
        <w:gridCol w:w="136"/>
        <w:gridCol w:w="245"/>
        <w:gridCol w:w="583"/>
        <w:gridCol w:w="136"/>
        <w:gridCol w:w="109"/>
        <w:gridCol w:w="109"/>
        <w:gridCol w:w="109"/>
        <w:gridCol w:w="196"/>
        <w:gridCol w:w="466"/>
        <w:gridCol w:w="109"/>
        <w:gridCol w:w="109"/>
        <w:gridCol w:w="109"/>
        <w:gridCol w:w="109"/>
        <w:gridCol w:w="196"/>
        <w:gridCol w:w="466"/>
        <w:gridCol w:w="109"/>
        <w:gridCol w:w="109"/>
        <w:gridCol w:w="158"/>
      </w:tblGrid>
      <w:tr>
        <w:trPr/>
        <w:tc>
          <w:tcPr>
            <w:tcW w:w="18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tc>
        <w:tc>
          <w:tcPr>
            <w:tcW w:w="267" w:type="dxa"/>
            <w:gridSpan w:val="2"/>
            <w:tcBorders/>
          </w:tcPr>
          <w:p>
            <w:pPr>
              <w:pStyle w:val="TableContents"/>
              <w:bidi w:val="0"/>
              <w:spacing w:before="0" w:after="283"/>
              <w:jc w:val="left"/>
              <w:rPr>
                <w:sz w:val="4"/>
                <w:szCs w:val="4"/>
              </w:rPr>
            </w:pPr>
            <w:r>
              <w:rPr>
                <w:sz w:val="4"/>
                <w:szCs w:val="4"/>
              </w:rPr>
            </w:r>
          </w:p>
        </w:tc>
      </w:tr>
      <w:tr>
        <w:trPr/>
        <w:tc>
          <w:tcPr>
            <w:tcW w:w="5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Comprehensive income available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Adjustments to exclude realized and unrealized (gains) losses reported through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Realized (gain) loss on sale of investment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on investment securities measured at fair value through net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loss on derivative instruments and other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Adjustment to exclude unrealized gain reported through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on available-for-sale securities measure at fair value through other comprehensive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Estimated "catch-up" premium amortization cost (benefit) due to change in CPR forecast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TBA dollar roll income, net </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Interest rate swap periodic income (cost), net </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Other interest income (expense), net </w:t>
            </w:r>
            <w:r>
              <w:rPr>
                <w:rFonts w:ascii="Times New Roman;serif" w:hAnsi="Times New Roman;serif"/>
                <w:b w:val="false"/>
                <w:color w:val="000000"/>
                <w:sz w:val="1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Net spread and dollar roll income available to common stockholders (non-GAAP measure)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1,056.6 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810.1 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spread and dollar roll income per common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0.35 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0.43 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spread and dollar roll income per common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0.35 </w:t>
            </w:r>
          </w:p>
        </w:tc>
        <w:tc>
          <w:tcPr>
            <w:tcW w:w="1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0.43 </w:t>
            </w:r>
          </w:p>
        </w:tc>
        <w:tc>
          <w:tcPr>
            <w:tcW w:w="1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1.Reported in interest income in our consolidated statements of comprehensive income.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2.Reported in gain (loss) on derivative instruments and other securities, net in our consolidated statements of comprehensive income.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3.Other interest income (expense), net includes interest income on cash and cash equivalents; price alignment interest income (expense) ("PAI") on interest rate swap margin deposits posted by or (to) the Company; and other miscellaneous interest income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Gain (Loss) on Investment Securities, Net </w:t>
      </w:r>
    </w:p>
    <w:p>
      <w:pPr>
        <w:pStyle w:val="TextBody"/>
        <w:bidi w:val="0"/>
        <w:spacing w:lineRule="auto" w:line="288" w:before="180" w:after="60"/>
        <w:ind w:left="0" w:right="0" w:firstLine="540"/>
        <w:jc w:val="both"/>
        <w:rPr/>
      </w:pPr>
      <w:r>
        <w:rPr>
          <w:rFonts w:ascii="Times New Roman;serif" w:hAnsi="Times New Roman;serif"/>
          <w:b w:val="false"/>
          <w:color w:val="000000"/>
          <w:sz w:val="20"/>
        </w:rPr>
        <w:t>The following table is a summary of our net gain (loss) on investment securities for the three and nine months ended September 30, 2025 and 2024 (in millions):</w:t>
      </w:r>
      <w:r>
        <w:rPr>
          <w:color w:val="000000"/>
        </w:rPr>
        <w:t> </w:t>
      </w:r>
    </w:p>
    <w:tbl>
      <w:tblPr>
        <w:tblW w:w="10205" w:type="dxa"/>
        <w:jc w:val="center"/>
        <w:tblInd w:w="0" w:type="dxa"/>
        <w:tblLayout w:type="fixed"/>
        <w:tblCellMar>
          <w:top w:w="28" w:type="dxa"/>
          <w:left w:w="28" w:type="dxa"/>
          <w:bottom w:w="28" w:type="dxa"/>
          <w:right w:w="28" w:type="dxa"/>
        </w:tblCellMar>
      </w:tblPr>
      <w:tblGrid>
        <w:gridCol w:w="1831"/>
        <w:gridCol w:w="1514"/>
        <w:gridCol w:w="1526"/>
        <w:gridCol w:w="109"/>
        <w:gridCol w:w="109"/>
        <w:gridCol w:w="109"/>
        <w:gridCol w:w="242"/>
        <w:gridCol w:w="520"/>
        <w:gridCol w:w="134"/>
        <w:gridCol w:w="134"/>
        <w:gridCol w:w="134"/>
        <w:gridCol w:w="134"/>
        <w:gridCol w:w="242"/>
        <w:gridCol w:w="688"/>
        <w:gridCol w:w="134"/>
        <w:gridCol w:w="109"/>
        <w:gridCol w:w="109"/>
        <w:gridCol w:w="109"/>
        <w:gridCol w:w="196"/>
        <w:gridCol w:w="556"/>
        <w:gridCol w:w="109"/>
        <w:gridCol w:w="109"/>
        <w:gridCol w:w="109"/>
        <w:gridCol w:w="109"/>
        <w:gridCol w:w="196"/>
        <w:gridCol w:w="556"/>
        <w:gridCol w:w="109"/>
        <w:gridCol w:w="109"/>
        <w:gridCol w:w="160"/>
      </w:tblGrid>
      <w:tr>
        <w:trPr/>
        <w:tc>
          <w:tcPr>
            <w:tcW w:w="183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tc>
        <w:tc>
          <w:tcPr>
            <w:tcW w:w="269" w:type="dxa"/>
            <w:gridSpan w:val="2"/>
            <w:tcBorders/>
          </w:tcPr>
          <w:p>
            <w:pPr>
              <w:pStyle w:val="TableContents"/>
              <w:bidi w:val="0"/>
              <w:spacing w:before="0" w:after="283"/>
              <w:jc w:val="left"/>
              <w:rPr>
                <w:sz w:val="4"/>
                <w:szCs w:val="4"/>
              </w:rPr>
            </w:pPr>
            <w:r>
              <w:rPr>
                <w:sz w:val="4"/>
                <w:szCs w:val="4"/>
              </w:rPr>
            </w:r>
          </w:p>
        </w:tc>
      </w:tr>
      <w:tr>
        <w:trPr/>
        <w:tc>
          <w:tcPr>
            <w:tcW w:w="48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Gain (Loss) on Investment Securities, Net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sale of investment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Unrealized gain on investment securities measured at fair value through net income, net </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on investment securities measured at fair value through other comprehensive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gain on investment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1.Amounts exclude gain (loss) on TBA securities, which are reported in gain (loss) on derivative instruments and other securities, net in our Consolidated Statements of Comprehensive Income.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2.Investment securities acquired after fiscal year 2016 are measured at fair value through net income (see Note 2 of our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Gain (Loss) on Derivative Instruments and Other Securities, Net</w:t>
      </w:r>
    </w:p>
    <w:p>
      <w:pPr>
        <w:pStyle w:val="TextBody"/>
        <w:bidi w:val="0"/>
        <w:spacing w:lineRule="auto" w:line="288" w:before="18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our gain (loss) on derivative instruments and other securities, net for the three and nine months ended September 30, 2025 and 2024 (in millions):</w:t>
      </w:r>
    </w:p>
    <w:tbl>
      <w:tblPr>
        <w:tblW w:w="10205" w:type="dxa"/>
        <w:jc w:val="center"/>
        <w:tblInd w:w="0" w:type="dxa"/>
        <w:tblLayout w:type="fixed"/>
        <w:tblCellMar>
          <w:top w:w="28" w:type="dxa"/>
          <w:left w:w="28" w:type="dxa"/>
          <w:bottom w:w="28" w:type="dxa"/>
          <w:right w:w="28" w:type="dxa"/>
        </w:tblCellMar>
      </w:tblPr>
      <w:tblGrid>
        <w:gridCol w:w="1675"/>
        <w:gridCol w:w="1470"/>
        <w:gridCol w:w="1482"/>
        <w:gridCol w:w="109"/>
        <w:gridCol w:w="109"/>
        <w:gridCol w:w="109"/>
        <w:gridCol w:w="264"/>
        <w:gridCol w:w="546"/>
        <w:gridCol w:w="147"/>
        <w:gridCol w:w="147"/>
        <w:gridCol w:w="147"/>
        <w:gridCol w:w="147"/>
        <w:gridCol w:w="264"/>
        <w:gridCol w:w="850"/>
        <w:gridCol w:w="147"/>
        <w:gridCol w:w="109"/>
        <w:gridCol w:w="109"/>
        <w:gridCol w:w="109"/>
        <w:gridCol w:w="196"/>
        <w:gridCol w:w="629"/>
        <w:gridCol w:w="109"/>
        <w:gridCol w:w="109"/>
        <w:gridCol w:w="109"/>
        <w:gridCol w:w="109"/>
        <w:gridCol w:w="280"/>
        <w:gridCol w:w="348"/>
        <w:gridCol w:w="109"/>
        <w:gridCol w:w="109"/>
        <w:gridCol w:w="158"/>
      </w:tblGrid>
      <w:tr>
        <w:trPr/>
        <w:tc>
          <w:tcPr>
            <w:tcW w:w="1675"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tc>
        <w:tc>
          <w:tcPr>
            <w:tcW w:w="267" w:type="dxa"/>
            <w:gridSpan w:val="2"/>
            <w:tcBorders/>
          </w:tcPr>
          <w:p>
            <w:pPr>
              <w:pStyle w:val="TableContents"/>
              <w:bidi w:val="0"/>
              <w:spacing w:before="0" w:after="283"/>
              <w:jc w:val="left"/>
              <w:rPr>
                <w:sz w:val="4"/>
                <w:szCs w:val="4"/>
              </w:rPr>
            </w:pPr>
            <w:r>
              <w:rPr>
                <w:sz w:val="4"/>
                <w:szCs w:val="4"/>
              </w:rPr>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securities, dollar roll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securities, mark-to-market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 periodic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 mark-to-market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Credit default swaps - buy protection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Payer 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Receiver swaptions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securities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securities - long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futures contracts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 futures contracts - long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interest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gain (loss) on derivative instruments and other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further details regarding our use of derivative instruments and related activity refer to Notes 2 and 5 of our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 There are various risks and uncertainties that can impact our liquidity, such as those described in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of our most recent Annual Report on Form 10-K and Item 3. </w:t>
      </w:r>
      <w:r>
        <w:rPr>
          <w:rFonts w:ascii="Times New Roman;serif" w:hAnsi="Times New Roman;serif"/>
          <w:b w:val="false"/>
          <w:i/>
          <w:color w:val="000000"/>
          <w:sz w:val="20"/>
        </w:rPr>
        <w:t>Quantitative and Qualitative Disclosures of Market Risks</w:t>
      </w:r>
      <w:r>
        <w:rPr>
          <w:color w:val="000000"/>
        </w:rPr>
        <w:t xml:space="preserve"> </w:t>
      </w:r>
      <w:r>
        <w:rPr>
          <w:rFonts w:ascii="Times New Roman;serif" w:hAnsi="Times New Roman;serif"/>
          <w:b w:val="false"/>
          <w:color w:val="000000"/>
          <w:sz w:val="20"/>
        </w:rPr>
        <w:t>in this Form 10-Q. In assessing our liquidity, we consider a number of factors, including our current leverage, collateral levels, access to capital markets, overall market conditions, and the sensitivity of our tangible net book value over a range of scenarios. We believe that we have sufficient liquidity and capital resources available to meet our obligations and execute our business strategy.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Leverage and Financing Sources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leverage will vary depending on market conditions and our assessment of relative risks and returns, but we generally expect our leverage to be between six and twelve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7.6x and 7.2x as of September 30, 2025 and December 31, 2024, respectively. The following table includes a summary of our mortgage borrowings outstanding as of September 30, 2025 and December 31, 2024 (dollars in millions). For additional details of our mortgage borrowings refer to Notes 2, 4 and 5 to our Consolidated Financial Statements in this Form 10-Q.</w:t>
      </w:r>
    </w:p>
    <w:tbl>
      <w:tblPr>
        <w:tblW w:w="8718" w:type="dxa"/>
        <w:jc w:val="center"/>
        <w:tblInd w:w="0" w:type="dxa"/>
        <w:tblLayout w:type="fixed"/>
        <w:tblCellMar>
          <w:top w:w="28" w:type="dxa"/>
          <w:left w:w="28" w:type="dxa"/>
          <w:bottom w:w="28" w:type="dxa"/>
          <w:right w:w="28" w:type="dxa"/>
        </w:tblCellMar>
      </w:tblPr>
      <w:tblGrid>
        <w:gridCol w:w="1500"/>
        <w:gridCol w:w="1317"/>
        <w:gridCol w:w="1322"/>
        <w:gridCol w:w="109"/>
        <w:gridCol w:w="109"/>
        <w:gridCol w:w="109"/>
        <w:gridCol w:w="196"/>
        <w:gridCol w:w="646"/>
        <w:gridCol w:w="109"/>
        <w:gridCol w:w="109"/>
        <w:gridCol w:w="109"/>
        <w:gridCol w:w="109"/>
        <w:gridCol w:w="209"/>
        <w:gridCol w:w="212"/>
        <w:gridCol w:w="241"/>
        <w:gridCol w:w="109"/>
        <w:gridCol w:w="109"/>
        <w:gridCol w:w="109"/>
        <w:gridCol w:w="196"/>
        <w:gridCol w:w="646"/>
        <w:gridCol w:w="109"/>
        <w:gridCol w:w="109"/>
        <w:gridCol w:w="109"/>
        <w:gridCol w:w="109"/>
        <w:gridCol w:w="209"/>
        <w:gridCol w:w="212"/>
        <w:gridCol w:w="286"/>
      </w:tblGrid>
      <w:tr>
        <w:trPr/>
        <w:tc>
          <w:tcPr>
            <w:tcW w:w="150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Mortgage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Investment securities repurchase agreements </w:t>
            </w:r>
            <w:r>
              <w:rPr>
                <w:rFonts w:ascii="Times New Roman;serif" w:hAnsi="Times New Roman;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of consolidated variable interest entities,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and forward settling non-Agency securities,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mortgage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pPr>
      <w:r>
        <w:rPr>
          <w:rFonts w:ascii="Malgun Gothic;sans-serif" w:hAnsi="Malgun Gothic;sans-serif"/>
          <w:b w:val="false"/>
          <w:color w:val="000000"/>
          <w:sz w:val="16"/>
        </w:rPr>
        <w:t>1.</w:t>
      </w:r>
      <w:r>
        <w:rPr>
          <w:rFonts w:ascii="Times New Roman;serif" w:hAnsi="Times New Roman;serif"/>
          <w:b w:val="false"/>
          <w:color w:val="000000"/>
          <w:sz w:val="16"/>
        </w:rPr>
        <w:t>Includes Agency RMBS, CRT and non-Agency MBS repurchase agreements.</w:t>
      </w:r>
      <w:r>
        <w:rPr>
          <w:color w:val="000000"/>
        </w:rPr>
        <w:t xml:space="preserve"> </w:t>
      </w:r>
      <w:r>
        <w:rPr>
          <w:rFonts w:ascii="Malgun Gothic;sans-serif" w:hAnsi="Malgun Gothic;sans-serif"/>
          <w:b w:val="false"/>
          <w:color w:val="000000"/>
          <w:sz w:val="16"/>
        </w:rPr>
        <w:t>E</w:t>
      </w:r>
      <w:r>
        <w:rPr>
          <w:rFonts w:ascii="Times New Roman;serif" w:hAnsi="Times New Roman;serif"/>
          <w:b w:val="false"/>
          <w:color w:val="000000"/>
          <w:sz w:val="16"/>
        </w:rPr>
        <w:t xml:space="preserve">xcludes U.S. Treasury repurchase agreements totaling $5.2 billion and $1.4 billion as of September 30, 2025 and December 31, 2024, respectively.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2.As of September 30, 2025 and December 31, 2024, 44% and 47%, respectively, of our total repurchase agreements, including 47% and 49% or our investment securities repurchase agreements, respectively, were funded through the Fixed Income Clearing Corporation's GCF Repo service.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primarily finance our assets through collateralized borrowings structured as repurchase agreements (“repo”). We enter into these agreements on a bilateral basis with financial institutions and independent dealers, as well as through tri-party and centrally cleared repo platforms—such as the FICC’s GCF Repo service—accessed through our wholly owned, registered broker-dealer subsidiary, Bethesda Securities, LLC. We manage our repo funding through counterparty diversification, maintaining a suitable maturity profile, interest rate hedging, and other strategies. In addition to repo, we also utilize TBA dollar roll transactions to synthetically finance Agency RMBS.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terms of bilateral repurchase agreements are established on a transaction-by-transaction basis at the time each borrowing is initiated or renewed and are governed by the provisions of a Master Repurchase Agreement. For GCF Repo transactions, the terms and conditions are set by the FICC's clearing rules and applicable operating procedures. Each of our repurchase agreements requires that borrowed amounts be subject to collateralization requirements, and interest rates are generally fixed and reflect prevailing market rates for the specified borrowing term and collateral type. Our repurchase agreement counterparties are not obligated to renew or enter into new borrowings upon the maturity of existing agreements.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TBA dollar roll transactions enhance our funding diversification, expand our available pool of assets, and improve our liquidity position by typically requiring lower collateral than Agency RMBS financed with repo. These transactions may also benefit from lower implied costs, or "specialness." However, if rolling TBA contracts into future months becomes uneconomical, we may need to take physical delivery of the underlying securities and fund those securities with other sources, potentially reducing our liquidity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Collateral Requirements and Unencumbered Assets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Borrowing capacity under our repurchase agreements is influenced by counterparty margin requirements, collateral values, interest rates and counterparties’ willingness and ability to lend. These factors can change over time in response to interest rate movements, overall market liquidity, shifts in credit quality and changes in bank regulatory requirements. Centrally cleared repo capacity also depends on Bethesda Securities’ satisfying membership and regulatory requirements and maintaining its risk exposure within limits established by the FICC.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Haircuts for bilateral repurchase agreements are determined on a transaction-specific basis. A haircut is a discount applied to the market value of pledged collateral to protect the counterparty against potential declines in its value. Margin requirements for GCF Repo are set by the FICC. These include an initial margin requirement, calculated daily using a Value-at-Risk (“VaR”) model, which evaluates Bethesda Securities’ net exposure to the FICC, taking into account the offsetting risk sensitivities of positions such as repos and reverse repos. Initial margin is designed to protect the FICC against potential future exposure from a member default and may also be used to cover losses arising from the default of other clearing members, subject to assessments from the loss mutualization waterfall and applicable caps and withdrawal provisions set pursuant to FICC rules. The FICC also imposes daily variation margin, based on amounts borrowed plus accrued interest, adjusted for fluctuations in collateral value, and is intended to cover the current exposure associated with the repo transaction. Margin thresholds may increase during periods of elevated market volatility, causing an adverse change in our liquidity position.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When collateral values decline, counterparties typically issue margin calls requiring us to post additional collateral to restore the required collateralization level. Conversely, if the value of pledged securities rises, we may request the return of excess collateral. Collateral values are determined by our counterparties, who are required to act in good faith. Margin calls are typically due on the same business day, subject to notice provisions. As of September 30, 2025, we were in compliance with all margin requirements.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Fannie Mae and Freddie Mac publish monthly pay-down factors on the fifth business day following month-end, and repo counterparties typically reduce the values they assign to Agency RMBS collateral to account for the pay-down factor data, even though principal payments on Agency RMBS are generally not received until the 25th calendar day following month-end. Bilateral repo counterparties make this adjustment at the time Fannie Mae and Freddie Mac publish the pay-down factors. In contrast, the FICC assesses margin on the last business day of each month—prior to the factor release—using internally projected pay-down rates. This estimate-based collateral adjustment is referred to as the "blackout period exposure adjustment" or "blackout margin." On the factor release date, the FICC releases the blackout margin and updates collateral requirements to reflect the actual factor data.</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difference between margin calls related to principal pay-downs and our receipt of the corresponding cash flows temporarily reduces our available liquidity each month. We manage this liquidity risk by monitoring factors that influence prepayment activity and through disciplined asset selection. As of September 30, 2025, approximately 15% of our investment portfolio consisted of TBA securities, which are not subject to monthly principal pay-downs. The remainder of our portfolio, primarily consisting of Agency RMBS, had an average one-year CPR forecast of 10%.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Collateral requirements under our derivative agreements are typically subject to initial and variation margin requirements, similar to those for centrally cleared repo transactions, and may be adjusted based on changes in the value of the derivative agreements, collateral values, market volatility, and other factors. Collateral requirements for our TBA contracts are governed by the Mortgage-Backed Securities Division ("MBSD") of the FICC. Collateral levels for interest rate swap agreements are established by the central clearing exchange and the associated futures commission merchants ("FCMs"), which may impose margin requirements in excess of the clearing exchange. Non-centrally cleared derivative collateral requirements are set by the counterparty financial institution.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Haircut levels and initial or minimum margin requirements reduce the amount of our unencumbered assets and limit our borrowing capacity. During the three and nine months ended September 30, 2025, haircuts and initial margin requirements on our repo funding arrangements remained stable. As of September 30, 2025, the weighted average haircut and initial margin on our repurchase agreements was approximately 2.9% of the value of our collateral, compared to 3.2% as of December 31, 2024.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To mitigate the risk of margins calls, we seek to maintain excess liquidity by holding unencumbered liquid assets that can be used to satisfy collateral requirements, collateralize additional borrowings or sold for cash. As of September 30, 2025, our unencumbered assets totaled approximately $7.3 billion, or 66% of tangible equity, consisting of $7.2 billion of cash and unencumbered Agency RMBS and $0.1 billion of unencumbered credit assets. This compares to $6.2 billion of unencumbered assets, or 67% of tangible equity, as of December 31, 2024, consisting of $6.1 billion of cash and unencumbered Agency RMBS and $0.1 billion of unencumbered credit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additional details regarding assets pledged under our repo and derivative agreements refer to Note 6 to our Consolidated Financial Statements in this Form 10-Q.</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Counterparty Risk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Collateral requirements imposed by counterparties subject us to the risk that pledged assets may not be returned to us as required. We attempt to manage this risk by actively monitoring our collateral positions and limiting our counterparties to registered clearinghouses and regulated financial institutions with acceptable credit ratings. We also diversify our funding sources across multiple counterparties and geographic region.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our maximum amount at risk (or the excess/shortfall of the value of collateral pledged/received over our repurchase agreement liabilities/reverse repurchase agreement receivables) with any of our repurchase agreement counterparties, excluding the FICC, was less than 2% of our tangible stockholders' equity, with our top five repo counterparties, excluding the FICC, representing less than 5% of our tangible stockholders' equity. As of September 30, 2025, less than 8% of our tangible stockholders' equity was at risk with the FICC. Excluding central clearing exchanges, as of September 30, 2025, our amount at risk with any counterparty to our derivative agreements was less than 1% of our stockholders' equity.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Asset Sales</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Agency RMBS securities are among the most liquid fixed income securities, and the TBA market is the second most liquid market (after the U.S. Treasury market). Although market conditions fluctuate, the vitality of these markets enables us to sell assets under most conditions to generate liquidity through direct sales or delivery into TBA contracts, subject to "good delivery" provisions promulgated by the Securities Industry and Financial Markets Association ("SIFMA"). Under certain market conditions, however, we may be unable to realize the full carrying value of our securities. We attempt to manage this risk by maintaining at least a minimum level of securities that trade at or near TBA values that in our estimation enhances our portfolio liquidity across a wide range of market conditions. Please refer to </w:t>
      </w:r>
      <w:r>
        <w:rPr>
          <w:rFonts w:ascii="Times New Roman;serif" w:hAnsi="Times New Roman;serif"/>
          <w:b w:val="false"/>
          <w:i/>
          <w:color w:val="000000"/>
          <w:sz w:val="20"/>
        </w:rPr>
        <w:t>Trends and Recent Market Impacts</w:t>
      </w:r>
      <w:r>
        <w:rPr>
          <w:color w:val="000000"/>
        </w:rPr>
        <w:t xml:space="preserve"> </w:t>
      </w:r>
      <w:r>
        <w:rPr>
          <w:rFonts w:ascii="Times New Roman;serif" w:hAnsi="Times New Roman;serif"/>
          <w:b w:val="false"/>
          <w:color w:val="000000"/>
          <w:sz w:val="20"/>
        </w:rPr>
        <w:t>of this Management Discussion and Analysis for further information regarding Agency RMBS and TBA market conditions.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Capital Markets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equity capital markets serve as a source of capital to grow our business and to meet potential liquidity needs of our business. The availability of equity capital is dependent on market conditions and investor demand for our common and preferred stock. We will typically not issue common stock at times when we believe the capital raised will not be accretive to our tangible net book value or earnings, and we will typically not issue preferred equity when its cost exceeds acceptable hurdle rates of return on our equity. We may also be unable to raise additional equity capital at suitable times or on favorable terms. Furthermore, when the trading price of our common stock is less than our then-current estimate of our tangible net book value per common share, among other conditions, we may repurchase shares of our common stock pursuant to the stock repurchase plan authorized by our Board, which as of September 30, 2025, shares of our common stock with an aggregate repurchase price of $1.0 billion remained authorized for repurchase through December 31, 2026. Please refer to Note 9 of our Consolidated Financial Statements in this Form 10-Q for further details regarding our recent equity capital transactions.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September 30, 2025, we had not guaranteed obligations of unconsolidated entities or entered into a commitment or intent to provide funding to such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statements contained in this Quarterly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 </w:t>
      </w:r>
    </w:p>
    <w:p>
      <w:pPr>
        <w:pStyle w:val="TextBody"/>
        <w:bidi w:val="0"/>
        <w:spacing w:lineRule="auto" w:line="288" w:before="18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based on management’s assumptions, projections and beliefs as of the date of this Quarterly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60" w:after="283"/>
        <w:ind w:left="0" w:right="0" w:hanging="270"/>
        <w:jc w:val="both"/>
        <w:rPr/>
      </w:pPr>
      <w:r>
        <w:rPr>
          <w:color w:val="000000"/>
        </w:rPr>
        <w:t>•</w:t>
      </w:r>
      <w:r>
        <w:rPr>
          <w:rFonts w:ascii="Times New Roman;serif" w:hAnsi="Times New Roman;serif"/>
          <w:b w:val="false"/>
          <w:color w:val="000000"/>
          <w:sz w:val="20"/>
        </w:rPr>
        <w:t>the level, degree and extent of volatility in interest rates or the yield on our assets relative to interest rate benchmarks;</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 xml:space="preserve">fluctuations in mortgage prepayment rates on the loans underlying our Agency RMBS; </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 xml:space="preserve">the availability and terms of our financing and hedge positions; </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 xml:space="preserve">changes in the market value of our assets, including from changes in net interest spreads, market liquidity or depth, and changes in our "at risk" leverage or hedge positions; </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fluctuations in the yield curve;</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 xml:space="preserve">the effectiveness of our risk mitigation strategies; </w:t>
      </w:r>
    </w:p>
    <w:p>
      <w:pPr>
        <w:pStyle w:val="TextBody"/>
        <w:bidi w:val="0"/>
        <w:spacing w:lineRule="auto" w:line="268" w:before="0" w:after="0"/>
        <w:ind w:left="0" w:right="0" w:hanging="270"/>
        <w:jc w:val="left"/>
        <w:rPr/>
      </w:pPr>
      <w:r>
        <w:rPr>
          <w:color w:val="000000"/>
        </w:rPr>
        <w:t>•</w:t>
      </w:r>
      <w:r>
        <w:rPr>
          <w:rFonts w:ascii="Times New Roman;serif" w:hAnsi="Times New Roman;serif"/>
          <w:b w:val="false"/>
          <w:color w:val="000000"/>
          <w:sz w:val="20"/>
        </w:rPr>
        <w:t xml:space="preserve">conditions in the market for Agency RMBS and other mortgage securities, including changes in the available supply of such securities or investor appetite therefor; </w:t>
      </w:r>
    </w:p>
    <w:p>
      <w:pPr>
        <w:pStyle w:val="TextBody"/>
        <w:bidi w:val="0"/>
        <w:spacing w:lineRule="auto" w:line="268" w:before="0" w:after="0"/>
        <w:ind w:left="0" w:right="0" w:hanging="270"/>
        <w:jc w:val="left"/>
        <w:rPr/>
      </w:pPr>
      <w:r>
        <w:rPr>
          <w:color w:val="000000"/>
        </w:rPr>
        <w:t>•</w:t>
      </w:r>
      <w:r>
        <w:rPr>
          <w:rFonts w:ascii="Times New Roman;serif" w:hAnsi="Times New Roman;serif"/>
          <w:b w:val="false"/>
          <w:color w:val="000000"/>
          <w:sz w:val="20"/>
        </w:rPr>
        <w:t>changes in U.S. monetary policy or interest rates, including actions taken by the Federal Reserve to normalize monetary policy and to reduce the size of its U.S. Treasury and Agency RMBS bond portfolio;</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the direct or indirect effects of actions by the federal, state, or local governments that affect the economy, the housing sector or financial markets, including actions relating to fiscal policy;</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the direct or indirect effects of geopolitical events, including war, terrorism, civil discord, embargos, trade or other disputes, or natural disasters, on conditions in the markets for Agency RMBS or other mortgage securities, the terms or availability of funding for our business, or our ongoing business operations;</w:t>
      </w:r>
    </w:p>
    <w:p>
      <w:pPr>
        <w:pStyle w:val="TextBody"/>
        <w:bidi w:val="0"/>
        <w:spacing w:lineRule="auto" w:line="268" w:before="0" w:after="0"/>
        <w:ind w:left="0" w:right="0" w:hanging="270"/>
        <w:jc w:val="left"/>
        <w:rPr/>
      </w:pPr>
      <w:r>
        <w:rPr>
          <w:color w:val="000000"/>
        </w:rPr>
        <w:t>•</w:t>
      </w:r>
      <w:r>
        <w:rPr>
          <w:rFonts w:ascii="Times New Roman;serif" w:hAnsi="Times New Roman;serif"/>
          <w:b w:val="false"/>
          <w:color w:val="000000"/>
          <w:sz w:val="20"/>
        </w:rPr>
        <w:t>the availability of personnel, operational resources, information technology and other systems to conduct our operations;</w:t>
      </w:r>
    </w:p>
    <w:p>
      <w:pPr>
        <w:pStyle w:val="TextBody"/>
        <w:bidi w:val="0"/>
        <w:spacing w:lineRule="auto" w:line="268" w:before="0" w:after="0"/>
        <w:ind w:left="0" w:right="0" w:hanging="270"/>
        <w:jc w:val="left"/>
        <w:rPr/>
      </w:pPr>
      <w:r>
        <w:rPr>
          <w:color w:val="000000"/>
        </w:rPr>
        <w:t>•</w:t>
      </w:r>
      <w:r>
        <w:rPr>
          <w:rFonts w:ascii="Times New Roman;serif" w:hAnsi="Times New Roman;serif"/>
          <w:b w:val="false"/>
          <w:color w:val="000000"/>
          <w:sz w:val="20"/>
        </w:rPr>
        <w:t>changes to laws, regulations, rules or policies that affect the GSE's, the primary or secondary mortgage markets in which we participate or U.S. housing finance activity, including actions that would end or alter the conservatorships of Fannie Mae or Freddie Mac or their quasi-governmental status; and</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legislative or regulatory actions that affect our status as a REIT or our exemption from the Investment Company Act of 1940.</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under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in Part I of our most recent Annual Report on Form 10-K and Part II of this Form 10-Q. We caution readers not to place undue reliance on our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WEBSITE AND SOCIAL MEDIA DISCLOSURE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use our website (www.AGNC.com) and AGNC’s LinkedIn (www.linkedin.com/company/agnc-investment-corp/) and X (www.x.com/AGNCInvestment) accounts to distribute information about the Company. Investors should monitor these channels in addition to our press releases, filings with the U.S. Securities and Exchange Commission (“SEC”), public conference calls and webcasts, as information posted through them may be deemed material. Our website, alerts and social media channels are not incorporated by reference into, and are not a part of, this or any other report filed with or furnished to the SEC. Investors and others may automatically receive emails and information about AGNC when they sign up for investor alerts on the "Investor Resources" tab of the Investor Relations section of our website.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Item 3.</w:t>
      </w:r>
      <w:r>
        <w:rPr>
          <w:color w:val="000000"/>
        </w:rPr>
        <w:t xml:space="preserve"> </w:t>
      </w:r>
      <w:r>
        <w:rPr>
          <w:rFonts w:ascii="Times New Roman;serif" w:hAnsi="Times New Roman;serif"/>
          <w:b/>
          <w:i/>
          <w:color w:val="000000"/>
          <w:sz w:val="20"/>
        </w:rPr>
        <w:t>Quantitative and Qualitative Disclosures about Market Risk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rate risk are interest rate swaps, swaptions, U.S. Treasury securities and U.S. Treasury futures contracts. Our hedging techniques are highly complex and are partly based on assumed levels of prepayments of our assets. If prepayments are slower or faster than assumed, the maturity of our investments will also differ from our expectations, which could reduce the effectiveness of our hedging strategies and may cause losses on such transactions and adversely affect our cash flow.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estimate the duration and convexity of our assets using a third-party risk management system and market data. We review the estimates for reasonableness, giving consideration to any unique characteristics of our securities, market conditions and other factors likely to impact these estimates, and based on our judgment we may make adjustments to the third-party estimates. Our estimated duration gap, which is a measure of the difference between the interest rate sensitivity of our assets and our liabilities, inclusive of interest rate hedges, was 0.3 years as of September 30, 2025 and December 31, 2024.</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quantifies the estimated changes in the fair value of our investment portfolio (including derivatives and other securities used for hedging purposes) and in our tangible net book value per common share as of September 30, 2025 and December 31, 2024 should interest rates go up or down by 25, 50 and 75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September 30, 2025 and December 31, 2024.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To the extent that these estimates or other assumptions do not hold true, which may be more likely during periods of elevated market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r>
        <w:rPr>
          <w:color w:val="000000"/>
        </w:rPr>
        <w:t> </w:t>
      </w:r>
    </w:p>
    <w:tbl>
      <w:tblPr>
        <w:tblW w:w="10205" w:type="dxa"/>
        <w:jc w:val="center"/>
        <w:tblInd w:w="0" w:type="dxa"/>
        <w:tblLayout w:type="fixed"/>
        <w:tblCellMar>
          <w:top w:w="28" w:type="dxa"/>
          <w:left w:w="28" w:type="dxa"/>
          <w:bottom w:w="28" w:type="dxa"/>
          <w:right w:w="28" w:type="dxa"/>
        </w:tblCellMar>
      </w:tblPr>
      <w:tblGrid>
        <w:gridCol w:w="384"/>
        <w:gridCol w:w="337"/>
        <w:gridCol w:w="338"/>
        <w:gridCol w:w="109"/>
        <w:gridCol w:w="109"/>
        <w:gridCol w:w="109"/>
        <w:gridCol w:w="552"/>
        <w:gridCol w:w="552"/>
        <w:gridCol w:w="554"/>
        <w:gridCol w:w="129"/>
        <w:gridCol w:w="129"/>
        <w:gridCol w:w="129"/>
        <w:gridCol w:w="725"/>
        <w:gridCol w:w="725"/>
        <w:gridCol w:w="727"/>
        <w:gridCol w:w="109"/>
        <w:gridCol w:w="109"/>
        <w:gridCol w:w="109"/>
        <w:gridCol w:w="552"/>
        <w:gridCol w:w="552"/>
        <w:gridCol w:w="554"/>
        <w:gridCol w:w="127"/>
        <w:gridCol w:w="127"/>
        <w:gridCol w:w="127"/>
        <w:gridCol w:w="650"/>
        <w:gridCol w:w="650"/>
        <w:gridCol w:w="931"/>
      </w:tblGrid>
      <w:tr>
        <w:trPr/>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Interest Rate Sensitivity </w:t>
            </w:r>
            <w:r>
              <w:rPr>
                <w:rFonts w:ascii="Times New Roman;serif" w:hAnsi="Times New Roman;serif"/>
                <w:b/>
                <w:color w:val="000000"/>
                <w:sz w:val="10"/>
              </w:rPr>
              <w:t>1,2</w:t>
            </w:r>
          </w:p>
        </w:tc>
      </w:tr>
      <w:tr>
        <w:trPr/>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Change in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Portfolio Market Value</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Tangible Net Book Value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Portfolio Market Value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Tangible Net Book Value Per Common Share</w:t>
            </w:r>
          </w:p>
        </w:tc>
      </w:tr>
      <w:tr>
        <w:trPr/>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231" w:type="dxa"/>
            <w:gridSpan w:val="3"/>
            <w:tcBorders/>
            <w:vAlign w:val="center"/>
          </w:tcPr>
          <w:p>
            <w:pPr>
              <w:pStyle w:val="TableContents"/>
              <w:bidi w:val="0"/>
              <w:spacing w:before="0" w:after="283"/>
              <w:jc w:val="left"/>
              <w:rPr>
                <w:sz w:val="4"/>
                <w:szCs w:val="4"/>
              </w:rPr>
            </w:pPr>
            <w:r>
              <w:rPr>
                <w:sz w:val="4"/>
                <w:szCs w:val="4"/>
              </w:rPr>
            </w:r>
          </w:p>
        </w:tc>
      </w:tr>
      <w:tr>
        <w:trPr/>
        <w:tc>
          <w:tcPr>
            <w:tcW w:w="1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-0.9%</w:t>
            </w:r>
          </w:p>
        </w:tc>
      </w:tr>
      <w:tr>
        <w:trPr/>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w:t>
            </w:r>
          </w:p>
        </w:tc>
      </w:tr>
      <w:tr>
        <w:trPr/>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r>
      <w:tr>
        <w:trPr/>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-0.4%</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r>
      <w:tr>
        <w:trPr/>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+75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r>
      <w:tr>
        <w:trPr/>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2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1.Derived from models that are dependent on inputs and assumptions, assumes there are no changes in mortgage spreads and assumes a static portfolio. Actual results could differ materially from these estimates.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2.Includes the effect of derivatives and other securities used for hedging purposes. Interest rates are assumed to be floored at 0% in down rate scenarios.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Prepayment Risk and Extension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Generally, declining mortgage rates increase the rate of prepayments, while rising rates have the opposite effect.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Extension risk is the risk that our assets will be repaid at a slower rate than anticipated and generally increases when interest rates rise. In a rising or higher interest rate environment, we may be required to finance our investments at potentially higher costs without the ability to reinvest principal into higher yielding securities as a result of borrowers prepaying their mortgages at a slower pace than originally anticipated, adversely impacting our net interest spread, and thus our net interest income.</w:t>
      </w:r>
    </w:p>
    <w:p>
      <w:pPr>
        <w:pStyle w:val="TextBody"/>
        <w:bidi w:val="0"/>
        <w:spacing w:lineRule="auto" w:line="288" w:before="18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our investment securities (excluding TBAs) had a weighted average projected CPR of 8.6% and 7.7%, respectively, and a weighted average yield of 4.94% and 4.77%, respectively. The table below presents estimated weighted average projected CPRs and yields for our investment securities should interest rates go up or down instantaneously by 25, 50 and 75 basis points. Estimated yields exclude the impact of retroactive "catch-up" premium amortization adjustments for prior periods due to changes in the projected CPR assumption. </w:t>
      </w:r>
    </w:p>
    <w:tbl>
      <w:tblPr>
        <w:tblW w:w="10205" w:type="dxa"/>
        <w:jc w:val="center"/>
        <w:tblInd w:w="0" w:type="dxa"/>
        <w:tblLayout w:type="fixed"/>
        <w:tblCellMar>
          <w:top w:w="28" w:type="dxa"/>
          <w:left w:w="28" w:type="dxa"/>
          <w:bottom w:w="28" w:type="dxa"/>
          <w:right w:w="28" w:type="dxa"/>
        </w:tblCellMar>
      </w:tblPr>
      <w:tblGrid>
        <w:gridCol w:w="512"/>
        <w:gridCol w:w="444"/>
        <w:gridCol w:w="445"/>
        <w:gridCol w:w="109"/>
        <w:gridCol w:w="109"/>
        <w:gridCol w:w="109"/>
        <w:gridCol w:w="622"/>
        <w:gridCol w:w="622"/>
        <w:gridCol w:w="625"/>
        <w:gridCol w:w="145"/>
        <w:gridCol w:w="145"/>
        <w:gridCol w:w="145"/>
        <w:gridCol w:w="582"/>
        <w:gridCol w:w="582"/>
        <w:gridCol w:w="584"/>
        <w:gridCol w:w="109"/>
        <w:gridCol w:w="109"/>
        <w:gridCol w:w="109"/>
        <w:gridCol w:w="622"/>
        <w:gridCol w:w="622"/>
        <w:gridCol w:w="625"/>
        <w:gridCol w:w="141"/>
        <w:gridCol w:w="141"/>
        <w:gridCol w:w="141"/>
        <w:gridCol w:w="524"/>
        <w:gridCol w:w="524"/>
        <w:gridCol w:w="758"/>
      </w:tblGrid>
      <w:tr>
        <w:trPr/>
        <w:tc>
          <w:tcPr>
            <w:tcW w:w="51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Interest Rate Sensitivity </w:t>
            </w:r>
            <w:r>
              <w:rPr>
                <w:rFonts w:ascii="Times New Roman;serif" w:hAnsi="Times New Roman;serif"/>
                <w:b/>
                <w:color w:val="000000"/>
                <w:sz w:val="10"/>
              </w:rPr>
              <w:t>1</w:t>
            </w:r>
          </w:p>
        </w:tc>
      </w:tr>
      <w:tr>
        <w:trPr/>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Change in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Projected CPR</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Weighted Average Asset Yield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Projected CPR</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Weighted Average Asset Yield </w:t>
            </w:r>
            <w:r>
              <w:rPr>
                <w:rFonts w:ascii="Times New Roman;serif" w:hAnsi="Times New Roman;serif"/>
                <w:b/>
                <w:color w:val="000000"/>
                <w:sz w:val="10"/>
              </w:rPr>
              <w:t>2</w:t>
            </w:r>
          </w:p>
        </w:tc>
      </w:tr>
      <w:tr>
        <w:trPr/>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r>
      <w:tr>
        <w:trPr/>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11.7%</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4.70%</w:t>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4.73%</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4.76%</w:t>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Actual as of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4.77%</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4.78%</w:t>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4.79%</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4.80%</w:t>
            </w:r>
          </w:p>
        </w:tc>
      </w:tr>
      <w:tr>
        <w:trPr/>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1.Derived from models that are dependent on inputs and assumptions and assumes a static portfolio. Actual results could differ materially from these estimates. Table excludes TBA securities.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2.Asset yield based on historical cost basis and does not include the impact of retroactive "catch-up" premium amortization adjustments due to changes in projected CPR.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Spread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Therefore, although we use hedging instruments to attempt to protect against moves in interest rates, our hedges are generally not designed to protect against spread risk, and our tangible net book value could decline if spreads widen.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September 30, 2025 and December 31, 2024 should spreads widen or tighten by 10, 25 and 50 basis points. The estimated impact of changes in spreads is in addition to our interest rate shock sensitivity included in the interest rate shock table above. The table below assumes a spread duration of 5.1 as of September 30, 2025 and December 31, 2024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79"/>
        <w:gridCol w:w="332"/>
        <w:gridCol w:w="334"/>
        <w:gridCol w:w="109"/>
        <w:gridCol w:w="109"/>
        <w:gridCol w:w="109"/>
        <w:gridCol w:w="553"/>
        <w:gridCol w:w="553"/>
        <w:gridCol w:w="555"/>
        <w:gridCol w:w="129"/>
        <w:gridCol w:w="129"/>
        <w:gridCol w:w="129"/>
        <w:gridCol w:w="726"/>
        <w:gridCol w:w="726"/>
        <w:gridCol w:w="729"/>
        <w:gridCol w:w="109"/>
        <w:gridCol w:w="109"/>
        <w:gridCol w:w="109"/>
        <w:gridCol w:w="553"/>
        <w:gridCol w:w="553"/>
        <w:gridCol w:w="555"/>
        <w:gridCol w:w="127"/>
        <w:gridCol w:w="127"/>
        <w:gridCol w:w="127"/>
        <w:gridCol w:w="652"/>
        <w:gridCol w:w="652"/>
        <w:gridCol w:w="931"/>
      </w:tblGrid>
      <w:tr>
        <w:trPr/>
        <w:tc>
          <w:tcPr>
            <w:tcW w:w="37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Spread Sensitivity </w:t>
            </w:r>
            <w:r>
              <w:rPr>
                <w:rFonts w:ascii="Times New Roman;serif" w:hAnsi="Times New Roman;serif"/>
                <w:b/>
                <w:color w:val="000000"/>
                <w:sz w:val="10"/>
              </w:rPr>
              <w:t>1,2</w:t>
            </w:r>
          </w:p>
        </w:tc>
      </w:tr>
      <w:tr>
        <w:trPr/>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Change in MBS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Portfolio Market Value</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Tangible Net Book Value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Portfolio Market Value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Tangible Net Book Value Per Common Share</w:t>
            </w:r>
          </w:p>
        </w:tc>
      </w:tr>
      <w:tr>
        <w:trPr/>
        <w:tc>
          <w:tcPr>
            <w:tcW w:w="1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+24.5%</w:t>
            </w:r>
          </w:p>
        </w:tc>
      </w:tr>
      <w:tr>
        <w:trPr/>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w:t>
            </w:r>
          </w:p>
        </w:tc>
      </w:tr>
      <w:tr>
        <w:trPr/>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r>
      <w:tr>
        <w:trPr/>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r>
      <w:tr>
        <w:trPr/>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w:t>
            </w:r>
          </w:p>
        </w:tc>
      </w:tr>
      <w:tr>
        <w:trPr/>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-24.5%</w:t>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1.Spread sensitivity is derived from models that are dependent on inputs and assumptions, assumes there are no changes in interest rates and assumes a static portfolio. Actual results could differ materially from these estimates.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2.Includes the effect of derivatives and other securities used for hedging purposes.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Liquidity Risk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liquidity risk principally arises from financing long-term fixed rate assets with shorter-term variable rate borrowings. Future borrowings are dependent upon the willingness of lenders to finance our investments, lender collateral requirements and the lenders’ determination of the fair value of the securities pledged as collateral. These factors can change over time in response to interest rate movements, overall market liquidity, shifts in credit quality and changes in bank regulatory requirements. Borrowings under centrally cleared repo also depend on Bethesda Securities’ satisfying membership and regulatory requirements and maintaining its risk exposure within limits established by the FICC.</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As of September 30, 2025, we believe that we have sufficient liquidity and capital resources available to execute our business strategy (see </w:t>
      </w:r>
      <w:r>
        <w:rPr>
          <w:rFonts w:ascii="Times New Roman;serif" w:hAnsi="Times New Roman;serif"/>
          <w:b w:val="false"/>
          <w:i/>
          <w:color w:val="000000"/>
          <w:sz w:val="20"/>
        </w:rPr>
        <w:t>Liquidity and Capital Resources</w:t>
      </w:r>
      <w:r>
        <w:rPr>
          <w:color w:val="000000"/>
        </w:rPr>
        <w:t xml:space="preserve"> </w:t>
      </w:r>
      <w:r>
        <w:rPr>
          <w:rFonts w:ascii="Times New Roman;serif" w:hAnsi="Times New Roman;serif"/>
          <w:b w:val="false"/>
          <w:color w:val="000000"/>
          <w:sz w:val="20"/>
        </w:rPr>
        <w:t xml:space="preserve">in this Form 10-Q for additional details). However, should the value of our collateral or the value of our derivative instruments suddenly decrease, or margin requirements increase, we may be required to post additional collateral for these arrangements, causing an adverse change in our liquidity position. Furthermore, there is no assurance that we will always be able to renew (or roll) our short-term funding liabilities. In addition, our bilateral counterparties have the option to increase our haircuts (margin requirements) on the assets we pledge against our funding liabilities, and our central clearing counterparties may adjust their risk models impacting the amount of initial margin we are required to post, thereby reducing the amount that can be borrowed against our assets even if they agree to renew or roll our funding liabilities. Significantly higher haircuts or initial margin requirements can reduce our ability to leverage our portfolio or may even force us to sell assets, especially if correlated with asset price declines or faster prepayment rates on our assets.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regulated financial institutions with acceptable credit ratings or to registered central clearinghouses and monitoring concentration levels with any one counterparty. We also continuously monitor and adjust the amount of collateral pledged based on changes in market value. However, our efforts to manage credit risk may be unsuccessful and we could suffer losses as a result. Excluding central clearing exchanges, as of September 30, 2025, our maximum amount at risk with any counterparty related to our repurchase agreements and derivative agreements was less than 2% and less than 1%, respectively, of tangible stockholders' equity.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erif" w:hAnsi="Times New Roman;serif"/>
          <w:b/>
          <w:color w:val="000000"/>
          <w:sz w:val="20"/>
        </w:rPr>
        <w:t>Item 4.</w:t>
      </w:r>
      <w:r>
        <w:rPr>
          <w:color w:val="000000"/>
        </w:rPr>
        <w:t xml:space="preserve"> </w:t>
      </w:r>
      <w:r>
        <w:rPr>
          <w:rFonts w:ascii="Times New Roman;serif" w:hAnsi="Times New Roman;serif"/>
          <w:b/>
          <w:i/>
          <w:color w:val="000000"/>
          <w:sz w:val="20"/>
        </w:rPr>
        <w:t>Controls and Procedures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including our Chief Executive Officer and Chief Financial Officer, evaluated the effectiveness of the design and operation of our disclosure controls and procedures as of September 30, 2025. Based on the foregoing, our Chief Executive Officer and Chief Financial Officer concluded that our disclosure controls and procedures were effective.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4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PART II.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 xml:space="preserve">Item 1. </w:t>
      </w:r>
      <w:r>
        <w:rPr>
          <w:rFonts w:ascii="Times New Roman;serif" w:hAnsi="Times New Roman;serif"/>
          <w:b/>
          <w:i/>
          <w:color w:val="000000"/>
          <w:sz w:val="20"/>
        </w:rPr>
        <w:t>Legal Proceedings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previously disclosed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 xml:space="preserve">Item 2. </w:t>
      </w:r>
      <w:r>
        <w:rPr>
          <w:rFonts w:ascii="Times New Roman;serif" w:hAnsi="Times New Roman;serif"/>
          <w:b/>
          <w:i/>
          <w:color w:val="000000"/>
          <w:sz w:val="18"/>
        </w:rPr>
        <w:t>Unregistered Sales of Equity Securities and Use of Proceeds</w:t>
      </w:r>
      <w:r>
        <w:rPr>
          <w:color w:val="000000"/>
        </w:rPr>
        <w:t xml:space="preserv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 xml:space="preserve">Item 3. </w:t>
      </w:r>
      <w:r>
        <w:rPr>
          <w:rFonts w:ascii="Times New Roman;serif" w:hAnsi="Times New Roman;serif"/>
          <w:b/>
          <w:i/>
          <w:color w:val="000000"/>
          <w:sz w:val="18"/>
        </w:rPr>
        <w:t>Defaults upon Senior Securities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 xml:space="preserve">Item 4. </w:t>
      </w:r>
      <w:r>
        <w:rPr>
          <w:rFonts w:ascii="Times New Roman;serif" w:hAnsi="Times New Roman;serif"/>
          <w:b/>
          <w:i/>
          <w:color w:val="000000"/>
          <w:sz w:val="20"/>
        </w:rPr>
        <w:t>Mine Safety Disclosures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Rule 10b5-1 Trading Arrangements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September 30, 2025, none of our directors or officers (as defined in Rule 16a-1(f) under the Exchange Act) informed us of the adoption or termination of a “Rule 10b5-1 trading arrangement” or “non-Rule 10b5-1 trading arrangement” (as each term is defined in Regulation S-K, Item 408).</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Supplement to U.S. Federal Income Tax Considerations</w:t>
      </w:r>
    </w:p>
    <w:p>
      <w:pPr>
        <w:pStyle w:val="TextBody"/>
        <w:bidi w:val="0"/>
        <w:spacing w:lineRule="auto" w:line="276"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summary of certain U.S. federal income tax considerations supplements the discussion set forth under the heading “U.S. Federal Income Tax Considerations” in the shelf registration statement on Form S-3 filed with the Securities and Exchange Commission on May 9, 2024, including the base prospectus dated as of May 9, 2024 (the “Prospectus”), as amended by the prospectus supplement to the Prospectus dated as of April 24, 2025, and under the headings “Regulatory Requirements” and “Risk Factors” in our Annual Report on Form 10-K for the year ended December 31, 2024, and is subject to the qualifications set forth therein. Capitalized terms used but not defined herein have the meanings set forth in the Prospectus. The following summary is for general information only and is not tax advice. This discussion does not purport to deal with all aspects of taxation that may be relevant to our shareholders in light of their personal investment or tax circumstances.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New legislation has been recently enacted that modifies certain disclosures in “U.S. Federal Income Tax Considerations” of the Prospectus. Please see below for a brief description of these modifications.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As described in the Prospectus, stockholders that are individuals, trusts or estates are generally entitled to a deduction equal to 20% of the aggregate amount of ordinary income dividends received from a REIT (not including capital gain dividends or dividends eligible for the reduced rates applicable to “qualified dividend income”), subject to certain limitations. Although originally scheduled to expire for taxable years beginning on or after January 1, 2026, the new legislation makes this 20% deduction permanent.</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The limitation on a REIT’s ownership of TRS securities has been increased from 20% to 25% of the REIT’s total assets, effective for taxable years beginning after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Exhibits and Financial Statement Schedules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Exhibit Index </w:t>
      </w:r>
    </w:p>
    <w:p>
      <w:pPr>
        <w:pStyle w:val="TextBody"/>
        <w:bidi w:val="0"/>
        <w:spacing w:lineRule="auto" w:line="288" w:before="180" w:after="283"/>
        <w:jc w:val="both"/>
        <w:rPr/>
      </w:pPr>
      <w:r>
        <w:rPr>
          <w:rFonts w:ascii="Times New Roman;serif" w:hAnsi="Times New Roman;serif"/>
          <w:b/>
          <w:color w:val="000000"/>
          <w:sz w:val="16"/>
          <w:u w:val="single"/>
        </w:rPr>
        <w:t>Exhibit No.</w:t>
      </w:r>
      <w:r>
        <w:rPr>
          <w:color w:val="000000"/>
        </w:rPr>
        <w:t>    </w:t>
      </w:r>
      <w:r>
        <w:rPr>
          <w:rFonts w:ascii="Times New Roman;serif" w:hAnsi="Times New Roman;serif"/>
          <w:b/>
          <w:color w:val="000000"/>
          <w:sz w:val="16"/>
          <w:u w:val="single"/>
        </w:rPr>
        <w:t>Description</w:t>
      </w:r>
    </w:p>
    <w:p>
      <w:pPr>
        <w:pStyle w:val="TextBody"/>
        <w:bidi w:val="0"/>
        <w:spacing w:lineRule="auto" w:line="288" w:before="180" w:after="283"/>
        <w:ind w:left="0" w:right="0" w:hanging="1440"/>
        <w:jc w:val="both"/>
        <w:rPr/>
      </w:pPr>
      <w:hyperlink r:id="rId3">
        <w:r>
          <w:rPr>
            <w:rStyle w:val="InternetLink"/>
          </w:rPr>
          <w:t>*3.1</w:t>
        </w:r>
      </w:hyperlink>
      <w:r>
        <w:rPr>
          <w:rFonts w:ascii="Times New Roman;serif" w:hAnsi="Times New Roman;serif"/>
          <w:b w:val="false"/>
          <w:color w:val="000000"/>
          <w:sz w:val="20"/>
        </w:rPr>
        <w:t>    </w:t>
      </w:r>
      <w:hyperlink r:id="rId4">
        <w:r>
          <w:rPr>
            <w:rStyle w:val="InternetLink"/>
          </w:rPr>
          <w:t>AGNC Investment Corp. Amended and Restated Certificate of Incorporation, as amended, incorporated herein by reference to Exhibit 3.1 of Form 10-Q for the quarter ended March 31, 2025 (File No. 001-34057), filed May 2, 2025.</w:t>
        </w:r>
      </w:hyperlink>
    </w:p>
    <w:p>
      <w:pPr>
        <w:pStyle w:val="TextBody"/>
        <w:bidi w:val="0"/>
        <w:spacing w:lineRule="auto" w:line="288" w:before="180" w:after="283"/>
        <w:ind w:left="0" w:right="0" w:hanging="1440"/>
        <w:jc w:val="both"/>
        <w:rPr/>
      </w:pPr>
      <w:hyperlink r:id="rId5">
        <w:r>
          <w:rPr>
            <w:rStyle w:val="InternetLink"/>
          </w:rPr>
          <w:t>*3.2</w:t>
        </w:r>
      </w:hyperlink>
      <w:r>
        <w:rPr>
          <w:rFonts w:ascii="Times New Roman;serif" w:hAnsi="Times New Roman;serif"/>
          <w:b w:val="false"/>
          <w:color w:val="000000"/>
          <w:sz w:val="20"/>
        </w:rPr>
        <w:t>    </w:t>
      </w:r>
      <w:hyperlink r:id="rId6">
        <w:r>
          <w:rPr>
            <w:rStyle w:val="InternetLink"/>
          </w:rPr>
          <w:t>AGNC Investment Corp. Amended and Restated Bylaws, as amended, incorporated herein by reference to Exhibit 3.1 of Form 8-K (File No. 001-34057), filed July 21, 2023.</w:t>
        </w:r>
      </w:hyperlink>
    </w:p>
    <w:p>
      <w:pPr>
        <w:pStyle w:val="TextBody"/>
        <w:bidi w:val="0"/>
        <w:spacing w:lineRule="auto" w:line="288" w:before="180" w:after="283"/>
        <w:ind w:left="0" w:right="0" w:hanging="1440"/>
        <w:jc w:val="both"/>
        <w:rPr/>
      </w:pPr>
      <w:hyperlink r:id="rId7">
        <w:r>
          <w:rPr>
            <w:rStyle w:val="InternetLink"/>
          </w:rPr>
          <w:t>*3.3</w:t>
        </w:r>
      </w:hyperlink>
      <w:r>
        <w:rPr>
          <w:rFonts w:ascii="Times New Roman;serif" w:hAnsi="Times New Roman;serif"/>
          <w:b w:val="false"/>
          <w:color w:val="000000"/>
          <w:sz w:val="20"/>
        </w:rPr>
        <w:t>    </w:t>
      </w:r>
      <w:hyperlink r:id="rId8">
        <w:r>
          <w:rPr>
            <w:rStyle w:val="InternetLink"/>
          </w:rPr>
          <w:t>Certificate of Designations of 7.00% Series C Fixed-to-Floating Rate Cumulative Redeemable Preferred Stock, incorporated herein by reference to Exhibit 3.5 of Form 8-A (File No. 001-34057), filed August 18, 2017.</w:t>
        </w:r>
      </w:hyperlink>
    </w:p>
    <w:p>
      <w:pPr>
        <w:pStyle w:val="TextBody"/>
        <w:bidi w:val="0"/>
        <w:spacing w:lineRule="auto" w:line="288" w:before="180" w:after="283"/>
        <w:ind w:left="0" w:right="0" w:hanging="1440"/>
        <w:jc w:val="both"/>
        <w:rPr/>
      </w:pPr>
      <w:hyperlink r:id="rId9">
        <w:r>
          <w:rPr>
            <w:rStyle w:val="InternetLink"/>
          </w:rPr>
          <w:t>*3.4</w:t>
        </w:r>
      </w:hyperlink>
      <w:r>
        <w:rPr>
          <w:rFonts w:ascii="Times New Roman;serif" w:hAnsi="Times New Roman;serif"/>
          <w:b w:val="false"/>
          <w:color w:val="000000"/>
          <w:sz w:val="20"/>
        </w:rPr>
        <w:t>    </w:t>
      </w:r>
      <w:hyperlink r:id="rId10">
        <w:r>
          <w:rPr>
            <w:rStyle w:val="InternetLink"/>
          </w:rPr>
          <w:t>Certificate of Elimination of 8.000% Series A Cumulative Redeemable Preferred Stock, incorporated herein by reference to Exhibit 3.1 of Form 8-K (File No 001-34057), filed October 26, 2017.</w:t>
        </w:r>
      </w:hyperlink>
    </w:p>
    <w:p>
      <w:pPr>
        <w:pStyle w:val="TextBody"/>
        <w:bidi w:val="0"/>
        <w:spacing w:lineRule="auto" w:line="288" w:before="180" w:after="283"/>
        <w:ind w:left="0" w:right="0" w:hanging="1440"/>
        <w:jc w:val="both"/>
        <w:rPr/>
      </w:pPr>
      <w:hyperlink r:id="rId11">
        <w:r>
          <w:rPr>
            <w:rStyle w:val="InternetLink"/>
          </w:rPr>
          <w:t>*3.5</w:t>
        </w:r>
      </w:hyperlink>
      <w:r>
        <w:rPr>
          <w:rFonts w:ascii="Times New Roman;serif" w:hAnsi="Times New Roman;serif"/>
          <w:b w:val="false"/>
          <w:color w:val="000000"/>
          <w:sz w:val="20"/>
        </w:rPr>
        <w:t>    </w:t>
      </w:r>
      <w:hyperlink r:id="rId12">
        <w:r>
          <w:rPr>
            <w:rStyle w:val="InternetLink"/>
          </w:rPr>
          <w:t>Certificate of Designations of 6.875% Series D Fixed-to-Floating Rate Cumulative Redeemable Preferred Stock, incorporated herein by reference to Exhibit 3.5 of Form 8-A (File No 001-34057), filed March 6, 2019.</w:t>
        </w:r>
      </w:hyperlink>
    </w:p>
    <w:p>
      <w:pPr>
        <w:pStyle w:val="TextBody"/>
        <w:bidi w:val="0"/>
        <w:spacing w:lineRule="auto" w:line="288" w:before="180" w:after="283"/>
        <w:ind w:left="0" w:right="0" w:hanging="1440"/>
        <w:jc w:val="both"/>
        <w:rPr/>
      </w:pPr>
      <w:hyperlink r:id="rId13">
        <w:r>
          <w:rPr>
            <w:rStyle w:val="InternetLink"/>
          </w:rPr>
          <w:t>*3.6</w:t>
        </w:r>
      </w:hyperlink>
      <w:r>
        <w:rPr>
          <w:rFonts w:ascii="Times New Roman;serif" w:hAnsi="Times New Roman;serif"/>
          <w:b w:val="false"/>
          <w:color w:val="000000"/>
          <w:sz w:val="20"/>
        </w:rPr>
        <w:t>    </w:t>
      </w:r>
      <w:hyperlink r:id="rId14">
        <w:r>
          <w:rPr>
            <w:rStyle w:val="InternetLink"/>
          </w:rPr>
          <w:t>Certificate of Designations of 6.50% Series E Fixed-to-Floating Rate Cumulative Redeemable Preferred Stock, incorporated herein by reference to Exhibit 3.6 of Form 8-A (File No 001-34057), filed October 3, 2019.</w:t>
        </w:r>
      </w:hyperlink>
    </w:p>
    <w:p>
      <w:pPr>
        <w:pStyle w:val="TextBody"/>
        <w:bidi w:val="0"/>
        <w:spacing w:lineRule="auto" w:line="288" w:before="180" w:after="283"/>
        <w:ind w:left="0" w:right="0" w:hanging="1440"/>
        <w:jc w:val="both"/>
        <w:rPr/>
      </w:pPr>
      <w:hyperlink r:id="rId15">
        <w:r>
          <w:rPr>
            <w:rStyle w:val="InternetLink"/>
          </w:rPr>
          <w:t>*3.7</w:t>
        </w:r>
      </w:hyperlink>
      <w:r>
        <w:rPr>
          <w:rFonts w:ascii="Times New Roman;serif" w:hAnsi="Times New Roman;serif"/>
          <w:b w:val="false"/>
          <w:color w:val="000000"/>
          <w:sz w:val="20"/>
        </w:rPr>
        <w:t>    </w:t>
      </w:r>
      <w:hyperlink r:id="rId16">
        <w:r>
          <w:rPr>
            <w:rStyle w:val="InternetLink"/>
          </w:rPr>
          <w:t>Certificate of Elimination of 7.750% Series B Cumulative Redeemable Preferred Stock, incorporated herein by reference to Exhibit 3.1 of Form 8-K (File No 001-34057), filed December 13, 2019.</w:t>
        </w:r>
      </w:hyperlink>
    </w:p>
    <w:p>
      <w:pPr>
        <w:pStyle w:val="TextBody"/>
        <w:bidi w:val="0"/>
        <w:spacing w:lineRule="auto" w:line="288" w:before="180" w:after="283"/>
        <w:ind w:left="0" w:right="0" w:hanging="1440"/>
        <w:jc w:val="both"/>
        <w:rPr/>
      </w:pPr>
      <w:hyperlink r:id="rId17">
        <w:r>
          <w:rPr>
            <w:rStyle w:val="InternetLink"/>
          </w:rPr>
          <w:t>*3.8</w:t>
        </w:r>
      </w:hyperlink>
      <w:r>
        <w:rPr>
          <w:rFonts w:ascii="Times New Roman;serif" w:hAnsi="Times New Roman;serif"/>
          <w:b w:val="false"/>
          <w:color w:val="000000"/>
          <w:sz w:val="20"/>
        </w:rPr>
        <w:t>    </w:t>
      </w:r>
      <w:hyperlink r:id="rId18">
        <w:r>
          <w:rPr>
            <w:rStyle w:val="InternetLink"/>
          </w:rPr>
          <w:t>Certificate of Designations of 6.125% Series F Fixed-to-Floating Rate Cumulative Redeemable Preferred Stock, incorporated herein by reference to Exhibit 3.6 of Form 8-A (File No 001-34057), filed February 11, 2020.</w:t>
        </w:r>
      </w:hyperlink>
    </w:p>
    <w:p>
      <w:pPr>
        <w:pStyle w:val="TextBody"/>
        <w:bidi w:val="0"/>
        <w:spacing w:lineRule="auto" w:line="288" w:before="180" w:after="283"/>
        <w:ind w:left="0" w:right="0" w:hanging="1440"/>
        <w:jc w:val="both"/>
        <w:rPr/>
      </w:pPr>
      <w:hyperlink r:id="rId19">
        <w:r>
          <w:rPr>
            <w:rStyle w:val="InternetLink"/>
          </w:rPr>
          <w:t>*3.9</w:t>
        </w:r>
      </w:hyperlink>
      <w:r>
        <w:rPr>
          <w:rFonts w:ascii="Times New Roman;serif" w:hAnsi="Times New Roman;serif"/>
          <w:b w:val="false"/>
          <w:color w:val="000000"/>
          <w:sz w:val="20"/>
        </w:rPr>
        <w:t>    </w:t>
      </w:r>
      <w:hyperlink r:id="rId20">
        <w:r>
          <w:rPr>
            <w:rStyle w:val="InternetLink"/>
          </w:rPr>
          <w:t>Certificate of Designations of 7.75% Series G Fixed-Rate Reset Cumulative Redeemable Preferred Stock, incorporated herein by reference to Exhibit 3.7 of Form 8-A (File No 001-34057), filed September 14, 2022.</w:t>
        </w:r>
      </w:hyperlink>
    </w:p>
    <w:p>
      <w:pPr>
        <w:pStyle w:val="TextBody"/>
        <w:bidi w:val="0"/>
        <w:spacing w:lineRule="auto" w:line="288" w:before="180" w:after="283"/>
        <w:ind w:left="0" w:right="0" w:hanging="1440"/>
        <w:jc w:val="both"/>
        <w:rPr/>
      </w:pPr>
      <w:hyperlink r:id="rId21">
        <w:r>
          <w:rPr>
            <w:rStyle w:val="InternetLink"/>
          </w:rPr>
          <w:t>*</w:t>
        </w:r>
      </w:hyperlink>
      <w:hyperlink r:id="rId22">
        <w:r>
          <w:rPr>
            <w:rStyle w:val="InternetLink"/>
          </w:rPr>
          <w:t>3.10</w:t>
        </w:r>
      </w:hyperlink>
      <w:r>
        <w:rPr>
          <w:rFonts w:ascii="Times New Roman;serif" w:hAnsi="Times New Roman;serif"/>
          <w:b w:val="false"/>
          <w:color w:val="000000"/>
          <w:sz w:val="20"/>
        </w:rPr>
        <w:t>    </w:t>
      </w:r>
      <w:hyperlink r:id="rId23">
        <w:r>
          <w:rPr>
            <w:rStyle w:val="InternetLink"/>
          </w:rPr>
          <w:t xml:space="preserve">Certificate of Designations of </w:t>
        </w:r>
      </w:hyperlink>
      <w:hyperlink r:id="rId24">
        <w:r>
          <w:rPr>
            <w:rStyle w:val="InternetLink"/>
          </w:rPr>
          <w:t>8</w:t>
        </w:r>
      </w:hyperlink>
      <w:hyperlink r:id="rId25">
        <w:r>
          <w:rPr>
            <w:rStyle w:val="InternetLink"/>
          </w:rPr>
          <w:t xml:space="preserve">.75% Series </w:t>
        </w:r>
      </w:hyperlink>
      <w:hyperlink r:id="rId26">
        <w:r>
          <w:rPr>
            <w:rStyle w:val="InternetLink"/>
          </w:rPr>
          <w:t>H</w:t>
        </w:r>
      </w:hyperlink>
      <w:hyperlink r:id="rId27">
        <w:r>
          <w:rPr>
            <w:rStyle w:val="InternetLink"/>
          </w:rPr>
          <w:t xml:space="preserve"> Fixed-Rate</w:t>
        </w:r>
      </w:hyperlink>
      <w:hyperlink r:id="rId28">
        <w:r>
          <w:rPr>
            <w:rStyle w:val="InternetLink"/>
          </w:rPr>
          <w:t xml:space="preserve"> </w:t>
        </w:r>
      </w:hyperlink>
      <w:hyperlink r:id="rId29">
        <w:r>
          <w:rPr>
            <w:rStyle w:val="InternetLink"/>
          </w:rPr>
          <w:t>Cumulative Redeemable Preferred Stock, incorporated herein by reference to Exhibit 3.</w:t>
        </w:r>
      </w:hyperlink>
      <w:hyperlink r:id="rId30">
        <w:r>
          <w:rPr>
            <w:rStyle w:val="InternetLink"/>
          </w:rPr>
          <w:t>8</w:t>
        </w:r>
      </w:hyperlink>
      <w:hyperlink r:id="rId31">
        <w:r>
          <w:rPr>
            <w:rStyle w:val="InternetLink"/>
          </w:rPr>
          <w:t xml:space="preserve"> of Form 8-A (File No 001-34057), filed September 1</w:t>
        </w:r>
      </w:hyperlink>
      <w:hyperlink r:id="rId32">
        <w:r>
          <w:rPr>
            <w:rStyle w:val="InternetLink"/>
          </w:rPr>
          <w:t>0</w:t>
        </w:r>
      </w:hyperlink>
      <w:hyperlink r:id="rId33">
        <w:r>
          <w:rPr>
            <w:rStyle w:val="InternetLink"/>
          </w:rPr>
          <w:t>, 20</w:t>
        </w:r>
      </w:hyperlink>
      <w:hyperlink r:id="rId34">
        <w:r>
          <w:rPr>
            <w:rStyle w:val="InternetLink"/>
          </w:rPr>
          <w:t>25.</w:t>
        </w:r>
      </w:hyperlink>
    </w:p>
    <w:p>
      <w:pPr>
        <w:pStyle w:val="TextBody"/>
        <w:bidi w:val="0"/>
        <w:spacing w:lineRule="auto" w:line="288" w:before="180" w:after="283"/>
        <w:ind w:left="0" w:right="0" w:hanging="1440"/>
        <w:jc w:val="both"/>
        <w:rPr/>
      </w:pPr>
      <w:hyperlink r:id="rId35">
        <w:r>
          <w:rPr>
            <w:rStyle w:val="InternetLink"/>
          </w:rPr>
          <w:t>*4.1</w:t>
        </w:r>
      </w:hyperlink>
      <w:r>
        <w:rPr>
          <w:rFonts w:ascii="Times New Roman;serif" w:hAnsi="Times New Roman;serif"/>
          <w:b w:val="false"/>
          <w:color w:val="000000"/>
          <w:sz w:val="20"/>
        </w:rPr>
        <w:t>    </w:t>
      </w:r>
      <w:hyperlink r:id="rId36">
        <w:r>
          <w:rPr>
            <w:rStyle w:val="InternetLink"/>
          </w:rPr>
          <w:t>Instruments defining the rights of holders of securities: See Article IV of our Amended and Restated Certificate of Incorporation, as amended, incorporated herein by reference to Exhibit 3.1 of Form 10-Q for the quarter ended March 31, 2025 (File No. 001-34057), filed May 2, 2025.</w:t>
        </w:r>
      </w:hyperlink>
    </w:p>
    <w:p>
      <w:pPr>
        <w:pStyle w:val="TextBody"/>
        <w:bidi w:val="0"/>
        <w:spacing w:lineRule="auto" w:line="288" w:before="180" w:after="283"/>
        <w:ind w:left="0" w:right="0" w:hanging="1440"/>
        <w:jc w:val="both"/>
        <w:rPr/>
      </w:pPr>
      <w:hyperlink r:id="rId37">
        <w:r>
          <w:rPr>
            <w:rStyle w:val="InternetLink"/>
          </w:rPr>
          <w:t>*4.2</w:t>
        </w:r>
      </w:hyperlink>
      <w:r>
        <w:rPr>
          <w:rFonts w:ascii="Times New Roman;serif" w:hAnsi="Times New Roman;serif"/>
          <w:b w:val="false"/>
          <w:color w:val="000000"/>
          <w:sz w:val="20"/>
        </w:rPr>
        <w:t>    </w:t>
      </w:r>
      <w:hyperlink r:id="rId38">
        <w:r>
          <w:rPr>
            <w:rStyle w:val="InternetLink"/>
          </w:rPr>
          <w:t>Instruments defining the rights of holders of securities: See Article VI of our Amended and Restated Bylaws, as amended, incorporated herein by reference to Exhibit 3.1 of Form 8-K, filed July 21, 2023.</w:t>
        </w:r>
      </w:hyperlink>
    </w:p>
    <w:p>
      <w:pPr>
        <w:pStyle w:val="TextBody"/>
        <w:bidi w:val="0"/>
        <w:spacing w:lineRule="auto" w:line="288" w:before="180" w:after="283"/>
        <w:ind w:left="0" w:right="0" w:hanging="1440"/>
        <w:jc w:val="both"/>
        <w:rPr/>
      </w:pPr>
      <w:hyperlink r:id="rId39">
        <w:r>
          <w:rPr>
            <w:rStyle w:val="InternetLink"/>
          </w:rPr>
          <w:t>*4.3</w:t>
        </w:r>
      </w:hyperlink>
      <w:r>
        <w:rPr>
          <w:rFonts w:ascii="Times New Roman;serif" w:hAnsi="Times New Roman;serif"/>
          <w:b w:val="false"/>
          <w:color w:val="000000"/>
          <w:sz w:val="20"/>
        </w:rPr>
        <w:t>    </w:t>
      </w:r>
      <w:hyperlink r:id="rId40">
        <w:r>
          <w:rPr>
            <w:rStyle w:val="InternetLink"/>
          </w:rPr>
          <w:t>Form of Certificate for Common Stock, incorporated herein by reference to Exhibit 4.3 of Form 10-Q for the quarter ended September 30, 2022 (File No. 001-34057), filed November 7, 2022.</w:t>
        </w:r>
      </w:hyperlink>
    </w:p>
    <w:p>
      <w:pPr>
        <w:pStyle w:val="TextBody"/>
        <w:bidi w:val="0"/>
        <w:spacing w:lineRule="auto" w:line="288" w:before="180" w:after="283"/>
        <w:ind w:left="0" w:right="0" w:hanging="1440"/>
        <w:jc w:val="both"/>
        <w:rPr/>
      </w:pPr>
      <w:hyperlink r:id="rId41">
        <w:r>
          <w:rPr>
            <w:rStyle w:val="InternetLink"/>
          </w:rPr>
          <w:t>*4.4</w:t>
        </w:r>
      </w:hyperlink>
      <w:r>
        <w:rPr>
          <w:rFonts w:ascii="Times New Roman;serif" w:hAnsi="Times New Roman;serif"/>
          <w:b w:val="false"/>
          <w:color w:val="000000"/>
          <w:sz w:val="20"/>
        </w:rPr>
        <w:t>    </w:t>
      </w:r>
      <w:hyperlink r:id="rId42">
        <w:r>
          <w:rPr>
            <w:rStyle w:val="InternetLink"/>
          </w:rPr>
          <w:t>Specimen 7.00% Series C Fixed-to-Floating Rate Cumulative Redeemable Preferred Stock Certificate, incorporated herein by reference to Exhibit 4.1 of Form 8-A (File No. 001-34057), filed August 18, 2017.</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1440"/>
        <w:jc w:val="both"/>
        <w:rPr/>
      </w:pPr>
      <w:hyperlink r:id="rId43">
        <w:r>
          <w:rPr>
            <w:rStyle w:val="InternetLink"/>
          </w:rPr>
          <w:t>*4.5</w:t>
        </w:r>
      </w:hyperlink>
      <w:r>
        <w:rPr>
          <w:rFonts w:ascii="Times New Roman;serif" w:hAnsi="Times New Roman;serif"/>
          <w:b w:val="false"/>
          <w:color w:val="000000"/>
          <w:sz w:val="20"/>
        </w:rPr>
        <w:t>    </w:t>
      </w:r>
      <w:hyperlink r:id="rId44">
        <w:r>
          <w:rPr>
            <w:rStyle w:val="InternetLink"/>
          </w:rPr>
          <w:t>Specimen 6.875% Series D Fixed-to-Floating Rate Cumulative Redeemable Preferred Stock Certificate, incorporated herein by reference to Exhibit 4.1 of Form 8-A (File No. 001-34057), filed March 6, 2019.</w:t>
        </w:r>
      </w:hyperlink>
    </w:p>
    <w:p>
      <w:pPr>
        <w:pStyle w:val="TextBody"/>
        <w:bidi w:val="0"/>
        <w:spacing w:lineRule="auto" w:line="288" w:before="180" w:after="283"/>
        <w:ind w:left="0" w:right="0" w:hanging="1440"/>
        <w:jc w:val="both"/>
        <w:rPr/>
      </w:pPr>
      <w:hyperlink r:id="rId45">
        <w:r>
          <w:rPr>
            <w:rStyle w:val="InternetLink"/>
          </w:rPr>
          <w:t>*4.6</w:t>
        </w:r>
      </w:hyperlink>
      <w:r>
        <w:rPr>
          <w:rFonts w:ascii="Times New Roman;serif" w:hAnsi="Times New Roman;serif"/>
          <w:b w:val="false"/>
          <w:color w:val="000000"/>
          <w:sz w:val="20"/>
        </w:rPr>
        <w:t>    </w:t>
      </w:r>
      <w:hyperlink r:id="rId46">
        <w:r>
          <w:rPr>
            <w:rStyle w:val="InternetLink"/>
          </w:rPr>
          <w:t>Specimen 6.50% Series E Fixed-to-Floating Rate Cumulative Redeemable Preferred Stock Certificate, incorporated herein by reference to Exhibit 4.1 of Form 8-A (File No. 001-34057), filed October 3, 2019.</w:t>
        </w:r>
      </w:hyperlink>
    </w:p>
    <w:p>
      <w:pPr>
        <w:pStyle w:val="TextBody"/>
        <w:bidi w:val="0"/>
        <w:spacing w:lineRule="auto" w:line="288" w:before="180" w:after="283"/>
        <w:ind w:left="0" w:right="0" w:hanging="1440"/>
        <w:jc w:val="both"/>
        <w:rPr/>
      </w:pPr>
      <w:hyperlink r:id="rId47">
        <w:r>
          <w:rPr>
            <w:rStyle w:val="InternetLink"/>
          </w:rPr>
          <w:t>*4.7</w:t>
        </w:r>
      </w:hyperlink>
      <w:r>
        <w:rPr>
          <w:rFonts w:ascii="Times New Roman;serif" w:hAnsi="Times New Roman;serif"/>
          <w:b w:val="false"/>
          <w:color w:val="000000"/>
          <w:sz w:val="20"/>
        </w:rPr>
        <w:t>    </w:t>
      </w:r>
      <w:hyperlink r:id="rId48">
        <w:r>
          <w:rPr>
            <w:rStyle w:val="InternetLink"/>
          </w:rPr>
          <w:t>Specimen 6.125% Series F Fixed-to-Floating Rate Cumulative Redeemable Preferred Stock Certificate, incorporated herein by reference to Exhibit 4.1 of Form 8-A (File No 001-34057), filed February 11, 2020.</w:t>
        </w:r>
      </w:hyperlink>
    </w:p>
    <w:p>
      <w:pPr>
        <w:pStyle w:val="TextBody"/>
        <w:bidi w:val="0"/>
        <w:spacing w:lineRule="auto" w:line="288" w:before="180" w:after="283"/>
        <w:ind w:left="0" w:right="0" w:hanging="1440"/>
        <w:jc w:val="both"/>
        <w:rPr/>
      </w:pPr>
      <w:hyperlink r:id="rId49">
        <w:r>
          <w:rPr>
            <w:rStyle w:val="InternetLink"/>
          </w:rPr>
          <w:t>*4.8</w:t>
        </w:r>
      </w:hyperlink>
      <w:r>
        <w:rPr>
          <w:rFonts w:ascii="Times New Roman;serif" w:hAnsi="Times New Roman;serif"/>
          <w:b w:val="false"/>
          <w:color w:val="000000"/>
          <w:sz w:val="20"/>
        </w:rPr>
        <w:t>    </w:t>
      </w:r>
      <w:hyperlink r:id="rId50">
        <w:r>
          <w:rPr>
            <w:rStyle w:val="InternetLink"/>
          </w:rPr>
          <w:t>Specimen 7.75% Series G Fixed-Rate Reset Cumulative Redeemable Preferred Stock Certificate, incorporated herein by reference to Exhibit 4.1 of Form 8-A (File No 001-34057), filed September 14, 2022.</w:t>
        </w:r>
      </w:hyperlink>
    </w:p>
    <w:p>
      <w:pPr>
        <w:pStyle w:val="TextBody"/>
        <w:bidi w:val="0"/>
        <w:spacing w:lineRule="auto" w:line="288" w:before="180" w:after="283"/>
        <w:ind w:left="0" w:right="0" w:hanging="1440"/>
        <w:jc w:val="both"/>
        <w:rPr/>
      </w:pPr>
      <w:hyperlink r:id="rId51">
        <w:r>
          <w:rPr>
            <w:rStyle w:val="InternetLink"/>
          </w:rPr>
          <w:t>*4.9</w:t>
        </w:r>
      </w:hyperlink>
      <w:r>
        <w:rPr>
          <w:rFonts w:ascii="Times New Roman;serif" w:hAnsi="Times New Roman;serif"/>
          <w:b w:val="false"/>
          <w:color w:val="000000"/>
          <w:sz w:val="20"/>
        </w:rPr>
        <w:t>    </w:t>
      </w:r>
      <w:hyperlink r:id="rId52">
        <w:r>
          <w:rPr>
            <w:rStyle w:val="InternetLink"/>
          </w:rPr>
          <w:t>Specimen 8.75% Series H Fixed-Rate Cumulative R</w:t>
        </w:r>
      </w:hyperlink>
      <w:hyperlink r:id="rId53">
        <w:r>
          <w:rPr>
            <w:rStyle w:val="InternetLink"/>
          </w:rPr>
          <w:t>e</w:t>
        </w:r>
      </w:hyperlink>
      <w:hyperlink r:id="rId54">
        <w:r>
          <w:rPr>
            <w:rStyle w:val="InternetLink"/>
          </w:rPr>
          <w:t>deemable Preferred Stock Certificate</w:t>
        </w:r>
      </w:hyperlink>
      <w:hyperlink r:id="rId55">
        <w:r>
          <w:rPr>
            <w:rStyle w:val="InternetLink"/>
          </w:rPr>
          <w:t>. incorp</w:t>
        </w:r>
      </w:hyperlink>
      <w:hyperlink r:id="rId56">
        <w:r>
          <w:rPr>
            <w:rStyle w:val="InternetLink"/>
          </w:rPr>
          <w:t xml:space="preserve">orated herein by reference to Exhibit 4.1 of </w:t>
        </w:r>
      </w:hyperlink>
      <w:hyperlink r:id="rId57">
        <w:r>
          <w:rPr>
            <w:rStyle w:val="InternetLink"/>
          </w:rPr>
          <w:t xml:space="preserve">Form 8-A (File No 001-34057), </w:t>
        </w:r>
      </w:hyperlink>
      <w:hyperlink r:id="rId58">
        <w:r>
          <w:rPr>
            <w:rStyle w:val="InternetLink"/>
          </w:rPr>
          <w:t>filed September 10, 2025.</w:t>
        </w:r>
      </w:hyperlink>
    </w:p>
    <w:p>
      <w:pPr>
        <w:pStyle w:val="TextBody"/>
        <w:bidi w:val="0"/>
        <w:spacing w:lineRule="auto" w:line="288" w:before="180" w:after="283"/>
        <w:ind w:left="0" w:right="0" w:hanging="1440"/>
        <w:jc w:val="both"/>
        <w:rPr/>
      </w:pPr>
      <w:hyperlink r:id="rId59">
        <w:r>
          <w:rPr>
            <w:rStyle w:val="InternetLink"/>
          </w:rPr>
          <w:t>*4.</w:t>
        </w:r>
      </w:hyperlink>
      <w:r>
        <w:rPr>
          <w:rFonts w:ascii="Times New Roman;serif" w:hAnsi="Times New Roman;serif"/>
          <w:b w:val="false"/>
          <w:color w:val="000000"/>
          <w:sz w:val="20"/>
        </w:rPr>
        <w:t>10    </w:t>
      </w:r>
      <w:hyperlink r:id="rId60">
        <w:r>
          <w:rPr>
            <w:rStyle w:val="InternetLink"/>
          </w:rPr>
          <w:t>Deposit Agreement relating to 7.00% Series C Fixed-to-Floating Rate Cumulative Redeemable Preferred Stock, dated August 22, 2017, among AGNC Investment Corp., Computershare Inc. and Computershare Trust Company, N.A., jointly as depositary, incorporated herein by reference to Exhibit 4.2 of Form 8-K (File No. 001-34057) filed August 22, 2017.</w:t>
        </w:r>
      </w:hyperlink>
      <w:r>
        <w:rPr>
          <w:rFonts w:ascii="Times New Roman;serif" w:hAnsi="Times New Roman;serif"/>
          <w:b w:val="false"/>
          <w:color w:val="000000"/>
          <w:sz w:val="20"/>
        </w:rPr>
        <w:t xml:space="preserve"> </w:t>
      </w:r>
    </w:p>
    <w:p>
      <w:pPr>
        <w:pStyle w:val="TextBody"/>
        <w:bidi w:val="0"/>
        <w:spacing w:lineRule="auto" w:line="288" w:before="180" w:after="283"/>
        <w:ind w:left="0" w:right="0" w:hanging="1440"/>
        <w:jc w:val="both"/>
        <w:rPr/>
      </w:pPr>
      <w:hyperlink r:id="rId61">
        <w:r>
          <w:rPr>
            <w:rStyle w:val="InternetLink"/>
          </w:rPr>
          <w:t>*4.1</w:t>
        </w:r>
      </w:hyperlink>
      <w:r>
        <w:rPr>
          <w:rFonts w:ascii="Times New Roman;serif" w:hAnsi="Times New Roman;serif"/>
          <w:b w:val="false"/>
          <w:color w:val="000000"/>
          <w:sz w:val="20"/>
        </w:rPr>
        <w:t>1    </w:t>
      </w:r>
      <w:hyperlink r:id="rId62">
        <w:r>
          <w:rPr>
            <w:rStyle w:val="InternetLink"/>
          </w:rPr>
          <w:t>Form of Depositary Receipt representing 1/1,000th of a share of 7.00% Series C Fixed-to-Floating Rate Cumulative Redeemable Preferred Stock (included as part of Exhibit</w:t>
        </w:r>
      </w:hyperlink>
      <w:hyperlink r:id="rId63">
        <w:r>
          <w:rPr>
            <w:rStyle w:val="InternetLink"/>
          </w:rPr>
          <w:t xml:space="preserve"> 4.</w:t>
        </w:r>
      </w:hyperlink>
      <w:hyperlink r:id="rId64">
        <w:r>
          <w:rPr>
            <w:rStyle w:val="InternetLink"/>
          </w:rPr>
          <w:t>10</w:t>
        </w:r>
      </w:hyperlink>
      <w:hyperlink r:id="rId65">
        <w:r>
          <w:rPr>
            <w:rStyle w:val="InternetLink"/>
          </w:rPr>
          <w:t>), in</w:t>
        </w:r>
      </w:hyperlink>
      <w:hyperlink r:id="rId66">
        <w:r>
          <w:rPr>
            <w:rStyle w:val="InternetLink"/>
          </w:rPr>
          <w:t>corporated herein by reference to Exhibit A of Exhibit 4.2 of Form 8-K (File No. 001-34057) filed August 22, 2017.</w:t>
        </w:r>
      </w:hyperlink>
    </w:p>
    <w:p>
      <w:pPr>
        <w:pStyle w:val="TextBody"/>
        <w:bidi w:val="0"/>
        <w:spacing w:lineRule="auto" w:line="288" w:before="180" w:after="283"/>
        <w:ind w:left="0" w:right="0" w:hanging="1440"/>
        <w:jc w:val="both"/>
        <w:rPr/>
      </w:pPr>
      <w:hyperlink r:id="rId67">
        <w:r>
          <w:rPr>
            <w:rStyle w:val="InternetLink"/>
          </w:rPr>
          <w:t>*4.1</w:t>
        </w:r>
      </w:hyperlink>
      <w:r>
        <w:rPr>
          <w:rFonts w:ascii="Times New Roman;serif" w:hAnsi="Times New Roman;serif"/>
          <w:b w:val="false"/>
          <w:color w:val="000000"/>
          <w:sz w:val="20"/>
        </w:rPr>
        <w:t>2    </w:t>
      </w:r>
      <w:hyperlink r:id="rId68">
        <w:r>
          <w:rPr>
            <w:rStyle w:val="InternetLink"/>
          </w:rPr>
          <w:t xml:space="preserve">Deposit Agreement relating to 6.875% Series D Fixed-to-Floating Rate Cumulative Redeemable Preferred Stock, dated March 6, 2019, among AGNC Investment Corp., Computershare Inc. and Computershare Trust Company, N.A., jointly as depositary, incorporated herein by reference to Exhibit 4.2 of Form 8-K (File No. 001-34057) filed March 6, 2019. </w:t>
        </w:r>
      </w:hyperlink>
    </w:p>
    <w:p>
      <w:pPr>
        <w:pStyle w:val="TextBody"/>
        <w:bidi w:val="0"/>
        <w:spacing w:lineRule="auto" w:line="288" w:before="180" w:after="283"/>
        <w:ind w:left="0" w:right="0" w:hanging="1440"/>
        <w:jc w:val="both"/>
        <w:rPr/>
      </w:pPr>
      <w:hyperlink r:id="rId69">
        <w:r>
          <w:rPr>
            <w:rStyle w:val="InternetLink"/>
          </w:rPr>
          <w:t>*4.1</w:t>
        </w:r>
      </w:hyperlink>
      <w:r>
        <w:rPr>
          <w:rFonts w:ascii="Times New Roman;serif" w:hAnsi="Times New Roman;serif"/>
          <w:b w:val="false"/>
          <w:color w:val="000000"/>
          <w:sz w:val="20"/>
        </w:rPr>
        <w:t>3    </w:t>
      </w:r>
      <w:hyperlink r:id="rId70">
        <w:r>
          <w:rPr>
            <w:rStyle w:val="InternetLink"/>
          </w:rPr>
          <w:t xml:space="preserve">Form of Depositary Receipt representing 1/1,000th of a share of 6.875% Series D Fixed-to-Floating Rate Cumulative Redeemable Preferred Stock (included as part of Exhibit </w:t>
        </w:r>
      </w:hyperlink>
      <w:hyperlink r:id="rId71">
        <w:r>
          <w:rPr>
            <w:rStyle w:val="InternetLink"/>
          </w:rPr>
          <w:t>4.1</w:t>
        </w:r>
      </w:hyperlink>
      <w:hyperlink r:id="rId72">
        <w:r>
          <w:rPr>
            <w:rStyle w:val="InternetLink"/>
          </w:rPr>
          <w:t>2</w:t>
        </w:r>
      </w:hyperlink>
      <w:hyperlink r:id="rId73">
        <w:r>
          <w:rPr>
            <w:rStyle w:val="InternetLink"/>
          </w:rPr>
          <w:t>), inc</w:t>
        </w:r>
      </w:hyperlink>
      <w:hyperlink r:id="rId74">
        <w:r>
          <w:rPr>
            <w:rStyle w:val="InternetLink"/>
          </w:rPr>
          <w:t>orporated herein by reference to Exhibit A of Exhibit 4.2 of Form 8-K (File No. 001-34057) filed March 6, 2019</w:t>
        </w:r>
      </w:hyperlink>
      <w:r>
        <w:rPr>
          <w:rFonts w:ascii="Times New Roman;serif" w:hAnsi="Times New Roman;serif"/>
          <w:b w:val="false"/>
          <w:color w:val="000000"/>
          <w:sz w:val="20"/>
        </w:rPr>
        <w:t>.</w:t>
      </w:r>
    </w:p>
    <w:p>
      <w:pPr>
        <w:pStyle w:val="TextBody"/>
        <w:bidi w:val="0"/>
        <w:spacing w:lineRule="auto" w:line="288" w:before="180" w:after="283"/>
        <w:ind w:left="0" w:right="0" w:hanging="1440"/>
        <w:jc w:val="left"/>
        <w:rPr/>
      </w:pPr>
      <w:hyperlink r:id="rId75">
        <w:r>
          <w:rPr>
            <w:rStyle w:val="InternetLink"/>
          </w:rPr>
          <w:t>*4.1</w:t>
        </w:r>
      </w:hyperlink>
      <w:r>
        <w:rPr>
          <w:rFonts w:ascii="Times New Roman;serif" w:hAnsi="Times New Roman;serif"/>
          <w:b w:val="false"/>
          <w:color w:val="000000"/>
          <w:sz w:val="20"/>
        </w:rPr>
        <w:t>4    </w:t>
      </w:r>
      <w:hyperlink r:id="rId76">
        <w:r>
          <w:rPr>
            <w:rStyle w:val="InternetLink"/>
          </w:rPr>
          <w:t>Deposit Agreement relating to 6.50% Series E Fixed-to-Floating Rate Cumulative Redeemable Preferred Stock, dated October 3, 2019, among AGNC Investment Corp., Computershare Inc. and Computershare Trust Company, N.A., jointly as depositary, incorporated herein by reference to Exhibit 4.2 of Form 8-K (File No. 001-34057) filed October 3, 2019.</w:t>
        </w:r>
      </w:hyperlink>
    </w:p>
    <w:p>
      <w:pPr>
        <w:pStyle w:val="TextBody"/>
        <w:bidi w:val="0"/>
        <w:spacing w:lineRule="auto" w:line="288" w:before="180" w:after="283"/>
        <w:ind w:left="0" w:right="0" w:hanging="1440"/>
        <w:jc w:val="left"/>
        <w:rPr/>
      </w:pPr>
      <w:hyperlink r:id="rId77">
        <w:r>
          <w:rPr>
            <w:rStyle w:val="InternetLink"/>
          </w:rPr>
          <w:t>*4.1</w:t>
        </w:r>
      </w:hyperlink>
      <w:r>
        <w:rPr>
          <w:rFonts w:ascii="Times New Roman;serif" w:hAnsi="Times New Roman;serif"/>
          <w:b w:val="false"/>
          <w:color w:val="000000"/>
          <w:sz w:val="20"/>
        </w:rPr>
        <w:t>5    </w:t>
      </w:r>
      <w:hyperlink r:id="rId78">
        <w:r>
          <w:rPr>
            <w:rStyle w:val="InternetLink"/>
          </w:rPr>
          <w:t>Form of Depositary Receipt representing 1/1,000th of a share of 6.50% Series E Fixed-to-Floating Rate Cumulative Redeemable Preferred Stock (included as part of Exhibit 4</w:t>
        </w:r>
      </w:hyperlink>
      <w:hyperlink r:id="rId79">
        <w:r>
          <w:rPr>
            <w:rStyle w:val="InternetLink"/>
          </w:rPr>
          <w:t>.1</w:t>
        </w:r>
      </w:hyperlink>
      <w:hyperlink r:id="rId80">
        <w:r>
          <w:rPr>
            <w:rStyle w:val="InternetLink"/>
          </w:rPr>
          <w:t>4</w:t>
        </w:r>
      </w:hyperlink>
      <w:hyperlink r:id="rId81">
        <w:r>
          <w:rPr>
            <w:rStyle w:val="InternetLink"/>
          </w:rPr>
          <w:t>), in</w:t>
        </w:r>
      </w:hyperlink>
      <w:hyperlink r:id="rId82">
        <w:r>
          <w:rPr>
            <w:rStyle w:val="InternetLink"/>
          </w:rPr>
          <w:t>corporated herein by reference to Exhibit A of Exhibit 4.2 of Form 8-K (File No. 001-34057) filed October 3, 2019</w:t>
        </w:r>
      </w:hyperlink>
      <w:r>
        <w:rPr>
          <w:rFonts w:ascii="Times New Roman;serif" w:hAnsi="Times New Roman;serif"/>
          <w:b w:val="false"/>
          <w:color w:val="000000"/>
          <w:sz w:val="20"/>
        </w:rPr>
        <w:t>.</w:t>
      </w:r>
    </w:p>
    <w:p>
      <w:pPr>
        <w:pStyle w:val="TextBody"/>
        <w:bidi w:val="0"/>
        <w:spacing w:lineRule="auto" w:line="288" w:before="180" w:after="283"/>
        <w:ind w:left="0" w:right="0" w:hanging="1440"/>
        <w:jc w:val="left"/>
        <w:rPr/>
      </w:pPr>
      <w:hyperlink r:id="rId83">
        <w:r>
          <w:rPr>
            <w:rStyle w:val="InternetLink"/>
          </w:rPr>
          <w:t>*4.1</w:t>
        </w:r>
      </w:hyperlink>
      <w:r>
        <w:rPr>
          <w:rFonts w:ascii="Times New Roman;serif" w:hAnsi="Times New Roman;serif"/>
          <w:b w:val="false"/>
          <w:color w:val="000000"/>
          <w:sz w:val="20"/>
        </w:rPr>
        <w:t>6    </w:t>
      </w:r>
      <w:hyperlink r:id="rId84">
        <w:r>
          <w:rPr>
            <w:rStyle w:val="InternetLink"/>
          </w:rPr>
          <w:t>Deposit Agreement relating to 6.125% Series F Fixed-to-Floating Rate Cumulative Redeemable Preferred Stock, dated February 11, 2020, among AGNC Investment Corp., Computershare Inc. and Computershare Trust Company, N.A., jointly as depositary, incorporated herein by reference to Exhibit 4.1 of Form 8-K (File No. 001-34057) filed February 11, 2020.</w:t>
        </w:r>
      </w:hyperlink>
    </w:p>
    <w:p>
      <w:pPr>
        <w:pStyle w:val="TextBody"/>
        <w:bidi w:val="0"/>
        <w:spacing w:lineRule="auto" w:line="288" w:before="180" w:after="283"/>
        <w:ind w:left="0" w:right="0" w:hanging="1440"/>
        <w:jc w:val="left"/>
        <w:rPr/>
      </w:pPr>
      <w:hyperlink r:id="rId85">
        <w:r>
          <w:rPr>
            <w:rStyle w:val="InternetLink"/>
          </w:rPr>
          <w:t>*4.1</w:t>
        </w:r>
      </w:hyperlink>
      <w:r>
        <w:rPr>
          <w:rFonts w:ascii="Times New Roman;serif" w:hAnsi="Times New Roman;serif"/>
          <w:b w:val="false"/>
          <w:color w:val="000000"/>
          <w:sz w:val="20"/>
        </w:rPr>
        <w:t>7    </w:t>
      </w:r>
      <w:hyperlink r:id="rId86">
        <w:r>
          <w:rPr>
            <w:rStyle w:val="InternetLink"/>
          </w:rPr>
          <w:t>Form of Depositary Receipt representing 1/1,000th of a share of 6.125% Series F Fixed-to-Floating Rate Cumulative Redeemable Preferred Stock (included as part of Exhibit 4</w:t>
        </w:r>
      </w:hyperlink>
      <w:hyperlink r:id="rId87">
        <w:r>
          <w:rPr>
            <w:rStyle w:val="InternetLink"/>
          </w:rPr>
          <w:t>.1</w:t>
        </w:r>
      </w:hyperlink>
      <w:hyperlink r:id="rId88">
        <w:r>
          <w:rPr>
            <w:rStyle w:val="InternetLink"/>
          </w:rPr>
          <w:t>6</w:t>
        </w:r>
      </w:hyperlink>
      <w:hyperlink r:id="rId89">
        <w:r>
          <w:rPr>
            <w:rStyle w:val="InternetLink"/>
          </w:rPr>
          <w:t>), in</w:t>
        </w:r>
      </w:hyperlink>
      <w:hyperlink r:id="rId90">
        <w:r>
          <w:rPr>
            <w:rStyle w:val="InternetLink"/>
          </w:rPr>
          <w:t>corporated herein by reference to Exhibit A of Exhibit 4.1 of Form 8-K (File No. 001-34057) filed February 11, 2020.</w:t>
        </w:r>
      </w:hyperlink>
    </w:p>
    <w:p>
      <w:pPr>
        <w:pStyle w:val="TextBody"/>
        <w:bidi w:val="0"/>
        <w:spacing w:lineRule="auto" w:line="288" w:before="180" w:after="283"/>
        <w:ind w:left="0" w:right="0" w:hanging="1440"/>
        <w:jc w:val="left"/>
        <w:rPr/>
      </w:pPr>
      <w:hyperlink r:id="rId91">
        <w:r>
          <w:rPr>
            <w:rStyle w:val="InternetLink"/>
          </w:rPr>
          <w:t>*4.1</w:t>
        </w:r>
      </w:hyperlink>
      <w:r>
        <w:rPr>
          <w:rFonts w:ascii="Times New Roman;serif" w:hAnsi="Times New Roman;serif"/>
          <w:b w:val="false"/>
          <w:color w:val="000000"/>
          <w:sz w:val="20"/>
        </w:rPr>
        <w:t>8    </w:t>
      </w:r>
      <w:hyperlink r:id="rId92">
        <w:r>
          <w:rPr>
            <w:rStyle w:val="InternetLink"/>
          </w:rPr>
          <w:t>Deposit Agreement relating to 7.75% Series G Fixed-Rate Reset Cumulative Redeemable Preferred Stock, dated September 14, 2022, among AGNC Investment Corp., Computershare Inc. and Computershare Trust Company, N.A., jointly as depositary, incorporated herein by reference to Exhibit 4.2 of Form 8-K (File No. 001-34057) filed September 14, 2022.</w:t>
        </w:r>
      </w:hyperlink>
    </w:p>
    <w:p>
      <w:pPr>
        <w:pStyle w:val="TextBody"/>
        <w:bidi w:val="0"/>
        <w:spacing w:lineRule="auto" w:line="288" w:before="180" w:after="283"/>
        <w:ind w:left="0" w:right="0" w:hanging="1440"/>
        <w:jc w:val="left"/>
        <w:rPr/>
      </w:pPr>
      <w:hyperlink r:id="rId93">
        <w:r>
          <w:rPr>
            <w:rStyle w:val="InternetLink"/>
          </w:rPr>
          <w:t>*4.1</w:t>
        </w:r>
      </w:hyperlink>
      <w:r>
        <w:rPr>
          <w:rFonts w:ascii="Times New Roman;serif" w:hAnsi="Times New Roman;serif"/>
          <w:b w:val="false"/>
          <w:color w:val="000000"/>
          <w:sz w:val="20"/>
        </w:rPr>
        <w:t>9    </w:t>
      </w:r>
      <w:hyperlink r:id="rId94">
        <w:r>
          <w:rPr>
            <w:rStyle w:val="InternetLink"/>
          </w:rPr>
          <w:t>Form of Depositary Receipt representing 1/1,000th of a share of 7.75% Series G Fixed-Rate Reset Cumulative Redeemable Preferred Stock (included as part of Exhibit</w:t>
        </w:r>
      </w:hyperlink>
      <w:hyperlink r:id="rId95">
        <w:r>
          <w:rPr>
            <w:rStyle w:val="InternetLink"/>
          </w:rPr>
          <w:t xml:space="preserve"> 4.1</w:t>
        </w:r>
      </w:hyperlink>
      <w:hyperlink r:id="rId96">
        <w:r>
          <w:rPr>
            <w:rStyle w:val="InternetLink"/>
          </w:rPr>
          <w:t>8</w:t>
        </w:r>
      </w:hyperlink>
      <w:hyperlink r:id="rId97">
        <w:r>
          <w:rPr>
            <w:rStyle w:val="InternetLink"/>
          </w:rPr>
          <w:t>), in</w:t>
        </w:r>
      </w:hyperlink>
      <w:hyperlink r:id="rId98">
        <w:r>
          <w:rPr>
            <w:rStyle w:val="InternetLink"/>
          </w:rPr>
          <w:t>corporated herein by reference to Exhibit A of Exhibit 4.2 of Form 8-K (File No. 001-34057) filed September 14, 2022.</w:t>
        </w:r>
      </w:hyperlink>
    </w:p>
    <w:p>
      <w:pPr>
        <w:pStyle w:val="TextBody"/>
        <w:bidi w:val="0"/>
        <w:spacing w:lineRule="auto" w:line="288" w:before="180" w:after="283"/>
        <w:ind w:left="0" w:right="0" w:hanging="1440"/>
        <w:jc w:val="left"/>
        <w:rPr/>
      </w:pPr>
      <w:hyperlink r:id="rId99">
        <w:r>
          <w:rPr>
            <w:rStyle w:val="InternetLink"/>
          </w:rPr>
          <w:t>*4.</w:t>
        </w:r>
      </w:hyperlink>
      <w:hyperlink r:id="rId100">
        <w:r>
          <w:rPr>
            <w:rStyle w:val="InternetLink"/>
          </w:rPr>
          <w:t>20</w:t>
        </w:r>
      </w:hyperlink>
      <w:r>
        <w:rPr>
          <w:rFonts w:ascii="Times New Roman;serif" w:hAnsi="Times New Roman;serif"/>
          <w:b w:val="false"/>
          <w:color w:val="000000"/>
          <w:sz w:val="20"/>
        </w:rPr>
        <w:t>    </w:t>
      </w:r>
      <w:hyperlink r:id="rId101">
        <w:r>
          <w:rPr>
            <w:rStyle w:val="InternetLink"/>
          </w:rPr>
          <w:t xml:space="preserve">Deposit Agreement relating to </w:t>
        </w:r>
      </w:hyperlink>
      <w:hyperlink r:id="rId102">
        <w:r>
          <w:rPr>
            <w:rStyle w:val="InternetLink"/>
          </w:rPr>
          <w:t>8</w:t>
        </w:r>
      </w:hyperlink>
      <w:hyperlink r:id="rId103">
        <w:r>
          <w:rPr>
            <w:rStyle w:val="InternetLink"/>
          </w:rPr>
          <w:t xml:space="preserve">.75% Series </w:t>
        </w:r>
      </w:hyperlink>
      <w:hyperlink r:id="rId104">
        <w:r>
          <w:rPr>
            <w:rStyle w:val="InternetLink"/>
          </w:rPr>
          <w:t>H</w:t>
        </w:r>
      </w:hyperlink>
      <w:hyperlink r:id="rId105">
        <w:r>
          <w:rPr>
            <w:rStyle w:val="InternetLink"/>
          </w:rPr>
          <w:t xml:space="preserve"> Fixed-Rate</w:t>
        </w:r>
      </w:hyperlink>
      <w:hyperlink r:id="rId106">
        <w:r>
          <w:rPr>
            <w:rStyle w:val="InternetLink"/>
          </w:rPr>
          <w:t xml:space="preserve"> Cumulative Redeemable Preferred Stock, dated September 1</w:t>
        </w:r>
      </w:hyperlink>
      <w:hyperlink r:id="rId107">
        <w:r>
          <w:rPr>
            <w:rStyle w:val="InternetLink"/>
          </w:rPr>
          <w:t>0</w:t>
        </w:r>
      </w:hyperlink>
      <w:hyperlink r:id="rId108">
        <w:r>
          <w:rPr>
            <w:rStyle w:val="InternetLink"/>
          </w:rPr>
          <w:t>, 202</w:t>
        </w:r>
      </w:hyperlink>
      <w:hyperlink r:id="rId109">
        <w:r>
          <w:rPr>
            <w:rStyle w:val="InternetLink"/>
          </w:rPr>
          <w:t>5</w:t>
        </w:r>
      </w:hyperlink>
      <w:hyperlink r:id="rId110">
        <w:r>
          <w:rPr>
            <w:rStyle w:val="InternetLink"/>
          </w:rPr>
          <w:t xml:space="preserve">, among AGNC Investment Corp., Computershare Inc. and Computershare Trust </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pPr>
      <w:hyperlink r:id="rId111">
        <w:r>
          <w:rPr>
            <w:rStyle w:val="InternetLink"/>
          </w:rPr>
          <w:t xml:space="preserve">Company, N.A., jointly as depositary, incorporated herein by reference to Exhibit 4.2 of Form 8-K (File No. 001-34057) filed September </w:t>
        </w:r>
      </w:hyperlink>
      <w:hyperlink r:id="rId112">
        <w:r>
          <w:rPr>
            <w:rStyle w:val="InternetLink"/>
          </w:rPr>
          <w:t>10, 2025</w:t>
        </w:r>
      </w:hyperlink>
      <w:hyperlink r:id="rId113">
        <w:r>
          <w:rPr>
            <w:rStyle w:val="InternetLink"/>
          </w:rPr>
          <w:t>.</w:t>
        </w:r>
      </w:hyperlink>
    </w:p>
    <w:p>
      <w:pPr>
        <w:pStyle w:val="TextBody"/>
        <w:bidi w:val="0"/>
        <w:spacing w:lineRule="auto" w:line="288" w:before="180" w:after="283"/>
        <w:ind w:left="0" w:right="0" w:hanging="1440"/>
        <w:jc w:val="left"/>
        <w:rPr/>
      </w:pPr>
      <w:hyperlink r:id="rId114">
        <w:r>
          <w:rPr>
            <w:rStyle w:val="InternetLink"/>
          </w:rPr>
          <w:t>*4.</w:t>
        </w:r>
      </w:hyperlink>
      <w:hyperlink r:id="rId115">
        <w:r>
          <w:rPr>
            <w:rStyle w:val="InternetLink"/>
          </w:rPr>
          <w:t>21</w:t>
        </w:r>
      </w:hyperlink>
      <w:r>
        <w:rPr>
          <w:rFonts w:ascii="Times New Roman;serif" w:hAnsi="Times New Roman;serif"/>
          <w:b w:val="false"/>
          <w:color w:val="000000"/>
          <w:sz w:val="20"/>
        </w:rPr>
        <w:t>    </w:t>
      </w:r>
      <w:hyperlink r:id="rId116">
        <w:r>
          <w:rPr>
            <w:rStyle w:val="InternetLink"/>
          </w:rPr>
          <w:t xml:space="preserve">Form of Depositary Receipt representing 1/1,000th of a share of </w:t>
        </w:r>
      </w:hyperlink>
      <w:hyperlink r:id="rId117">
        <w:r>
          <w:rPr>
            <w:rStyle w:val="InternetLink"/>
          </w:rPr>
          <w:t>8</w:t>
        </w:r>
      </w:hyperlink>
      <w:hyperlink r:id="rId118">
        <w:r>
          <w:rPr>
            <w:rStyle w:val="InternetLink"/>
          </w:rPr>
          <w:t xml:space="preserve">.75% Series </w:t>
        </w:r>
      </w:hyperlink>
      <w:hyperlink r:id="rId119">
        <w:r>
          <w:rPr>
            <w:rStyle w:val="InternetLink"/>
          </w:rPr>
          <w:t>H</w:t>
        </w:r>
      </w:hyperlink>
      <w:hyperlink r:id="rId120">
        <w:r>
          <w:rPr>
            <w:rStyle w:val="InternetLink"/>
          </w:rPr>
          <w:t xml:space="preserve"> Fixed-Rate </w:t>
        </w:r>
      </w:hyperlink>
      <w:hyperlink r:id="rId121">
        <w:r>
          <w:rPr>
            <w:rStyle w:val="InternetLink"/>
          </w:rPr>
          <w:t>Cumulative Redeemable Preferred Stock (included as part of Exhibit 4.</w:t>
        </w:r>
      </w:hyperlink>
      <w:hyperlink r:id="rId122">
        <w:r>
          <w:rPr>
            <w:rStyle w:val="InternetLink"/>
          </w:rPr>
          <w:t>20</w:t>
        </w:r>
      </w:hyperlink>
      <w:hyperlink r:id="rId123">
        <w:r>
          <w:rPr>
            <w:rStyle w:val="InternetLink"/>
          </w:rPr>
          <w:t>), incorporated herein by reference to Exhibit A of Exhibit 4.2 of Form 8-K (File No. 001-34057) filed September 1</w:t>
        </w:r>
      </w:hyperlink>
      <w:hyperlink r:id="rId124">
        <w:r>
          <w:rPr>
            <w:rStyle w:val="InternetLink"/>
          </w:rPr>
          <w:t>0</w:t>
        </w:r>
      </w:hyperlink>
      <w:hyperlink r:id="rId125">
        <w:r>
          <w:rPr>
            <w:rStyle w:val="InternetLink"/>
          </w:rPr>
          <w:t>, 202</w:t>
        </w:r>
      </w:hyperlink>
      <w:hyperlink r:id="rId126">
        <w:r>
          <w:rPr>
            <w:rStyle w:val="InternetLink"/>
          </w:rPr>
          <w:t>5</w:t>
        </w:r>
      </w:hyperlink>
      <w:hyperlink r:id="rId127">
        <w:r>
          <w:rPr>
            <w:rStyle w:val="InternetLink"/>
          </w:rPr>
          <w:t>.</w:t>
        </w:r>
      </w:hyperlink>
    </w:p>
    <w:p>
      <w:pPr>
        <w:pStyle w:val="TextBody"/>
        <w:bidi w:val="0"/>
        <w:spacing w:lineRule="auto" w:line="288" w:before="180" w:after="283"/>
        <w:ind w:left="0" w:right="0" w:hanging="1440"/>
        <w:jc w:val="left"/>
        <w:rPr/>
      </w:pPr>
      <w:hyperlink r:id="rId128">
        <w:r>
          <w:rPr>
            <w:rStyle w:val="InternetLink"/>
          </w:rPr>
          <w:t>*14</w:t>
        </w:r>
      </w:hyperlink>
      <w:r>
        <w:rPr>
          <w:rFonts w:ascii="Times New Roman;serif" w:hAnsi="Times New Roman;serif"/>
          <w:b w:val="false"/>
          <w:color w:val="000000"/>
          <w:sz w:val="20"/>
        </w:rPr>
        <w:t>    </w:t>
      </w:r>
      <w:hyperlink r:id="rId129">
        <w:r>
          <w:rPr>
            <w:rStyle w:val="InternetLink"/>
          </w:rPr>
          <w:t xml:space="preserve">AGNC Investment Corp. Code of Ethics and Conduct, adopted July 17, 2025, </w:t>
        </w:r>
      </w:hyperlink>
      <w:hyperlink r:id="rId130">
        <w:r>
          <w:rPr>
            <w:rStyle w:val="InternetLink"/>
          </w:rPr>
          <w:t>incorporated herein by reference to Exhibit 14 of F</w:t>
        </w:r>
      </w:hyperlink>
      <w:hyperlink r:id="rId131">
        <w:r>
          <w:rPr>
            <w:rStyle w:val="InternetLink"/>
          </w:rPr>
          <w:t>o</w:t>
        </w:r>
      </w:hyperlink>
      <w:hyperlink r:id="rId132">
        <w:r>
          <w:rPr>
            <w:rStyle w:val="InternetLink"/>
          </w:rPr>
          <w:t>rm 10-</w:t>
        </w:r>
      </w:hyperlink>
      <w:hyperlink r:id="rId133">
        <w:r>
          <w:rPr>
            <w:rStyle w:val="InternetLink"/>
          </w:rPr>
          <w:t>Q</w:t>
        </w:r>
      </w:hyperlink>
      <w:hyperlink r:id="rId134">
        <w:r>
          <w:rPr>
            <w:rStyle w:val="InternetLink"/>
          </w:rPr>
          <w:t xml:space="preserve"> for the quarter ended </w:t>
        </w:r>
      </w:hyperlink>
      <w:hyperlink r:id="rId135">
        <w:r>
          <w:rPr>
            <w:rStyle w:val="InternetLink"/>
          </w:rPr>
          <w:t>Ju</w:t>
        </w:r>
      </w:hyperlink>
      <w:hyperlink r:id="rId136">
        <w:r>
          <w:rPr>
            <w:rStyle w:val="InternetLink"/>
          </w:rPr>
          <w:t>ne</w:t>
        </w:r>
      </w:hyperlink>
      <w:hyperlink r:id="rId137">
        <w:r>
          <w:rPr>
            <w:rStyle w:val="InternetLink"/>
          </w:rPr>
          <w:t xml:space="preserve"> 30, 2025</w:t>
        </w:r>
      </w:hyperlink>
      <w:hyperlink r:id="rId138">
        <w:r>
          <w:rPr>
            <w:rStyle w:val="InternetLink"/>
          </w:rPr>
          <w:t xml:space="preserve"> </w:t>
        </w:r>
      </w:hyperlink>
      <w:hyperlink r:id="rId139">
        <w:r>
          <w:rPr>
            <w:rStyle w:val="InternetLink"/>
          </w:rPr>
          <w:t>(File No. 001-34057)</w:t>
        </w:r>
      </w:hyperlink>
      <w:hyperlink r:id="rId140">
        <w:r>
          <w:rPr>
            <w:rStyle w:val="InternetLink"/>
          </w:rPr>
          <w:t>,</w:t>
        </w:r>
      </w:hyperlink>
      <w:hyperlink r:id="rId141">
        <w:r>
          <w:rPr>
            <w:rStyle w:val="InternetLink"/>
          </w:rPr>
          <w:t xml:space="preserve"> filed</w:t>
        </w:r>
      </w:hyperlink>
      <w:hyperlink r:id="rId142">
        <w:r>
          <w:rPr>
            <w:rStyle w:val="InternetLink"/>
          </w:rPr>
          <w:t xml:space="preserve"> August 1, 2025</w:t>
        </w:r>
      </w:hyperlink>
      <w:hyperlink r:id="rId143">
        <w:r>
          <w:rPr>
            <w:rStyle w:val="InternetLink"/>
          </w:rPr>
          <w:t>.</w:t>
        </w:r>
      </w:hyperlink>
    </w:p>
    <w:p>
      <w:pPr>
        <w:pStyle w:val="TextBody"/>
        <w:bidi w:val="0"/>
        <w:spacing w:lineRule="auto" w:line="288" w:before="180" w:after="283"/>
        <w:ind w:left="0" w:right="0" w:hanging="1440"/>
        <w:jc w:val="both"/>
        <w:rPr/>
      </w:pPr>
      <w:hyperlink w:anchor="agncexhibit3119302510-q.htm">
        <w:r>
          <w:rPr>
            <w:rStyle w:val="InternetLink"/>
          </w:rPr>
          <w:t>31.1</w:t>
        </w:r>
      </w:hyperlink>
      <w:r>
        <w:rPr>
          <w:rFonts w:ascii="Times New Roman;serif" w:hAnsi="Times New Roman;serif"/>
          <w:b w:val="false"/>
          <w:color w:val="000000"/>
          <w:sz w:val="20"/>
        </w:rPr>
        <w:t>    </w:t>
      </w:r>
      <w:hyperlink w:anchor="agncexhibit3119302510-q.htm">
        <w:r>
          <w:rPr>
            <w:rStyle w:val="InternetLink"/>
          </w:rPr>
          <w:t>Certification of CEO Pursuant to Section 302(a) of the Sarbanes-Oxley Act of 2002.</w:t>
        </w:r>
      </w:hyperlink>
    </w:p>
    <w:p>
      <w:pPr>
        <w:pStyle w:val="TextBody"/>
        <w:bidi w:val="0"/>
        <w:spacing w:lineRule="auto" w:line="288" w:before="180" w:after="283"/>
        <w:ind w:left="0" w:right="0" w:hanging="1440"/>
        <w:jc w:val="both"/>
        <w:rPr/>
      </w:pPr>
      <w:hyperlink w:anchor="agncexhibit3129302510-q.htm">
        <w:r>
          <w:rPr>
            <w:rStyle w:val="InternetLink"/>
          </w:rPr>
          <w:t>31.2</w:t>
        </w:r>
      </w:hyperlink>
      <w:r>
        <w:rPr>
          <w:rFonts w:ascii="Times New Roman;serif" w:hAnsi="Times New Roman;serif"/>
          <w:b w:val="false"/>
          <w:color w:val="000000"/>
          <w:sz w:val="20"/>
        </w:rPr>
        <w:t>    </w:t>
      </w:r>
      <w:hyperlink w:anchor="agncexhibit3129302510-q.htm">
        <w:r>
          <w:rPr>
            <w:rStyle w:val="InternetLink"/>
          </w:rPr>
          <w:t>Certification of CFO Pursuant to Section 302(a) of the Sarbanes-Oxley Act of 2002.</w:t>
        </w:r>
      </w:hyperlink>
    </w:p>
    <w:p>
      <w:pPr>
        <w:pStyle w:val="TextBody"/>
        <w:bidi w:val="0"/>
        <w:spacing w:lineRule="auto" w:line="288" w:before="180" w:after="283"/>
        <w:ind w:left="0" w:right="0" w:hanging="1440"/>
        <w:jc w:val="both"/>
        <w:rPr/>
      </w:pPr>
      <w:hyperlink w:anchor="agncexhibit329302510-q.htm">
        <w:r>
          <w:rPr>
            <w:rStyle w:val="InternetLink"/>
          </w:rPr>
          <w:t>32</w:t>
        </w:r>
      </w:hyperlink>
      <w:r>
        <w:rPr>
          <w:rFonts w:ascii="Times New Roman;serif" w:hAnsi="Times New Roman;serif"/>
          <w:b w:val="false"/>
          <w:color w:val="000000"/>
          <w:sz w:val="20"/>
        </w:rPr>
        <w:t>    </w:t>
      </w:r>
      <w:hyperlink w:anchor="agncexhibit329302510-q.htm">
        <w:r>
          <w:rPr>
            <w:rStyle w:val="InternetLink"/>
          </w:rPr>
          <w:t>Certification of CEO and CFO Pursuant to Section 906 of the Sarbanes-Oxley Act of 2002.</w:t>
        </w:r>
      </w:hyperlink>
    </w:p>
    <w:p>
      <w:pPr>
        <w:pStyle w:val="TextBody"/>
        <w:bidi w:val="0"/>
        <w:spacing w:lineRule="auto" w:line="288" w:before="18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101.INS**    The instance document does not appear in the interactive data file because its XBRL tags are embedded within the inline XBRL document</w:t>
      </w:r>
    </w:p>
    <w:p>
      <w:pPr>
        <w:pStyle w:val="TextBody"/>
        <w:bidi w:val="0"/>
        <w:spacing w:lineRule="auto" w:line="288" w:before="18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101.SCH**    XBRL Taxonomy Extension Schema Document</w:t>
      </w:r>
    </w:p>
    <w:p>
      <w:pPr>
        <w:pStyle w:val="TextBody"/>
        <w:bidi w:val="0"/>
        <w:spacing w:lineRule="auto" w:line="288" w:before="18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101.CAL**    XBRL Taxonomy Extension Calculation Linkbase Document</w:t>
      </w:r>
    </w:p>
    <w:p>
      <w:pPr>
        <w:pStyle w:val="TextBody"/>
        <w:bidi w:val="0"/>
        <w:spacing w:lineRule="auto" w:line="288" w:before="18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101.LAB**    XBRL Taxonomy Extension Labels Linkbase Document</w:t>
      </w:r>
    </w:p>
    <w:p>
      <w:pPr>
        <w:pStyle w:val="TextBody"/>
        <w:bidi w:val="0"/>
        <w:spacing w:lineRule="auto" w:line="288" w:before="18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101.PRE**    XBRL Taxonomy Extension Presentation Linkbase Document</w:t>
      </w:r>
    </w:p>
    <w:p>
      <w:pPr>
        <w:pStyle w:val="TextBody"/>
        <w:bidi w:val="0"/>
        <w:spacing w:lineRule="auto" w:line="288" w:before="18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101.DEF**    XBRL Taxonomy Extension Definition Linkbase Document</w:t>
      </w:r>
    </w:p>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Previously filed</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This exhibit is being furnished rather than filed, and shall not be deemed incorporated by reference into any filing, in accordance with Item 601 of Regulation S-K</w:t>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20"/>
        </w:rPr>
        <w:t>Management contract or compensatory plan or arrangement</w:t>
      </w:r>
    </w:p>
    <w:p>
      <w:pPr>
        <w:pStyle w:val="TextBody"/>
        <w:bidi w:val="0"/>
        <w:spacing w:lineRule="auto" w:line="288" w:before="12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Exhibits </w:t>
      </w:r>
    </w:p>
    <w:p>
      <w:pPr>
        <w:pStyle w:val="TextBody"/>
        <w:bidi w:val="0"/>
        <w:spacing w:lineRule="auto" w:line="288" w:before="0" w:after="0"/>
        <w:ind w:left="0" w:right="0" w:hanging="450"/>
        <w:jc w:val="both"/>
        <w:rPr>
          <w:color w:val="000000"/>
        </w:rPr>
      </w:pPr>
      <w:r>
        <w:rPr>
          <w:color w:val="000000"/>
        </w:rPr>
        <w:t>        </w:t>
      </w:r>
      <w:r>
        <w:rPr>
          <w:rFonts w:ascii="Times New Roman;serif" w:hAnsi="Times New Roman;serif"/>
          <w:b w:val="false"/>
          <w:color w:val="000000"/>
          <w:sz w:val="20"/>
        </w:rPr>
        <w:t xml:space="preserve">See the exhibits filed herewith. </w:t>
      </w:r>
    </w:p>
    <w:p>
      <w:pPr>
        <w:pStyle w:val="TextBody"/>
        <w:bidi w:val="0"/>
        <w:spacing w:lineRule="auto" w:line="288" w:before="12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    Additional financial statement schedules </w:t>
      </w:r>
    </w:p>
    <w:p>
      <w:pPr>
        <w:pStyle w:val="TextBody"/>
        <w:bidi w:val="0"/>
        <w:spacing w:lineRule="auto" w:line="288" w:before="0" w:after="0"/>
        <w:ind w:left="0" w:right="0" w:hanging="450"/>
        <w:jc w:val="both"/>
        <w:rPr>
          <w:color w:val="000000"/>
        </w:rPr>
      </w:pPr>
      <w:r>
        <w:rPr>
          <w:color w:val="000000"/>
        </w:rPr>
        <w:t>     </w:t>
      </w: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Company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9902"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367"/>
        <w:gridCol w:w="367"/>
        <w:gridCol w:w="367"/>
        <w:gridCol w:w="1858"/>
        <w:gridCol w:w="1858"/>
        <w:gridCol w:w="268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AGNC I</w:t>
            </w:r>
            <w:r>
              <w:rPr>
                <w:rFonts w:ascii="Times New Roman;serif" w:hAnsi="Times New Roman;serif"/>
                <w:b w:val="false"/>
                <w:color w:val="000000"/>
                <w:sz w:val="16"/>
              </w:rPr>
              <w:t>NVESTMENT</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ORP</w:t>
            </w:r>
            <w:r>
              <w:rPr>
                <w:rFonts w:ascii="Times New Roman;serif" w:hAnsi="Times New Roman;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4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P</w:t>
            </w:r>
            <w:r>
              <w:rPr>
                <w:rFonts w:ascii="Times New Roman;serif" w:hAnsi="Times New Roman;serif"/>
                <w:b w:val="false"/>
                <w:color w:val="000000"/>
                <w:sz w:val="16"/>
              </w:rPr>
              <w:t>ETER</w:t>
            </w:r>
            <w:r>
              <w:rPr>
                <w:color w:val="000000"/>
              </w:rPr>
              <w:t xml:space="preserve"> </w:t>
            </w:r>
            <w:r>
              <w:rPr>
                <w:rFonts w:ascii="Times New Roman;serif" w:hAnsi="Times New Roman;serif"/>
                <w:b w:val="false"/>
                <w:color w:val="000000"/>
                <w:sz w:val="20"/>
              </w:rPr>
              <w:t>J. F</w:t>
            </w:r>
            <w:r>
              <w:rPr>
                <w:rFonts w:ascii="Times New Roman;serif" w:hAnsi="Times New Roman;serif"/>
                <w:b w:val="false"/>
                <w:color w:val="000000"/>
                <w:sz w:val="16"/>
              </w:rPr>
              <w:t>EDERICO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Peter J. Federico</w:t>
              <w:br/>
              <w:t>President, Chief Executive Officer and</w:t>
              <w:br/>
              <w:t>Chief Investment Officer, (Principal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4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w:t>
            </w:r>
            <w:r>
              <w:rPr>
                <w:rFonts w:ascii="Times New Roman;serif" w:hAnsi="Times New Roman;serif"/>
                <w:b w:val="false"/>
                <w:color w:val="000000"/>
                <w:sz w:val="16"/>
              </w:rPr>
              <w:t>ERNICE</w:t>
            </w:r>
            <w:r>
              <w:rPr>
                <w:color w:val="000000"/>
              </w:rPr>
              <w:t xml:space="preserve"> </w:t>
            </w:r>
            <w:r>
              <w:rPr>
                <w:rFonts w:ascii="Times New Roman;serif" w:hAnsi="Times New Roman;serif"/>
                <w:b w:val="false"/>
                <w:color w:val="000000"/>
                <w:sz w:val="20"/>
              </w:rPr>
              <w:t>E. B</w:t>
            </w:r>
            <w:r>
              <w:rPr>
                <w:rFonts w:ascii="Times New Roman;serif" w:hAnsi="Times New Roman;serif"/>
                <w:b w:val="false"/>
                <w:color w:val="000000"/>
                <w:sz w:val="16"/>
              </w:rPr>
              <w:t>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Bernice E. Bell</w:t>
              <w:br/>
              <w:t xml:space="preserve">Executive Vice President and </w:t>
              <w:br/>
              <w:t>Chief Financial Officer (Principal Financial Officer and 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302(a)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both"/>
        <w:rPr/>
      </w:pPr>
      <w:r>
        <w:rPr/>
      </w:r>
    </w:p>
    <w:p>
      <w:pPr>
        <w:pStyle w:val="TextBody"/>
        <w:bidi w:val="0"/>
        <w:spacing w:lineRule="auto" w:line="288" w:before="0" w:after="0"/>
        <w:ind w:left="0" w:right="0" w:hanging="225"/>
        <w:jc w:val="both"/>
        <w:rPr>
          <w:rFonts w:ascii="Times New Roman;serif" w:hAnsi="Times New Roman;serif"/>
          <w:b w:val="false"/>
          <w:color w:val="000000"/>
          <w:sz w:val="20"/>
        </w:rPr>
      </w:pPr>
      <w:r>
        <w:rPr>
          <w:rFonts w:ascii="Times New Roman;serif" w:hAnsi="Times New Roman;serif"/>
          <w:b w:val="false"/>
          <w:color w:val="000000"/>
          <w:sz w:val="20"/>
        </w:rPr>
        <w:t xml:space="preserve">I, Peter J. Federico, certify that: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AGNC Investment Corp.;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tbl>
      <w:tblPr>
        <w:tblW w:w="8546" w:type="dxa"/>
        <w:jc w:val="left"/>
        <w:tblInd w:w="0" w:type="dxa"/>
        <w:tblLayout w:type="fixed"/>
        <w:tblCellMar>
          <w:top w:w="28" w:type="dxa"/>
          <w:left w:w="28" w:type="dxa"/>
          <w:bottom w:w="28" w:type="dxa"/>
          <w:right w:w="28" w:type="dxa"/>
        </w:tblCellMar>
      </w:tblPr>
      <w:tblGrid>
        <w:gridCol w:w="200"/>
        <w:gridCol w:w="177"/>
        <w:gridCol w:w="178"/>
        <w:gridCol w:w="2536"/>
        <w:gridCol w:w="2536"/>
        <w:gridCol w:w="2547"/>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7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P</w:t>
            </w:r>
            <w:r>
              <w:rPr>
                <w:rFonts w:ascii="Times New Roman;serif" w:hAnsi="Times New Roman;serif"/>
                <w:b w:val="false"/>
                <w:color w:val="000000"/>
                <w:sz w:val="16"/>
              </w:rPr>
              <w:t>ETER</w:t>
            </w:r>
            <w:r>
              <w:rPr>
                <w:color w:val="000000"/>
              </w:rPr>
              <w:t xml:space="preserve"> </w:t>
            </w:r>
            <w:r>
              <w:rPr>
                <w:rFonts w:ascii="Times New Roman;serif" w:hAnsi="Times New Roman;serif"/>
                <w:b w:val="false"/>
                <w:color w:val="000000"/>
                <w:sz w:val="20"/>
              </w:rPr>
              <w:t>J. F</w:t>
            </w:r>
            <w:r>
              <w:rPr>
                <w:rFonts w:ascii="Times New Roman;serif" w:hAnsi="Times New Roman;serif"/>
                <w:b w:val="false"/>
                <w:color w:val="000000"/>
                <w:sz w:val="16"/>
              </w:rPr>
              <w:t>EDERICO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J. Federico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Chief Investment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302(a)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ind w:left="0" w:right="0" w:hanging="225"/>
        <w:jc w:val="both"/>
        <w:rPr/>
      </w:pPr>
      <w:r>
        <w:rPr/>
      </w:r>
    </w:p>
    <w:p>
      <w:pPr>
        <w:pStyle w:val="TextBody"/>
        <w:bidi w:val="0"/>
        <w:spacing w:before="0" w:after="0"/>
        <w:ind w:left="0" w:right="0" w:hanging="225"/>
        <w:jc w:val="both"/>
        <w:rPr/>
      </w:pPr>
      <w:r>
        <w:rPr/>
      </w:r>
    </w:p>
    <w:p>
      <w:pPr>
        <w:pStyle w:val="TextBody"/>
        <w:bidi w:val="0"/>
        <w:spacing w:lineRule="auto" w:line="288" w:before="0" w:after="0"/>
        <w:ind w:left="0" w:right="0" w:hanging="225"/>
        <w:jc w:val="both"/>
        <w:rPr>
          <w:rFonts w:ascii="Times New Roman;serif" w:hAnsi="Times New Roman;serif"/>
          <w:b w:val="false"/>
          <w:color w:val="000000"/>
          <w:sz w:val="20"/>
        </w:rPr>
      </w:pPr>
      <w:r>
        <w:rPr>
          <w:rFonts w:ascii="Times New Roman;serif" w:hAnsi="Times New Roman;serif"/>
          <w:b w:val="false"/>
          <w:color w:val="000000"/>
          <w:sz w:val="20"/>
        </w:rPr>
        <w:t xml:space="preserve">I, Bernice E. Bell, certify that: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AGNC Investment Corp;</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ind w:left="0" w:right="0" w:hanging="450"/>
        <w:jc w:val="both"/>
        <w:rPr/>
      </w:pPr>
      <w:r>
        <w:rPr/>
      </w:r>
    </w:p>
    <w:tbl>
      <w:tblPr>
        <w:tblW w:w="7631" w:type="dxa"/>
        <w:jc w:val="left"/>
        <w:tblInd w:w="0" w:type="dxa"/>
        <w:tblLayout w:type="fixed"/>
        <w:tblCellMar>
          <w:top w:w="28" w:type="dxa"/>
          <w:left w:w="28" w:type="dxa"/>
          <w:bottom w:w="28" w:type="dxa"/>
          <w:right w:w="28" w:type="dxa"/>
        </w:tblCellMar>
      </w:tblPr>
      <w:tblGrid>
        <w:gridCol w:w="200"/>
        <w:gridCol w:w="177"/>
        <w:gridCol w:w="178"/>
        <w:gridCol w:w="2231"/>
        <w:gridCol w:w="2231"/>
        <w:gridCol w:w="224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B</w:t>
            </w:r>
            <w:r>
              <w:rPr>
                <w:rFonts w:ascii="Times New Roman;serif" w:hAnsi="Times New Roman;serif"/>
                <w:b w:val="false"/>
                <w:color w:val="000000"/>
                <w:sz w:val="16"/>
              </w:rPr>
              <w:t>ERNICE</w:t>
            </w:r>
            <w:r>
              <w:rPr>
                <w:color w:val="000000"/>
              </w:rPr>
              <w:t xml:space="preserve"> </w:t>
            </w:r>
            <w:r>
              <w:rPr>
                <w:rFonts w:ascii="Times New Roman;serif" w:hAnsi="Times New Roman;serif"/>
                <w:b w:val="false"/>
                <w:color w:val="000000"/>
                <w:sz w:val="20"/>
              </w:rPr>
              <w:t>E. B</w:t>
            </w:r>
            <w:r>
              <w:rPr>
                <w:rFonts w:ascii="Times New Roman;serif" w:hAnsi="Times New Roman;serif"/>
                <w:b w:val="false"/>
                <w:color w:val="000000"/>
                <w:sz w:val="16"/>
              </w:rPr>
              <w:t>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Bernice E. Bell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w:t>
      </w:r>
    </w:p>
    <w:p>
      <w:pPr>
        <w:pStyle w:val="TextBody"/>
        <w:bidi w:val="0"/>
        <w:spacing w:before="0" w:after="0"/>
        <w:jc w:val="righ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CEO and CFO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Peter J. Federico, President, Chief Executive Officer and Chief Investment Officer, and Bernice E. Bell, Executive Vice President and Chief Financial Officer of AGNC Investment Corp. (the “Company”), certify pursuant to Section 906 of the Sarbanes-Oxley Act of 2002, 18 U.S.C. Section 1350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 ended September 30, 2025 (the “Report”) fully complies with the requirements of Section 13(a) of the Securities Exchange Act of 1934 (15 U.S.C. 78m);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ind w:left="0" w:right="0" w:firstLine="495"/>
        <w:jc w:val="both"/>
        <w:rPr/>
      </w:pPr>
      <w:r>
        <w:rPr/>
      </w:r>
    </w:p>
    <w:p>
      <w:pPr>
        <w:pStyle w:val="TextBody"/>
        <w:bidi w:val="0"/>
        <w:spacing w:lineRule="auto" w:line="288" w:before="0" w:after="0"/>
        <w:jc w:val="left"/>
        <w:rPr>
          <w:color w:val="000000"/>
        </w:rPr>
      </w:pPr>
      <w:r>
        <w:rPr>
          <w:color w:val="000000"/>
        </w:rPr>
        <w:t> </w:t>
      </w:r>
    </w:p>
    <w:tbl>
      <w:tblPr>
        <w:tblW w:w="5486" w:type="dxa"/>
        <w:jc w:val="left"/>
        <w:tblInd w:w="0" w:type="dxa"/>
        <w:tblLayout w:type="fixed"/>
        <w:tblCellMar>
          <w:top w:w="28" w:type="dxa"/>
          <w:left w:w="28" w:type="dxa"/>
          <w:bottom w:w="28" w:type="dxa"/>
          <w:right w:w="28" w:type="dxa"/>
        </w:tblCellMar>
      </w:tblPr>
      <w:tblGrid>
        <w:gridCol w:w="233"/>
        <w:gridCol w:w="205"/>
        <w:gridCol w:w="207"/>
        <w:gridCol w:w="1488"/>
        <w:gridCol w:w="1488"/>
        <w:gridCol w:w="1493"/>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P</w:t>
            </w:r>
            <w:r>
              <w:rPr>
                <w:rFonts w:ascii="Times New Roman;serif" w:hAnsi="Times New Roman;serif"/>
                <w:b w:val="false"/>
                <w:color w:val="000000"/>
                <w:sz w:val="16"/>
              </w:rPr>
              <w:t>ETER</w:t>
            </w:r>
            <w:r>
              <w:rPr>
                <w:color w:val="000000"/>
              </w:rPr>
              <w:t xml:space="preserve"> </w:t>
            </w:r>
            <w:r>
              <w:rPr>
                <w:rFonts w:ascii="Times New Roman;serif" w:hAnsi="Times New Roman;serif"/>
                <w:b w:val="false"/>
                <w:color w:val="000000"/>
                <w:sz w:val="20"/>
              </w:rPr>
              <w:t>J. F</w:t>
            </w:r>
            <w:r>
              <w:rPr>
                <w:rFonts w:ascii="Times New Roman;serif" w:hAnsi="Times New Roman;serif"/>
                <w:b w:val="false"/>
                <w:color w:val="000000"/>
                <w:sz w:val="16"/>
              </w:rPr>
              <w:t>EDERICO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J. Federico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President, Chief Executive Officer and </w:t>
              <w:br/>
              <w:t>Chief Investment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B</w:t>
            </w:r>
            <w:r>
              <w:rPr>
                <w:rFonts w:ascii="Times New Roman;serif" w:hAnsi="Times New Roman;serif"/>
                <w:b w:val="false"/>
                <w:color w:val="000000"/>
                <w:sz w:val="16"/>
              </w:rPr>
              <w:t>ERNICE</w:t>
            </w:r>
            <w:r>
              <w:rPr>
                <w:color w:val="000000"/>
              </w:rPr>
              <w:t xml:space="preserve"> </w:t>
            </w:r>
            <w:r>
              <w:rPr>
                <w:rFonts w:ascii="Times New Roman;serif" w:hAnsi="Times New Roman;serif"/>
                <w:b w:val="false"/>
                <w:color w:val="000000"/>
                <w:sz w:val="20"/>
              </w:rPr>
              <w:t>E. B</w:t>
            </w:r>
            <w:r>
              <w:rPr>
                <w:rFonts w:ascii="Times New Roman;serif" w:hAnsi="Times New Roman;serif"/>
                <w:b w:val="false"/>
                <w:color w:val="000000"/>
                <w:sz w:val="16"/>
              </w:rPr>
              <w:t>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Bernice E. Bell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and </w:t>
              <w:br/>
              <w:t>Chief Financial Officer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before="0" w:after="0"/>
        <w:ind w:left="0" w:right="0" w:firstLine="495"/>
        <w:jc w:val="both"/>
        <w:rPr/>
      </w:pPr>
      <w:r>
        <w:rPr/>
      </w:r>
    </w:p>
    <w:p>
      <w:pPr>
        <w:pStyle w:val="TextBody"/>
        <w:bidi w:val="0"/>
        <w:spacing w:before="0" w:after="0"/>
        <w:jc w:val="both"/>
        <w:rPr/>
      </w:pPr>
      <w:r>
        <w:rPr/>
      </w:r>
    </w:p>
    <w:p>
      <w:pPr>
        <w:pStyle w:val="TextBody"/>
        <w:bidi w:val="0"/>
        <w:spacing w:before="18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Malgun Gothic">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23689/000142368925000056/agncexhibit313312510-q.htm" TargetMode="External"/><Relationship Id="rId4" Type="http://schemas.openxmlformats.org/officeDocument/2006/relationships/hyperlink" Target="https://www.sec.gov/Archives/edgar/data/1423689/000142368925000056/agncexhibit313312510-q.htm" TargetMode="External"/><Relationship Id="rId5" Type="http://schemas.openxmlformats.org/officeDocument/2006/relationships/hyperlink" Target="https://www.sec.gov/Archives/edgar/data/1423689/000142368921000017/arbylaws-march2021vrevised.htm" TargetMode="External"/><Relationship Id="rId6" Type="http://schemas.openxmlformats.org/officeDocument/2006/relationships/hyperlink" Target="https://www.sec.gov/Archives/edgar/data/1423689/000142368923000046/bylaws72023-ex.htm" TargetMode="External"/><Relationship Id="rId7" Type="http://schemas.openxmlformats.org/officeDocument/2006/relationships/hyperlink" Target="https://www.sec.gov/Archives/edgar/data/1423689/000142368917000044/ex35certificateofdesignati.htm" TargetMode="External"/><Relationship Id="rId8" Type="http://schemas.openxmlformats.org/officeDocument/2006/relationships/hyperlink" Target="https://www.sec.gov/Archives/edgar/data/1423689/000142368917000044/ex35certificateofdesignati.htm" TargetMode="External"/><Relationship Id="rId9" Type="http://schemas.openxmlformats.org/officeDocument/2006/relationships/hyperlink" Target="https://www.sec.gov/Archives/edgar/data/1423689/000142368917000065/certificateofelimination.htm" TargetMode="External"/><Relationship Id="rId10" Type="http://schemas.openxmlformats.org/officeDocument/2006/relationships/hyperlink" Target="https://www.sec.gov/Archives/edgar/data/1423689/000142368917000065/certificateofelimination.htm" TargetMode="External"/><Relationship Id="rId11" Type="http://schemas.openxmlformats.org/officeDocument/2006/relationships/hyperlink" Target="https://www.sec.gov/Archives/edgar/data/1423689/000142368919000019/certificateofdesignations.htm" TargetMode="External"/><Relationship Id="rId12" Type="http://schemas.openxmlformats.org/officeDocument/2006/relationships/hyperlink" Target="https://www.sec.gov/Archives/edgar/data/1423689/000142368919000019/certificateofdesignations.htm" TargetMode="External"/><Relationship Id="rId13" Type="http://schemas.openxmlformats.org/officeDocument/2006/relationships/hyperlink" Target="https://www.sec.gov/Archives/edgar/data/1423689/000142368919000064/certofdesignations.htm" TargetMode="External"/><Relationship Id="rId14" Type="http://schemas.openxmlformats.org/officeDocument/2006/relationships/hyperlink" Target="https://www.sec.gov/Archives/edgar/data/1423689/000142368919000064/certofdesignations.htm" TargetMode="External"/><Relationship Id="rId15" Type="http://schemas.openxmlformats.org/officeDocument/2006/relationships/hyperlink" Target="https://www.sec.gov/Archives/edgar/data/1423689/000142368919000078/certificateofeliminati.htm" TargetMode="External"/><Relationship Id="rId16" Type="http://schemas.openxmlformats.org/officeDocument/2006/relationships/hyperlink" Target="https://www.sec.gov/Archives/edgar/data/1423689/000142368919000078/certificateofeliminati.htm" TargetMode="External"/><Relationship Id="rId17" Type="http://schemas.openxmlformats.org/officeDocument/2006/relationships/hyperlink" Target="https://www.sec.gov/Archives/edgar/data/1423689/000142368920000012/certificateofdesignations-.htm" TargetMode="External"/><Relationship Id="rId18" Type="http://schemas.openxmlformats.org/officeDocument/2006/relationships/hyperlink" Target="https://www.sec.gov/Archives/edgar/data/1423689/000142368920000012/certificateofdesignations-.htm" TargetMode="External"/><Relationship Id="rId19" Type="http://schemas.openxmlformats.org/officeDocument/2006/relationships/hyperlink" Target="https://www.sec.gov/Archives/edgar/data/1423689/000142368922000061/seriesgcertificateofdesign.htm" TargetMode="External"/><Relationship Id="rId20" Type="http://schemas.openxmlformats.org/officeDocument/2006/relationships/hyperlink" Target="https://www.sec.gov/Archives/edgar/data/1423689/000142368922000061/seriesgcertificateofdesign.htm" TargetMode="External"/><Relationship Id="rId21" Type="http://schemas.openxmlformats.org/officeDocument/2006/relationships/hyperlink" Target="https://www.sec.gov/Archives/edgar/data/1423689/000142368925000093/certificateofdesignations-.htm" TargetMode="External"/><Relationship Id="rId22" Type="http://schemas.openxmlformats.org/officeDocument/2006/relationships/hyperlink" Target="https://www.sec.gov/Archives/edgar/data/1423689/000142368925000093/certificateofdesignations-.htm" TargetMode="External"/><Relationship Id="rId23" Type="http://schemas.openxmlformats.org/officeDocument/2006/relationships/hyperlink" Target="https://www.sec.gov/Archives/edgar/data/1423689/000142368925000093/certificateofdesignations-.htm" TargetMode="External"/><Relationship Id="rId24" Type="http://schemas.openxmlformats.org/officeDocument/2006/relationships/hyperlink" Target="https://www.sec.gov/Archives/edgar/data/1423689/000142368925000093/certificateofdesignations-.htm" TargetMode="External"/><Relationship Id="rId25" Type="http://schemas.openxmlformats.org/officeDocument/2006/relationships/hyperlink" Target="https://www.sec.gov/Archives/edgar/data/1423689/000142368925000093/certificateofdesignations-.htm" TargetMode="External"/><Relationship Id="rId26" Type="http://schemas.openxmlformats.org/officeDocument/2006/relationships/hyperlink" Target="https://www.sec.gov/Archives/edgar/data/1423689/000142368925000093/certificateofdesignations-.htm" TargetMode="External"/><Relationship Id="rId27" Type="http://schemas.openxmlformats.org/officeDocument/2006/relationships/hyperlink" Target="https://www.sec.gov/Archives/edgar/data/1423689/000142368925000093/certificateofdesignations-.htm" TargetMode="External"/><Relationship Id="rId28" Type="http://schemas.openxmlformats.org/officeDocument/2006/relationships/hyperlink" Target="https://www.sec.gov/Archives/edgar/data/1423689/000142368925000093/certificateofdesignations-.htm" TargetMode="External"/><Relationship Id="rId29" Type="http://schemas.openxmlformats.org/officeDocument/2006/relationships/hyperlink" Target="https://www.sec.gov/Archives/edgar/data/1423689/000142368925000093/certificateofdesignations-.htm" TargetMode="External"/><Relationship Id="rId30" Type="http://schemas.openxmlformats.org/officeDocument/2006/relationships/hyperlink" Target="https://www.sec.gov/Archives/edgar/data/1423689/000142368925000093/certificateofdesignations-.htm" TargetMode="External"/><Relationship Id="rId31" Type="http://schemas.openxmlformats.org/officeDocument/2006/relationships/hyperlink" Target="https://www.sec.gov/Archives/edgar/data/1423689/000142368925000093/certificateofdesignations-.htm" TargetMode="External"/><Relationship Id="rId32" Type="http://schemas.openxmlformats.org/officeDocument/2006/relationships/hyperlink" Target="https://www.sec.gov/Archives/edgar/data/1423689/000142368925000093/certificateofdesignations-.htm" TargetMode="External"/><Relationship Id="rId33" Type="http://schemas.openxmlformats.org/officeDocument/2006/relationships/hyperlink" Target="https://www.sec.gov/Archives/edgar/data/1423689/000142368925000093/certificateofdesignations-.htm" TargetMode="External"/><Relationship Id="rId34" Type="http://schemas.openxmlformats.org/officeDocument/2006/relationships/hyperlink" Target="https://www.sec.gov/Archives/edgar/data/1423689/000142368925000093/certificateofdesignations-.htm" TargetMode="External"/><Relationship Id="rId35" Type="http://schemas.openxmlformats.org/officeDocument/2006/relationships/hyperlink" Target="https://www.sec.gov/Archives/edgar/data/1423689/000142368925000056/agncexhibit313312510-q.htm" TargetMode="External"/><Relationship Id="rId36" Type="http://schemas.openxmlformats.org/officeDocument/2006/relationships/hyperlink" Target="https://www.sec.gov/Archives/edgar/data/1423689/000142368925000056/agncexhibit313312510-q.htm" TargetMode="External"/><Relationship Id="rId37" Type="http://schemas.openxmlformats.org/officeDocument/2006/relationships/hyperlink" Target="https://www.sec.gov/Archives/edgar/data/1423689/000142368921000017/arbylaws-march2021vrevised.htm" TargetMode="External"/><Relationship Id="rId38" Type="http://schemas.openxmlformats.org/officeDocument/2006/relationships/hyperlink" Target="https://www.sec.gov/Archives/edgar/data/1423689/000142368923000046/bylaws72023-ex.htm" TargetMode="External"/><Relationship Id="rId39" Type="http://schemas.openxmlformats.org/officeDocument/2006/relationships/hyperlink" Target="https://www.sec.gov/Archives/edgar/data/1423689/000142368922000076/exhibit43.htm" TargetMode="External"/><Relationship Id="rId40" Type="http://schemas.openxmlformats.org/officeDocument/2006/relationships/hyperlink" Target="https://www.sec.gov/Archives/edgar/data/1423689/000142368922000076/exhibit43.htm" TargetMode="External"/><Relationship Id="rId41" Type="http://schemas.openxmlformats.org/officeDocument/2006/relationships/hyperlink" Target="https://www.sec.gov/Archives/edgar/data/1423689/000142368917000044/exhibit41.htm" TargetMode="External"/><Relationship Id="rId42" Type="http://schemas.openxmlformats.org/officeDocument/2006/relationships/hyperlink" Target="https://www.sec.gov/Archives/edgar/data/1423689/000142368917000044/exhibit41.htm" TargetMode="External"/><Relationship Id="rId43" Type="http://schemas.openxmlformats.org/officeDocument/2006/relationships/hyperlink" Target="https://www.sec.gov/Archives/edgar/data/1423689/000142368919000019/stockcertificateb98.htm" TargetMode="External"/><Relationship Id="rId44" Type="http://schemas.openxmlformats.org/officeDocument/2006/relationships/hyperlink" Target="https://www.sec.gov/Archives/edgar/data/1423689/000142368919000019/stockcertificateb98.htm" TargetMode="External"/><Relationship Id="rId45" Type="http://schemas.openxmlformats.org/officeDocument/2006/relationships/hyperlink" Target="https://www.sec.gov/Archives/edgar/data/1423689/000142368919000064/stockcertificate.htm" TargetMode="External"/><Relationship Id="rId46" Type="http://schemas.openxmlformats.org/officeDocument/2006/relationships/hyperlink" Target="https://www.sec.gov/Archives/edgar/data/1423689/000142368919000064/stockcertificate.htm" TargetMode="External"/><Relationship Id="rId47" Type="http://schemas.openxmlformats.org/officeDocument/2006/relationships/hyperlink" Target="https://www.sec.gov/Archives/edgar/data/1423689/000142368920000012/stockcertificate.htm" TargetMode="External"/><Relationship Id="rId48" Type="http://schemas.openxmlformats.org/officeDocument/2006/relationships/hyperlink" Target="https://www.sec.gov/Archives/edgar/data/1423689/000142368920000012/stockcertificate.htm" TargetMode="External"/><Relationship Id="rId49" Type="http://schemas.openxmlformats.org/officeDocument/2006/relationships/hyperlink" Target="https://www.sec.gov/Archives/edgar/data/1423689/000142368922000061/stockcertificate1.htm" TargetMode="External"/><Relationship Id="rId50" Type="http://schemas.openxmlformats.org/officeDocument/2006/relationships/hyperlink" Target="https://www.sec.gov/Archives/edgar/data/1423689/000142368922000061/stockcertificate1.htm" TargetMode="External"/><Relationship Id="rId51" Type="http://schemas.openxmlformats.org/officeDocument/2006/relationships/hyperlink" Target="https://www.sec.gov/Archives/edgar/data/1423689/000142368925000093/stockcertificate1.htm" TargetMode="External"/><Relationship Id="rId52" Type="http://schemas.openxmlformats.org/officeDocument/2006/relationships/hyperlink" Target="https://www.sec.gov/Archives/edgar/data/1423689/000142368925000093/stockcertificate1.htm" TargetMode="External"/><Relationship Id="rId53" Type="http://schemas.openxmlformats.org/officeDocument/2006/relationships/hyperlink" Target="https://www.sec.gov/Archives/edgar/data/1423689/000142368925000093/stockcertificate1.htm" TargetMode="External"/><Relationship Id="rId54" Type="http://schemas.openxmlformats.org/officeDocument/2006/relationships/hyperlink" Target="https://www.sec.gov/Archives/edgar/data/1423689/000142368925000093/stockcertificate1.htm" TargetMode="External"/><Relationship Id="rId55" Type="http://schemas.openxmlformats.org/officeDocument/2006/relationships/hyperlink" Target="https://www.sec.gov/Archives/edgar/data/1423689/000142368925000093/stockcertificate1.htm" TargetMode="External"/><Relationship Id="rId56" Type="http://schemas.openxmlformats.org/officeDocument/2006/relationships/hyperlink" Target="https://www.sec.gov/Archives/edgar/data/1423689/000142368925000093/stockcertificate1.htm" TargetMode="External"/><Relationship Id="rId57" Type="http://schemas.openxmlformats.org/officeDocument/2006/relationships/hyperlink" Target="https://www.sec.gov/Archives/edgar/data/1423689/000142368925000093/stockcertificate1.htm" TargetMode="External"/><Relationship Id="rId58" Type="http://schemas.openxmlformats.org/officeDocument/2006/relationships/hyperlink" Target="https://www.sec.gov/Archives/edgar/data/1423689/000142368925000093/stockcertificate1.htm" TargetMode="External"/><Relationship Id="rId59" Type="http://schemas.openxmlformats.org/officeDocument/2006/relationships/hyperlink" Target="https://www.sec.gov/Archives/edgar/data/1423689/000142368917000049/depositagreement.htm" TargetMode="External"/><Relationship Id="rId60" Type="http://schemas.openxmlformats.org/officeDocument/2006/relationships/hyperlink" Target="https://www.sec.gov/Archives/edgar/data/1423689/000142368917000049/depositagreement.htm" TargetMode="External"/><Relationship Id="rId61" Type="http://schemas.openxmlformats.org/officeDocument/2006/relationships/hyperlink" Target="https://www.sec.gov/Archives/edgar/data/1423689/000142368917000049/depositagreement.htm" TargetMode="External"/><Relationship Id="rId62" Type="http://schemas.openxmlformats.org/officeDocument/2006/relationships/hyperlink" Target="https://www.sec.gov/Archives/edgar/data/1423689/000142368917000049/depositagreement.htm" TargetMode="External"/><Relationship Id="rId63" Type="http://schemas.openxmlformats.org/officeDocument/2006/relationships/hyperlink" Target="https://www.sec.gov/Archives/edgar/data/1423689/000142368917000049/depositagreement.htm" TargetMode="External"/><Relationship Id="rId64" Type="http://schemas.openxmlformats.org/officeDocument/2006/relationships/hyperlink" Target="https://www.sec.gov/Archives/edgar/data/1423689/000142368917000049/depositagreement.htm" TargetMode="External"/><Relationship Id="rId65" Type="http://schemas.openxmlformats.org/officeDocument/2006/relationships/hyperlink" Target="https://www.sec.gov/Archives/edgar/data/1423689/000142368917000049/depositagreement.htm" TargetMode="External"/><Relationship Id="rId66" Type="http://schemas.openxmlformats.org/officeDocument/2006/relationships/hyperlink" Target="https://www.sec.gov/Archives/edgar/data/1423689/000142368917000049/depositagreement.htm" TargetMode="External"/><Relationship Id="rId67" Type="http://schemas.openxmlformats.org/officeDocument/2006/relationships/hyperlink" Target="https://www.sec.gov/Archives/edgar/data/1423689/000142368919000021/prefddepositagmt.htm" TargetMode="External"/><Relationship Id="rId68" Type="http://schemas.openxmlformats.org/officeDocument/2006/relationships/hyperlink" Target="https://www.sec.gov/Archives/edgar/data/1423689/000142368919000021/prefddepositagmt.htm" TargetMode="External"/><Relationship Id="rId69" Type="http://schemas.openxmlformats.org/officeDocument/2006/relationships/hyperlink" Target="https://www.sec.gov/Archives/edgar/data/1423689/000142368919000021/prefddepositagmt.htm" TargetMode="External"/><Relationship Id="rId70" Type="http://schemas.openxmlformats.org/officeDocument/2006/relationships/hyperlink" Target="https://www.sec.gov/Archives/edgar/data/1423689/000142368919000021/prefddepositagmt.htm" TargetMode="External"/><Relationship Id="rId71" Type="http://schemas.openxmlformats.org/officeDocument/2006/relationships/hyperlink" Target="https://www.sec.gov/Archives/edgar/data/1423689/000142368919000021/prefddepositagmt.htm" TargetMode="External"/><Relationship Id="rId72" Type="http://schemas.openxmlformats.org/officeDocument/2006/relationships/hyperlink" Target="https://www.sec.gov/Archives/edgar/data/1423689/000142368919000021/prefddepositagmt.htm" TargetMode="External"/><Relationship Id="rId73" Type="http://schemas.openxmlformats.org/officeDocument/2006/relationships/hyperlink" Target="https://www.sec.gov/Archives/edgar/data/1423689/000142368919000021/prefddepositagmt.htm" TargetMode="External"/><Relationship Id="rId74" Type="http://schemas.openxmlformats.org/officeDocument/2006/relationships/hyperlink" Target="https://www.sec.gov/Archives/edgar/data/1423689/000142368919000021/prefddepositagmt.htm" TargetMode="External"/><Relationship Id="rId75" Type="http://schemas.openxmlformats.org/officeDocument/2006/relationships/hyperlink" Target="https://www.sec.gov/Archives/edgar/data/1423689/000142368919000068/depositagmt-prefe.htm" TargetMode="External"/><Relationship Id="rId76" Type="http://schemas.openxmlformats.org/officeDocument/2006/relationships/hyperlink" Target="https://www.sec.gov/Archives/edgar/data/1423689/000142368919000068/depositagmt-prefe.htm" TargetMode="External"/><Relationship Id="rId77" Type="http://schemas.openxmlformats.org/officeDocument/2006/relationships/hyperlink" Target="https://www.sec.gov/Archives/edgar/data/1423689/000142368919000068/depositagmt-prefe.htm" TargetMode="External"/><Relationship Id="rId78" Type="http://schemas.openxmlformats.org/officeDocument/2006/relationships/hyperlink" Target="https://www.sec.gov/Archives/edgar/data/1423689/000142368919000068/depositagmt-prefe.htm" TargetMode="External"/><Relationship Id="rId79" Type="http://schemas.openxmlformats.org/officeDocument/2006/relationships/hyperlink" Target="https://www.sec.gov/Archives/edgar/data/1423689/000142368919000068/depositagmt-prefe.htm" TargetMode="External"/><Relationship Id="rId80" Type="http://schemas.openxmlformats.org/officeDocument/2006/relationships/hyperlink" Target="https://www.sec.gov/Archives/edgar/data/1423689/000142368919000068/depositagmt-prefe.htm" TargetMode="External"/><Relationship Id="rId81" Type="http://schemas.openxmlformats.org/officeDocument/2006/relationships/hyperlink" Target="https://www.sec.gov/Archives/edgar/data/1423689/000142368919000068/depositagmt-prefe.htm" TargetMode="External"/><Relationship Id="rId82" Type="http://schemas.openxmlformats.org/officeDocument/2006/relationships/hyperlink" Target="https://www.sec.gov/Archives/edgar/data/1423689/000142368919000068/depositagmt-prefe.htm" TargetMode="External"/><Relationship Id="rId83" Type="http://schemas.openxmlformats.org/officeDocument/2006/relationships/hyperlink" Target="https://www.sec.gov/Archives/edgar/data/1423689/000142368920000014/depositaryagmt-seriesf.htm" TargetMode="External"/><Relationship Id="rId84" Type="http://schemas.openxmlformats.org/officeDocument/2006/relationships/hyperlink" Target="https://www.sec.gov/Archives/edgar/data/1423689/000142368920000014/depositaryagmt-seriesf.htm" TargetMode="External"/><Relationship Id="rId85" Type="http://schemas.openxmlformats.org/officeDocument/2006/relationships/hyperlink" Target="https://www.sec.gov/Archives/edgar/data/1423689/000142368920000014/depositaryagmt-seriesf.htm" TargetMode="External"/><Relationship Id="rId86" Type="http://schemas.openxmlformats.org/officeDocument/2006/relationships/hyperlink" Target="https://www.sec.gov/Archives/edgar/data/1423689/000142368920000014/depositaryagmt-seriesf.htm" TargetMode="External"/><Relationship Id="rId87" Type="http://schemas.openxmlformats.org/officeDocument/2006/relationships/hyperlink" Target="https://www.sec.gov/Archives/edgar/data/1423689/000142368920000014/depositaryagmt-seriesf.htm" TargetMode="External"/><Relationship Id="rId88" Type="http://schemas.openxmlformats.org/officeDocument/2006/relationships/hyperlink" Target="https://www.sec.gov/Archives/edgar/data/1423689/000142368920000014/depositaryagmt-seriesf.htm" TargetMode="External"/><Relationship Id="rId89" Type="http://schemas.openxmlformats.org/officeDocument/2006/relationships/hyperlink" Target="https://www.sec.gov/Archives/edgar/data/1423689/000142368920000014/depositaryagmt-seriesf.htm" TargetMode="External"/><Relationship Id="rId90" Type="http://schemas.openxmlformats.org/officeDocument/2006/relationships/hyperlink" Target="https://www.sec.gov/Archives/edgar/data/1423689/000142368920000014/depositaryagmt-seriesf.htm" TargetMode="External"/><Relationship Id="rId91" Type="http://schemas.openxmlformats.org/officeDocument/2006/relationships/hyperlink" Target="https://www.sec.gov/Archives/edgar/data/1423689/000142368922000069/depositaryagmt.htm" TargetMode="External"/><Relationship Id="rId92" Type="http://schemas.openxmlformats.org/officeDocument/2006/relationships/hyperlink" Target="https://www.sec.gov/Archives/edgar/data/1423689/000142368922000069/depositaryagmt.htm" TargetMode="External"/><Relationship Id="rId93" Type="http://schemas.openxmlformats.org/officeDocument/2006/relationships/hyperlink" Target="https://www.sec.gov/Archives/edgar/data/1423689/000142368922000069/depositaryagmt.htm" TargetMode="External"/><Relationship Id="rId94" Type="http://schemas.openxmlformats.org/officeDocument/2006/relationships/hyperlink" Target="https://www.sec.gov/Archives/edgar/data/1423689/000142368922000069/depositaryagmt.htm" TargetMode="External"/><Relationship Id="rId95" Type="http://schemas.openxmlformats.org/officeDocument/2006/relationships/hyperlink" Target="https://www.sec.gov/Archives/edgar/data/1423689/000142368922000069/depositaryagmt.htm" TargetMode="External"/><Relationship Id="rId96" Type="http://schemas.openxmlformats.org/officeDocument/2006/relationships/hyperlink" Target="https://www.sec.gov/Archives/edgar/data/1423689/000142368922000069/depositaryagmt.htm" TargetMode="External"/><Relationship Id="rId97" Type="http://schemas.openxmlformats.org/officeDocument/2006/relationships/hyperlink" Target="https://www.sec.gov/Archives/edgar/data/1423689/000142368922000069/depositaryagmt.htm" TargetMode="External"/><Relationship Id="rId98" Type="http://schemas.openxmlformats.org/officeDocument/2006/relationships/hyperlink" Target="https://www.sec.gov/Archives/edgar/data/1423689/000142368922000069/depositaryagmt.htm" TargetMode="External"/><Relationship Id="rId99" Type="http://schemas.openxmlformats.org/officeDocument/2006/relationships/hyperlink" Target="https://www.sec.gov/Archives/edgar/data/1423689/000142368925000097/serieshdepositaryagmt.htm" TargetMode="External"/><Relationship Id="rId100" Type="http://schemas.openxmlformats.org/officeDocument/2006/relationships/hyperlink" Target="https://www.sec.gov/Archives/edgar/data/1423689/000142368925000097/serieshdepositaryagmt.htm" TargetMode="External"/><Relationship Id="rId101" Type="http://schemas.openxmlformats.org/officeDocument/2006/relationships/hyperlink" Target="https://www.sec.gov/Archives/edgar/data/1423689/000142368925000097/serieshdepositaryagmt.htm" TargetMode="External"/><Relationship Id="rId102" Type="http://schemas.openxmlformats.org/officeDocument/2006/relationships/hyperlink" Target="https://www.sec.gov/Archives/edgar/data/1423689/000142368925000097/serieshdepositaryagmt.htm" TargetMode="External"/><Relationship Id="rId103" Type="http://schemas.openxmlformats.org/officeDocument/2006/relationships/hyperlink" Target="https://www.sec.gov/Archives/edgar/data/1423689/000142368925000097/serieshdepositaryagmt.htm" TargetMode="External"/><Relationship Id="rId104" Type="http://schemas.openxmlformats.org/officeDocument/2006/relationships/hyperlink" Target="https://www.sec.gov/Archives/edgar/data/1423689/000142368925000097/serieshdepositaryagmt.htm" TargetMode="External"/><Relationship Id="rId105" Type="http://schemas.openxmlformats.org/officeDocument/2006/relationships/hyperlink" Target="https://www.sec.gov/Archives/edgar/data/1423689/000142368925000097/serieshdepositaryagmt.htm" TargetMode="External"/><Relationship Id="rId106" Type="http://schemas.openxmlformats.org/officeDocument/2006/relationships/hyperlink" Target="https://www.sec.gov/Archives/edgar/data/1423689/000142368925000097/serieshdepositaryagmt.htm" TargetMode="External"/><Relationship Id="rId107" Type="http://schemas.openxmlformats.org/officeDocument/2006/relationships/hyperlink" Target="https://www.sec.gov/Archives/edgar/data/1423689/000142368925000097/serieshdepositaryagmt.htm" TargetMode="External"/><Relationship Id="rId108" Type="http://schemas.openxmlformats.org/officeDocument/2006/relationships/hyperlink" Target="https://www.sec.gov/Archives/edgar/data/1423689/000142368925000097/serieshdepositaryagmt.htm" TargetMode="External"/><Relationship Id="rId109" Type="http://schemas.openxmlformats.org/officeDocument/2006/relationships/hyperlink" Target="https://www.sec.gov/Archives/edgar/data/1423689/000142368925000097/serieshdepositaryagmt.htm" TargetMode="External"/><Relationship Id="rId110" Type="http://schemas.openxmlformats.org/officeDocument/2006/relationships/hyperlink" Target="https://www.sec.gov/Archives/edgar/data/1423689/000142368925000097/serieshdepositaryagmt.htm" TargetMode="External"/><Relationship Id="rId111" Type="http://schemas.openxmlformats.org/officeDocument/2006/relationships/hyperlink" Target="https://www.sec.gov/Archives/edgar/data/1423689/000142368925000097/serieshdepositaryagmt.htm" TargetMode="External"/><Relationship Id="rId112" Type="http://schemas.openxmlformats.org/officeDocument/2006/relationships/hyperlink" Target="https://www.sec.gov/Archives/edgar/data/1423689/000142368925000097/serieshdepositaryagmt.htm" TargetMode="External"/><Relationship Id="rId113" Type="http://schemas.openxmlformats.org/officeDocument/2006/relationships/hyperlink" Target="https://www.sec.gov/Archives/edgar/data/1423689/000142368925000097/serieshdepositaryagmt.htm" TargetMode="External"/><Relationship Id="rId114" Type="http://schemas.openxmlformats.org/officeDocument/2006/relationships/hyperlink" Target="https://www.sec.gov/Archives/edgar/data/1423689/000142368925000097/serieshdepositaryagmt.htm" TargetMode="External"/><Relationship Id="rId115" Type="http://schemas.openxmlformats.org/officeDocument/2006/relationships/hyperlink" Target="https://www.sec.gov/Archives/edgar/data/1423689/000142368925000097/serieshdepositaryagmt.htm" TargetMode="External"/><Relationship Id="rId116" Type="http://schemas.openxmlformats.org/officeDocument/2006/relationships/hyperlink" Target="https://www.sec.gov/Archives/edgar/data/1423689/000142368925000097/serieshdepositaryagmt.htm" TargetMode="External"/><Relationship Id="rId117" Type="http://schemas.openxmlformats.org/officeDocument/2006/relationships/hyperlink" Target="https://www.sec.gov/Archives/edgar/data/1423689/000142368925000097/serieshdepositaryagmt.htm" TargetMode="External"/><Relationship Id="rId118" Type="http://schemas.openxmlformats.org/officeDocument/2006/relationships/hyperlink" Target="https://www.sec.gov/Archives/edgar/data/1423689/000142368925000097/serieshdepositaryagmt.htm" TargetMode="External"/><Relationship Id="rId119" Type="http://schemas.openxmlformats.org/officeDocument/2006/relationships/hyperlink" Target="https://www.sec.gov/Archives/edgar/data/1423689/000142368925000097/serieshdepositaryagmt.htm" TargetMode="External"/><Relationship Id="rId120" Type="http://schemas.openxmlformats.org/officeDocument/2006/relationships/hyperlink" Target="https://www.sec.gov/Archives/edgar/data/1423689/000142368925000097/serieshdepositaryagmt.htm" TargetMode="External"/><Relationship Id="rId121" Type="http://schemas.openxmlformats.org/officeDocument/2006/relationships/hyperlink" Target="https://www.sec.gov/Archives/edgar/data/1423689/000142368925000097/serieshdepositaryagmt.htm" TargetMode="External"/><Relationship Id="rId122" Type="http://schemas.openxmlformats.org/officeDocument/2006/relationships/hyperlink" Target="https://www.sec.gov/Archives/edgar/data/1423689/000142368925000097/serieshdepositaryagmt.htm" TargetMode="External"/><Relationship Id="rId123" Type="http://schemas.openxmlformats.org/officeDocument/2006/relationships/hyperlink" Target="https://www.sec.gov/Archives/edgar/data/1423689/000142368925000097/serieshdepositaryagmt.htm" TargetMode="External"/><Relationship Id="rId124" Type="http://schemas.openxmlformats.org/officeDocument/2006/relationships/hyperlink" Target="https://www.sec.gov/Archives/edgar/data/1423689/000142368925000097/serieshdepositaryagmt.htm" TargetMode="External"/><Relationship Id="rId125" Type="http://schemas.openxmlformats.org/officeDocument/2006/relationships/hyperlink" Target="https://www.sec.gov/Archives/edgar/data/1423689/000142368925000097/serieshdepositaryagmt.htm" TargetMode="External"/><Relationship Id="rId126" Type="http://schemas.openxmlformats.org/officeDocument/2006/relationships/hyperlink" Target="https://www.sec.gov/Archives/edgar/data/1423689/000142368925000097/serieshdepositaryagmt.htm" TargetMode="External"/><Relationship Id="rId127" Type="http://schemas.openxmlformats.org/officeDocument/2006/relationships/hyperlink" Target="https://www.sec.gov/Archives/edgar/data/1423689/000142368925000097/serieshdepositaryagmt.htm" TargetMode="External"/><Relationship Id="rId128" Type="http://schemas.openxmlformats.org/officeDocument/2006/relationships/hyperlink" Target="https://www.sec.gov/Archives/edgar/data/1423689/000142368925000073/agncexhibit146302510-q.htm" TargetMode="External"/><Relationship Id="rId129" Type="http://schemas.openxmlformats.org/officeDocument/2006/relationships/hyperlink" Target="https://www.sec.gov/Archives/edgar/data/1423689/000142368925000073/agncexhibit146302510-q.htm" TargetMode="External"/><Relationship Id="rId130" Type="http://schemas.openxmlformats.org/officeDocument/2006/relationships/hyperlink" Target="https://www.sec.gov/Archives/edgar/data/1423689/000142368925000073/agncexhibit146302510-q.htm" TargetMode="External"/><Relationship Id="rId131" Type="http://schemas.openxmlformats.org/officeDocument/2006/relationships/hyperlink" Target="https://www.sec.gov/Archives/edgar/data/1423689/000142368925000073/agncexhibit146302510-q.htm" TargetMode="External"/><Relationship Id="rId132" Type="http://schemas.openxmlformats.org/officeDocument/2006/relationships/hyperlink" Target="https://www.sec.gov/Archives/edgar/data/1423689/000142368925000073/agncexhibit146302510-q.htm" TargetMode="External"/><Relationship Id="rId133" Type="http://schemas.openxmlformats.org/officeDocument/2006/relationships/hyperlink" Target="https://www.sec.gov/Archives/edgar/data/1423689/000142368925000073/agncexhibit146302510-q.htm" TargetMode="External"/><Relationship Id="rId134" Type="http://schemas.openxmlformats.org/officeDocument/2006/relationships/hyperlink" Target="https://www.sec.gov/Archives/edgar/data/1423689/000142368925000073/agncexhibit146302510-q.htm" TargetMode="External"/><Relationship Id="rId135" Type="http://schemas.openxmlformats.org/officeDocument/2006/relationships/hyperlink" Target="https://www.sec.gov/Archives/edgar/data/1423689/000142368925000073/agncexhibit146302510-q.htm" TargetMode="External"/><Relationship Id="rId136" Type="http://schemas.openxmlformats.org/officeDocument/2006/relationships/hyperlink" Target="https://www.sec.gov/Archives/edgar/data/1423689/000142368925000073/agncexhibit146302510-q.htm" TargetMode="External"/><Relationship Id="rId137" Type="http://schemas.openxmlformats.org/officeDocument/2006/relationships/hyperlink" Target="https://www.sec.gov/Archives/edgar/data/1423689/000142368925000073/agncexhibit146302510-q.htm" TargetMode="External"/><Relationship Id="rId138" Type="http://schemas.openxmlformats.org/officeDocument/2006/relationships/hyperlink" Target="https://www.sec.gov/Archives/edgar/data/1423689/000142368925000073/agncexhibit146302510-q.htm" TargetMode="External"/><Relationship Id="rId139" Type="http://schemas.openxmlformats.org/officeDocument/2006/relationships/hyperlink" Target="https://www.sec.gov/Archives/edgar/data/1423689/000142368925000073/agncexhibit146302510-q.htm" TargetMode="External"/><Relationship Id="rId140" Type="http://schemas.openxmlformats.org/officeDocument/2006/relationships/hyperlink" Target="https://www.sec.gov/Archives/edgar/data/1423689/000142368925000073/agncexhibit146302510-q.htm" TargetMode="External"/><Relationship Id="rId141" Type="http://schemas.openxmlformats.org/officeDocument/2006/relationships/hyperlink" Target="https://www.sec.gov/Archives/edgar/data/1423689/000142368925000073/agncexhibit146302510-q.htm" TargetMode="External"/><Relationship Id="rId142" Type="http://schemas.openxmlformats.org/officeDocument/2006/relationships/hyperlink" Target="https://www.sec.gov/Archives/edgar/data/1423689/000142368925000073/agncexhibit146302510-q.htm" TargetMode="External"/><Relationship Id="rId143" Type="http://schemas.openxmlformats.org/officeDocument/2006/relationships/hyperlink" Target="https://www.sec.gov/Archives/edgar/data/1423689/000142368925000073/agncexhibit146302510-q.htm" TargetMode="External"/><Relationship Id="rId144" Type="http://schemas.openxmlformats.org/officeDocument/2006/relationships/fontTable" Target="fontTable.xml"/><Relationship Id="rId1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30342</Words>
  <Characters>165476</Characters>
  <CharactersWithSpaces>192887</CharactersWithSpaces>
  <Paragraphs>6002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