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9057" w:type="dxa"/>
        <w:jc w:val="left"/>
        <w:tblInd w:w="0" w:type="dxa"/>
        <w:tblLayout w:type="fixed"/>
        <w:tblCellMar>
          <w:top w:w="28" w:type="dxa"/>
          <w:left w:w="28" w:type="dxa"/>
          <w:bottom w:w="28" w:type="dxa"/>
          <w:right w:w="28" w:type="dxa"/>
        </w:tblCellMar>
      </w:tblPr>
      <w:tblGrid>
        <w:gridCol w:w="124"/>
        <w:gridCol w:w="109"/>
        <w:gridCol w:w="109"/>
        <w:gridCol w:w="2547"/>
        <w:gridCol w:w="2547"/>
        <w:gridCol w:w="3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Commission file number 001-34057 </w:t>
      </w:r>
    </w:p>
    <w:p>
      <w:pPr>
        <w:pStyle w:val="TextBody"/>
        <w:bidi w:val="0"/>
        <w:spacing w:before="180" w:after="283"/>
        <w:ind w:left="0" w:right="0" w:firstLine="720"/>
        <w:jc w:val="center"/>
        <w:rPr/>
      </w:pPr>
      <w:r>
        <w:rPr/>
        <w:drawing>
          <wp:inline distT="0" distB="0" distL="0" distR="0">
            <wp:extent cx="21145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63817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0"/>
        </w:rPr>
        <w:t>AGNC INVESTMENT CORP.</w:t>
      </w:r>
      <w:r>
        <w:rPr>
          <w:color w:val="000000"/>
        </w:rPr>
        <w:t xml:space="preserv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w:t>
      </w:r>
    </w:p>
    <w:tbl>
      <w:tblPr>
        <w:tblW w:w="4240" w:type="dxa"/>
        <w:jc w:val="left"/>
        <w:tblInd w:w="0" w:type="dxa"/>
        <w:tblLayout w:type="fixed"/>
        <w:tblCellMar>
          <w:top w:w="28" w:type="dxa"/>
          <w:left w:w="28" w:type="dxa"/>
          <w:bottom w:w="28" w:type="dxa"/>
          <w:right w:w="28" w:type="dxa"/>
        </w:tblCellMar>
      </w:tblPr>
      <w:tblGrid>
        <w:gridCol w:w="879"/>
        <w:gridCol w:w="771"/>
        <w:gridCol w:w="779"/>
        <w:gridCol w:w="109"/>
        <w:gridCol w:w="109"/>
        <w:gridCol w:w="109"/>
        <w:gridCol w:w="432"/>
        <w:gridCol w:w="432"/>
        <w:gridCol w:w="620"/>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26-1701984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7373 Wisconsin Avenue, 22nd Floor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Bethesda, Maryland 20814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(301) 968-9315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erif" w:hAnsi="Times New Roman;serif"/>
          <w:b w:val="false"/>
          <w:color w:val="000000"/>
          <w:sz w:val="14"/>
        </w:rPr>
        <w:t>_________________________________________________________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205"/>
        <w:gridCol w:w="1764"/>
        <w:gridCol w:w="1775"/>
        <w:gridCol w:w="109"/>
        <w:gridCol w:w="109"/>
        <w:gridCol w:w="109"/>
        <w:gridCol w:w="426"/>
        <w:gridCol w:w="422"/>
        <w:gridCol w:w="424"/>
        <w:gridCol w:w="109"/>
        <w:gridCol w:w="109"/>
        <w:gridCol w:w="109"/>
        <w:gridCol w:w="740"/>
        <w:gridCol w:w="740"/>
        <w:gridCol w:w="1055"/>
      </w:tblGrid>
      <w:tr>
        <w:trPr/>
        <w:tc>
          <w:tcPr>
            <w:tcW w:w="220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5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7.000% Series C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6.875% Series D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6.50% Series E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of 6.125% Series F Fixed-to-Floating Rate 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Depositary shares of 7.75% Series G Fixed-Rate Reset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Depositary shares of 8.75% Series H Fixed-Rate Cumulative </w:t>
              <w:br/>
              <w:t>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AGNCZ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lineRule="auto" w:line="288" w:before="0" w:after="0"/>
        <w:ind w:left="0" w:right="0" w:firstLine="3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88" w:before="0" w:after="0"/>
        <w:ind w:left="0" w:right="0" w:firstLine="360"/>
        <w:jc w:val="left"/>
        <w:rPr/>
      </w:pPr>
      <w:r>
        <w:rPr>
          <w:rFonts w:ascii="Times New Roman;serif" w:hAnsi="Times New Roman;serif"/>
          <w:b w:val="false"/>
          <w:color w:val="000000"/>
          <w:sz w:val="16"/>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152" w:type="dxa"/>
        <w:jc w:val="center"/>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94"/>
        <w:gridCol w:w="694"/>
        <w:gridCol w:w="698"/>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6"/>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8" w:before="0" w:after="0"/>
        <w:ind w:left="0" w:right="0" w:firstLine="360"/>
        <w:jc w:val="left"/>
        <w:rPr/>
      </w:pPr>
      <w:r>
        <w:rPr>
          <w:rFonts w:ascii="Times New Roman;serif" w:hAnsi="Times New Roman;serif"/>
          <w:b w:val="false"/>
          <w:color w:val="000000"/>
          <w:sz w:val="16"/>
        </w:rPr>
        <w:t>Indicate by check mark whether the registrant is a shell company (as defined in Rule 12b-2 of the Exchange Act).    Yes  ☐    No  </w:t>
      </w:r>
      <w:r>
        <w:rPr>
          <w:rFonts w:ascii="Wingdings;sans-serif" w:hAnsi="Wingdings;sans-serif"/>
          <w:b w:val="false"/>
          <w:color w:val="000000"/>
          <w:sz w:val="16"/>
        </w:rPr>
        <w:t>x</w:t>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number of shares of the issuer’s common stock, $0.01 par value, outstanding as of July 30, 2026 was 1,185,481,447.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7720" w:type="dxa"/>
        <w:jc w:val="left"/>
        <w:tblInd w:w="0" w:type="dxa"/>
        <w:tblLayout w:type="fixed"/>
        <w:tblCellMar>
          <w:top w:w="28" w:type="dxa"/>
          <w:left w:w="28" w:type="dxa"/>
          <w:bottom w:w="28" w:type="dxa"/>
          <w:right w:w="28" w:type="dxa"/>
        </w:tblCellMar>
      </w:tblPr>
      <w:tblGrid>
        <w:gridCol w:w="309"/>
        <w:gridCol w:w="272"/>
        <w:gridCol w:w="273"/>
        <w:gridCol w:w="2163"/>
        <w:gridCol w:w="2163"/>
        <w:gridCol w:w="2168"/>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21">
              <w:r>
                <w:rPr>
                  <w:rStyle w:val="InternetLink"/>
                  <w:rFonts w:ascii="Times New Roman;serif" w:hAnsi="Times New Roman;serif"/>
                  <w:b/>
                  <w:color w:val="0000FF"/>
                  <w:sz w:val="18"/>
                  <w:u w:val="single"/>
                </w:rPr>
                <w:t>PART I.</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0">
              <w:r>
                <w:rPr>
                  <w:rStyle w:val="InternetLink"/>
                  <w:rFonts w:ascii="Times New Roman;serif" w:hAnsi="Times New Roman;serif"/>
                  <w:b/>
                  <w:color w:val="0000FF"/>
                  <w:sz w:val="18"/>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
              <w:r>
                <w:rPr>
                  <w:rStyle w:val="InternetLink"/>
                  <w:rFonts w:ascii="Times New Roman;serif" w:hAnsi="Times New Roman;serif"/>
                  <w:b w:val="false"/>
                  <w:color w:val="0000FF"/>
                  <w:sz w:val="18"/>
                  <w:u w:val="single"/>
                </w:rPr>
                <w:t>Item 1.</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
              <w:r>
                <w:rPr>
                  <w:rStyle w:val="InternetLink"/>
                  <w:rFonts w:ascii="Times New Roman;serif" w:hAnsi="Times New Roman;serif"/>
                  <w:b w:val="false"/>
                  <w:color w:val="0000FF"/>
                  <w:sz w:val="18"/>
                  <w:u w:val="single"/>
                </w:rPr>
                <w:t>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3">
              <w:r>
                <w:rPr>
                  <w:rStyle w:val="InternetLink"/>
                  <w:rFonts w:ascii="Times New Roman;serif" w:hAnsi="Times New Roman;serif"/>
                  <w:b w:val="false"/>
                  <w:color w:val="0000FF"/>
                  <w:sz w:val="18"/>
                  <w:u w:val="single"/>
                </w:rPr>
                <w:t>2</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70">
              <w:r>
                <w:rPr>
                  <w:rStyle w:val="InternetLink"/>
                  <w:rFonts w:ascii="Times New Roman;serif" w:hAnsi="Times New Roman;serif"/>
                  <w:b w:val="false"/>
                  <w:color w:val="0000FF"/>
                  <w:sz w:val="18"/>
                  <w:u w:val="single"/>
                </w:rPr>
                <w:t>Item 2.</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70">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70">
              <w:r>
                <w:rPr>
                  <w:rStyle w:val="InternetLink"/>
                  <w:rFonts w:ascii="Times New Roman;serif" w:hAnsi="Times New Roman;serif"/>
                  <w:b w:val="false"/>
                  <w:color w:val="0000FF"/>
                  <w:sz w:val="18"/>
                  <w:u w:val="single"/>
                </w:rPr>
                <w:t>25</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15">
              <w:r>
                <w:rPr>
                  <w:rStyle w:val="InternetLink"/>
                  <w:rFonts w:ascii="Times New Roman;serif" w:hAnsi="Times New Roman;serif"/>
                  <w:b w:val="false"/>
                  <w:color w:val="0000FF"/>
                  <w:sz w:val="18"/>
                  <w:u w:val="single"/>
                </w:rPr>
                <w:t>Item 3.</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15">
              <w:r>
                <w:rPr>
                  <w:rStyle w:val="InternetLink"/>
                  <w:rFonts w:ascii="Times New Roman;serif" w:hAnsi="Times New Roman;serif"/>
                  <w:b w:val="false"/>
                  <w:color w:val="0000FF"/>
                  <w:sz w:val="18"/>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15">
              <w:r>
                <w:rPr>
                  <w:rStyle w:val="InternetLink"/>
                  <w:rFonts w:ascii="Times New Roman;serif" w:hAnsi="Times New Roman;serif"/>
                  <w:b w:val="false"/>
                  <w:color w:val="0000FF"/>
                  <w:sz w:val="18"/>
                  <w:u w:val="single"/>
                </w:rPr>
                <w:t>44</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18">
              <w:r>
                <w:rPr>
                  <w:rStyle w:val="InternetLink"/>
                  <w:rFonts w:ascii="Times New Roman;serif" w:hAnsi="Times New Roman;serif"/>
                  <w:b w:val="false"/>
                  <w:color w:val="0000FF"/>
                  <w:sz w:val="18"/>
                  <w:u w:val="single"/>
                </w:rPr>
                <w:t>Item 4.</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18">
              <w:r>
                <w:rPr>
                  <w:rStyle w:val="InternetLink"/>
                  <w:rFonts w:ascii="Times New Roman;serif" w:hAnsi="Times New Roman;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18">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21">
              <w:r>
                <w:rPr>
                  <w:rStyle w:val="InternetLink"/>
                  <w:rFonts w:ascii="Times New Roman;serif" w:hAnsi="Times New Roman;serif"/>
                  <w:b/>
                  <w:color w:val="0000FF"/>
                  <w:sz w:val="18"/>
                  <w:u w:val="single"/>
                </w:rPr>
                <w:t>PART II.</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21">
              <w:r>
                <w:rPr>
                  <w:rStyle w:val="InternetLink"/>
                  <w:rFonts w:ascii="Times New Roman;serif" w:hAnsi="Times New Roman;serif"/>
                  <w:b/>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24">
              <w:r>
                <w:rPr>
                  <w:rStyle w:val="InternetLink"/>
                  <w:rFonts w:ascii="Times New Roman;serif" w:hAnsi="Times New Roman;serif"/>
                  <w:b w:val="false"/>
                  <w:color w:val="0000FF"/>
                  <w:sz w:val="18"/>
                  <w:u w:val="single"/>
                </w:rPr>
                <w:t>Item 1.</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24">
              <w:r>
                <w:rPr>
                  <w:rStyle w:val="InternetLink"/>
                  <w:rFonts w:ascii="Times New Roman;serif" w:hAnsi="Times New Roman;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24">
              <w:r>
                <w:rPr>
                  <w:rStyle w:val="InternetLink"/>
                  <w:rFonts w:ascii="Times New Roman;serif" w:hAnsi="Times New Roman;serif"/>
                  <w:b w:val="false"/>
                  <w:color w:val="0000FF"/>
                  <w:sz w:val="20"/>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27">
              <w:r>
                <w:rPr>
                  <w:rStyle w:val="InternetLink"/>
                  <w:rFonts w:ascii="Times New Roman;serif" w:hAnsi="Times New Roman;serif"/>
                  <w:b w:val="false"/>
                  <w:color w:val="0000FF"/>
                  <w:sz w:val="18"/>
                  <w:u w:val="single"/>
                </w:rPr>
                <w:t>Item 1A.</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27">
              <w:r>
                <w:rPr>
                  <w:rStyle w:val="InternetLink"/>
                  <w:rFonts w:ascii="Times New Roman;serif" w:hAnsi="Times New Roman;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27">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0">
              <w:r>
                <w:rPr>
                  <w:rStyle w:val="InternetLink"/>
                  <w:rFonts w:ascii="Times New Roman;serif" w:hAnsi="Times New Roman;serif"/>
                  <w:b w:val="false"/>
                  <w:color w:val="0000FF"/>
                  <w:sz w:val="18"/>
                  <w:u w:val="single"/>
                </w:rPr>
                <w:t>Item 2.</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0">
              <w:r>
                <w:rPr>
                  <w:rStyle w:val="InternetLink"/>
                  <w:rFonts w:ascii="Times New Roman;serif" w:hAnsi="Times New Roman;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30">
              <w:r>
                <w:rPr>
                  <w:rStyle w:val="InternetLink"/>
                  <w:rFonts w:ascii="Times New Roman;serif" w:hAnsi="Times New Roman;serif"/>
                  <w:b w:val="false"/>
                  <w:color w:val="0000FF"/>
                  <w:sz w:val="18"/>
                  <w:u w:val="single"/>
                </w:rPr>
                <w:t>47</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3">
              <w:r>
                <w:rPr>
                  <w:rStyle w:val="InternetLink"/>
                  <w:rFonts w:ascii="Times New Roman;serif" w:hAnsi="Times New Roman;serif"/>
                  <w:b w:val="false"/>
                  <w:color w:val="0000FF"/>
                  <w:sz w:val="18"/>
                  <w:u w:val="single"/>
                </w:rPr>
                <w:t>Item 3.</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3">
              <w:r>
                <w:rPr>
                  <w:rStyle w:val="InternetLink"/>
                  <w:rFonts w:ascii="Times New Roman;serif" w:hAnsi="Times New Roman;serif"/>
                  <w:b w:val="false"/>
                  <w:color w:val="0000FF"/>
                  <w:sz w:val="18"/>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33">
              <w:r>
                <w:rPr>
                  <w:rStyle w:val="InternetLink"/>
                  <w:rFonts w:ascii="Times New Roman;serif" w:hAnsi="Times New Roman;serif"/>
                  <w:b w:val="false"/>
                  <w:color w:val="0000FF"/>
                  <w:sz w:val="20"/>
                  <w:u w:val="single"/>
                </w:rPr>
                <w:t>48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6">
              <w:r>
                <w:rPr>
                  <w:rStyle w:val="InternetLink"/>
                  <w:rFonts w:ascii="Times New Roman;serif" w:hAnsi="Times New Roman;serif"/>
                  <w:b w:val="false"/>
                  <w:color w:val="0000FF"/>
                  <w:sz w:val="18"/>
                  <w:u w:val="single"/>
                </w:rPr>
                <w:t>Item 4.</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6">
              <w:r>
                <w:rPr>
                  <w:rStyle w:val="InternetLink"/>
                  <w:rFonts w:ascii="Times New Roman;serif" w:hAnsi="Times New Roman;serif"/>
                  <w:b w:val="false"/>
                  <w:color w:val="0000FF"/>
                  <w:sz w:val="18"/>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36">
              <w:r>
                <w:rPr>
                  <w:rStyle w:val="InternetLink"/>
                  <w:rFonts w:ascii="Times New Roman;serif" w:hAnsi="Times New Roman;serif"/>
                  <w:b w:val="false"/>
                  <w:color w:val="0000FF"/>
                  <w:sz w:val="18"/>
                  <w:u w:val="single"/>
                </w:rPr>
                <w:t>48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9">
              <w:r>
                <w:rPr>
                  <w:rStyle w:val="InternetLink"/>
                  <w:rFonts w:ascii="Times New Roman;serif" w:hAnsi="Times New Roman;serif"/>
                  <w:b w:val="false"/>
                  <w:color w:val="0000FF"/>
                  <w:sz w:val="18"/>
                  <w:u w:val="single"/>
                </w:rPr>
                <w:t>Item 5.</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39">
              <w:r>
                <w:rPr>
                  <w:rStyle w:val="InternetLink"/>
                  <w:rFonts w:ascii="Times New Roman;serif" w:hAnsi="Times New Roman;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39">
              <w:r>
                <w:rPr>
                  <w:rStyle w:val="InternetLink"/>
                  <w:rFonts w:ascii="Times New Roman;serif" w:hAnsi="Times New Roman;serif"/>
                  <w:b w:val="false"/>
                  <w:color w:val="0000FF"/>
                  <w:sz w:val="18"/>
                  <w:u w:val="single"/>
                </w:rPr>
                <w:t>48</w:t>
              </w:r>
            </w:hyperlink>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42">
              <w:r>
                <w:rPr>
                  <w:rStyle w:val="InternetLink"/>
                  <w:rFonts w:ascii="Times New Roman;serif" w:hAnsi="Times New Roman;serif"/>
                  <w:b w:val="false"/>
                  <w:color w:val="0000FF"/>
                  <w:sz w:val="18"/>
                  <w:u w:val="single"/>
                </w:rPr>
                <w:t>Item 6.</w:t>
              </w:r>
            </w:hyperlink>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42">
              <w:r>
                <w:rPr>
                  <w:rStyle w:val="InternetLink"/>
                  <w:rFonts w:ascii="Times New Roman;serif" w:hAnsi="Times New Roman;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42">
              <w:r>
                <w:rPr>
                  <w:rStyle w:val="InternetLink"/>
                  <w:rFonts w:ascii="Times New Roman;serif" w:hAnsi="Times New Roman;serif"/>
                  <w:b w:val="false"/>
                  <w:color w:val="0000FF"/>
                  <w:sz w:val="18"/>
                  <w:u w:val="single"/>
                </w:rPr>
                <w:t>48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7ce796dbbaf4cb29d4669b9aa354bbe_145">
              <w:r>
                <w:rPr>
                  <w:rStyle w:val="InternetLink"/>
                  <w:rFonts w:ascii="Times New Roman;serif" w:hAnsi="Times New Roman;serif"/>
                  <w:b w:val="false"/>
                  <w:color w:val="0000FF"/>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7ce796dbbaf4cb29d4669b9aa354bbe_145">
              <w:r>
                <w:rPr>
                  <w:rStyle w:val="InternetLink"/>
                  <w:rFonts w:ascii="Times New Roman;serif" w:hAnsi="Times New Roman;serif"/>
                  <w:b w:val="false"/>
                  <w:color w:val="0000FF"/>
                  <w:sz w:val="18"/>
                  <w:u w:val="single"/>
                </w:rPr>
                <w:t>51</w:t>
              </w:r>
            </w:hyperlink>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64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715"/>
        <w:gridCol w:w="2305"/>
        <w:gridCol w:w="2330"/>
        <w:gridCol w:w="207"/>
        <w:gridCol w:w="780"/>
        <w:gridCol w:w="114"/>
        <w:gridCol w:w="109"/>
        <w:gridCol w:w="109"/>
        <w:gridCol w:w="109"/>
        <w:gridCol w:w="257"/>
        <w:gridCol w:w="965"/>
        <w:gridCol w:w="205"/>
      </w:tblGrid>
      <w:tr>
        <w:trPr/>
        <w:tc>
          <w:tcPr>
            <w:tcW w:w="271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1754" w:type="dxa"/>
            <w:gridSpan w:val="6"/>
            <w:tcBorders/>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Agency securities, at fair value (including pledged securities of $80,761 and $74,149, respectively)</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81,003 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securities transferred to consolidated variable interest entities, at fair value (pledged securities)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Credit risk transfer securities, at fair value (including pledged securities of $525 and $558,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Non-Agency securities, at fair value, and other mortgage credit investments (including pledged securities of $8 and $13, respectively)</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 (including pledged securities of $11,295 and $13,056,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 for investment securities sold (including pledged securities of $201 and $149,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under reverse repurchase agreements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115,077 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of consolidated variable interest entities, at fair value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investment securities purchased</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109,217 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102,684 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 aggregate liquidation preference of $2,033</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2,250 shares authorized, 1,164.2 and 1,107.6 shares issued and outstanding, respectively</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deficit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12,393 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115,077 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090"/>
        <w:gridCol w:w="1516"/>
        <w:gridCol w:w="1521"/>
        <w:gridCol w:w="222"/>
        <w:gridCol w:w="651"/>
        <w:gridCol w:w="114"/>
        <w:gridCol w:w="114"/>
        <w:gridCol w:w="114"/>
        <w:gridCol w:w="114"/>
        <w:gridCol w:w="237"/>
        <w:gridCol w:w="588"/>
        <w:gridCol w:w="114"/>
        <w:gridCol w:w="109"/>
        <w:gridCol w:w="109"/>
        <w:gridCol w:w="109"/>
        <w:gridCol w:w="212"/>
        <w:gridCol w:w="620"/>
        <w:gridCol w:w="109"/>
        <w:gridCol w:w="109"/>
        <w:gridCol w:w="109"/>
        <w:gridCol w:w="109"/>
        <w:gridCol w:w="212"/>
        <w:gridCol w:w="620"/>
        <w:gridCol w:w="109"/>
        <w:gridCol w:w="109"/>
        <w:gridCol w:w="165"/>
      </w:tblGrid>
      <w:tr>
        <w:trPr/>
        <w:tc>
          <w:tcPr>
            <w:tcW w:w="209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4" w:type="dxa"/>
            <w:gridSpan w:val="2"/>
            <w:tcBorders/>
          </w:tcPr>
          <w:p>
            <w:pPr>
              <w:pStyle w:val="TableContents"/>
              <w:bidi w:val="0"/>
              <w:spacing w:before="0" w:after="283"/>
              <w:jc w:val="left"/>
              <w:rPr>
                <w:sz w:val="4"/>
                <w:szCs w:val="4"/>
              </w:rPr>
            </w:pPr>
            <w:r>
              <w:rPr>
                <w:sz w:val="4"/>
                <w:szCs w:val="4"/>
              </w:rPr>
            </w:r>
          </w:p>
        </w:tc>
      </w:tr>
      <w:tr>
        <w:trPr/>
        <w:tc>
          <w:tcPr>
            <w:tcW w:w="5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gain (loss), net:</w:t>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 securities, net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securities measured at fair value through net income, net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and other investments, net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gain (loss), net:</w:t>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available (attributable) to common stockholders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securities measured at fair value through other comprehensive income (loss), net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Dividends on preferred stock</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(loss) available (attributable) to common stockholders</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basic</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 - diluted</w:t>
            </w:r>
          </w:p>
        </w:tc>
        <w:tc>
          <w:tcPr>
            <w:tcW w:w="87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1,017.3 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 - basic</w:t>
            </w:r>
          </w:p>
        </w:tc>
        <w:tc>
          <w:tcPr>
            <w:tcW w:w="2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 - diluted</w:t>
            </w:r>
          </w:p>
        </w:tc>
        <w:tc>
          <w:tcPr>
            <w:tcW w:w="22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Dividends declared per common share</w:t>
            </w:r>
          </w:p>
        </w:tc>
        <w:tc>
          <w:tcPr>
            <w:tcW w:w="22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881"/>
        <w:gridCol w:w="426"/>
        <w:gridCol w:w="384"/>
        <w:gridCol w:w="210"/>
        <w:gridCol w:w="596"/>
        <w:gridCol w:w="116"/>
        <w:gridCol w:w="109"/>
        <w:gridCol w:w="109"/>
        <w:gridCol w:w="109"/>
        <w:gridCol w:w="345"/>
        <w:gridCol w:w="346"/>
        <w:gridCol w:w="196"/>
        <w:gridCol w:w="109"/>
        <w:gridCol w:w="109"/>
        <w:gridCol w:w="109"/>
        <w:gridCol w:w="212"/>
        <w:gridCol w:w="359"/>
        <w:gridCol w:w="120"/>
        <w:gridCol w:w="109"/>
        <w:gridCol w:w="109"/>
        <w:gridCol w:w="109"/>
        <w:gridCol w:w="196"/>
        <w:gridCol w:w="646"/>
        <w:gridCol w:w="109"/>
        <w:gridCol w:w="109"/>
        <w:gridCol w:w="109"/>
        <w:gridCol w:w="109"/>
        <w:gridCol w:w="196"/>
        <w:gridCol w:w="580"/>
        <w:gridCol w:w="109"/>
        <w:gridCol w:w="109"/>
        <w:gridCol w:w="109"/>
        <w:gridCol w:w="109"/>
        <w:gridCol w:w="321"/>
        <w:gridCol w:w="715"/>
        <w:gridCol w:w="180"/>
        <w:gridCol w:w="109"/>
        <w:gridCol w:w="109"/>
        <w:gridCol w:w="109"/>
        <w:gridCol w:w="196"/>
        <w:gridCol w:w="646"/>
        <w:gridCol w:w="158"/>
      </w:tblGrid>
      <w:tr>
        <w:trPr/>
        <w:tc>
          <w:tcPr>
            <w:tcW w:w="8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Retained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xml:space="preserve">Income (Loss)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securities,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preferred stock, net of offering cost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1,041.7 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securities, net</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gain on available-for-sale securities, net </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1,041.7 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Unrealized loss on available-for-sale securities, net </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net</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declared</w:t>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dividends declared</w:t>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pPr>
      <w:r>
        <w:rPr>
          <w:rFonts w:ascii="Times New Roman;serif" w:hAnsi="Times New Roman;serif"/>
          <w:b/>
          <w:color w:val="000000"/>
          <w:sz w:val="20"/>
        </w:rPr>
        <w:t>(in millions)</w:t>
      </w:r>
      <w:r>
        <w:rPr>
          <w:color w:val="000000"/>
        </w:rPr>
        <w:t> </w:t>
      </w:r>
    </w:p>
    <w:tbl>
      <w:tblPr>
        <w:tblW w:w="9732" w:type="dxa"/>
        <w:jc w:val="center"/>
        <w:tblInd w:w="0" w:type="dxa"/>
        <w:tblLayout w:type="fixed"/>
        <w:tblCellMar>
          <w:top w:w="28" w:type="dxa"/>
          <w:left w:w="28" w:type="dxa"/>
          <w:bottom w:w="28" w:type="dxa"/>
          <w:right w:w="28" w:type="dxa"/>
        </w:tblCellMar>
      </w:tblPr>
      <w:tblGrid>
        <w:gridCol w:w="2545"/>
        <w:gridCol w:w="2240"/>
        <w:gridCol w:w="2249"/>
        <w:gridCol w:w="245"/>
        <w:gridCol w:w="700"/>
        <w:gridCol w:w="109"/>
        <w:gridCol w:w="109"/>
        <w:gridCol w:w="109"/>
        <w:gridCol w:w="109"/>
        <w:gridCol w:w="245"/>
        <w:gridCol w:w="700"/>
        <w:gridCol w:w="109"/>
        <w:gridCol w:w="109"/>
        <w:gridCol w:w="154"/>
      </w:tblGrid>
      <w:tr>
        <w:trPr/>
        <w:tc>
          <w:tcPr>
            <w:tcW w:w="254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premiums and discounts on mortgage-backed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investment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 securities measured at fair value through net income,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and other securities,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other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credit risk transfer and non-Agency securities and other mortgage credit investments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Agency mortgage-backed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collections on credit risk transfer and non-Agency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U.S. Treasury securities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U.S. Treasury securities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on reverse repurchase agreements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(payments on) derivative instruments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repurchase arrangements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repurchase agreements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 of consolidated variable interest entities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common stock issuances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 end of period:</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end of period</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100" w:after="12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private capital to the U.S. housing market, enhancing liquidity in the residential real estate mortgage markets and, in turn, facilitating home ownership in the U.S. We invest primarily in Agency residential mortgage-backed securities (“Agency RMBS”) for which the principal and interest payments are guaranteed by a U.S. Government-sponsored enterprise (“GSE”) or a U.S. Government agency. We also invest in Agency multifamily mortgage-backed securities (“Agency multifamily MBS”) that are similarly guaranteed by the GSEs and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within the time limits prescribed by the Internal Revenue Code, which may extend into the subsequent tax year.</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2025. </w:t>
      </w:r>
    </w:p>
    <w:p>
      <w:pPr>
        <w:pStyle w:val="TextBody"/>
        <w:bidi w:val="0"/>
        <w:spacing w:lineRule="auto" w:line="288" w:before="1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Agency multifamily MBS consist of securities backed by one or more mortgage loans secured by one or more multifamily properties that are similarly guaranteed by a GSE. Our investments in Agency multifamily MBS primarily consist of securities issued under Fannie Mae’s Delegated Underwriting and Servicing (“DUS”) program, which are generally backed by a single mortgage loan secured by a single property and include lender risk-sharing.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CRT securities are risk sharing instruments issued by the GSEs, and similarly structured transactions issued by third-party market participants, that synthetically transfer a portion of the risk associated with credit losses within pools of conventional residential and multifamily mortgage loans from the GSEs and/or third parties to private investors. Unlike Agency RMBS and Agency multifamily MBS, full repayment of the original principal balance of CRT securities is not guaranteed by a GSE or U.S. Government agency; rather, “credit risk transfer” is achieved by writing down the outstanding principal balance of the CRT securities if credit losses on a related pool of loans exceed certain thresholds. By reducing the principal amount that they are obligated to repay to holders of CRT securities, the GSEs and/or other third parties offset credit losses on the related loans.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All of our securities are reported at fair value on our consolidated balance sheet. Accounting Standards Codification (“ASC”) Topic 320, </w:t>
      </w:r>
      <w:r>
        <w:rPr>
          <w:rFonts w:ascii="Times New Roman;serif" w:hAnsi="Times New Roman;serif"/>
          <w:b w:val="false"/>
          <w:i/>
          <w:color w:val="000000"/>
          <w:sz w:val="20"/>
        </w:rPr>
        <w:t>Investments—Debt Securities</w:t>
      </w:r>
      <w:r>
        <w:rPr>
          <w:rFonts w:ascii="Times New Roman;serif" w:hAnsi="Times New Roman;serif"/>
          <w:b w:val="false"/>
          <w:color w:val="000000"/>
          <w:sz w:val="20"/>
        </w:rPr>
        <w:t xml:space="preserve">, requires that at the time of purchase, we designate a security as held-to-maturity, available-for-sale or trading, depending on our ability and intent to hold such security to maturity. Alternatively, we may elect the fair value option of accounting for securities pursuant to ASC Topic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We did not recognize any loss on available for sale securities through net income that we held as of June 30, 2026 because, as of such date, we neither intended to sell any securities in an unrealized loss position nor was it more likely than not that we would be required to sell such securities before recovery of their amortized cost basis.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Times New Roman;serif" w:hAnsi="Times New Roman;serif"/>
          <w:b w:val="false"/>
          <w:i/>
          <w:color w:val="000000"/>
          <w:sz w:val="20"/>
        </w:rPr>
        <w:t>Receivables—Nonrefundable Fees and Other Costs</w:t>
      </w:r>
      <w:r>
        <w:rPr>
          <w:rFonts w:ascii="Times New Roman;serif" w:hAnsi="Times New Roman;serif"/>
          <w:b w:val="false"/>
          <w:color w:val="000000"/>
          <w:sz w:val="20"/>
        </w:rPr>
        <w: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At the time we purchase CRT securities and non-Agency MBS that are not of high credit quality, we determine an effective yield based on our estimate of the timing and amount of future cash flows and our cost basis. Our initial cash flow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estimates for these investments are based on our observations of current information and events and include assumptions related to interest rates, prepayment rates, collateral call provisions,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pStyle w:val="TextBody"/>
        <w:bidi w:val="0"/>
        <w:spacing w:lineRule="auto" w:line="288" w:before="180" w:after="283"/>
        <w:jc w:val="both"/>
        <w:rPr/>
      </w:pPr>
      <w:r>
        <w:rPr>
          <w:rFonts w:ascii="Times New Roman;serif" w:hAnsi="Times New Roman;serif"/>
          <w:b/>
          <w:i/>
          <w:color w:val="000000"/>
          <w:sz w:val="20"/>
        </w:rPr>
        <w:t>Repurchase Agreements</w:t>
      </w:r>
      <w:r>
        <w:rPr>
          <w:color w:val="000000"/>
        </w:rPr>
        <w:t>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finance the acquisition of securities for our investment portfolio primarily through repurchase agreements with our lending counterparties. Repurchase arrangements involve the sale and a simultaneous agreement to repurchase the securities at a future date. We maintain a beneficial interest in the specific securities pledged during the term of each repurchase arrangement and we receive the related principal and interest payments. Pursuant to ASC Topic 860, </w:t>
      </w:r>
      <w:r>
        <w:rPr>
          <w:rFonts w:ascii="Times New Roman;serif" w:hAnsi="Times New Roman;serif"/>
          <w:b w:val="false"/>
          <w:i/>
          <w:color w:val="000000"/>
          <w:sz w:val="20"/>
        </w:rPr>
        <w:t>Transfers and Servicing</w:t>
      </w:r>
      <w:r>
        <w:rPr>
          <w:rFonts w:ascii="Times New Roman;serif" w:hAnsi="Times New Roman;serif"/>
          <w:b w:val="false"/>
          <w:color w:val="000000"/>
          <w:sz w:val="20"/>
        </w:rPr>
        <w:t>, we account for repurchase agreements as collateralized financing transactions, which are carried at their contractual amounts (cost), plus accrued interest. Our repurchase agreements typically have maturities of less than one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 and Obligation to Return Securities Borrowed under Reverse Repurchase Agreements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borrow securities to cover short sales of U.S. Treasury securities through reverse repurchase transactions (see </w:t>
      </w: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below). We account for these as securities borrowing transactions and recognize an obligation to return the borrowed securities at fair value on 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account for derivative instruments in accordance with ASC Topic 815, </w:t>
      </w:r>
      <w:r>
        <w:rPr>
          <w:rFonts w:ascii="Times New Roman;serif" w:hAnsi="Times New Roman;serif"/>
          <w:b w:val="false"/>
          <w:i/>
          <w:color w:val="000000"/>
          <w:sz w:val="20"/>
        </w:rPr>
        <w:t xml:space="preserve">Derivatives and Hedging </w:t>
      </w:r>
      <w:r>
        <w:rPr>
          <w:rFonts w:ascii="Times New Roman;serif" w:hAnsi="Times New Roman;serif"/>
          <w:b w:val="false"/>
          <w:color w:val="000000"/>
          <w:sz w:val="20"/>
        </w:rPr>
        <w:t>(“ASC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Net cash receipts from and payments on our derivative instruments are classified in our consolidated statements of cash flows according to the underlying nature or purpose of the derivative transaction, generally in the investing section.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and Overnight Index Swap Rate (“OIS”). Our interest rate swaps typically have terms from one to 10 years. Our interest rate swaps are centrally cleared through a registered commodities exchange. The clearing exchange requires that we post an “initial margin” amount determined by the exchange. The initial margin amount is intended to be set at a level sufficient to protect the exchange from the interest rate swap’s maximum estimated single-day price movement and is subject to adjustment based on changes in market volatility and other factors. We also exchange daily settlements of “variation margin” based upon changes in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measured by the exchange. Pursuant to rules governing central clearing activities, we recognize variation margin settlements as a direct reduction of the carrying value of the interest rate swap asset or liability.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Interest rate swaptions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TBA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 </w:t>
      </w:r>
    </w:p>
    <w:p>
      <w:pPr>
        <w:pStyle w:val="TextBody"/>
        <w:bidi w:val="0"/>
        <w:spacing w:lineRule="auto" w:line="288" w:before="18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U.S. Treasury securities and US Treasury futures contracts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use U.S. Treasury securities and U.S. Treasury futures contracts to mitigate the potential impact of changes in interest rates on the performance of our portfolio. We enter into short-sales of U.S. Treasury securities by borrowing the securities under reverse repurchase agreements and selling them into the market. We account for these as securities borrowing transactions and recognize an obligation to return the borrowed securities at fair value on our accompanying consolidated balance sheets based on the value of the underlying U.S. Treasury security as of the reporting date. Treasury futures contracts are standardized contracts that obligate us to sell or buy U.S. Treasury securities for future delivery. Gains and losses associated with U.S. Treasury securities and U.S. Treasury futures contracts are recognized in gain (loss) on derivative instruments and other securities, net in our consolidated statements of comprehensive income.</w:t>
      </w:r>
    </w:p>
    <w:p>
      <w:pPr>
        <w:pStyle w:val="TextBody"/>
        <w:bidi w:val="0"/>
        <w:spacing w:lineRule="auto" w:line="288" w:before="180" w:after="283"/>
        <w:jc w:val="both"/>
        <w:rPr/>
      </w:pPr>
      <w:r>
        <w:rPr>
          <w:rFonts w:ascii="Times New Roman;serif" w:hAnsi="Times New Roman;serif"/>
          <w:b/>
          <w:i/>
          <w:color w:val="000000"/>
          <w:sz w:val="20"/>
        </w:rPr>
        <w:t>Fair Value Measurements</w:t>
      </w:r>
      <w:r>
        <w:rPr>
          <w:color w:val="000000"/>
        </w:rPr>
        <w:t xml:space="preserv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three levels of valuation hierarchy are defined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1 Inputs —Quoted prices (unadjusted) for identical unrestricted assets and liabilities in active markets that are accessible at the measurement date.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Inputs —Instruments with primarily unobservable market data that cannot be corroborated.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third-party pricing sources, such as pricing services and dealers, or, if applicable, from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description of the valuation methodologies used for financial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instruments to those actively traded enable our pricing sources and us to utilize the observed quoted prices as a basis for formulating fair value measurements.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 xml:space="preserve">- are valued based on prices obtained from multiple third-party pricing sources. The pricing sources utilize various valuation approaches, including market and income approaches. For Agency RMBS, the pricing sources primarily utilize a matrix pricing technique that interpolates the estimated fair value based on observed quoted prices for TBA securities having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TBA securities</w:t>
      </w:r>
      <w:r>
        <w:rPr>
          <w:color w:val="000000"/>
        </w:rPr>
        <w:t xml:space="preserve"> </w:t>
      </w:r>
      <w:r>
        <w:rPr>
          <w:rFonts w:ascii="Times New Roman;serif" w:hAnsi="Times New Roman;serif"/>
          <w:b w:val="false"/>
          <w:color w:val="000000"/>
          <w:sz w:val="20"/>
        </w:rPr>
        <w:t>- are valued using prices obtained from third-party pricing sources based on pricing models that reference recent trading activity.</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swaps</w:t>
      </w:r>
      <w:r>
        <w:rPr>
          <w:color w:val="000000"/>
        </w:rPr>
        <w:t xml:space="preserve"> </w:t>
      </w:r>
      <w:r>
        <w:rPr>
          <w:rFonts w:ascii="Times New Roman;serif" w:hAnsi="Times New Roman;serif"/>
          <w:b w:val="false"/>
          <w:color w:val="000000"/>
          <w:sz w:val="20"/>
        </w:rPr>
        <w:t xml:space="preserve">- are valued using the daily settlement price, or fair value, determined by the clearing exchange based on a pricing model that references observable market inputs, including current benchmark rates and the forward yield curve. </w:t>
      </w:r>
    </w:p>
    <w:p>
      <w:pPr>
        <w:pStyle w:val="TextBody"/>
        <w:bidi w:val="0"/>
        <w:spacing w:lineRule="auto" w:line="288" w:before="180" w:after="283"/>
        <w:ind w:left="0" w:right="0" w:firstLine="495"/>
        <w:jc w:val="both"/>
        <w:rPr/>
      </w:pPr>
      <w:r>
        <w:rPr>
          <w:rFonts w:ascii="Times New Roman;serif" w:hAnsi="Times New Roman;serif"/>
          <w:b w:val="false"/>
          <w:i/>
          <w:color w:val="000000"/>
          <w:sz w:val="20"/>
        </w:rPr>
        <w:t>Interest rate swaptions</w:t>
      </w:r>
      <w:r>
        <w:rPr>
          <w:color w:val="000000"/>
        </w:rPr>
        <w:t xml:space="preserve"> </w:t>
      </w:r>
      <w:r>
        <w:rPr>
          <w:rFonts w:ascii="Times New Roman;serif" w:hAnsi="Times New Roman;serif"/>
          <w:b w:val="false"/>
          <w:color w:val="000000"/>
          <w:sz w:val="20"/>
        </w:rPr>
        <w:t xml:space="preserve">- are valued using prices obtained from the counterparty and other third-party pricing models. The pricing models are based on the value of the future interest rate swap that we have the option to enter into as well as the remaining length of time that we have to exercise the option based on observable market inputs, adjusted for non-performance risk, if any.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U.S. Treasury securities and futures are valued based on quoted prices for identical instruments in active markets and are classified as Level 1 assets. None of our financial instruments are classified as Level 3 inputs.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Investment Securities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our investment portfolio consisted of $87.4 billion and $81.7 billion investment securities, at fair value, respectively, $9.7 billion and $13.0 billion net TBA securities, at fair value, respectively, and other mortgage credit investments of $70 million and $70 million, respectively, which we account for under the equity method of accounting. Our TBA position is reported at its net carrying value totaling $52 million and $71 million as of June 30, 2026 and December 31, 2025, respectively, in derivative assets / (liabilities) on our accompanying consolidated balance sheets. The net carrying value of our TBA position represents the difference between the fair value of the underlying security and the cost basis or the forward price to be paid or received for the underlying 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investment securities had a net unamortized premium balance of $0.6 billion and $1.0 billion,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investment securities as of June 30, 2026 and December 31, 2025, excluding TBA securities and other mortgage credit investments (dollars in millions). Details of our TBA securities are included in Note 5.</w:t>
      </w:r>
    </w:p>
    <w:tbl>
      <w:tblPr>
        <w:tblW w:w="7902" w:type="dxa"/>
        <w:jc w:val="center"/>
        <w:tblInd w:w="0" w:type="dxa"/>
        <w:tblLayout w:type="fixed"/>
        <w:tblCellMar>
          <w:top w:w="28" w:type="dxa"/>
          <w:left w:w="28" w:type="dxa"/>
          <w:bottom w:w="28" w:type="dxa"/>
          <w:right w:w="28" w:type="dxa"/>
        </w:tblCellMar>
      </w:tblPr>
      <w:tblGrid>
        <w:gridCol w:w="995"/>
        <w:gridCol w:w="872"/>
        <w:gridCol w:w="878"/>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and 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Agency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971" w:type="dxa"/>
        <w:jc w:val="left"/>
        <w:tblInd w:w="0" w:type="dxa"/>
        <w:tblLayout w:type="fixed"/>
        <w:tblCellMar>
          <w:top w:w="28" w:type="dxa"/>
          <w:left w:w="28" w:type="dxa"/>
          <w:bottom w:w="28" w:type="dxa"/>
          <w:right w:w="28" w:type="dxa"/>
        </w:tblCellMar>
      </w:tblPr>
      <w:tblGrid>
        <w:gridCol w:w="572"/>
        <w:gridCol w:w="291"/>
        <w:gridCol w:w="293"/>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09"/>
        <w:gridCol w:w="109"/>
        <w:gridCol w:w="109"/>
        <w:gridCol w:w="109"/>
        <w:gridCol w:w="181"/>
        <w:gridCol w:w="541"/>
        <w:gridCol w:w="109"/>
        <w:gridCol w:w="109"/>
        <w:gridCol w:w="109"/>
        <w:gridCol w:w="109"/>
        <w:gridCol w:w="181"/>
        <w:gridCol w:w="406"/>
        <w:gridCol w:w="109"/>
        <w:gridCol w:w="109"/>
        <w:gridCol w:w="109"/>
        <w:gridCol w:w="109"/>
        <w:gridCol w:w="181"/>
        <w:gridCol w:w="406"/>
        <w:gridCol w:w="109"/>
        <w:gridCol w:w="109"/>
        <w:gridCol w:w="109"/>
        <w:gridCol w:w="109"/>
        <w:gridCol w:w="181"/>
        <w:gridCol w:w="406"/>
        <w:gridCol w:w="109"/>
        <w:gridCol w:w="109"/>
        <w:gridCol w:w="109"/>
        <w:gridCol w:w="109"/>
        <w:gridCol w:w="181"/>
        <w:gridCol w:w="541"/>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8" w:type="dxa"/>
            <w:gridSpan w:val="27"/>
            <w:tcBorders/>
            <w:tcMar>
              <w:top w:w="0" w:type="dxa"/>
              <w:left w:w="0" w:type="dxa"/>
              <w:bottom w:w="0" w:type="dxa"/>
              <w:right w:w="0" w:type="dxa"/>
            </w:tcMar>
            <w:vAlign w:val="center"/>
          </w:tcPr>
          <w:p>
            <w:pPr>
              <w:pStyle w:val="TableContents"/>
              <w:bidi w:val="0"/>
              <w:spacing w:lineRule="auto" w:line="240" w:before="180" w:after="180"/>
              <w:ind w:left="0" w:right="0" w:firstLine="495"/>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Non-Agency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Agency 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RMBS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available-for-sale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remeasured at fair value through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4"/>
              </w:rPr>
              <w:t xml:space="preserve">Par value </w:t>
            </w:r>
            <w:r>
              <w:rPr>
                <w:rFonts w:ascii="Times New Roman;serif" w:hAnsi="Times New Roman;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Unamortized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4"/>
              </w:rPr>
            </w:pPr>
            <w:r>
              <w:rPr>
                <w:rFonts w:ascii="Times New Roman;serif" w:hAnsi="Times New Roman;serif"/>
                <w:b w:val="false"/>
                <w:color w:val="000000"/>
                <w:sz w:val="14"/>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78,090 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540"/>
              <w:jc w:val="left"/>
              <w:rPr>
                <w:rFonts w:ascii="Times New Roman;serif" w:hAnsi="Times New Roman;serif"/>
                <w:b w:val="false"/>
                <w:color w:val="000000"/>
                <w:sz w:val="14"/>
              </w:rPr>
            </w:pPr>
            <w:r>
              <w:rPr>
                <w:rFonts w:ascii="Times New Roman;serif" w:hAnsi="Times New Roman;serif"/>
                <w:b w:val="false"/>
                <w:color w:val="000000"/>
                <w:sz w:val="14"/>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remeasured at fair value through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87,381 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81,088 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81,719 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1.Non-Agency amounts exclude other mortgage credit investments of $70 million and $70 million as of June 30, 2026 and December 31,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2.Par value excludes interest-only securities. As of June 30, 2026 and December 31, 2025, Agency RMBS interest-only securities had a par value of $5,923 million and $4,475 million, respectively, and non-Agency interest-only securities had a par value of $16 million and $16 million,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Agency RMBS portfolio by issuing GSE or U.S. Government agency at fair value as of June 30, 2026 and December 31, 2025 (in millions):</w:t>
      </w:r>
    </w:p>
    <w:tbl>
      <w:tblPr>
        <w:tblW w:w="4643" w:type="dxa"/>
        <w:jc w:val="center"/>
        <w:tblInd w:w="0" w:type="dxa"/>
        <w:tblLayout w:type="fixed"/>
        <w:tblCellMar>
          <w:top w:w="28" w:type="dxa"/>
          <w:left w:w="28" w:type="dxa"/>
          <w:bottom w:w="28" w:type="dxa"/>
          <w:right w:w="28" w:type="dxa"/>
        </w:tblCellMar>
      </w:tblPr>
      <w:tblGrid>
        <w:gridCol w:w="478"/>
        <w:gridCol w:w="419"/>
        <w:gridCol w:w="422"/>
        <w:gridCol w:w="109"/>
        <w:gridCol w:w="109"/>
        <w:gridCol w:w="109"/>
        <w:gridCol w:w="232"/>
        <w:gridCol w:w="764"/>
        <w:gridCol w:w="129"/>
        <w:gridCol w:w="109"/>
        <w:gridCol w:w="109"/>
        <w:gridCol w:w="109"/>
        <w:gridCol w:w="304"/>
        <w:gridCol w:w="1002"/>
        <w:gridCol w:w="239"/>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43,148 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Freddie Mac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41,236 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Ginnie Mae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86,784 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81,088 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investments in CRT and non-Agency securities had the following credit ratings (in millions):</w:t>
      </w:r>
    </w:p>
    <w:tbl>
      <w:tblPr>
        <w:tblW w:w="9813" w:type="dxa"/>
        <w:jc w:val="center"/>
        <w:tblInd w:w="0" w:type="dxa"/>
        <w:tblLayout w:type="fixed"/>
        <w:tblCellMar>
          <w:top w:w="28" w:type="dxa"/>
          <w:left w:w="28" w:type="dxa"/>
          <w:bottom w:w="28" w:type="dxa"/>
          <w:right w:w="28" w:type="dxa"/>
        </w:tblCellMar>
      </w:tblPr>
      <w:tblGrid>
        <w:gridCol w:w="1299"/>
        <w:gridCol w:w="1141"/>
        <w:gridCol w:w="1144"/>
        <w:gridCol w:w="109"/>
        <w:gridCol w:w="109"/>
        <w:gridCol w:w="109"/>
        <w:gridCol w:w="196"/>
        <w:gridCol w:w="421"/>
        <w:gridCol w:w="109"/>
        <w:gridCol w:w="109"/>
        <w:gridCol w:w="109"/>
        <w:gridCol w:w="109"/>
        <w:gridCol w:w="208"/>
        <w:gridCol w:w="351"/>
        <w:gridCol w:w="115"/>
        <w:gridCol w:w="109"/>
        <w:gridCol w:w="109"/>
        <w:gridCol w:w="109"/>
        <w:gridCol w:w="196"/>
        <w:gridCol w:w="406"/>
        <w:gridCol w:w="109"/>
        <w:gridCol w:w="109"/>
        <w:gridCol w:w="109"/>
        <w:gridCol w:w="109"/>
        <w:gridCol w:w="196"/>
        <w:gridCol w:w="421"/>
        <w:gridCol w:w="109"/>
        <w:gridCol w:w="109"/>
        <w:gridCol w:w="109"/>
        <w:gridCol w:w="109"/>
        <w:gridCol w:w="208"/>
        <w:gridCol w:w="351"/>
        <w:gridCol w:w="115"/>
        <w:gridCol w:w="109"/>
        <w:gridCol w:w="109"/>
        <w:gridCol w:w="109"/>
        <w:gridCol w:w="196"/>
        <w:gridCol w:w="40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CRT and Non-Agency Security Credit Ratings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RMBS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CMBS</w:t>
            </w:r>
          </w:p>
        </w:tc>
      </w:tr>
      <w:tr>
        <w:trPr/>
        <w:tc>
          <w:tcPr>
            <w:tcW w:w="3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 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1.Represents the lowest of Standard and Poor’s (“S&amp;P”), Moody’s, Fitch, DBRS, Kroll Bond Rating Agency (“KBRA”) and Morningstar credit ratings, stated in terms of the S&amp;P equivalent rating as of each date.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2.RMBS excludes other mortgage credit investments of $70 million and $70 million as of June 30, 2026 and December 31, 2025, respectively.</w:t>
      </w:r>
    </w:p>
    <w:p>
      <w:pPr>
        <w:pStyle w:val="TextBody"/>
        <w:bidi w:val="0"/>
        <w:spacing w:before="0" w:after="0"/>
        <w:ind w:left="0" w:right="0" w:firstLine="495"/>
        <w:jc w:val="left"/>
        <w:rPr/>
      </w:pPr>
      <w:r>
        <w:rPr/>
      </w:r>
    </w:p>
    <w:p>
      <w:pPr>
        <w:pStyle w:val="TextBody"/>
        <w:bidi w:val="0"/>
        <w:spacing w:lineRule="auto" w:line="26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CRT securities primarily reference the performance of single-family and multifamily mortgage loans underlying Agency RMBS and CMBS issued by Fannie Mae or Freddie Mac, which are subject to the respective agency’s underwriting standards. The remainder of our CRT holdings reference single-family loans originated and issued by third-party market participants and may not be subject to the same standards.</w:t>
      </w:r>
    </w:p>
    <w:p>
      <w:pPr>
        <w:pStyle w:val="TextBody"/>
        <w:bidi w:val="0"/>
        <w:spacing w:lineRule="auto" w:line="288" w:before="18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2026 and December 31, 2025, the weighted average expected constant prepayment rate (“CPR”) over the remaining life of our Agency and high credit quality non-Agency RMBS investment portfolio was 8.6% and 9.6%, respectively. Our estimates can differ materially for different securities and thus our individual holdings have a wide range of projected CPRs. The following table summarizes our investments as of June 30, 2026 and December 31, 2025 according to their estimated weighted average life classification (dollars in millions):</w:t>
      </w:r>
    </w:p>
    <w:tbl>
      <w:tblPr>
        <w:tblW w:w="10565"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65"/>
        <w:gridCol w:w="265"/>
        <w:gridCol w:w="266"/>
        <w:gridCol w:w="109"/>
        <w:gridCol w:w="109"/>
        <w:gridCol w:w="109"/>
        <w:gridCol w:w="196"/>
        <w:gridCol w:w="646"/>
        <w:gridCol w:w="109"/>
        <w:gridCol w:w="109"/>
        <w:gridCol w:w="109"/>
        <w:gridCol w:w="109"/>
        <w:gridCol w:w="196"/>
        <w:gridCol w:w="646"/>
        <w:gridCol w:w="109"/>
        <w:gridCol w:w="109"/>
        <w:gridCol w:w="109"/>
        <w:gridCol w:w="109"/>
        <w:gridCol w:w="265"/>
        <w:gridCol w:w="265"/>
        <w:gridCol w:w="266"/>
        <w:gridCol w:w="109"/>
        <w:gridCol w:w="109"/>
        <w:gridCol w:w="109"/>
        <w:gridCol w:w="246"/>
        <w:gridCol w:w="246"/>
        <w:gridCol w:w="349"/>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Estimated Weighted Average Life of Investment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Yield</w:t>
            </w:r>
          </w:p>
        </w:tc>
      </w:tr>
      <w:tr>
        <w:trPr/>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3 years and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years and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4.68%</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5.11%</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$70 million and $70 million as of June 30, 2026 and December 31, 2025, respectively.</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gross unrealized loss and fair values of securities classified as available-for-sale by length of time that such securities have been in a continuous unrealized loss position as of June 30, 2026 and December 31, 2025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5"/>
        <w:gridCol w:w="982"/>
        <w:gridCol w:w="984"/>
        <w:gridCol w:w="109"/>
        <w:gridCol w:w="109"/>
        <w:gridCol w:w="109"/>
        <w:gridCol w:w="196"/>
        <w:gridCol w:w="406"/>
        <w:gridCol w:w="109"/>
        <w:gridCol w:w="109"/>
        <w:gridCol w:w="109"/>
        <w:gridCol w:w="109"/>
        <w:gridCol w:w="244"/>
        <w:gridCol w:w="505"/>
        <w:gridCol w:w="137"/>
        <w:gridCol w:w="109"/>
        <w:gridCol w:w="109"/>
        <w:gridCol w:w="109"/>
        <w:gridCol w:w="201"/>
        <w:gridCol w:w="572"/>
        <w:gridCol w:w="113"/>
        <w:gridCol w:w="109"/>
        <w:gridCol w:w="109"/>
        <w:gridCol w:w="109"/>
        <w:gridCol w:w="234"/>
        <w:gridCol w:w="521"/>
        <w:gridCol w:w="131"/>
        <w:gridCol w:w="109"/>
        <w:gridCol w:w="109"/>
        <w:gridCol w:w="109"/>
        <w:gridCol w:w="196"/>
        <w:gridCol w:w="556"/>
        <w:gridCol w:w="109"/>
        <w:gridCol w:w="109"/>
        <w:gridCol w:w="109"/>
        <w:gridCol w:w="109"/>
        <w:gridCol w:w="232"/>
        <w:gridCol w:w="516"/>
        <w:gridCol w:w="184"/>
      </w:tblGrid>
      <w:tr>
        <w:trPr/>
        <w:tc>
          <w:tcPr>
            <w:tcW w:w="11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 Position For</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Classified as Available-for-Sale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6"/>
              </w:rPr>
              <w:br/>
            </w: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r>
      <w:tr>
        <w:trPr/>
        <w:tc>
          <w:tcPr>
            <w:tcW w:w="3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both"/>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i/>
          <w:color w:val="000000"/>
          <w:sz w:val="20"/>
        </w:rPr>
      </w:pPr>
      <w:r>
        <w:rPr>
          <w:rFonts w:ascii="Times New Roman;serif" w:hAnsi="Times New Roman;serif"/>
          <w:b/>
          <w:i/>
          <w:color w:val="000000"/>
          <w:sz w:val="20"/>
        </w:rPr>
        <w:t>Gains and Losses on Sale of Investment Securities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net gain (loss) from the sale of investment securities for the three and six months ended June 30, 2026 and 2025 by investment classification of accounting (in millions):</w:t>
      </w:r>
    </w:p>
    <w:p>
      <w:pPr>
        <w:pStyle w:val="TextBody"/>
        <w:bidi w:val="0"/>
        <w:spacing w:before="0" w:after="60"/>
        <w:jc w:val="both"/>
        <w:rPr/>
      </w:pPr>
      <w:r>
        <w:rPr/>
      </w:r>
    </w:p>
    <w:tbl>
      <w:tblPr>
        <w:tblW w:w="10205" w:type="dxa"/>
        <w:jc w:val="center"/>
        <w:tblInd w:w="0" w:type="dxa"/>
        <w:tblLayout w:type="fixed"/>
        <w:tblCellMar>
          <w:top w:w="28" w:type="dxa"/>
          <w:left w:w="28" w:type="dxa"/>
          <w:bottom w:w="28" w:type="dxa"/>
          <w:right w:w="28" w:type="dxa"/>
        </w:tblCellMar>
      </w:tblPr>
      <w:tblGrid>
        <w:gridCol w:w="456"/>
        <w:gridCol w:w="316"/>
        <w:gridCol w:w="318"/>
        <w:gridCol w:w="109"/>
        <w:gridCol w:w="109"/>
        <w:gridCol w:w="109"/>
        <w:gridCol w:w="335"/>
        <w:gridCol w:w="695"/>
        <w:gridCol w:w="187"/>
        <w:gridCol w:w="109"/>
        <w:gridCol w:w="109"/>
        <w:gridCol w:w="109"/>
        <w:gridCol w:w="208"/>
        <w:gridCol w:w="712"/>
        <w:gridCol w:w="115"/>
        <w:gridCol w:w="109"/>
        <w:gridCol w:w="109"/>
        <w:gridCol w:w="109"/>
        <w:gridCol w:w="196"/>
        <w:gridCol w:w="666"/>
        <w:gridCol w:w="109"/>
        <w:gridCol w:w="109"/>
        <w:gridCol w:w="109"/>
        <w:gridCol w:w="109"/>
        <w:gridCol w:w="321"/>
        <w:gridCol w:w="716"/>
        <w:gridCol w:w="180"/>
        <w:gridCol w:w="109"/>
        <w:gridCol w:w="109"/>
        <w:gridCol w:w="109"/>
        <w:gridCol w:w="208"/>
        <w:gridCol w:w="712"/>
        <w:gridCol w:w="115"/>
        <w:gridCol w:w="109"/>
        <w:gridCol w:w="109"/>
        <w:gridCol w:w="109"/>
        <w:gridCol w:w="196"/>
        <w:gridCol w:w="666"/>
        <w:gridCol w:w="109"/>
        <w:gridCol w:w="109"/>
        <w:gridCol w:w="109"/>
        <w:gridCol w:w="109"/>
        <w:gridCol w:w="109"/>
        <w:gridCol w:w="109"/>
        <w:gridCol w:w="162"/>
      </w:tblGrid>
      <w:tr>
        <w:trPr/>
        <w:tc>
          <w:tcPr>
            <w:tcW w:w="4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707"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Available-for-Sale</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sold,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(12,652)</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(9,608)</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investment securities sold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707" w:type="dxa"/>
            <w:gridSpan w:val="6"/>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Investment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Available-for-Sale </w:t>
            </w:r>
          </w:p>
          <w:p>
            <w:pPr>
              <w:pStyle w:val="TableContents"/>
              <w:bidi w:val="0"/>
              <w:spacing w:lineRule="auto" w:line="240" w:before="0" w:after="0"/>
              <w:jc w:val="center"/>
              <w:rPr/>
            </w:pPr>
            <w:r>
              <w:rPr>
                <w:rFonts w:ascii="Times New Roman;serif" w:hAnsi="Times New Roman;serif"/>
                <w:b/>
                <w:color w:val="000000"/>
                <w:sz w:val="14"/>
              </w:rPr>
              <w:t xml:space="preserve">Securities </w:t>
            </w:r>
            <w:r>
              <w:rPr>
                <w:rFonts w:ascii="Times New Roman;serif" w:hAnsi="Times New Roman;serif"/>
                <w:b/>
                <w:color w:val="000000"/>
                <w:sz w:val="9"/>
              </w:rPr>
              <w:t>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Option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sold,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(21,089)</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(12,904)</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investment securities sold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gain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loss on sale of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on sale of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1.Proceeds include cash received during the period, plus receivable for investment securities sold during the period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2.See Note 9 for a summary of changes in accumulated OCI.</w:t>
      </w:r>
    </w:p>
    <w:p>
      <w:pPr>
        <w:pStyle w:val="TextBody"/>
        <w:bidi w:val="0"/>
        <w:spacing w:lineRule="auto" w:line="288" w:before="0" w:after="0"/>
        <w:ind w:left="0" w:right="0" w:hanging="360"/>
        <w:jc w:val="both"/>
        <w:rPr/>
      </w:pPr>
      <w:r>
        <w:rPr>
          <w:rFonts w:ascii="Times New Roman;serif" w:hAnsi="Times New Roman;serif"/>
          <w:b w:val="false"/>
          <w:color w:val="000000"/>
          <w:sz w:val="16"/>
        </w:rPr>
        <w:t>3.During the six months ended June 30, 2026 and 2025, we received principal repayments on available-for-sale securities of $221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6"/>
        </w:rPr>
        <w:t>$273 million, respectively.</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Repurchase Agreements and Reverse Repurchase Agreements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Repurchase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2026, we had met all margin call requirements. For additional information regarding our pledged assets, please refer to Note 6.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$89.8 billion and $85.3 billion, respectively, of repurchase agreements outstanding used to fund our investment portfolio and temporary holdings of U.S. Treasury securities. The terms and conditions of our repurchase agreements are typically negotiated on a transaction-by-transaction basis or subject to a tri-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party repo agreement. The following table summarizes our borrowings under repurchase agreements by their remaining maturities as of June 30, 2026 and December 31, 2025 (dollars in millions):</w:t>
      </w:r>
    </w:p>
    <w:tbl>
      <w:tblPr>
        <w:tblW w:w="10205" w:type="dxa"/>
        <w:jc w:val="center"/>
        <w:tblInd w:w="0" w:type="dxa"/>
        <w:tblLayout w:type="fixed"/>
        <w:tblCellMar>
          <w:top w:w="28" w:type="dxa"/>
          <w:left w:w="28" w:type="dxa"/>
          <w:bottom w:w="28" w:type="dxa"/>
          <w:right w:w="28" w:type="dxa"/>
        </w:tblCellMar>
      </w:tblPr>
      <w:tblGrid>
        <w:gridCol w:w="516"/>
        <w:gridCol w:w="454"/>
        <w:gridCol w:w="456"/>
        <w:gridCol w:w="109"/>
        <w:gridCol w:w="109"/>
        <w:gridCol w:w="109"/>
        <w:gridCol w:w="280"/>
        <w:gridCol w:w="925"/>
        <w:gridCol w:w="157"/>
        <w:gridCol w:w="109"/>
        <w:gridCol w:w="109"/>
        <w:gridCol w:w="109"/>
        <w:gridCol w:w="233"/>
        <w:gridCol w:w="233"/>
        <w:gridCol w:w="430"/>
        <w:gridCol w:w="109"/>
        <w:gridCol w:w="109"/>
        <w:gridCol w:w="109"/>
        <w:gridCol w:w="375"/>
        <w:gridCol w:w="375"/>
        <w:gridCol w:w="376"/>
        <w:gridCol w:w="109"/>
        <w:gridCol w:w="109"/>
        <w:gridCol w:w="109"/>
        <w:gridCol w:w="280"/>
        <w:gridCol w:w="925"/>
        <w:gridCol w:w="157"/>
        <w:gridCol w:w="109"/>
        <w:gridCol w:w="109"/>
        <w:gridCol w:w="109"/>
        <w:gridCol w:w="233"/>
        <w:gridCol w:w="233"/>
        <w:gridCol w:w="430"/>
        <w:gridCol w:w="109"/>
        <w:gridCol w:w="109"/>
        <w:gridCol w:w="109"/>
        <w:gridCol w:w="343"/>
        <w:gridCol w:w="343"/>
        <w:gridCol w:w="489"/>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Remaining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Days</w:t>
              <w:br/>
              <w:t>to Maturity</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Repo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79,512 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72,946 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Repo: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month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85,286 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$31.2 billion and $27.5 billion, respectively, of our investment securities repurchase agreements and $10.3 billion and $10.9 billion, respectively, of our U.S. Treasury repurchase agreements had an overnight maturity of one business day and none of our repurchase agreements were due on demand. As of June 30, 2026, we had $35.1 billion of forward commitments to enter into repurchase agreements with a weighted average forward start date of 1 day and a weighted average interest rate of 3.71%. As of December 31, 2025, we had $24.7 billion of forward commitments to enter into repurchase agreements, with a weighted average forward start date of 2 days and a weighted average interest rate of 3.81%. As of June 30, 2026 and December 31, 2025, 58% and 57%,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44% and 44% of our repurchase agreement funding outstanding as of June 30, 2026 and December 31, 2025,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Reverse Repurchase Agreements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$18.4 billion and $16.6 billion, respectively, of reverse repurchase agreements outstanding used primarily to borrow securities to cover short sales of U.S. Treasury securities, for which we had associated obligations to return borrowed securities at fair value of $18.2 billion and $16.5 billion, respectively. As of June 30, 2026 and December 31, 2025, $5.4 billion and $5.2 billion, respectively, of our reverse repurchase agreements were with the FICC sourced through BES. </w:t>
      </w:r>
    </w:p>
    <w:p>
      <w:pPr>
        <w:pStyle w:val="TextBody"/>
        <w:bidi w:val="0"/>
        <w:spacing w:before="0" w:after="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Derivative and Other Hedging Instruments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periods presented, our interest rate based hedges primarily consisted of interest rate swaps, interest rate swaptions, U.S. Treasury securities and U.S. Treasury futures contracts. We also utilized forward contracts, primarily consisting of TBA securities, for the purchase and sale of investment securities. For additional information regarding our derivative instruments and our overall risk management strategy, please refer to the discussion of derivative and other hedging instruments in Note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Derivative and Other Hedging Instrument Assets (Liabilities), at Fair Value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fair value information about our derivative and other hedging instrument assets/(liabilities) as of June 30, 2026 and December 31, 2025 (in millions):</w:t>
      </w:r>
    </w:p>
    <w:tbl>
      <w:tblPr>
        <w:tblW w:w="10205" w:type="dxa"/>
        <w:jc w:val="left"/>
        <w:tblInd w:w="0" w:type="dxa"/>
        <w:tblLayout w:type="fixed"/>
        <w:tblCellMar>
          <w:top w:w="28" w:type="dxa"/>
          <w:left w:w="28" w:type="dxa"/>
          <w:bottom w:w="28" w:type="dxa"/>
          <w:right w:w="28" w:type="dxa"/>
        </w:tblCellMar>
      </w:tblPr>
      <w:tblGrid>
        <w:gridCol w:w="970"/>
        <w:gridCol w:w="845"/>
        <w:gridCol w:w="847"/>
        <w:gridCol w:w="109"/>
        <w:gridCol w:w="109"/>
        <w:gridCol w:w="109"/>
        <w:gridCol w:w="1552"/>
        <w:gridCol w:w="1482"/>
        <w:gridCol w:w="1486"/>
        <w:gridCol w:w="109"/>
        <w:gridCol w:w="109"/>
        <w:gridCol w:w="109"/>
        <w:gridCol w:w="196"/>
        <w:gridCol w:w="646"/>
        <w:gridCol w:w="109"/>
        <w:gridCol w:w="109"/>
        <w:gridCol w:w="109"/>
        <w:gridCol w:w="109"/>
        <w:gridCol w:w="213"/>
        <w:gridCol w:w="706"/>
        <w:gridCol w:w="172"/>
      </w:tblGrid>
      <w:tr>
        <w:trPr/>
        <w:tc>
          <w:tcPr>
            <w:tcW w:w="9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418" w:type="dxa"/>
            <w:gridSpan w:val="6"/>
            <w:tcBorders/>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swaps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 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SOFR futures contracts - long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 to return securities borrowed under reverse repurchase agreements,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 net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June 30, 2026 and December 31, 2025, the net fair value of our interest rate swaps excluding the recognition of variation margin settlements as a direct reduction of carrying value (see Note 2) was a net asset (liability) of $2.2 billion and $1.3 billion, respectively. </w:t>
      </w:r>
    </w:p>
    <w:p>
      <w:pPr>
        <w:pStyle w:val="TextBody"/>
        <w:bidi w:val="0"/>
        <w:spacing w:lineRule="auto" w:line="288" w:before="18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certain characteristics of our derivative and other hedging instruments outstanding as of June 30, 2026 and December 31, 2025 (dollars in millions):</w:t>
      </w:r>
    </w:p>
    <w:tbl>
      <w:tblPr>
        <w:tblW w:w="10205" w:type="dxa"/>
        <w:jc w:val="center"/>
        <w:tblInd w:w="0" w:type="dxa"/>
        <w:tblLayout w:type="fixed"/>
        <w:tblCellMar>
          <w:top w:w="28" w:type="dxa"/>
          <w:left w:w="28" w:type="dxa"/>
          <w:bottom w:w="28" w:type="dxa"/>
          <w:right w:w="28" w:type="dxa"/>
        </w:tblCellMar>
      </w:tblPr>
      <w:tblGrid>
        <w:gridCol w:w="389"/>
        <w:gridCol w:w="331"/>
        <w:gridCol w:w="332"/>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55"/>
        <w:gridCol w:w="255"/>
        <w:gridCol w:w="256"/>
        <w:gridCol w:w="109"/>
        <w:gridCol w:w="109"/>
        <w:gridCol w:w="109"/>
        <w:gridCol w:w="196"/>
        <w:gridCol w:w="646"/>
        <w:gridCol w:w="109"/>
        <w:gridCol w:w="109"/>
        <w:gridCol w:w="109"/>
        <w:gridCol w:w="109"/>
        <w:gridCol w:w="245"/>
        <w:gridCol w:w="245"/>
        <w:gridCol w:w="246"/>
        <w:gridCol w:w="109"/>
        <w:gridCol w:w="109"/>
        <w:gridCol w:w="109"/>
        <w:gridCol w:w="263"/>
        <w:gridCol w:w="263"/>
        <w:gridCol w:w="264"/>
        <w:gridCol w:w="109"/>
        <w:gridCol w:w="109"/>
        <w:gridCol w:w="109"/>
        <w:gridCol w:w="237"/>
        <w:gridCol w:w="237"/>
        <w:gridCol w:w="343"/>
      </w:tblGrid>
      <w:tr>
        <w:trPr/>
        <w:tc>
          <w:tcPr>
            <w:tcW w:w="3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 Fixed / Receive Variable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Fixed Pay </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Variable Receive</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Maturity</w:t>
              <w:br/>
              <w:t>(Years)</w:t>
            </w:r>
          </w:p>
        </w:tc>
      </w:tr>
      <w:tr>
        <w:trPr/>
        <w:tc>
          <w:tcPr>
            <w:tcW w:w="10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 to ≤ 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3 to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to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w:t>
            </w:r>
          </w:p>
        </w:tc>
      </w:tr>
      <w:tr>
        <w:trPr/>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to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8.6</w:t>
            </w:r>
          </w:p>
        </w:tc>
      </w:tr>
      <w:tr>
        <w:trPr/>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of June 30, 2026, 98% and 2% of notional amount receive index references SOFR and OIS, respectively. As of December 31, 2025, 95% and 5% of notional amount receive index references SOFR and OIS, respectively.</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80"/>
        <w:gridCol w:w="404"/>
        <w:gridCol w:w="299"/>
        <w:gridCol w:w="138"/>
        <w:gridCol w:w="138"/>
        <w:gridCol w:w="138"/>
        <w:gridCol w:w="360"/>
        <w:gridCol w:w="360"/>
        <w:gridCol w:w="362"/>
        <w:gridCol w:w="109"/>
        <w:gridCol w:w="109"/>
        <w:gridCol w:w="109"/>
        <w:gridCol w:w="228"/>
        <w:gridCol w:w="385"/>
        <w:gridCol w:w="126"/>
        <w:gridCol w:w="109"/>
        <w:gridCol w:w="109"/>
        <w:gridCol w:w="109"/>
        <w:gridCol w:w="235"/>
        <w:gridCol w:w="397"/>
        <w:gridCol w:w="130"/>
        <w:gridCol w:w="109"/>
        <w:gridCol w:w="109"/>
        <w:gridCol w:w="109"/>
        <w:gridCol w:w="381"/>
        <w:gridCol w:w="381"/>
        <w:gridCol w:w="382"/>
        <w:gridCol w:w="109"/>
        <w:gridCol w:w="109"/>
        <w:gridCol w:w="109"/>
        <w:gridCol w:w="196"/>
        <w:gridCol w:w="556"/>
        <w:gridCol w:w="109"/>
        <w:gridCol w:w="109"/>
        <w:gridCol w:w="109"/>
        <w:gridCol w:w="109"/>
        <w:gridCol w:w="426"/>
        <w:gridCol w:w="426"/>
        <w:gridCol w:w="428"/>
        <w:gridCol w:w="109"/>
        <w:gridCol w:w="109"/>
        <w:gridCol w:w="109"/>
        <w:gridCol w:w="224"/>
        <w:gridCol w:w="224"/>
        <w:gridCol w:w="330"/>
      </w:tblGrid>
      <w:tr>
        <w:trPr/>
        <w:tc>
          <w:tcPr>
            <w:tcW w:w="48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Receiver Swaptions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Underlying Receiver Swap</w:t>
            </w:r>
          </w:p>
        </w:tc>
      </w:tr>
      <w:tr>
        <w:trPr/>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Option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Months to Option</w:t>
              <w:b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Average Fixed Receive </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Term</w:t>
              <w:br/>
              <w:t>(Years)</w:t>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9.0</w:t>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1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w:t>
            </w:r>
          </w:p>
        </w:tc>
      </w:tr>
    </w:tbl>
    <w:p>
      <w:pPr>
        <w:pStyle w:val="TextBody"/>
        <w:bidi w:val="0"/>
        <w:spacing w:lineRule="auto" w:line="288" w:before="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1.Pay index references SOFR.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7"/>
        <w:gridCol w:w="508"/>
        <w:gridCol w:w="510"/>
        <w:gridCol w:w="109"/>
        <w:gridCol w:w="109"/>
        <w:gridCol w:w="109"/>
        <w:gridCol w:w="304"/>
        <w:gridCol w:w="947"/>
        <w:gridCol w:w="169"/>
        <w:gridCol w:w="109"/>
        <w:gridCol w:w="109"/>
        <w:gridCol w:w="109"/>
        <w:gridCol w:w="196"/>
        <w:gridCol w:w="598"/>
        <w:gridCol w:w="109"/>
        <w:gridCol w:w="109"/>
        <w:gridCol w:w="109"/>
        <w:gridCol w:w="109"/>
        <w:gridCol w:w="196"/>
        <w:gridCol w:w="598"/>
        <w:gridCol w:w="109"/>
        <w:gridCol w:w="109"/>
        <w:gridCol w:w="109"/>
        <w:gridCol w:w="109"/>
        <w:gridCol w:w="301"/>
        <w:gridCol w:w="993"/>
        <w:gridCol w:w="167"/>
        <w:gridCol w:w="109"/>
        <w:gridCol w:w="109"/>
        <w:gridCol w:w="109"/>
        <w:gridCol w:w="196"/>
        <w:gridCol w:w="646"/>
        <w:gridCol w:w="109"/>
        <w:gridCol w:w="109"/>
        <w:gridCol w:w="109"/>
        <w:gridCol w:w="109"/>
        <w:gridCol w:w="196"/>
        <w:gridCol w:w="646"/>
        <w:gridCol w:w="158"/>
      </w:tblGrid>
      <w:tr>
        <w:trPr/>
        <w:tc>
          <w:tcPr>
            <w:tcW w:w="58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U.S. Treasury Securities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Amount Long/(Short)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6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5 year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7 year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U.S. Treasury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(5,870)</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June 30, 2026 and December 31, 2025, short U.S. Treasury securities totaling $(18.2) billion and $(16.5) billion, at fair value, respectively, had a weighted average yield of 4.28% and 4.21%, respectively. As of June 30, 2026 and December 31, 2025, long U.S. Treasury securities totaling $12.3 billion and $13.5 billion, at fair value, respectively, had a weighted average yield of 3.71% and 3.67%, respectively.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
        <w:gridCol w:w="286"/>
        <w:gridCol w:w="288"/>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9"/>
        <w:gridCol w:w="388"/>
        <w:gridCol w:w="11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8"/>
        <w:gridCol w:w="432"/>
        <w:gridCol w:w="170"/>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U.S. Treasury Futures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2</w:t>
            </w:r>
          </w:p>
        </w:tc>
      </w:tr>
      <w:tr>
        <w:trPr/>
        <w:tc>
          <w:tcPr>
            <w:tcW w:w="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5 year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7 year ≤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&gt;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U.S. Treasury futures,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June 30, 2026 and December 31, 2025, short U.S. Treasury futures totaled $(5.6) billion and $(3.7) billion, at fair value, respectively. As of June 30, 2026 and December 31, 2025, long U.S. Treasury futures totaled $9.3 billion and $5.2 billion, at fair value,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 </w:t>
      </w:r>
    </w:p>
    <w:p>
      <w:pPr>
        <w:pStyle w:val="TextBody"/>
        <w:bidi w:val="0"/>
        <w:spacing w:before="0" w:after="0"/>
        <w:jc w:val="both"/>
        <w:rPr/>
      </w:pPr>
      <w:r>
        <w:rPr/>
      </w:r>
    </w:p>
    <w:p>
      <w:pPr>
        <w:pStyle w:val="TextBody"/>
        <w:bidi w:val="0"/>
        <w:spacing w:before="0" w:after="0"/>
        <w:jc w:val="both"/>
        <w:rPr/>
      </w:pPr>
      <w:r>
        <w:rPr/>
      </w:r>
    </w:p>
    <w:tbl>
      <w:tblPr>
        <w:tblW w:w="10512" w:type="dxa"/>
        <w:jc w:val="left"/>
        <w:tblInd w:w="0" w:type="dxa"/>
        <w:tblLayout w:type="fixed"/>
        <w:tblCellMar>
          <w:top w:w="28" w:type="dxa"/>
          <w:left w:w="28" w:type="dxa"/>
          <w:bottom w:w="28" w:type="dxa"/>
          <w:right w:w="28" w:type="dxa"/>
        </w:tblCellMar>
      </w:tblPr>
      <w:tblGrid>
        <w:gridCol w:w="345"/>
        <w:gridCol w:w="225"/>
        <w:gridCol w:w="226"/>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03"/>
        <w:gridCol w:w="344"/>
        <w:gridCol w:w="114"/>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311"/>
      </w:tblGrid>
      <w:tr>
        <w:trPr/>
        <w:tc>
          <w:tcPr>
            <w:tcW w:w="3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TBA Securities by Coupon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Notional </w:t>
              <w:br/>
              <w:t>Amount</w:t>
              <w:br/>
              <w:t>Long (Short)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Cost</w:t>
              <w:br/>
              <w:t>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Net Carrying Value </w:t>
            </w:r>
            <w:r>
              <w:rPr>
                <w:rFonts w:ascii="Times New Roman;serif" w:hAnsi="Times New Roman;serif"/>
                <w:b/>
                <w:color w:val="000000"/>
                <w:sz w:val="9"/>
              </w:rPr>
              <w:t>1</w:t>
            </w:r>
          </w:p>
        </w:tc>
      </w:tr>
      <w:tr>
        <w:trPr/>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15-Year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 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From Derivative Instruments and Other Securities, Net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changes in our derivative and other hedge portfolio and their effect on our consolidated statements of comprehensive income for the three and six months ended June 30, 2026 and 2025 (in millions): </w:t>
      </w:r>
    </w:p>
    <w:tbl>
      <w:tblPr>
        <w:tblW w:w="10205" w:type="dxa"/>
        <w:jc w:val="center"/>
        <w:tblInd w:w="0" w:type="dxa"/>
        <w:tblLayout w:type="fixed"/>
        <w:tblCellMar>
          <w:top w:w="28" w:type="dxa"/>
          <w:left w:w="28" w:type="dxa"/>
          <w:bottom w:w="28" w:type="dxa"/>
          <w:right w:w="28" w:type="dxa"/>
        </w:tblCellMar>
      </w:tblPr>
      <w:tblGrid>
        <w:gridCol w:w="637"/>
        <w:gridCol w:w="561"/>
        <w:gridCol w:w="563"/>
        <w:gridCol w:w="109"/>
        <w:gridCol w:w="109"/>
        <w:gridCol w:w="109"/>
        <w:gridCol w:w="219"/>
        <w:gridCol w:w="765"/>
        <w:gridCol w:w="121"/>
        <w:gridCol w:w="109"/>
        <w:gridCol w:w="109"/>
        <w:gridCol w:w="109"/>
        <w:gridCol w:w="368"/>
        <w:gridCol w:w="368"/>
        <w:gridCol w:w="266"/>
        <w:gridCol w:w="109"/>
        <w:gridCol w:w="109"/>
        <w:gridCol w:w="109"/>
        <w:gridCol w:w="505"/>
        <w:gridCol w:w="408"/>
        <w:gridCol w:w="410"/>
        <w:gridCol w:w="109"/>
        <w:gridCol w:w="109"/>
        <w:gridCol w:w="109"/>
        <w:gridCol w:w="216"/>
        <w:gridCol w:w="755"/>
        <w:gridCol w:w="120"/>
        <w:gridCol w:w="109"/>
        <w:gridCol w:w="109"/>
        <w:gridCol w:w="109"/>
        <w:gridCol w:w="109"/>
        <w:gridCol w:w="109"/>
        <w:gridCol w:w="109"/>
        <w:gridCol w:w="414"/>
        <w:gridCol w:w="1216"/>
        <w:gridCol w:w="331"/>
      </w:tblGrid>
      <w:tr>
        <w:trPr/>
        <w:tc>
          <w:tcPr>
            <w:tcW w:w="63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and Other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Beginning</w:t>
              <w:br/>
              <w:t xml:space="preserve">Notional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Termination,</w:t>
              <w:br/>
              <w:t>Expiration or</w:t>
              <w:br/>
              <w:t>Exercise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Ending</w:t>
              <w:b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Gain/(Loss)</w:t>
            </w:r>
          </w:p>
          <w:p>
            <w:pPr>
              <w:pStyle w:val="TableContents"/>
              <w:bidi w:val="0"/>
              <w:spacing w:lineRule="auto" w:line="240" w:before="0" w:after="0"/>
              <w:jc w:val="center"/>
              <w:rPr/>
            </w:pPr>
            <w:r>
              <w:rPr>
                <w:rFonts w:ascii="Times New Roman;serif" w:hAnsi="Times New Roman;serif"/>
                <w:b/>
                <w:color w:val="000000"/>
                <w:sz w:val="16"/>
              </w:rPr>
              <w:t xml:space="preserve">on Derivative Instruments and Other Securities, Net </w:t>
            </w:r>
            <w:r>
              <w:rPr>
                <w:rFonts w:ascii="Times New Roman;serif" w:hAnsi="Times New Roman;serif"/>
                <w:b/>
                <w:color w:val="000000"/>
                <w:sz w:val="10"/>
              </w:rPr>
              <w:t>1</w:t>
            </w:r>
          </w:p>
        </w:tc>
      </w:tr>
      <w:tr>
        <w:trPr/>
        <w:tc>
          <w:tcPr>
            <w:tcW w:w="17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(6,629)</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(13,068)</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(35,103)</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(4,614)</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105,065 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(108,198)</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8,347 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(26,765)</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8,129 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(33,138)</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(62,214)</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payer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(11,792)</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(7,396)</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short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futures contracts - long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other miscellaneous gains and losses and other interest income (expense) recognized in gain (loss) on derivative instruments and other securities, net in our consolidated statements of comprehensive income.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as of June 30, 2026 and 2025, we held SOFR futures contracts with a long notional position of $2.6 billion and $1.2 billion, respectively, measured on a two-year swap equivalent basis. For the three and six months ended June 30, 2026, we recognized a loss of $4 million and for the three and six months ended June 30, 2025, we recognized a gain of $3 million and $13 million, respectively, on our SOFR futures contracts in gain (loss) on derivative instruments and other securities, net in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Pledged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agreements require us to fully collateralize our obligations based on our counterparties’ collateral requirements and their determination of the fair value of the securities pledged, which fluctuates with changes in interest rates, credit spreads, liquidity, and overall market conditions.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Bilateral funding agreements typically include a “haircut,” or discount applied to the market value of pledged collateral, which reflects the risk characteristics of the underlying securities. Haircuts are determined on a transaction-specific basis and are not contractually fixed under the applicable Master Repurchase Agreement.</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Margin requirements for centrally cleared repurchase agreements executed through the Fixed Income Clearing Corporation (“FICC”) are determined in accordance with the FICC’s clearing rules. These include an initial margin requirement, calculated daily using a Value-at-Risk (“VaR”) model, which takes into account any offsetting risk sensitivities of positions such as repos and reverse repos and is intended to protect the FICC against potential future exposure from a member default. The FICC also imposes variation margin based on amounts borrowed plus accrued interest, adjusted daily for fluctuations in collateral value, which is intended to cover our current repo exposure. Initial margin posted to the FICC may also be mutualized, meaning it can be used to absorb losses from the default of another clearing member, subject to applicable caps and withdrawal provisions.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also required to post collateral under our derivative agreements. These agreements typically require the posting of initial margin at inception and the daily exchange of variation margin as market values change. Initial margin for derivatives is generally based on counterparty risk models, including VaR-based approaches, and is intended to cover potential future exposure in the event of a default. Variation margin reflects current exposure and serves to settle gains and losses on a daily basis.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funding and derivative agreements expose us to credit risk in the event a counterparty fails to perform its obligations. We seek to mitigate this risk by actively monitoring our collateral positions and limiting our counterparties to registered clearinghouses and regulated financial institutions, including banks and broker-dealers (both bank affiliated and independent) with acceptable credit ratings. In the event of a counterparty default, we may experience delays or losses in recovering pledged collateral or receiving payments due. We believe the credit risk associated with centrally cleared transactions is limited by the clearinghouses’ daily margin practices, mutualized loss protections, designations as systemically important financial market utilities, and other risk management safeguards.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maximum amount at risk with any counterparty related to our repurchase agreements (i.e., the excess/shortfall of the value of collateral pledged/received over our repurchase agreement liabilities/reverse repurchase agreement receivables), excluding the FICC, was 1% of our tangible stockholders’ equity. As of June 30, 2026, less than 11% of our tangible stockholders’ equity was at risk with the FICC.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to Counterparties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assets pledged as collateral under our funding, derivative and brokerage and clearing agreements by type, including securities pledged related to securities sold but not yet settled, as of June 30, 2026 and December 31, 2025 (in millions):</w:t>
      </w:r>
    </w:p>
    <w:tbl>
      <w:tblPr>
        <w:tblW w:w="10205" w:type="dxa"/>
        <w:jc w:val="center"/>
        <w:tblInd w:w="0" w:type="dxa"/>
        <w:tblLayout w:type="fixed"/>
        <w:tblCellMar>
          <w:top w:w="28" w:type="dxa"/>
          <w:left w:w="28" w:type="dxa"/>
          <w:bottom w:w="28" w:type="dxa"/>
          <w:right w:w="28" w:type="dxa"/>
        </w:tblCellMar>
      </w:tblPr>
      <w:tblGrid>
        <w:gridCol w:w="945"/>
        <w:gridCol w:w="831"/>
        <w:gridCol w:w="836"/>
        <w:gridCol w:w="109"/>
        <w:gridCol w:w="109"/>
        <w:gridCol w:w="109"/>
        <w:gridCol w:w="364"/>
        <w:gridCol w:w="1200"/>
        <w:gridCol w:w="204"/>
        <w:gridCol w:w="109"/>
        <w:gridCol w:w="109"/>
        <w:gridCol w:w="109"/>
        <w:gridCol w:w="299"/>
        <w:gridCol w:w="622"/>
        <w:gridCol w:w="167"/>
        <w:gridCol w:w="109"/>
        <w:gridCol w:w="109"/>
        <w:gridCol w:w="109"/>
        <w:gridCol w:w="550"/>
        <w:gridCol w:w="1566"/>
        <w:gridCol w:w="310"/>
        <w:gridCol w:w="109"/>
        <w:gridCol w:w="109"/>
        <w:gridCol w:w="109"/>
        <w:gridCol w:w="196"/>
        <w:gridCol w:w="646"/>
        <w:gridCol w:w="161"/>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1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80,952 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80,962 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92,742 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94,631 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33"/>
        <w:gridCol w:w="820"/>
        <w:gridCol w:w="825"/>
        <w:gridCol w:w="109"/>
        <w:gridCol w:w="109"/>
        <w:gridCol w:w="109"/>
        <w:gridCol w:w="379"/>
        <w:gridCol w:w="1250"/>
        <w:gridCol w:w="212"/>
        <w:gridCol w:w="109"/>
        <w:gridCol w:w="109"/>
        <w:gridCol w:w="109"/>
        <w:gridCol w:w="334"/>
        <w:gridCol w:w="566"/>
        <w:gridCol w:w="188"/>
        <w:gridCol w:w="109"/>
        <w:gridCol w:w="109"/>
        <w:gridCol w:w="109"/>
        <w:gridCol w:w="542"/>
        <w:gridCol w:w="1542"/>
        <w:gridCol w:w="305"/>
        <w:gridCol w:w="109"/>
        <w:gridCol w:w="109"/>
        <w:gridCol w:w="109"/>
        <w:gridCol w:w="196"/>
        <w:gridCol w:w="64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Assets Pledged to Counterparties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Repurchase Agreements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Debt of </w:t>
              <w:br/>
              <w:t xml:space="preserve">Consolidated </w:t>
              <w:br/>
              <w:t>VIEs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RMBS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74,213 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74,413 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CRT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Non-Agency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U.S. Treasury securities -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Accrued interest on pledged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87,894 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1,807 </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89,786 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repledged assets received as collateral from counterparties and securities sold but not yet settled.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2.Includes $30 million of retained interests in our consolidated VIEs pledged as collateral under repurchase agreements as of December 31, 2025.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The following table summarizes our securities pledged as collateral under our repurchase agreements by the remaining maturity of our borrowings, including securities pledged related to sold but not yet settled securities, as of June 30, 2026 and December 31, 2025 (in millions). For the corresponding borrowings associated with the following amounts and the interest rates thereon, refer to Note 4</w:t>
      </w:r>
      <w:r>
        <w:rPr>
          <w:rFonts w:ascii="Times New Roman;serif" w:hAnsi="Times New Roman;serif"/>
          <w:b w:val="false"/>
          <w:i/>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262"/>
        <w:gridCol w:w="866"/>
        <w:gridCol w:w="146"/>
        <w:gridCol w:w="109"/>
        <w:gridCol w:w="109"/>
        <w:gridCol w:w="109"/>
        <w:gridCol w:w="216"/>
        <w:gridCol w:w="714"/>
        <w:gridCol w:w="120"/>
        <w:gridCol w:w="109"/>
        <w:gridCol w:w="109"/>
        <w:gridCol w:w="109"/>
        <w:gridCol w:w="219"/>
        <w:gridCol w:w="472"/>
        <w:gridCol w:w="123"/>
        <w:gridCol w:w="109"/>
        <w:gridCol w:w="109"/>
        <w:gridCol w:w="109"/>
        <w:gridCol w:w="267"/>
        <w:gridCol w:w="881"/>
        <w:gridCol w:w="148"/>
        <w:gridCol w:w="109"/>
        <w:gridCol w:w="109"/>
        <w:gridCol w:w="109"/>
        <w:gridCol w:w="216"/>
        <w:gridCol w:w="714"/>
        <w:gridCol w:w="120"/>
        <w:gridCol w:w="109"/>
        <w:gridCol w:w="109"/>
        <w:gridCol w:w="109"/>
        <w:gridCol w:w="217"/>
        <w:gridCol w:w="469"/>
        <w:gridCol w:w="183"/>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Pledged by Remaining Maturity of Repurchase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of Pledged Securities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of</w:t>
              <w:br/>
              <w:t>Pledged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Interest on</w:t>
              <w:br/>
              <w:t>Pledged</w:t>
              <w:br/>
              <w:t>Securities</w:t>
            </w:r>
          </w:p>
        </w:tc>
      </w:tr>
      <w:tr>
        <w:trPr/>
        <w:tc>
          <w:tcPr>
            <w:tcW w:w="18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 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86,421 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87,251 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83,502 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1 and ≤ 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2 and ≤ 3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&gt; 3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92,210 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93,224 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87,420 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87,440 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$30 million of retained interests in our consolidated VIEs pledged as collateral under repurchase agreements as of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Assets Pledged from Counterparties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had assets pledged to us from counterparties as collateral under our reverse repurchase and derivative agreements summarized in the tables below (in millions).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tbl>
      <w:tblPr>
        <w:tblW w:w="11080" w:type="dxa"/>
        <w:jc w:val="left"/>
        <w:tblInd w:w="0" w:type="dxa"/>
        <w:tblLayout w:type="fixed"/>
        <w:tblCellMar>
          <w:top w:w="28" w:type="dxa"/>
          <w:left w:w="28" w:type="dxa"/>
          <w:bottom w:w="28" w:type="dxa"/>
          <w:right w:w="28" w:type="dxa"/>
        </w:tblCellMar>
      </w:tblPr>
      <w:tblGrid>
        <w:gridCol w:w="310"/>
        <w:gridCol w:w="220"/>
        <w:gridCol w:w="221"/>
        <w:gridCol w:w="109"/>
        <w:gridCol w:w="109"/>
        <w:gridCol w:w="109"/>
        <w:gridCol w:w="198"/>
        <w:gridCol w:w="652"/>
        <w:gridCol w:w="111"/>
        <w:gridCol w:w="109"/>
        <w:gridCol w:w="109"/>
        <w:gridCol w:w="109"/>
        <w:gridCol w:w="259"/>
        <w:gridCol w:w="557"/>
        <w:gridCol w:w="145"/>
        <w:gridCol w:w="109"/>
        <w:gridCol w:w="109"/>
        <w:gridCol w:w="109"/>
        <w:gridCol w:w="296"/>
        <w:gridCol w:w="500"/>
        <w:gridCol w:w="165"/>
        <w:gridCol w:w="109"/>
        <w:gridCol w:w="109"/>
        <w:gridCol w:w="109"/>
        <w:gridCol w:w="196"/>
        <w:gridCol w:w="646"/>
        <w:gridCol w:w="109"/>
        <w:gridCol w:w="109"/>
        <w:gridCol w:w="109"/>
        <w:gridCol w:w="109"/>
        <w:gridCol w:w="198"/>
        <w:gridCol w:w="652"/>
        <w:gridCol w:w="111"/>
        <w:gridCol w:w="109"/>
        <w:gridCol w:w="109"/>
        <w:gridCol w:w="109"/>
        <w:gridCol w:w="259"/>
        <w:gridCol w:w="557"/>
        <w:gridCol w:w="145"/>
        <w:gridCol w:w="109"/>
        <w:gridCol w:w="109"/>
        <w:gridCol w:w="109"/>
        <w:gridCol w:w="296"/>
        <w:gridCol w:w="500"/>
        <w:gridCol w:w="165"/>
        <w:gridCol w:w="109"/>
        <w:gridCol w:w="109"/>
        <w:gridCol w:w="109"/>
        <w:gridCol w:w="196"/>
        <w:gridCol w:w="6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 Pledged to AGNC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Reverse 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securities -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U.S. Treasury securities -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Cash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16,429 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Offsetting Assets and Liabilities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2026 and December 31, 2025 (in millions):</w:t>
      </w:r>
    </w:p>
    <w:tbl>
      <w:tblPr>
        <w:tblW w:w="10205" w:type="dxa"/>
        <w:jc w:val="left"/>
        <w:tblInd w:w="0" w:type="dxa"/>
        <w:tblLayout w:type="fixed"/>
        <w:tblCellMar>
          <w:top w:w="28" w:type="dxa"/>
          <w:left w:w="28" w:type="dxa"/>
          <w:bottom w:w="28" w:type="dxa"/>
          <w:right w:w="28" w:type="dxa"/>
        </w:tblCellMar>
      </w:tblPr>
      <w:tblGrid>
        <w:gridCol w:w="537"/>
        <w:gridCol w:w="473"/>
        <w:gridCol w:w="308"/>
        <w:gridCol w:w="109"/>
        <w:gridCol w:w="109"/>
        <w:gridCol w:w="109"/>
        <w:gridCol w:w="239"/>
        <w:gridCol w:w="790"/>
        <w:gridCol w:w="133"/>
        <w:gridCol w:w="109"/>
        <w:gridCol w:w="109"/>
        <w:gridCol w:w="109"/>
        <w:gridCol w:w="392"/>
        <w:gridCol w:w="814"/>
        <w:gridCol w:w="219"/>
        <w:gridCol w:w="109"/>
        <w:gridCol w:w="109"/>
        <w:gridCol w:w="109"/>
        <w:gridCol w:w="311"/>
        <w:gridCol w:w="1028"/>
        <w:gridCol w:w="176"/>
        <w:gridCol w:w="109"/>
        <w:gridCol w:w="109"/>
        <w:gridCol w:w="109"/>
        <w:gridCol w:w="210"/>
        <w:gridCol w:w="721"/>
        <w:gridCol w:w="117"/>
        <w:gridCol w:w="109"/>
        <w:gridCol w:w="109"/>
        <w:gridCol w:w="109"/>
        <w:gridCol w:w="213"/>
        <w:gridCol w:w="633"/>
        <w:gridCol w:w="118"/>
        <w:gridCol w:w="109"/>
        <w:gridCol w:w="109"/>
        <w:gridCol w:w="109"/>
        <w:gridCol w:w="203"/>
        <w:gridCol w:w="437"/>
        <w:gridCol w:w="171"/>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Assets</w:t>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Received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3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and swaption agreements,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(10,726)</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Interest rate swap and swaption agreements, at fair value</w:t>
            </w:r>
            <w:r>
              <w:rPr>
                <w:color w:val="000000"/>
              </w:rPr>
              <w:t xml:space="preserv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under reverse 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16,773 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(12,509)</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(4,207)</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2"/>
        <w:gridCol w:w="292"/>
        <w:gridCol w:w="219"/>
        <w:gridCol w:w="109"/>
        <w:gridCol w:w="109"/>
        <w:gridCol w:w="109"/>
        <w:gridCol w:w="250"/>
        <w:gridCol w:w="827"/>
        <w:gridCol w:w="139"/>
        <w:gridCol w:w="109"/>
        <w:gridCol w:w="109"/>
        <w:gridCol w:w="109"/>
        <w:gridCol w:w="402"/>
        <w:gridCol w:w="835"/>
        <w:gridCol w:w="225"/>
        <w:gridCol w:w="109"/>
        <w:gridCol w:w="109"/>
        <w:gridCol w:w="109"/>
        <w:gridCol w:w="328"/>
        <w:gridCol w:w="1082"/>
        <w:gridCol w:w="185"/>
        <w:gridCol w:w="109"/>
        <w:gridCol w:w="109"/>
        <w:gridCol w:w="109"/>
        <w:gridCol w:w="212"/>
        <w:gridCol w:w="727"/>
        <w:gridCol w:w="117"/>
        <w:gridCol w:w="109"/>
        <w:gridCol w:w="109"/>
        <w:gridCol w:w="109"/>
        <w:gridCol w:w="209"/>
        <w:gridCol w:w="716"/>
        <w:gridCol w:w="116"/>
        <w:gridCol w:w="109"/>
        <w:gridCol w:w="109"/>
        <w:gridCol w:w="109"/>
        <w:gridCol w:w="205"/>
        <w:gridCol w:w="425"/>
        <w:gridCol w:w="170"/>
      </w:tblGrid>
      <w:tr>
        <w:trPr/>
        <w:tc>
          <w:tcPr>
            <w:tcW w:w="5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of Financial and Derivative Liabilities</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Not Offset</w:t>
              <w:br/>
              <w:t xml:space="preserve"> in the </w:t>
              <w:br/>
              <w:t>Consolidated Balance Sheets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Collateral Pledged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0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(79,106)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89,832 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89,832 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(10,726)</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(79,106)</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securities, at fair value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85,292 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85,292 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(12,509)</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(72,783)</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1.Reported under derivative assets / liabilities, at fair value in the accompanying consolidated balance sheets. Refer to Note 5 for a reconciliation of derivative assets / liabilities, at fair value to their sub-components.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2.Includes cash and securities pledged / received as collateral, at fair value. Amounts include repledged collateral. Amounts presented are limited to collateral pledged sufficient to reduce the net amount to zero for individual counterparties, as applicable.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7. Fair Value Measurements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summary of our assets and liabilities that are measured at fair value on a recurring basis, as of June 30, 2026 and December 31, 2025, based on their categorization within the valuation hierarchy (in millions). There were no transfers between valuation hierarchy levels during the periods presented in our accompanying consolidated statements of comprehensive income. </w:t>
      </w:r>
    </w:p>
    <w:tbl>
      <w:tblPr>
        <w:tblW w:w="10205" w:type="dxa"/>
        <w:jc w:val="left"/>
        <w:tblInd w:w="0" w:type="dxa"/>
        <w:tblLayout w:type="fixed"/>
        <w:tblCellMar>
          <w:top w:w="28" w:type="dxa"/>
          <w:left w:w="28" w:type="dxa"/>
          <w:bottom w:w="28" w:type="dxa"/>
          <w:right w:w="28" w:type="dxa"/>
        </w:tblCellMar>
      </w:tblPr>
      <w:tblGrid>
        <w:gridCol w:w="1118"/>
        <w:gridCol w:w="852"/>
        <w:gridCol w:w="843"/>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313"/>
      </w:tblGrid>
      <w:tr>
        <w:trPr/>
        <w:tc>
          <w:tcPr>
            <w:tcW w:w="111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Agency securities transferred to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Credit risk transfer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Non-Agency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U.S.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 to return U.S. Treasury securities borrowed under reverse repurchase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16"/>
              </w:rPr>
              <w:t xml:space="preserve">Interest rate swaps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1.As of June 30, 2026 and December 31, 2025, the net fair value of our interest rate swaps excluding the recognition of variation margin settlements as a direct reduction of carrying value was a net asset (liability) of $2.2 billion and $1.3 billion, respectively, based on “Level 2” inputs.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Excluded from the table above are financial instruments reported at cost and other mortgage credit investments reported under the equity method of accounting in our consolidated financial statements. As of June 30, 2026 and December 31, 2025, the fair value of our repurchase agreements approximated cost, given their short-term nature (less than one year) and the rates on our outstanding repurchase agreements largely corresponded to prevailing rates observed in the repo market. The fair value of cash and cash equivalents, restricted cash, receivables and other payables were determined to approximate cost as of such dates due to their short duration. We estimate the fair value of these instruments carried at cost using “Level 1” or “Level 2” inputs. As of June 30, 2026 and December 31, 2025, the carrying value of other mortgage credit investments reported under the equity method of accounting was $70 million and $70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8. Net Income (Loss) Per Common Share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that were outstanding during the period, which were granted under our long-term incentive program to employees and non-employee members of the Board of Directors (“the Board”). Diluted net income (loss) per common share assumes the issuance of all potential common stock equivalents unless doing so would reduce a loss or increase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27"/>
        <w:gridCol w:w="1593"/>
        <w:gridCol w:w="1604"/>
        <w:gridCol w:w="109"/>
        <w:gridCol w:w="109"/>
        <w:gridCol w:w="109"/>
        <w:gridCol w:w="227"/>
        <w:gridCol w:w="532"/>
        <w:gridCol w:w="124"/>
        <w:gridCol w:w="124"/>
        <w:gridCol w:w="124"/>
        <w:gridCol w:w="124"/>
        <w:gridCol w:w="225"/>
        <w:gridCol w:w="608"/>
        <w:gridCol w:w="124"/>
        <w:gridCol w:w="109"/>
        <w:gridCol w:w="109"/>
        <w:gridCol w:w="109"/>
        <w:gridCol w:w="208"/>
        <w:gridCol w:w="494"/>
        <w:gridCol w:w="115"/>
        <w:gridCol w:w="115"/>
        <w:gridCol w:w="115"/>
        <w:gridCol w:w="115"/>
        <w:gridCol w:w="206"/>
        <w:gridCol w:w="562"/>
        <w:gridCol w:w="115"/>
        <w:gridCol w:w="109"/>
        <w:gridCol w:w="161"/>
      </w:tblGrid>
      <w:tr>
        <w:trPr/>
        <w:tc>
          <w:tcPr>
            <w:tcW w:w="182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fully 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dilutive unvested restricted stock units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c>
          <w:tcPr>
            <w:tcW w:w="12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1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2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0.37 </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1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1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2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0.37 </w:t>
            </w:r>
          </w:p>
        </w:tc>
        <w:tc>
          <w:tcPr>
            <w:tcW w:w="1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w:t>
            </w:r>
          </w:p>
        </w:tc>
        <w:tc>
          <w:tcPr>
            <w:tcW w:w="11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2.3 million and 3.0 million, respectively, of potentially dilutive unvested time and performance based RSUs outstanding were excluded from the computation of diluted net income (loss) per common share because inclusion of such RSUs would have otherwise been anti-dilutive for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to designate and issue up to 10.0 million shares of preferred stock in one or more classes or series. As of June 30, 2026 and December 31, 2025, 13,800, 10,350, 16,100, 23,000, 6,900 and 13,800 shares of preferred stock were designated as 7.00% Series C Fixed-to-Floating Rate Cumulative Redeemable Preferred Stock, 6.875% Series D Fixed-to-Floating Rate Cumulative Redeemable Preferred Stock, 6.50% Series E Fixed-to-Floating Rate Cumulative Redeemable Preferred Stock, 6.125% Series F Fixed-to-Floating Rate Cumulative Redeemable Preferred Stock, 7.75% Series G Fixed-Rate Reset Cumulative Redeemable Preferred Stock and 8.75% Series H Fixed-Rate Cumulative Redeemable Preferred stock, respectively, (referred to as “Series C, D, E, F, G and H Preferred Stock”, respectively). As of June 30, 2026 and December 31, 2025, 13,000, 9,400, 16,100, 23,000, 6,000 and 13,800 shares of Series C, D, E, F, G and H Preferred Stock, respectively, were issued and outstanding. Each share of preferred stock is represented by 1,000 depositary shares. Each share of preferred stock has a liquidation preference of $25,000 per share ($25 per depositary share).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a summary of preferred stock depositary shares issued and outstanding as of June 30, 2026 (dollars and shares in millions):</w:t>
      </w:r>
    </w:p>
    <w:tbl>
      <w:tblPr>
        <w:tblW w:w="10205" w:type="dxa"/>
        <w:jc w:val="center"/>
        <w:tblInd w:w="0" w:type="dxa"/>
        <w:tblLayout w:type="fixed"/>
        <w:tblCellMar>
          <w:top w:w="28" w:type="dxa"/>
          <w:left w:w="28" w:type="dxa"/>
          <w:bottom w:w="28" w:type="dxa"/>
          <w:right w:w="28" w:type="dxa"/>
        </w:tblCellMar>
      </w:tblPr>
      <w:tblGrid>
        <w:gridCol w:w="745"/>
        <w:gridCol w:w="481"/>
        <w:gridCol w:w="482"/>
        <w:gridCol w:w="109"/>
        <w:gridCol w:w="109"/>
        <w:gridCol w:w="109"/>
        <w:gridCol w:w="415"/>
        <w:gridCol w:w="272"/>
        <w:gridCol w:w="247"/>
        <w:gridCol w:w="109"/>
        <w:gridCol w:w="109"/>
        <w:gridCol w:w="109"/>
        <w:gridCol w:w="310"/>
        <w:gridCol w:w="310"/>
        <w:gridCol w:w="311"/>
        <w:gridCol w:w="109"/>
        <w:gridCol w:w="109"/>
        <w:gridCol w:w="109"/>
        <w:gridCol w:w="181"/>
        <w:gridCol w:w="496"/>
        <w:gridCol w:w="109"/>
        <w:gridCol w:w="109"/>
        <w:gridCol w:w="109"/>
        <w:gridCol w:w="109"/>
        <w:gridCol w:w="261"/>
        <w:gridCol w:w="716"/>
        <w:gridCol w:w="158"/>
        <w:gridCol w:w="109"/>
        <w:gridCol w:w="109"/>
        <w:gridCol w:w="109"/>
        <w:gridCol w:w="325"/>
        <w:gridCol w:w="325"/>
        <w:gridCol w:w="326"/>
        <w:gridCol w:w="109"/>
        <w:gridCol w:w="109"/>
        <w:gridCol w:w="109"/>
        <w:gridCol w:w="501"/>
        <w:gridCol w:w="501"/>
        <w:gridCol w:w="502"/>
        <w:gridCol w:w="109"/>
        <w:gridCol w:w="160"/>
      </w:tblGrid>
      <w:tr>
        <w:trPr/>
        <w:tc>
          <w:tcPr>
            <w:tcW w:w="74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Depositary</w:t>
              <w:br/>
              <w:t>Shares</w:t>
              <w:br/>
              <w:t>Issued</w:t>
              <w:br/>
              <w:t>and</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Aggregate</w:t>
              <w:br/>
              <w:t>Liquidation Preference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 Annum Dividend</w:t>
            </w:r>
          </w:p>
          <w:p>
            <w:pPr>
              <w:pStyle w:val="TableContents"/>
              <w:bidi w:val="0"/>
              <w:spacing w:lineRule="auto" w:line="240" w:before="0" w:after="0"/>
              <w:jc w:val="center"/>
              <w:rPr/>
            </w:pPr>
            <w:r>
              <w:rPr>
                <w:rFonts w:ascii="Times New Roman;serif" w:hAnsi="Times New Roman;serif"/>
                <w:b/>
                <w:color w:val="000000"/>
                <w:sz w:val="16"/>
              </w:rPr>
              <w:t xml:space="preserve">Rate </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Optional</w:t>
            </w:r>
          </w:p>
          <w:p>
            <w:pPr>
              <w:pStyle w:val="TableContents"/>
              <w:bidi w:val="0"/>
              <w:spacing w:lineRule="auto" w:line="240" w:before="0" w:after="0"/>
              <w:jc w:val="center"/>
              <w:rPr/>
            </w:pPr>
            <w:r>
              <w:rPr>
                <w:rFonts w:ascii="Times New Roman;serif" w:hAnsi="Times New Roman;serif"/>
                <w:b/>
                <w:color w:val="000000"/>
                <w:sz w:val="16"/>
              </w:rPr>
              <w:t xml:space="preserve">Redemption Date / Conversion Date </w:t>
            </w:r>
            <w:r>
              <w:rPr>
                <w:rFonts w:ascii="Times New Roman;serif" w:hAnsi="Times New Roman;serif"/>
                <w:b/>
                <w:color w:val="000000"/>
                <w:sz w:val="10"/>
              </w:rPr>
              <w:t>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Fixed-to-Floating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August 22,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9.05213%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6,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8.27313%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3,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8.93413%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February 11,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8.63813%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April 15,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 Reset: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14,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2027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Series 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October 15, 2030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 depositary shares underlying our preferred stock accrue dividends on the $25.00 liquidation preference per depositary share from the issuance date until they are redeemed in accordance with their terms. The per annum dividend rates for the depositary shares underlying the Series C, D, E and F Preferred Stock represent the rates in effect as of June 30, 2026, and are reset quarterly. The depositary shares underlying the Series 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Preferred Stock accrue dividends at an initial annual fixed rate until the fixed-rate-reset conversion date, after which dividends on these depositary shares accrue on a fixed-rate-reset basis equal to the conversion rate plus a fixed spread. The depositary shares underlying the Series H Preferred Stock accrue dividends at a fixed rate.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Series C, D, E and F dividends accrue at a rate equal to the 3-Month CME Term SOFR plus 0.26161%, plus spreads of 5.111%, 4.332%, 4.993% and 4.697%, respectively, per annum, resetting quarterly in accordance with the certificate of designations for such series and the Adjustable Interest Rate (LIBOR) Act of 2021 (the “LIBOR Act”). At the conclusion of the fixed rate period for the Series G Preferred Stock, the dividend will accrue at a floating rate equal to the 5-Year US Treasury rate plus a spread of 4.39% per annum and will reset in accordance with the certificate of designations for such series.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3.Shares may be redeemed prior to our optional redemption date under certain circumstances intended to preserve our qualification as a REIT for U.S federal income tax purposes.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At-the-Market Offering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authorized by our Board of Directors to enter into agreements with sales agents to publicly offer and sell shares of our common stock in privately negotiated and/or at-the-market transactions from time-to-time under two separate at-the-market programs, up to a maximum aggregate offering price under each program. As of June 30, 2026, shares of our common stock with an aggregate offering price of $0.1 billion remained authorized for issuance through December 31, 2026 under one program and $2.0 billion remained authorized for issuance through December 31, 2027 under a second program. The following table includes a summary of shares of our common stock issued under the sales agreements during the three and six months ended June 30, 2026 and 2025 (in millions, except for per share data). </w:t>
      </w:r>
    </w:p>
    <w:tbl>
      <w:tblPr>
        <w:tblW w:w="7689" w:type="dxa"/>
        <w:jc w:val="center"/>
        <w:tblInd w:w="0" w:type="dxa"/>
        <w:tblLayout w:type="fixed"/>
        <w:tblCellMar>
          <w:top w:w="28" w:type="dxa"/>
          <w:left w:w="28" w:type="dxa"/>
          <w:bottom w:w="28" w:type="dxa"/>
          <w:right w:w="28" w:type="dxa"/>
        </w:tblCellMar>
      </w:tblPr>
      <w:tblGrid>
        <w:gridCol w:w="593"/>
        <w:gridCol w:w="520"/>
        <w:gridCol w:w="522"/>
        <w:gridCol w:w="109"/>
        <w:gridCol w:w="109"/>
        <w:gridCol w:w="109"/>
        <w:gridCol w:w="979"/>
        <w:gridCol w:w="979"/>
        <w:gridCol w:w="982"/>
        <w:gridCol w:w="109"/>
        <w:gridCol w:w="109"/>
        <w:gridCol w:w="109"/>
        <w:gridCol w:w="318"/>
        <w:gridCol w:w="318"/>
        <w:gridCol w:w="325"/>
        <w:gridCol w:w="109"/>
        <w:gridCol w:w="109"/>
        <w:gridCol w:w="109"/>
        <w:gridCol w:w="364"/>
        <w:gridCol w:w="354"/>
        <w:gridCol w:w="454"/>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ATM Offerings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Received Per Share,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Proceeds</w:t>
            </w:r>
          </w:p>
        </w:tc>
      </w:tr>
      <w:tr>
        <w:trPr/>
        <w:tc>
          <w:tcPr>
            <w:tcW w:w="16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erif" w:hAnsi="Times New Roman;serif"/>
                <w:b w:val="false"/>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$167</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$799</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   </w:t>
            </w:r>
            <w:r>
              <w:rPr>
                <w:rFonts w:ascii="Times New Roman;serif" w:hAnsi="Times New Roman;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CCEE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68" w:before="180" w:after="283"/>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$568</w:t>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450"/>
              <w:jc w:val="right"/>
              <w:rPr>
                <w:rFonts w:ascii="Times New Roman;serif" w:hAnsi="Times New Roman;serif"/>
                <w:b w:val="false"/>
                <w:color w:val="000000"/>
                <w:sz w:val="16"/>
              </w:rPr>
            </w:pPr>
            <w:r>
              <w:rPr>
                <w:rFonts w:ascii="Times New Roman;serif" w:hAnsi="Times New Roman;serif"/>
                <w:b w:val="false"/>
                <w:color w:val="000000"/>
                <w:sz w:val="16"/>
              </w:rPr>
              <w:t>$1,308</w:t>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to accumulated OCI for the three and six months ended June 30, 2026 and 2025 (in millions):</w:t>
      </w:r>
    </w:p>
    <w:tbl>
      <w:tblPr>
        <w:tblW w:w="10205" w:type="dxa"/>
        <w:jc w:val="center"/>
        <w:tblInd w:w="0" w:type="dxa"/>
        <w:tblLayout w:type="fixed"/>
        <w:tblCellMar>
          <w:top w:w="28" w:type="dxa"/>
          <w:left w:w="28" w:type="dxa"/>
          <w:bottom w:w="28" w:type="dxa"/>
          <w:right w:w="28" w:type="dxa"/>
        </w:tblCellMar>
      </w:tblPr>
      <w:tblGrid>
        <w:gridCol w:w="2065"/>
        <w:gridCol w:w="1744"/>
        <w:gridCol w:w="1748"/>
        <w:gridCol w:w="109"/>
        <w:gridCol w:w="109"/>
        <w:gridCol w:w="109"/>
        <w:gridCol w:w="196"/>
        <w:gridCol w:w="463"/>
        <w:gridCol w:w="109"/>
        <w:gridCol w:w="109"/>
        <w:gridCol w:w="109"/>
        <w:gridCol w:w="109"/>
        <w:gridCol w:w="196"/>
        <w:gridCol w:w="463"/>
        <w:gridCol w:w="109"/>
        <w:gridCol w:w="109"/>
        <w:gridCol w:w="109"/>
        <w:gridCol w:w="109"/>
        <w:gridCol w:w="196"/>
        <w:gridCol w:w="463"/>
        <w:gridCol w:w="109"/>
        <w:gridCol w:w="109"/>
        <w:gridCol w:w="109"/>
        <w:gridCol w:w="109"/>
        <w:gridCol w:w="196"/>
        <w:gridCol w:w="463"/>
        <w:gridCol w:w="109"/>
        <w:gridCol w:w="109"/>
        <w:gridCol w:w="159"/>
      </w:tblGrid>
      <w:tr>
        <w:trPr/>
        <w:tc>
          <w:tcPr>
            <w:tcW w:w="2065"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5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Beginning Balance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OCI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 loss amounts for available-for-sale securities reclassified from accumulated OCI to realized gain (loss) on sale of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Segment Reporting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portfolio consists primarily of Agency RMBS, and we fund our investments primarily through collateralized borrowings structured as repurchase agreements. As part of our operations, we are exposed to market risks, including interest rate, prepayment, extension, spread, and credit risks.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portfolio is managed as a whole, with investment and hedging decisions assessed collectively by the Chief Operating Decision Maker (CODM). The CODM, represented by our Chief Executive Officer with the support of our Executive Management Committee, allocates resources and evaluates financial performance by considering the market risks identified above. The CODM also considers factors such as total assets and repurchase agreements outstanding, as reported on the consolidated balance sheet; our TBA position, as disclosed in Note 5. </w:t>
      </w:r>
      <w:r>
        <w:rPr>
          <w:rFonts w:ascii="Times New Roman;serif" w:hAnsi="Times New Roman;serif"/>
          <w:b w:val="false"/>
          <w:i/>
          <w:color w:val="000000"/>
          <w:sz w:val="20"/>
        </w:rPr>
        <w:t>Derivative and Other Hedging Instruments</w:t>
      </w:r>
      <w:r>
        <w:rPr>
          <w:rFonts w:ascii="Times New Roman;serif" w:hAnsi="Times New Roman;serif"/>
          <w:b w:val="false"/>
          <w:color w:val="000000"/>
          <w:sz w:val="20"/>
        </w:rPr>
        <w:t>; our ability to hedge certain risks; and our intention to qualify as a REIT. Consequently, the Company operates as a single reportable segment, as reflected in the accompanying consolidated financial statements and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using comprehensive income (loss), as reported on the consolidated statement of comprehensive income (loss). Comprehensive income (loss) is a key determinant of the Company’s economic return, calculated as the change in tangible stockholders’ equity attributable to common stockholders plus common stock dividends declared, divided by the prior period’s ending tangible stockholders’ equity attributable to common stockholders, each computed on a 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common share basis. This measure is used to monitor actual results, benchmark performance against peers, and inform management’s compensation. Additionally, the CODM also evaluates consolidated expense information, including interest expense, compensation and benefits, and other operating expenses, as significant metrics in decision-making.</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Management’s Discussion and Analysis of Financial Condition and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2026. Our MD&amp;A is presented in the following sections: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Executive Overview</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Financial Condition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Off-Balance Sheet Arrangements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Website and Social Media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Agency multifamily MBS that are similarly guaranteed by a GSE and in other assets related to the housing, mortgage or real estate markets that are not guaranteed by a GSE or U.S. Government agency.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are internally managed with the principal objective of generating favorable long-term stockholder returns with a substantial yield component. We generate income from the interest 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employ an active management strategy that is dynamic and responsive to evolving market conditions. The composition of our portfolio and our investment, funding, and hedging strategies are tailored to reflect our analysis of market conditions and the relative values of available options.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 </w:t>
      </w:r>
    </w:p>
    <w:p>
      <w:pPr>
        <w:pStyle w:val="TextBody"/>
        <w:bidi w:val="0"/>
        <w:spacing w:before="0" w:after="0"/>
        <w:ind w:left="0" w:right="0" w:firstLine="495"/>
        <w:jc w:val="both"/>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Trends and Recent Market Impacts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 Trends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investment environment during the second quarter of 2026 was shaped by heightened geopolitical uncertainty as escalating rhetoric and hostilities between the United States and Iran dominated financial market performance. With ship traffic through the Strait of Hormuz severely constrained, elevated energy prices and supply chain disruptions became the primary macroeconomic concerns. These developments caused Treasury yields to increase, the yield curve to flatten, and market expectations for Federal Reserve policy to shift from anticipated rate cuts toward potential rate hikes by year-end. Despite this challenging backdrop, Agency RMBS generated a positive excess return relative to U.S. Treasuries for the fifth consecutive quarter, contributing to AGNC's economic return on tangible common equity per share of 6.7%, comprised of our monthly dividend and the improvement in tangible book value.</w:t>
      </w:r>
      <w:r>
        <w:rPr>
          <w:rFonts w:ascii="Times New Roman;serif" w:hAnsi="Times New Roman;serif"/>
          <w:b w:val="false"/>
          <w:color w:val="000000"/>
          <w:sz w:val="13"/>
        </w:rPr>
        <w:t>1</w:t>
      </w:r>
      <w:r>
        <w:rPr>
          <w:color w:val="000000"/>
        </w:rPr>
        <w:t xml:space="preserve"> </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 xml:space="preserve">Agency RMBS Performance Drivers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aggregate, Agency RMBS in the second quarter outperformed both Treasury and swap-based hedges, with performance varying meaningfully by coupon and hedge type. Higher-coupon and production-coupon Agency RMBS outperformed lower-coupon securities as rising interest rates reduced both expected supply and prepayment concerns, reversing the coupon performance observed in the first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Agency RMBS hedged with interest rate swaps also outperformed Treasury-hedged positions. At quarter-end, the spread differential between a current-coupon mortgage-backed security and a blend of hedges was approximately 145 basis points across the swap curve and 115 basis points across the Treasury curve, compared to approximately 170 basis points and 135 basis points, respectively, as of March 31, 2026. At June 30, 2026 spread levels, Agency RMBS were trading near the midpoint of our expected range. </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Market Outlook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Looking forward, our outlook for Agency RMBS remains constructive. With primary mortgage rates remaining well above 6.0%, net new Agency RMBS supply is estimated to be approximately $150 billion this year, materially below expectations at the beginning of the year. Elevated mortgage rates have also slowed prepayment activity, reducing expected Federal Reserve portfolio runoff. At the same time, demand for Agency RMBS has remained strong, supported by more than $400 billion of bond fund inflows during the first six months of the year and continued demand from banks, foreign investors, and REITs. Agency RMBS spreads remain wide by historical standards despite improving supply-demand fundamentals, while corporate bond spreads remain near historic tights despite record issuance and rising credit concerns. Accordingly, we believe Agency RMBS continue to offer compelling relative value. Once geopolitical and monetary policy uncertainty subsides, these constructive dynamics should become more apparent and, over time, support favorable Agency RMBS performance.</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Portfolio and Summary Financial Highlights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AGNC generated total comprehensive income of $0.52 per diluted common share and an economic return on tangible common equity per share of 6.7% for the second quarter, consisting of $0.36 of dividends declared per common share during the second quarter and a $0.20 increase in tangible net book value per common share. This compares to a total comprehensive loss of $(0.18) per diluted common share and an economic loss of -1.6% per common share for the first quarter of 2026.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spread and dollar roll income (a non-GAAP measure) was $0.40 per diluted common share, compared to $0.42 in the prior quarter. The decrease primarily reflects a 6-basis point decline in net interest spread for the second quarter driven by lower asset yields associated with portfolio repositioning, partly offset by modestly lower funding costs.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At June 30, 2026, our investment portfolio, inclusive of TBAs, totaled $97.2 billion, compared to $94.7 billion as of March 31, 2026. During the second quarter, we added approximately $2.2 billion of primarily intermediate-coupon specified pools and repositioned a portion of the portfolio from lower-coupon into higher-coupon holdings. As a result, the weighted average coupon at quarter-end increased to 5.04% from 4.95% as of March 31, 2026, while the portion of our fixed-rate portfolio with favorable prepayment attributes (“specified pools”) increased to 79% from 77% as of March 31, 2026.</w:t>
      </w:r>
      <w:r>
        <w:rPr>
          <w:rFonts w:ascii="Times New Roman;serif" w:hAnsi="Times New Roman;serif"/>
          <w:b w:val="false"/>
          <w:color w:val="000000"/>
          <w:sz w:val="13"/>
        </w:rPr>
        <w:t>2</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average projected life Constant Prepayment Rate ("CPR") for our portfolio declined to 8.6% at quarter-end from 10.3% as of March 31, 2026, primarily reflecting coupon and TBA versus specified pool repositioning. Actual CPRs averaged 13.0% during the quarter, largely unchanged from 13.2% in the prior quarter.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30, 2026, "at-risk" leverage was 7.4x tangible equity, unchanged from March 31, 2026, while average leverage for the quarter also remained at 7.4x, unchanged from the first quarter. AGNC ended the quarter with $7.5 billion of unencumbered cash and Agency RMBS, representing 62% of tangible equity, compared to $7.0 billion and 60%, respectively, at March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our hedge ratio was 82%, reflecting the level of interest rate swap and U.S. Treasury hedges (excluding option-based hedges) relative to total funding liabilities, compared to 83% as of March 31, 2026.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notional balance of our interest rate swaps decreased to $73.8 billion, representing 83% of our funding liabilities as of June 30, 2026, compared to $76.5 billion and 89%, respectively, as of March 31, 2026. Our duration gap, which measures the estimated difference between the interest rate sensitivity of our assets and liabilities, including hedges, was 0.7 years as of quarter-end, unchanged from March 31, 2026. We continued to favor a positive duration gap given the current level of interest rates, the convexity profile of our portfolio, and the additional prepayment protection it provides in a declining interest rate environment.</w:t>
      </w:r>
    </w:p>
    <w:p>
      <w:pPr>
        <w:pStyle w:val="TextBody"/>
        <w:bidi w:val="0"/>
        <w:spacing w:lineRule="auto" w:line="276" w:before="180" w:after="283"/>
        <w:ind w:left="0" w:right="0" w:firstLine="450"/>
        <w:jc w:val="both"/>
        <w:rPr/>
      </w:pPr>
      <w:r>
        <w:rPr>
          <w:rFonts w:ascii="Times New Roman;serif" w:hAnsi="Times New Roman;serif"/>
          <w:b w:val="false"/>
          <w:color w:val="000000"/>
          <w:sz w:val="20"/>
        </w:rPr>
        <w:t xml:space="preserve">For information regarding non-GAAP financial measures, including reconciliations to the most comparable GAAP measure, please refer to Results of Operations included in this MD&amp;A below. For information regarding the sensitivity of our tangible net book value per common share to changes in interest rates and mortgage spreads, please refer to Item 3.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this form 10-Q.</w:t>
      </w:r>
    </w:p>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1.Economic return represents the sum of the change in tangible net book value per common share and dividends declared per share of common stock during the period over beginning tangible net book value per common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2.Specified pools include pools backed by loans with characteristics related to loan size, borrower credit profiles, loan-to-value ratios, geographic concentrations, occupancy types, and other characteristics that are expected to result in more favorable prepayment behavior than generic TBA-eligible collateral.</w:t>
      </w:r>
    </w:p>
    <w:p>
      <w:pPr>
        <w:pStyle w:val="TextBody"/>
        <w:bidi w:val="0"/>
        <w:spacing w:before="0" w:after="0"/>
        <w:jc w:val="both"/>
        <w:rPr/>
      </w:pPr>
      <w:r>
        <w:rPr/>
      </w:r>
    </w:p>
    <w:p>
      <w:pPr>
        <w:pStyle w:val="TextBody"/>
        <w:bidi w:val="0"/>
        <w:spacing w:lineRule="auto" w:line="288" w:before="180" w:after="160"/>
        <w:jc w:val="both"/>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benchmark interest rates and prices of generic fixed rate Agency RMBS as of each date presented below: </w:t>
      </w:r>
    </w:p>
    <w:tbl>
      <w:tblPr>
        <w:tblW w:w="10205" w:type="dxa"/>
        <w:jc w:val="left"/>
        <w:tblInd w:w="0" w:type="dxa"/>
        <w:tblLayout w:type="fixed"/>
        <w:tblCellMar>
          <w:top w:w="28" w:type="dxa"/>
          <w:left w:w="28" w:type="dxa"/>
          <w:bottom w:w="28" w:type="dxa"/>
          <w:right w:w="28" w:type="dxa"/>
        </w:tblCellMar>
      </w:tblPr>
      <w:tblGrid>
        <w:gridCol w:w="691"/>
        <w:gridCol w:w="495"/>
        <w:gridCol w:w="500"/>
        <w:gridCol w:w="109"/>
        <w:gridCol w:w="109"/>
        <w:gridCol w:w="109"/>
        <w:gridCol w:w="374"/>
        <w:gridCol w:w="239"/>
        <w:gridCol w:w="230"/>
        <w:gridCol w:w="109"/>
        <w:gridCol w:w="109"/>
        <w:gridCol w:w="109"/>
        <w:gridCol w:w="379"/>
        <w:gridCol w:w="234"/>
        <w:gridCol w:w="235"/>
        <w:gridCol w:w="109"/>
        <w:gridCol w:w="109"/>
        <w:gridCol w:w="109"/>
        <w:gridCol w:w="364"/>
        <w:gridCol w:w="248"/>
        <w:gridCol w:w="220"/>
        <w:gridCol w:w="109"/>
        <w:gridCol w:w="109"/>
        <w:gridCol w:w="109"/>
        <w:gridCol w:w="379"/>
        <w:gridCol w:w="234"/>
        <w:gridCol w:w="235"/>
        <w:gridCol w:w="109"/>
        <w:gridCol w:w="109"/>
        <w:gridCol w:w="109"/>
        <w:gridCol w:w="374"/>
        <w:gridCol w:w="239"/>
        <w:gridCol w:w="230"/>
        <w:gridCol w:w="109"/>
        <w:gridCol w:w="109"/>
        <w:gridCol w:w="109"/>
        <w:gridCol w:w="210"/>
        <w:gridCol w:w="211"/>
        <w:gridCol w:w="137"/>
        <w:gridCol w:w="149"/>
        <w:gridCol w:w="137"/>
        <w:gridCol w:w="137"/>
        <w:gridCol w:w="109"/>
        <w:gridCol w:w="109"/>
        <w:gridCol w:w="109"/>
        <w:gridCol w:w="210"/>
        <w:gridCol w:w="211"/>
        <w:gridCol w:w="134"/>
        <w:gridCol w:w="147"/>
        <w:gridCol w:w="134"/>
        <w:gridCol w:w="199"/>
      </w:tblGrid>
      <w:tr>
        <w:trPr/>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Rate/Security Price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2025</w:t>
            </w:r>
          </w:p>
        </w:tc>
      </w:tr>
      <w:tr>
        <w:trPr/>
        <w:tc>
          <w:tcPr>
            <w:tcW w:w="16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Target Federal Funds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Target Federal Funds Rate - Upper Band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SOFR Interest Rate Swap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U.S. Treasury Security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5-Year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10-Year 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30-Year 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30-Year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-$0.92</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-$1.32</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-$1.68</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-$1.42</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-$0.46</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-$0.48</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15-Year Fixed Rate Agency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-$1.20</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-$1.32</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-$0.95</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-$1.85</w:t>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w:t>
            </w:r>
          </w:p>
        </w:tc>
      </w:tr>
    </w:tbl>
    <w:p>
      <w:pPr>
        <w:pStyle w:val="TextBody"/>
        <w:bidi w:val="0"/>
        <w:spacing w:lineRule="auto" w:line="288" w:before="180" w:after="2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1.Price information is for generic instruments only and is not reflective of our specific portfolio holdings. Price information is as of 3:00 p.m. (EST) on such date and can vary by source. Price information is sourced from Barclays. Interest rate information is sourced from Bloomberg.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mortgage and credit spreads as of each date presented below: </w:t>
      </w:r>
    </w:p>
    <w:tbl>
      <w:tblPr>
        <w:tblW w:w="10205" w:type="dxa"/>
        <w:jc w:val="left"/>
        <w:tblInd w:w="0" w:type="dxa"/>
        <w:tblLayout w:type="fixed"/>
        <w:tblCellMar>
          <w:top w:w="28" w:type="dxa"/>
          <w:left w:w="28" w:type="dxa"/>
          <w:bottom w:w="28" w:type="dxa"/>
          <w:right w:w="28" w:type="dxa"/>
        </w:tblCellMar>
      </w:tblPr>
      <w:tblGrid>
        <w:gridCol w:w="867"/>
        <w:gridCol w:w="764"/>
        <w:gridCol w:w="767"/>
        <w:gridCol w:w="109"/>
        <w:gridCol w:w="109"/>
        <w:gridCol w:w="109"/>
        <w:gridCol w:w="225"/>
        <w:gridCol w:w="225"/>
        <w:gridCol w:w="226"/>
        <w:gridCol w:w="109"/>
        <w:gridCol w:w="109"/>
        <w:gridCol w:w="109"/>
        <w:gridCol w:w="230"/>
        <w:gridCol w:w="230"/>
        <w:gridCol w:w="231"/>
        <w:gridCol w:w="109"/>
        <w:gridCol w:w="109"/>
        <w:gridCol w:w="109"/>
        <w:gridCol w:w="215"/>
        <w:gridCol w:w="215"/>
        <w:gridCol w:w="217"/>
        <w:gridCol w:w="109"/>
        <w:gridCol w:w="109"/>
        <w:gridCol w:w="109"/>
        <w:gridCol w:w="230"/>
        <w:gridCol w:w="230"/>
        <w:gridCol w:w="231"/>
        <w:gridCol w:w="109"/>
        <w:gridCol w:w="109"/>
        <w:gridCol w:w="109"/>
        <w:gridCol w:w="225"/>
        <w:gridCol w:w="225"/>
        <w:gridCol w:w="226"/>
        <w:gridCol w:w="109"/>
        <w:gridCol w:w="109"/>
        <w:gridCol w:w="109"/>
        <w:gridCol w:w="241"/>
        <w:gridCol w:w="183"/>
        <w:gridCol w:w="136"/>
        <w:gridCol w:w="148"/>
        <w:gridCol w:w="136"/>
        <w:gridCol w:w="136"/>
        <w:gridCol w:w="109"/>
        <w:gridCol w:w="109"/>
        <w:gridCol w:w="109"/>
        <w:gridCol w:w="210"/>
        <w:gridCol w:w="211"/>
        <w:gridCol w:w="133"/>
        <w:gridCol w:w="182"/>
        <w:gridCol w:w="182"/>
        <w:gridCol w:w="239"/>
      </w:tblGrid>
      <w:tr>
        <w:trPr/>
        <w:tc>
          <w:tcPr>
            <w:tcW w:w="86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Mortgage Rate/Credit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 31, 2025</w:t>
            </w:r>
          </w:p>
        </w:tc>
      </w:tr>
      <w:tr>
        <w:trPr/>
        <w:tc>
          <w:tcPr>
            <w:tcW w:w="23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Mortgage Rate: </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10-Year U.S. Treasury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2/5/10-Year U.S. Treasury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 to 2/5/10-Year Swap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2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6"/>
            <w:tcBorders/>
          </w:tcPr>
          <w:p>
            <w:pPr>
              <w:pStyle w:val="TableContents"/>
              <w:bidi w:val="0"/>
              <w:spacing w:before="0" w:after="283"/>
              <w:jc w:val="left"/>
              <w:rPr>
                <w:sz w:val="4"/>
                <w:szCs w:val="4"/>
              </w:rPr>
            </w:pPr>
            <w:r>
              <w:rPr>
                <w:sz w:val="4"/>
                <w:szCs w:val="4"/>
              </w:rPr>
            </w:r>
          </w:p>
        </w:tc>
      </w:tr>
      <w:tr>
        <w:trPr/>
        <w:tc>
          <w:tcPr>
            <w:tcW w:w="2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firstLine="180"/>
              <w:jc w:val="left"/>
              <w:rPr>
                <w:sz w:val="4"/>
                <w:szCs w:val="4"/>
              </w:rPr>
            </w:pPr>
            <w:r>
              <w:rPr>
                <w:sz w:val="4"/>
                <w:szCs w:val="4"/>
              </w:rPr>
            </w:r>
          </w:p>
        </w:tc>
        <w:tc>
          <w:tcPr>
            <w:tcW w:w="1157" w:type="dxa"/>
            <w:gridSpan w:val="6"/>
            <w:tcBorders/>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Agency Current Coupon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Mortgage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Credit Spread (in bps): </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 M2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CMBS 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CDX 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bl>
    <w:p>
      <w:pPr>
        <w:pStyle w:val="TextBody"/>
        <w:bidi w:val="0"/>
        <w:spacing w:lineRule="auto" w:line="288" w:before="1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1.30-Year Current Coupon Yield represents the yield on new production Agency RMBS. 30-Year Current Coupon Yields are sourced from Bloomberg and 30-Year Mortgage Rates are sourced from Clear Blue.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2.CRT and CDX spreads sourced from JP Morgan. CMBS spreads are the average of spreads sourced from Bank of America, JP Morgan and Wells Fargo.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our investment portfolio totaled $97.2 billion and $94.8 billion, respectively, consisting of: $86.8 billion and $81.1 billion Agency RMBS, at fair value, respectively; $9.7 billion and $13.0 billion net TBA securities, at fair value, respectively; $0.6 billion and $0.6 billion CRT, non-Agency RMBS and CMBS, at fair value, respectively; and other mortgage credit investments of $70 million and $70 million, respectively, which we account for under the equity method of accounting. The following table is a summary of our investment securities (including TBA securities) as of June 30, 2026 and December 31, 2025 (dollars in millions): </w:t>
      </w:r>
    </w:p>
    <w:tbl>
      <w:tblPr>
        <w:tblW w:w="10680" w:type="dxa"/>
        <w:jc w:val="center"/>
        <w:tblInd w:w="0" w:type="dxa"/>
        <w:tblLayout w:type="fixed"/>
        <w:tblCellMar>
          <w:top w:w="28" w:type="dxa"/>
          <w:left w:w="28" w:type="dxa"/>
          <w:bottom w:w="28" w:type="dxa"/>
          <w:right w:w="28" w:type="dxa"/>
        </w:tblCellMar>
      </w:tblPr>
      <w:tblGrid>
        <w:gridCol w:w="527"/>
        <w:gridCol w:w="291"/>
        <w:gridCol w:w="293"/>
        <w:gridCol w:w="109"/>
        <w:gridCol w:w="109"/>
        <w:gridCol w:w="109"/>
        <w:gridCol w:w="196"/>
        <w:gridCol w:w="646"/>
        <w:gridCol w:w="109"/>
        <w:gridCol w:w="109"/>
        <w:gridCol w:w="109"/>
        <w:gridCol w:w="109"/>
        <w:gridCol w:w="196"/>
        <w:gridCol w:w="646"/>
        <w:gridCol w:w="109"/>
        <w:gridCol w:w="109"/>
        <w:gridCol w:w="109"/>
        <w:gridCol w:w="109"/>
        <w:gridCol w:w="295"/>
        <w:gridCol w:w="171"/>
        <w:gridCol w:w="379"/>
        <w:gridCol w:w="109"/>
        <w:gridCol w:w="109"/>
        <w:gridCol w:w="109"/>
        <w:gridCol w:w="210"/>
        <w:gridCol w:w="211"/>
        <w:gridCol w:w="241"/>
        <w:gridCol w:w="109"/>
        <w:gridCol w:w="109"/>
        <w:gridCol w:w="109"/>
        <w:gridCol w:w="196"/>
        <w:gridCol w:w="646"/>
        <w:gridCol w:w="109"/>
        <w:gridCol w:w="109"/>
        <w:gridCol w:w="109"/>
        <w:gridCol w:w="109"/>
        <w:gridCol w:w="196"/>
        <w:gridCol w:w="646"/>
        <w:gridCol w:w="109"/>
        <w:gridCol w:w="109"/>
        <w:gridCol w:w="109"/>
        <w:gridCol w:w="109"/>
        <w:gridCol w:w="316"/>
        <w:gridCol w:w="240"/>
        <w:gridCol w:w="379"/>
        <w:gridCol w:w="109"/>
        <w:gridCol w:w="109"/>
        <w:gridCol w:w="109"/>
        <w:gridCol w:w="210"/>
        <w:gridCol w:w="211"/>
        <w:gridCol w:w="286"/>
      </w:tblGrid>
      <w:tr>
        <w:trPr/>
        <w:tc>
          <w:tcPr>
            <w:tcW w:w="5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Investment Securities (Includes TBAs)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Coupon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 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15-year TBA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20-year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TBA securities, net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rate Agency RMBS and TBA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Adjustable rate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 Agency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CMO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Interest-only strips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0.52 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Principal-only strips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CMO Agency RMBS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Agency RMBS and TBA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Non-Agency RMBS </w:t>
            </w:r>
            <w:r>
              <w:rPr>
                <w:rFonts w:ascii="Times New Roman;serif" w:hAnsi="Times New Roman;serif"/>
                <w:b w:val="false"/>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CMBS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investment securities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excludes other mortgage credit investments of $70 million and $70 million as of June 30, 2026 and December 31,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2.TBA securities are presented net of long and short positions. For further details of our TBA securities refer to Note 5 of our Consolidated Financial Statements in this Form 10-Q</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coupon excludes interest-only and principal-only securities.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TBA securities are recorded as derivative instruments in our accompanying consolidated financial statements, and our TBA dollar roll transactions represent a form of off-balance sheet financing. As of June 30, 2026 and December 31, 2025, our TBA securities had a net carrying value of $52 million and $71 million, respectively, reported in derivative assets/(liabilities) on our accompanying consolidated balance sheets. The net carrying value represents the difference between the fair value of the underlying security in the TBA contract and the price to be paid or received for the underlying security.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weighted average yield on our investment securities (excluding TBA and forward settling securities) was 4.91% and 4.93%,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certain characteristics of our fixed rate Agency RMBS portfolio, inclusive of TBA securities, as of June 30, 2026 and December 31, 2025 (dollars in millions): </w:t>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3.08%</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1.Specified pools include pools backed by loans with characteristics related to loan size, borrower credit profiles, loan-to-value ratios, geographic concentrations, occupancy types, and other characteristics that are expected to result in more favorable prepayment behavior than generic TBA-eligible collateral.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2.Portfolio yield incorporates a projected life CPR based on forward rate assumptions as of June 30, 2026.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tbl>
      <w:tblPr>
        <w:tblW w:w="11226"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50"/>
        <w:gridCol w:w="250"/>
        <w:gridCol w:w="251"/>
        <w:gridCol w:w="109"/>
        <w:gridCol w:w="109"/>
        <w:gridCol w:w="109"/>
        <w:gridCol w:w="265"/>
        <w:gridCol w:w="265"/>
        <w:gridCol w:w="266"/>
        <w:gridCol w:w="109"/>
        <w:gridCol w:w="109"/>
        <w:gridCol w:w="109"/>
        <w:gridCol w:w="290"/>
        <w:gridCol w:w="290"/>
        <w:gridCol w:w="291"/>
        <w:gridCol w:w="109"/>
        <w:gridCol w:w="109"/>
        <w:gridCol w:w="109"/>
        <w:gridCol w:w="161"/>
        <w:gridCol w:w="161"/>
        <w:gridCol w:w="161"/>
        <w:gridCol w:w="161"/>
        <w:gridCol w:w="161"/>
        <w:gridCol w:w="161"/>
        <w:gridCol w:w="231"/>
        <w:gridCol w:w="231"/>
        <w:gridCol w:w="244"/>
        <w:gridCol w:w="109"/>
        <w:gridCol w:w="109"/>
        <w:gridCol w:w="109"/>
        <w:gridCol w:w="250"/>
        <w:gridCol w:w="250"/>
        <w:gridCol w:w="35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8" w:type="dxa"/>
            <w:gridSpan w:val="5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8"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Includes Net TBA Position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Excludes Net TBA Position</w:t>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 Agency RMBS and TBA Securities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Specified Pool % </w:t>
            </w:r>
            <w:r>
              <w:rPr>
                <w:rFonts w:ascii="Times New Roman;serif" w:hAnsi="Times New Roman;serif"/>
                <w:b/>
                <w:color w:val="000000"/>
                <w:sz w:val="10"/>
              </w:rPr>
              <w:t>1</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Coupon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Projected </w:t>
            </w:r>
          </w:p>
          <w:p>
            <w:pPr>
              <w:pStyle w:val="TableContents"/>
              <w:bidi w:val="0"/>
              <w:spacing w:lineRule="auto" w:line="240" w:before="0" w:after="0"/>
              <w:jc w:val="center"/>
              <w:rPr/>
            </w:pPr>
            <w:r>
              <w:rPr>
                <w:rFonts w:ascii="Times New Roman;serif" w:hAnsi="Times New Roman;serif"/>
                <w:b/>
                <w:color w:val="000000"/>
                <w:sz w:val="16"/>
              </w:rPr>
              <w:t xml:space="preserve">CPR </w:t>
            </w:r>
            <w:r>
              <w:rPr>
                <w:rFonts w:ascii="Times New Roman;serif" w:hAnsi="Times New Roman;serif"/>
                <w:b/>
                <w:color w:val="000000"/>
                <w:sz w:val="10"/>
              </w:rPr>
              <w:t>2</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Yield </w:t>
            </w:r>
            <w:r>
              <w:rPr>
                <w:rFonts w:ascii="Times New Roman;serif" w:hAnsi="Times New Roman;serif"/>
                <w:b/>
                <w:color w:val="000000"/>
                <w:sz w:val="10"/>
              </w:rPr>
              <w:t>2</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 (Months)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15-year: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1.34%</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2.62%</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 15-year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3.98%</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20-year: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2.80%</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2.89%</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3.06%</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5.13%</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5.59%</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5.43%</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30-year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fixed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TextBody"/>
        <w:bidi w:val="0"/>
        <w:spacing w:lineRule="auto" w:line="288" w:before="80" w:after="283"/>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1.See Note 1 of the preceding table for specified pool composition.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2.Portfolio yield incorporates a projected life CPR based on forward rate assumptions as of December 31, 2025.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our CRT and non-Agency securities, including credit ratings, as of June 30, 2026 and December 31, 2025, please refer to Note 3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presented in accordance with GAAP, our results of operations discussed below include certain non-GAAP financial information, including “economic interest income,” “economic interest expense,” and “net spread and dollar roll income available to common stockholders” and the related per common share measures and certain financial metrics derived from such non-GAAP information.</w:t>
      </w:r>
    </w:p>
    <w:p>
      <w:pPr>
        <w:pStyle w:val="TextBody"/>
        <w:bidi w:val="0"/>
        <w:spacing w:lineRule="auto" w:line="288" w:before="180" w:after="283"/>
        <w:ind w:left="0" w:right="0" w:firstLine="540"/>
        <w:jc w:val="both"/>
        <w:rPr>
          <w:color w:val="000000"/>
        </w:rPr>
      </w:pPr>
      <w:r>
        <w:rPr>
          <w:color w:val="000000"/>
        </w:rPr>
        <w:t>“</w:t>
      </w:r>
      <w:r>
        <w:rPr>
          <w:rFonts w:ascii="Times New Roman;serif" w:hAnsi="Times New Roman;serif"/>
          <w:b w:val="false"/>
          <w:color w:val="000000"/>
          <w:sz w:val="20"/>
        </w:rPr>
        <w:t xml:space="preserve">Economic interest income” is measured as interest income (GAAP measure), adjusted to (i) exclude retrospective “catch-up” adjustments to premium amortization cost associated with changes in projected CPR estimates and (ii) include TBA dollar roll implied interest income. “Economic interest expense” is measured as interest expense (GAAP measure) adjusted to include TBA dollar roll implied interest expense/benefit and interest rate swap periodic cost/income. “Net spread and dollar roll income available to common stockholders” is measured as comprehensive income (loss) available (attributable) to common stockholders (GAAP measure) adjusted to: (i) exclude gains/losses on investment securities recognized through net income and other comprehensive income and gains/losses on derivative instruments and other securities (GAAP measures); (ii) exclude retrospective “catch-up” adjustments to premium amortization cost associated with changes in projected CPR estimates; and (iii) include interest rate swap periodic income/cost, TBA dollar roll income and other interest income/expense. As defined, “Net spread and dollar roll income available to common stockholders” includes (i) the components of “economic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income” and “economic interest expense”, plus (ii) other interest income/expense, and less (iii) total operating expenses and dividends on preferred stock (GAAP measures).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Specifically, with respect to “net spread and dollar roll income available to common stockholders” and its components, “economic interest income” and “economic interest expense,” we believe the inclusion of TBA dollar roll income is meaningful because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is meaningful because interest rate swaps are the primary instruments we use to economically hedge against fluctuations in our borrowing costs, and their inclusion is more indicative of our total cost of funds than interest expense alone. Additionally, we believe the exclusion of “catch-up” premium amortization adjustments is meaningful because it excludes the cumulative effect from prior reporting periods due to current changes in future prepayment expectations and, therefore, is more indicative of the current earnings potential of our investment portfolio.</w:t>
      </w:r>
    </w:p>
    <w:p>
      <w:pPr>
        <w:pStyle w:val="TextBody"/>
        <w:bidi w:val="0"/>
        <w:spacing w:lineRule="auto" w:line="288" w:before="180" w:after="6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Selected Financial Data</w:t>
      </w:r>
    </w:p>
    <w:p>
      <w:pPr>
        <w:pStyle w:val="TextBody"/>
        <w:bidi w:val="0"/>
        <w:spacing w:before="0" w:after="0"/>
        <w:jc w:val="both"/>
        <w:rPr/>
      </w:pPr>
      <w:r>
        <w:rPr/>
      </w:r>
    </w:p>
    <w:p>
      <w:pPr>
        <w:pStyle w:val="TextBody"/>
        <w:bidi w:val="0"/>
        <w:spacing w:lineRule="auto" w:line="268" w:before="0" w:after="0"/>
        <w:ind w:left="0" w:right="0" w:firstLine="495"/>
        <w:jc w:val="both"/>
        <w:rPr/>
      </w:pPr>
      <w:r>
        <w:rPr>
          <w:rFonts w:ascii="Times New Roman;serif" w:hAnsi="Times New Roman;serif"/>
          <w:b w:val="false"/>
          <w:color w:val="000000"/>
          <w:sz w:val="20"/>
        </w:rPr>
        <w:t xml:space="preserve">The following selected financial data is derived from our interim consolidated financial statements and the notes thereto. The selected financial data should be read in conjunction with the more detailed information contained in Item 1. </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 xml:space="preserve">and in this Item 2. </w:t>
      </w:r>
      <w:r>
        <w:rPr>
          <w:rFonts w:ascii="Times New Roman;serif" w:hAnsi="Times New Roman;serif"/>
          <w:b w:val="false"/>
          <w:i/>
          <w:color w:val="000000"/>
          <w:sz w:val="20"/>
        </w:rPr>
        <w:t xml:space="preserve">Management’s Discussion and Analysis of Financial Condition and Results of Operations </w:t>
      </w:r>
      <w:r>
        <w:rPr>
          <w:rFonts w:ascii="Times New Roman;serif" w:hAnsi="Times New Roman;serif"/>
          <w:b w:val="false"/>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2618"/>
        <w:gridCol w:w="2265"/>
        <w:gridCol w:w="2274"/>
        <w:gridCol w:w="109"/>
        <w:gridCol w:w="109"/>
        <w:gridCol w:w="109"/>
        <w:gridCol w:w="196"/>
        <w:gridCol w:w="736"/>
        <w:gridCol w:w="109"/>
        <w:gridCol w:w="109"/>
        <w:gridCol w:w="109"/>
        <w:gridCol w:w="109"/>
        <w:gridCol w:w="204"/>
        <w:gridCol w:w="769"/>
        <w:gridCol w:w="113"/>
        <w:gridCol w:w="109"/>
        <w:gridCol w:w="158"/>
      </w:tblGrid>
      <w:tr>
        <w:trPr/>
        <w:tc>
          <w:tcPr>
            <w:tcW w:w="2618"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80" w:type="dxa"/>
            <w:gridSpan w:val="8"/>
            <w:tcBorders/>
          </w:tcPr>
          <w:p>
            <w:pPr>
              <w:pStyle w:val="TableContents"/>
              <w:bidi w:val="0"/>
              <w:spacing w:before="0" w:after="283"/>
              <w:jc w:val="left"/>
              <w:rPr>
                <w:sz w:val="4"/>
                <w:szCs w:val="4"/>
              </w:rPr>
            </w:pPr>
            <w:r>
              <w:rPr>
                <w:sz w:val="4"/>
                <w:szCs w:val="4"/>
              </w:rPr>
            </w:r>
          </w:p>
        </w:tc>
      </w:tr>
      <w:tr>
        <w:trPr/>
        <w:tc>
          <w:tcPr>
            <w:tcW w:w="7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securities, at fair value of $87,381 and $81,719, respectively, and other mortgage credit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 and other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book value per common share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Tangible net book value per common share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87"/>
        <w:gridCol w:w="1658"/>
        <w:gridCol w:w="1661"/>
        <w:gridCol w:w="109"/>
        <w:gridCol w:w="109"/>
        <w:gridCol w:w="109"/>
        <w:gridCol w:w="196"/>
        <w:gridCol w:w="556"/>
        <w:gridCol w:w="109"/>
        <w:gridCol w:w="109"/>
        <w:gridCol w:w="109"/>
        <w:gridCol w:w="109"/>
        <w:gridCol w:w="196"/>
        <w:gridCol w:w="537"/>
        <w:gridCol w:w="109"/>
        <w:gridCol w:w="109"/>
        <w:gridCol w:w="109"/>
        <w:gridCol w:w="109"/>
        <w:gridCol w:w="196"/>
        <w:gridCol w:w="556"/>
        <w:gridCol w:w="109"/>
        <w:gridCol w:w="109"/>
        <w:gridCol w:w="109"/>
        <w:gridCol w:w="109"/>
        <w:gridCol w:w="196"/>
        <w:gridCol w:w="556"/>
        <w:gridCol w:w="109"/>
        <w:gridCol w:w="109"/>
        <w:gridCol w:w="157"/>
      </w:tblGrid>
      <w:tr>
        <w:trPr/>
        <w:tc>
          <w:tcPr>
            <w:tcW w:w="1887"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52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Statement of Comprehensive Income Data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available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per common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per common share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96"/>
        <w:gridCol w:w="1277"/>
        <w:gridCol w:w="1287"/>
        <w:gridCol w:w="109"/>
        <w:gridCol w:w="109"/>
        <w:gridCol w:w="109"/>
        <w:gridCol w:w="196"/>
        <w:gridCol w:w="736"/>
        <w:gridCol w:w="256"/>
        <w:gridCol w:w="109"/>
        <w:gridCol w:w="109"/>
        <w:gridCol w:w="109"/>
        <w:gridCol w:w="196"/>
        <w:gridCol w:w="646"/>
        <w:gridCol w:w="256"/>
        <w:gridCol w:w="109"/>
        <w:gridCol w:w="109"/>
        <w:gridCol w:w="109"/>
        <w:gridCol w:w="196"/>
        <w:gridCol w:w="736"/>
        <w:gridCol w:w="256"/>
        <w:gridCol w:w="109"/>
        <w:gridCol w:w="109"/>
        <w:gridCol w:w="109"/>
        <w:gridCol w:w="196"/>
        <w:gridCol w:w="646"/>
        <w:gridCol w:w="256"/>
        <w:gridCol w:w="109"/>
        <w:gridCol w:w="156"/>
      </w:tblGrid>
      <w:tr>
        <w:trPr/>
        <w:tc>
          <w:tcPr>
            <w:tcW w:w="149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Data (Unaudited)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par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82,557 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total assets -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repurchase agreements and other debt outstanding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stockholders’ equity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tangible net book value “at risk” leverage </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Tangible net book value “at risk” leverage </w:t>
            </w:r>
            <w:r>
              <w:rPr>
                <w:rFonts w:ascii="Times New Roman;serif" w:hAnsi="Times New Roman;serif"/>
                <w:b w:val="false"/>
                <w:i/>
                <w:color w:val="000000"/>
                <w:sz w:val="16"/>
              </w:rPr>
              <w:t>(as of period end)</w:t>
            </w:r>
            <w:r>
              <w:rPr>
                <w:color w:val="000000"/>
              </w:rPr>
              <w:t xml:space="preserve"> </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return on tangible common equity </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total assets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assets, including average net TBA position - annualized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Expenses % of average stockholders’ equity - annualized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 Except as noted below, average numbers for each period are weighted based on days on our books and records.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1.Net book value per common share is calculated as total stockholders’ equity, less preferred stock liquidation preference, divided by number of common shares outstanding as of period end.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2.Tangible net book value per common share excludes goodwill.</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3.Amount represents the daily weighted average repurchase agreements outstanding for the period used to fund our investment securities and other debt. Amount excludes U.S. Treasury repurchase agreements and TBA contracts. Other debt includes debt of consolidated VIEs.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4.Average stockholders’ equity calculated as average month-ended stockholders’ equity during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5.Average tangible net book value “at risk” leverage is calculated by dividing the sum of daily weighted average repurchase agreements used to fund our investment securities, other debt, and TBA and forward settling securities (at cost) (collectively “mortgage borrowings”) outstanding for the period by the sum of average stockholders’ equity adjusted to exclude goodwill for the period. Leverage excludes U.S. Treasury repurchase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6.Tangible net book value “at risk” leverage as of period end is calculated by dividing the sum of mortgage borrowings outstanding and receivable/payable for unsettled investment securities as of period end by the sum of total stockholders’ equity adjusted to exclude goodwill as of period end. Leverage excludes U.S. Treasury repurchase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7.Economic return on tangible common equity represents the sum of the change in tangible net book value per common share and dividends declared per share of common stock during the period over beginning tangible net book value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Economic Interest Income and Asset Yields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income (a non-GAAP measure) for the three and six months ended June 30, 2026 and 2025, which includes the combination of interest income (a GAAP measure) on our holdings reported as investment securities on our consolidated balance sheets, adjusted to exclude estimated “catch-up” premium amortization adjustments for the cumulative effect from prior reporting periods due to changes in our CPR forecast, and implied interest income on our TBA securities (dollars in millions): </w:t>
      </w:r>
    </w:p>
    <w:tbl>
      <w:tblPr>
        <w:tblW w:w="10928" w:type="dxa"/>
        <w:jc w:val="center"/>
        <w:tblInd w:w="0" w:type="dxa"/>
        <w:tblLayout w:type="fixed"/>
        <w:tblCellMar>
          <w:top w:w="28" w:type="dxa"/>
          <w:left w:w="28" w:type="dxa"/>
          <w:bottom w:w="28" w:type="dxa"/>
          <w:right w:w="28" w:type="dxa"/>
        </w:tblCellMar>
      </w:tblPr>
      <w:tblGrid>
        <w:gridCol w:w="588"/>
        <w:gridCol w:w="201"/>
        <w:gridCol w:w="202"/>
        <w:gridCol w:w="109"/>
        <w:gridCol w:w="109"/>
        <w:gridCol w:w="109"/>
        <w:gridCol w:w="196"/>
        <w:gridCol w:w="556"/>
        <w:gridCol w:w="241"/>
        <w:gridCol w:w="109"/>
        <w:gridCol w:w="109"/>
        <w:gridCol w:w="109"/>
        <w:gridCol w:w="240"/>
        <w:gridCol w:w="241"/>
        <w:gridCol w:w="253"/>
        <w:gridCol w:w="109"/>
        <w:gridCol w:w="109"/>
        <w:gridCol w:w="109"/>
        <w:gridCol w:w="196"/>
        <w:gridCol w:w="421"/>
        <w:gridCol w:w="241"/>
        <w:gridCol w:w="109"/>
        <w:gridCol w:w="109"/>
        <w:gridCol w:w="109"/>
        <w:gridCol w:w="240"/>
        <w:gridCol w:w="241"/>
        <w:gridCol w:w="253"/>
        <w:gridCol w:w="109"/>
        <w:gridCol w:w="109"/>
        <w:gridCol w:w="109"/>
        <w:gridCol w:w="196"/>
        <w:gridCol w:w="556"/>
        <w:gridCol w:w="241"/>
        <w:gridCol w:w="109"/>
        <w:gridCol w:w="109"/>
        <w:gridCol w:w="109"/>
        <w:gridCol w:w="240"/>
        <w:gridCol w:w="241"/>
        <w:gridCol w:w="253"/>
        <w:gridCol w:w="109"/>
        <w:gridCol w:w="109"/>
        <w:gridCol w:w="109"/>
        <w:gridCol w:w="196"/>
        <w:gridCol w:w="556"/>
        <w:gridCol w:w="241"/>
        <w:gridCol w:w="109"/>
        <w:gridCol w:w="109"/>
        <w:gridCol w:w="109"/>
        <w:gridCol w:w="240"/>
        <w:gridCol w:w="241"/>
        <w:gridCol w:w="253"/>
        <w:gridCol w:w="109"/>
        <w:gridCol w:w="109"/>
        <w:gridCol w:w="109"/>
        <w:gridCol w:w="221"/>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548" w:type="dxa"/>
            <w:gridSpan w:val="4"/>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2"/>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Cash/coupon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 amortization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(0.27)</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cost (benefit) due to change in CPR forecast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6"/>
              </w:rPr>
              <w:t xml:space="preserve">TBA dollar roll income - implied interest income </w:t>
            </w:r>
            <w:r>
              <w:rPr>
                <w:rFonts w:ascii="Times New Roman;serif" w:hAnsi="Times New Roman;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income (non-GAAP measure)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actual portfolio CPR for investment securities held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projected CPR for the remaining life of investment securities held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30-year fixed rate mortgage rate as of period end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10-year U.S. Treasury rate as of period end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gain (loss) on derivatives instruments and other securities, net in the accompanying consolidated statements of operations.</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2.Implied interest income from TBA dollar roll transactions is computed as the sum of (i) TBA dollar roll income and (ii) estimated TBA implied funding cost (see </w:t>
      </w:r>
      <w:r>
        <w:rPr>
          <w:rFonts w:ascii="Times New Roman;serif" w:hAnsi="Times New Roman;serif"/>
          <w:b w:val="false"/>
          <w:i/>
          <w:color w:val="000000"/>
          <w:sz w:val="16"/>
        </w:rPr>
        <w:t>Economic Interest Expense and Aggregate Cost of Funds</w:t>
      </w:r>
      <w:r>
        <w:rPr>
          <w:color w:val="000000"/>
        </w:rPr>
        <w:t xml:space="preserve"> </w:t>
      </w:r>
      <w:r>
        <w:rPr>
          <w:rFonts w:ascii="Times New Roman;serif" w:hAnsi="Times New Roman;serif"/>
          <w:b w:val="false"/>
          <w:color w:val="000000"/>
          <w:sz w:val="16"/>
        </w:rPr>
        <w:t>below). TBA dollar roll income represents the price differential, or “price drop,” between the TBA price for current month settlement versus the TBA price for forward month settlement and is the economic equivalent to interest income on the underlying Agency securities, less an implied funding cost, over the forward settlement period. Amount includes dollar roll income (loss) on long and short TBA securities. Amount excludes TBA mark-to-market adjustments.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combined asset yield is calculated on a weighted average basis based on our average investment and net TBA balance outstanding during the period and their respective yields.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4.30-year fixed rate mortgage rates are sourced from Optimal Blue. 10-year U.S. Treasury rates are sourced from Bloomberg.</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principal elements impacting our economic interest income are the average size of our investment portfolio and the average yield on our securities. The following table includes a summary of the estimated impact of each of these elements on our economic interest income for the three and six months ended June 30, 2026 compared to the prior year period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92"/>
        <w:gridCol w:w="1606"/>
        <w:gridCol w:w="1622"/>
        <w:gridCol w:w="177"/>
        <w:gridCol w:w="177"/>
        <w:gridCol w:w="177"/>
        <w:gridCol w:w="333"/>
        <w:gridCol w:w="685"/>
        <w:gridCol w:w="177"/>
        <w:gridCol w:w="177"/>
        <w:gridCol w:w="177"/>
        <w:gridCol w:w="177"/>
        <w:gridCol w:w="325"/>
        <w:gridCol w:w="685"/>
        <w:gridCol w:w="177"/>
        <w:gridCol w:w="177"/>
        <w:gridCol w:w="177"/>
        <w:gridCol w:w="177"/>
        <w:gridCol w:w="318"/>
        <w:gridCol w:w="538"/>
        <w:gridCol w:w="254"/>
      </w:tblGrid>
      <w:tr>
        <w:trPr/>
        <w:tc>
          <w:tcPr>
            <w:tcW w:w="1892"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Impacting Economic Interest Income</w:t>
            </w:r>
          </w:p>
        </w:tc>
      </w:tr>
      <w:tr>
        <w:trPr/>
        <w:tc>
          <w:tcPr>
            <w:tcW w:w="5120" w:type="dxa"/>
            <w:gridSpan w:val="3"/>
            <w:tcBorders/>
            <w:vAlign w:val="center"/>
          </w:tcPr>
          <w:p>
            <w:pPr>
              <w:pStyle w:val="TableContents"/>
              <w:bidi w:val="0"/>
              <w:spacing w:before="0" w:after="283"/>
              <w:jc w:val="left"/>
              <w:rPr>
                <w:sz w:val="4"/>
                <w:szCs w:val="4"/>
              </w:rPr>
            </w:pPr>
            <w:r>
              <w:rPr>
                <w:sz w:val="4"/>
                <w:szCs w:val="4"/>
              </w:rPr>
            </w:r>
          </w:p>
        </w:tc>
        <w:tc>
          <w:tcPr>
            <w:tcW w:w="5085" w:type="dxa"/>
            <w:gridSpan w:val="18"/>
            <w:tcBorders/>
          </w:tcPr>
          <w:p>
            <w:pPr>
              <w:pStyle w:val="TableContents"/>
              <w:bidi w:val="0"/>
              <w:spacing w:before="0" w:after="283"/>
              <w:jc w:val="left"/>
              <w:rPr>
                <w:sz w:val="4"/>
                <w:szCs w:val="4"/>
              </w:rPr>
            </w:pPr>
            <w:r>
              <w:rPr>
                <w:sz w:val="4"/>
                <w:szCs w:val="4"/>
              </w:rPr>
            </w:r>
          </w:p>
        </w:tc>
      </w:tr>
      <w:tr>
        <w:trPr/>
        <w:tc>
          <w:tcPr>
            <w:tcW w:w="5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1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“catch-up” premium amortization due to change in CPR forecast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51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w:t>
              <w:br/>
              <w:t>(Decrease)</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Portfolio</w:t>
              <w:br/>
              <w:t>Size</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br/>
              <w:t>Yield</w:t>
            </w:r>
          </w:p>
        </w:tc>
      </w:tr>
      <w:tr>
        <w:trPr/>
        <w:tc>
          <w:tcPr>
            <w:tcW w:w="51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Estimated “catch-up” premium amortization due to change in CPR forecast </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excluding “catch-up” premium amortization</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income</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interest income, excluding “catch-up" amortization (non-GAAP measure)</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average investment portfolio (at cost), inclusive of TBAs, increased 20% and 21% for the three and six months ended June 30, 2026, respectively, compared to the prior year period, primarily due to an increase in our capital base. The average yield on our investment portfolio, including TBA implied asset yields and excluding “catch-up” premium amortization, increased 2 and 6 basis points for the three and six months ended June 30, 2026, respectively, largely due to an increase in the average coupon of our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Times New Roman;serif" w:hAnsi="Times New Roman;serif"/>
          <w:b w:val="false"/>
          <w:i/>
          <w:color w:val="000000"/>
          <w:sz w:val="20"/>
        </w:rPr>
        <w:t xml:space="preserve">Liquidity and Capital Resources </w:t>
      </w:r>
      <w:r>
        <w:rPr>
          <w:rFonts w:ascii="Times New Roman;serif" w:hAnsi="Times New Roman;serif"/>
          <w:b w:val="false"/>
          <w:color w:val="000000"/>
          <w:sz w:val="20"/>
        </w:rPr>
        <w:t xml:space="preserve">in this Form 10-Q for further discussion of TBA securities and dollar roll transactions). Repurchase agreements used to fund short-term investments in U.S. Treasury securities (“U.S. Treasury Repo”) are excluded from our measure of leverage due to the temporary and highly liquid nature of these investments. The following table presents a summary of our leverage ratios for the periods listed (dollars in millions): </w:t>
      </w:r>
    </w:p>
    <w:tbl>
      <w:tblPr>
        <w:tblW w:w="10205" w:type="dxa"/>
        <w:jc w:val="center"/>
        <w:tblInd w:w="0" w:type="dxa"/>
        <w:tblLayout w:type="fixed"/>
        <w:tblCellMar>
          <w:top w:w="28" w:type="dxa"/>
          <w:left w:w="28" w:type="dxa"/>
          <w:bottom w:w="28" w:type="dxa"/>
          <w:right w:w="28" w:type="dxa"/>
        </w:tblCellMar>
      </w:tblPr>
      <w:tblGrid>
        <w:gridCol w:w="487"/>
        <w:gridCol w:w="248"/>
        <w:gridCol w:w="251"/>
        <w:gridCol w:w="109"/>
        <w:gridCol w:w="109"/>
        <w:gridCol w:w="109"/>
        <w:gridCol w:w="199"/>
        <w:gridCol w:w="657"/>
        <w:gridCol w:w="110"/>
        <w:gridCol w:w="110"/>
        <w:gridCol w:w="110"/>
        <w:gridCol w:w="110"/>
        <w:gridCol w:w="199"/>
        <w:gridCol w:w="657"/>
        <w:gridCol w:w="110"/>
        <w:gridCol w:w="110"/>
        <w:gridCol w:w="110"/>
        <w:gridCol w:w="110"/>
        <w:gridCol w:w="199"/>
        <w:gridCol w:w="657"/>
        <w:gridCol w:w="110"/>
        <w:gridCol w:w="109"/>
        <w:gridCol w:w="109"/>
        <w:gridCol w:w="109"/>
        <w:gridCol w:w="196"/>
        <w:gridCol w:w="647"/>
        <w:gridCol w:w="109"/>
        <w:gridCol w:w="109"/>
        <w:gridCol w:w="109"/>
        <w:gridCol w:w="109"/>
        <w:gridCol w:w="196"/>
        <w:gridCol w:w="646"/>
        <w:gridCol w:w="109"/>
        <w:gridCol w:w="109"/>
        <w:gridCol w:w="109"/>
        <w:gridCol w:w="109"/>
        <w:gridCol w:w="332"/>
        <w:gridCol w:w="332"/>
        <w:gridCol w:w="333"/>
        <w:gridCol w:w="109"/>
        <w:gridCol w:w="109"/>
        <w:gridCol w:w="109"/>
        <w:gridCol w:w="325"/>
        <w:gridCol w:w="325"/>
        <w:gridCol w:w="476"/>
      </w:tblGrid>
      <w:tr>
        <w:trPr/>
        <w:tc>
          <w:tcPr>
            <w:tcW w:w="48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 xml:space="preserve">Investment Securities Repurchase Agreements and Other Debt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Net TBA Position</w:t>
              <w:br/>
              <w:t xml:space="preserve">Long/(Short) </w:t>
            </w:r>
            <w:r>
              <w:rPr>
                <w:rFonts w:ascii="Times New Roman;serif" w:hAnsi="Times New Roman;serif"/>
                <w:b/>
                <w:color w:val="000000"/>
                <w:sz w:val="9"/>
              </w:rPr>
              <w:t>2</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Average Tangible Net Book Value </w:t>
            </w:r>
          </w:p>
          <w:p>
            <w:pPr>
              <w:pStyle w:val="TableContents"/>
              <w:bidi w:val="0"/>
              <w:spacing w:lineRule="auto" w:line="240" w:before="0" w:after="0"/>
              <w:jc w:val="center"/>
              <w:rPr/>
            </w:pPr>
            <w:r>
              <w:rPr>
                <w:color w:val="000000"/>
              </w:rPr>
              <w:t>“</w:t>
            </w:r>
            <w:r>
              <w:rPr>
                <w:rFonts w:ascii="Times New Roman;serif" w:hAnsi="Times New Roman;serif"/>
                <w:b/>
                <w:color w:val="000000"/>
                <w:sz w:val="14"/>
              </w:rPr>
              <w:t xml:space="preserve">At Risk” Leverage during the Period </w:t>
            </w:r>
            <w:r>
              <w:rPr>
                <w:rFonts w:ascii="Times New Roman;serif" w:hAnsi="Times New Roman;serif"/>
                <w:b/>
                <w:color w:val="000000"/>
                <w:sz w:val="9"/>
              </w:rPr>
              <w:t>3</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Tangible Net Book Value “At Risk” Leverage</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as of</w:t>
            </w:r>
          </w:p>
          <w:p>
            <w:pPr>
              <w:pStyle w:val="TableContents"/>
              <w:bidi w:val="0"/>
              <w:spacing w:lineRule="auto" w:line="240" w:before="0" w:after="0"/>
              <w:jc w:val="center"/>
              <w:rPr/>
            </w:pPr>
            <w:r>
              <w:rPr>
                <w:rFonts w:ascii="Times New Roman;serif" w:hAnsi="Times New Roman;serif"/>
                <w:b/>
                <w:color w:val="000000"/>
                <w:sz w:val="14"/>
              </w:rPr>
              <w:t xml:space="preserve">Period End </w:t>
            </w:r>
            <w:r>
              <w:rPr>
                <w:rFonts w:ascii="Times New Roman;serif" w:hAnsi="Times New Roman;serif"/>
                <w:b/>
                <w:color w:val="000000"/>
                <w:sz w:val="9"/>
              </w:rPr>
              <w:t>4</w:t>
            </w:r>
          </w:p>
        </w:tc>
      </w:tr>
      <w:tr>
        <w:trPr/>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w:t>
              <w:br/>
              <w:t>Daily Amount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Average Daily</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Ending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75,070 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79,512 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w:t>
            </w:r>
          </w:p>
        </w:tc>
      </w:tr>
      <w:tr>
        <w:trPr/>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7.6:1</w:t>
            </w:r>
          </w:p>
        </w:tc>
      </w:tr>
      <w:tr>
        <w:trPr/>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7.5:1</w:t>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debt includes debt of consolidated VIEs. Amounts exclude U.S. Treasury Repo agreements.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2.Daily average and ending net TBA position outstanding measured at cost. Includes forward settling non-Agency securities.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i/>
          <w:color w:val="000000"/>
          <w:sz w:val="20"/>
        </w:rPr>
        <w:t>Economic Interest Expense and Aggregate Cost of Funds</w:t>
      </w:r>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economic interest expense and aggregate cost of funds (non-GAAP measures) for the three and six months ended June 30, 2026 and 2025 (dollars in millions), which includes the combination of interest expense on repurchase agreements and other debt used to fund acquisitions of investment securities (GAAP measure), implied financing cost of our TBA securities and interest rate swap periodic income: </w:t>
      </w:r>
    </w:p>
    <w:tbl>
      <w:tblPr>
        <w:tblW w:w="10296" w:type="dxa"/>
        <w:jc w:val="center"/>
        <w:tblInd w:w="0" w:type="dxa"/>
        <w:tblLayout w:type="fixed"/>
        <w:tblCellMar>
          <w:top w:w="28" w:type="dxa"/>
          <w:left w:w="28" w:type="dxa"/>
          <w:bottom w:w="28" w:type="dxa"/>
          <w:right w:w="28" w:type="dxa"/>
        </w:tblCellMar>
      </w:tblPr>
      <w:tblGrid>
        <w:gridCol w:w="396"/>
        <w:gridCol w:w="282"/>
        <w:gridCol w:w="283"/>
        <w:gridCol w:w="109"/>
        <w:gridCol w:w="109"/>
        <w:gridCol w:w="109"/>
        <w:gridCol w:w="196"/>
        <w:gridCol w:w="421"/>
        <w:gridCol w:w="109"/>
        <w:gridCol w:w="109"/>
        <w:gridCol w:w="109"/>
        <w:gridCol w:w="109"/>
        <w:gridCol w:w="262"/>
        <w:gridCol w:w="219"/>
        <w:gridCol w:w="285"/>
        <w:gridCol w:w="109"/>
        <w:gridCol w:w="109"/>
        <w:gridCol w:w="109"/>
        <w:gridCol w:w="196"/>
        <w:gridCol w:w="421"/>
        <w:gridCol w:w="109"/>
        <w:gridCol w:w="109"/>
        <w:gridCol w:w="109"/>
        <w:gridCol w:w="109"/>
        <w:gridCol w:w="262"/>
        <w:gridCol w:w="219"/>
        <w:gridCol w:w="285"/>
        <w:gridCol w:w="109"/>
        <w:gridCol w:w="109"/>
        <w:gridCol w:w="109"/>
        <w:gridCol w:w="196"/>
        <w:gridCol w:w="556"/>
        <w:gridCol w:w="109"/>
        <w:gridCol w:w="109"/>
        <w:gridCol w:w="109"/>
        <w:gridCol w:w="109"/>
        <w:gridCol w:w="262"/>
        <w:gridCol w:w="219"/>
        <w:gridCol w:w="285"/>
        <w:gridCol w:w="109"/>
        <w:gridCol w:w="109"/>
        <w:gridCol w:w="109"/>
        <w:gridCol w:w="196"/>
        <w:gridCol w:w="556"/>
        <w:gridCol w:w="109"/>
        <w:gridCol w:w="109"/>
        <w:gridCol w:w="109"/>
        <w:gridCol w:w="109"/>
        <w:gridCol w:w="262"/>
        <w:gridCol w:w="219"/>
        <w:gridCol w:w="285"/>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Economic Interest Expense and Aggregate Cost of Funds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 interest expense (GAAP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 xml:space="preserve">TBA dollar roll income - implied interest expense </w:t>
            </w:r>
            <w:r>
              <w:rPr>
                <w:rFonts w:ascii="Times New Roman;serif" w:hAnsi="Times New Roman;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Economic interest expense - before interest rate swap periodic income, net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net </w:t>
            </w:r>
            <w:r>
              <w:rPr>
                <w:rFonts w:ascii="Times New Roman;serif" w:hAnsi="Times New Roman;serif"/>
                <w:b w:val="false"/>
                <w:color w:val="000000"/>
                <w:sz w:val="1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(0.81)</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economic interest expense (non-GAAP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1.Amounts exclude interest rate swap termination fees and variation margin settlements paid or received, forward starting swaps and the impact of other supplemental hedges, such as swaptions and U.S. Treasury positions.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2.Reported in gain (loss) on derivative instruments and other securities, net in our consolidated statements of comprehensive income.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for TBA transactions represents our long TBA position, weighted based on our daily average long position outstanding for the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4.The combined cost of funds for total mortgage borrowings outstanding, before interest rate swap periodic income, is calculated on a weighted average basis based on average investment securities repurchase agreements, other debt and TBA securities outstanding during the period and their respective cost of funds.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5.Interest rate swap periodic income is measured as a percent of average mortgage borrowings outstanding for the period. </w:t>
      </w:r>
    </w:p>
    <w:p>
      <w:pPr>
        <w:pStyle w:val="TextBody"/>
        <w:bidi w:val="0"/>
        <w:spacing w:before="0" w:after="0"/>
        <w:ind w:left="0" w:right="0" w:firstLine="495"/>
        <w:jc w:val="both"/>
        <w:rPr/>
      </w:pPr>
      <w:r>
        <w:rPr/>
      </w:r>
    </w:p>
    <w:p>
      <w:pPr>
        <w:pStyle w:val="TextBody"/>
        <w:bidi w:val="0"/>
        <w:spacing w:lineRule="auto" w:line="288" w:before="0" w:after="18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elements impacting our economic interest expense are (i) the size of our average mortgage borrowings and interest rate swap portfolio outstanding during the period, (ii) the average interest rate on our mortgage borrowings and (iii) the average net interest rate paid/received on our interest rate swaps. The following table includes a summary of the estimated impact of these elements on our economic interest expense for the three and six months ended June 30, 2026 compared to the prior year period (in millions): </w:t>
      </w:r>
    </w:p>
    <w:tbl>
      <w:tblPr>
        <w:tblW w:w="10205" w:type="dxa"/>
        <w:jc w:val="center"/>
        <w:tblInd w:w="0" w:type="dxa"/>
        <w:tblLayout w:type="fixed"/>
        <w:tblCellMar>
          <w:top w:w="28" w:type="dxa"/>
          <w:left w:w="28" w:type="dxa"/>
          <w:bottom w:w="28" w:type="dxa"/>
          <w:right w:w="28" w:type="dxa"/>
        </w:tblCellMar>
      </w:tblPr>
      <w:tblGrid>
        <w:gridCol w:w="1469"/>
        <w:gridCol w:w="1221"/>
        <w:gridCol w:w="1233"/>
        <w:gridCol w:w="148"/>
        <w:gridCol w:w="148"/>
        <w:gridCol w:w="148"/>
        <w:gridCol w:w="471"/>
        <w:gridCol w:w="967"/>
        <w:gridCol w:w="244"/>
        <w:gridCol w:w="148"/>
        <w:gridCol w:w="148"/>
        <w:gridCol w:w="148"/>
        <w:gridCol w:w="468"/>
        <w:gridCol w:w="956"/>
        <w:gridCol w:w="242"/>
        <w:gridCol w:w="148"/>
        <w:gridCol w:w="148"/>
        <w:gridCol w:w="148"/>
        <w:gridCol w:w="394"/>
        <w:gridCol w:w="911"/>
        <w:gridCol w:w="297"/>
      </w:tblGrid>
      <w:tr>
        <w:trPr/>
        <w:tc>
          <w:tcPr>
            <w:tcW w:w="146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Changes in the Principal Elements of Economic Interest Expense</w:t>
            </w:r>
          </w:p>
        </w:tc>
      </w:tr>
      <w:tr>
        <w:trPr/>
        <w:tc>
          <w:tcPr>
            <w:tcW w:w="3923" w:type="dxa"/>
            <w:gridSpan w:val="3"/>
            <w:tcBorders/>
            <w:vAlign w:val="center"/>
          </w:tcPr>
          <w:p>
            <w:pPr>
              <w:pStyle w:val="TableContents"/>
              <w:bidi w:val="0"/>
              <w:spacing w:before="0" w:after="283"/>
              <w:jc w:val="left"/>
              <w:rPr>
                <w:sz w:val="4"/>
                <w:szCs w:val="4"/>
              </w:rPr>
            </w:pPr>
            <w:r>
              <w:rPr>
                <w:sz w:val="4"/>
                <w:szCs w:val="4"/>
              </w:rPr>
            </w:r>
          </w:p>
        </w:tc>
        <w:tc>
          <w:tcPr>
            <w:tcW w:w="6282" w:type="dxa"/>
            <w:gridSpan w:val="18"/>
            <w:tcBorders/>
          </w:tcPr>
          <w:p>
            <w:pPr>
              <w:pStyle w:val="TableContents"/>
              <w:bidi w:val="0"/>
              <w:spacing w:before="0" w:after="283"/>
              <w:jc w:val="left"/>
              <w:rPr>
                <w:sz w:val="4"/>
                <w:szCs w:val="4"/>
              </w:rPr>
            </w:pPr>
            <w:r>
              <w:rPr>
                <w:sz w:val="4"/>
                <w:szCs w:val="4"/>
              </w:rPr>
            </w:r>
          </w:p>
        </w:tc>
      </w:tr>
      <w:tr>
        <w:trPr/>
        <w:tc>
          <w:tcPr>
            <w:tcW w:w="3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Due to Change in Average</w:t>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Increase / (Decrease)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 Swap Balance</w:t>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Borrowing / Swap Rate </w:t>
            </w:r>
          </w:p>
        </w:tc>
      </w:tr>
      <w:tr>
        <w:trPr/>
        <w:tc>
          <w:tcPr>
            <w:tcW w:w="39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repurchase agreement and other debt interest expense</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dollar roll income - implied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 periodic income/cost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change in economic interest benefit/expense</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2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Our average mortgage borrowings, inclusive of TBAs, increased 23% and 25% for the three and six months ended June 30, 2026, respectively, consistent with the increase to our average investment portfolio. The average interest rate on our mortgage borrowings, excluding the impact of interest rate swap periodic income, decreased 72 and 71 basis points for the three and six months ended June 30, 2026, respectively, due to a decline in short-term interest rates. </w:t>
      </w:r>
    </w:p>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 swap periodic income declined for the three and six months ended June 30, 2026, primarily due to higher pay rates on our pay-fixed swaps, driven by the maturity of lower-cost swaps, an increase in our interest rate swap position at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prevailing rates, and lower receive rates. The ratio of interest rate swaps outstanding to mortgage borrowings increased due to a greater allocation to interest rate swaps in our hedge portfolio. The following table summarizes our interest rate swaps outstanding during the three and six months ended June 30, 2026 (dollars in millions). Amounts exclude forward starting swaps not yet in effect.</w:t>
      </w:r>
    </w:p>
    <w:tbl>
      <w:tblPr>
        <w:tblW w:w="10205" w:type="dxa"/>
        <w:jc w:val="center"/>
        <w:tblInd w:w="0" w:type="dxa"/>
        <w:tblLayout w:type="fixed"/>
        <w:tblCellMar>
          <w:top w:w="28" w:type="dxa"/>
          <w:left w:w="28" w:type="dxa"/>
          <w:bottom w:w="28" w:type="dxa"/>
          <w:right w:w="28" w:type="dxa"/>
        </w:tblCellMar>
      </w:tblPr>
      <w:tblGrid>
        <w:gridCol w:w="1564"/>
        <w:gridCol w:w="1366"/>
        <w:gridCol w:w="137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09"/>
        <w:gridCol w:w="109"/>
        <w:gridCol w:w="196"/>
        <w:gridCol w:w="646"/>
        <w:gridCol w:w="241"/>
        <w:gridCol w:w="109"/>
        <w:gridCol w:w="155"/>
      </w:tblGrid>
      <w:tr>
        <w:trPr/>
        <w:tc>
          <w:tcPr>
            <w:tcW w:w="156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4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Average Ratio of Interest Rate Swaps (Excluding Forward Starting Swaps) to Mortgage Borrowings 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investment securities repo and other debt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75,070 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76,089 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60,582 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TBA dollar roll position outstanding -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87,799 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71,465 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87,632 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70,307 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notional amount of interest rate swaps outstanding (excluding forward starting swaps),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Ratio of average interest rate swaps to mortgage 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 swap pay-fixed rate (excluding forward starting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receive-floating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Average interest rate swap net pay/(receive)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(0.98)</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we had an average forward starting net pay-fixed rate swap balance of $43 million and $1.1 billion, respectively. For the three and six months ended June 30, 2025, we had an average forward starting net pay-fixed rate swap balance of $63 million and $173 million, respectively. Forward starting interest rate swaps do not impact our economic interest expense and aggregate cost of funds until they commence accruing net interest settlements on their forward start 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Interest Spread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net interest spread (including the impact of TBA dollar roll income, interest rate swaps and excluding “catch-up” premium amortization) for the three and six months ended June 30, 2026 and 2025:</w:t>
      </w:r>
    </w:p>
    <w:tbl>
      <w:tblPr>
        <w:tblW w:w="9361" w:type="dxa"/>
        <w:jc w:val="center"/>
        <w:tblInd w:w="0" w:type="dxa"/>
        <w:tblLayout w:type="fixed"/>
        <w:tblCellMar>
          <w:top w:w="28" w:type="dxa"/>
          <w:left w:w="28" w:type="dxa"/>
          <w:bottom w:w="28" w:type="dxa"/>
          <w:right w:w="28" w:type="dxa"/>
        </w:tblCellMar>
      </w:tblPr>
      <w:tblGrid>
        <w:gridCol w:w="1413"/>
        <w:gridCol w:w="1239"/>
        <w:gridCol w:w="1247"/>
        <w:gridCol w:w="109"/>
        <w:gridCol w:w="109"/>
        <w:gridCol w:w="109"/>
        <w:gridCol w:w="277"/>
        <w:gridCol w:w="263"/>
        <w:gridCol w:w="438"/>
        <w:gridCol w:w="198"/>
        <w:gridCol w:w="198"/>
        <w:gridCol w:w="198"/>
        <w:gridCol w:w="277"/>
        <w:gridCol w:w="263"/>
        <w:gridCol w:w="438"/>
        <w:gridCol w:w="109"/>
        <w:gridCol w:w="109"/>
        <w:gridCol w:w="109"/>
        <w:gridCol w:w="277"/>
        <w:gridCol w:w="263"/>
        <w:gridCol w:w="273"/>
        <w:gridCol w:w="123"/>
        <w:gridCol w:w="123"/>
        <w:gridCol w:w="123"/>
        <w:gridCol w:w="277"/>
        <w:gridCol w:w="263"/>
        <w:gridCol w:w="273"/>
        <w:gridCol w:w="109"/>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Investment and TBA Securities - Net Interest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asset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4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aggregate cost of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net interest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4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Net Spread and Dollar Roll Income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spread and dollar roll income available to common stockholders (non-GAAP measure) from comprehensive income (loss) available (attributable) to common stockholders (the most comparable GAAP financial measure) for the three and six months ended June 30, 2026 and 2025 (dollars in millions):</w:t>
      </w:r>
    </w:p>
    <w:tbl>
      <w:tblPr>
        <w:tblW w:w="10205" w:type="dxa"/>
        <w:jc w:val="center"/>
        <w:tblInd w:w="0" w:type="dxa"/>
        <w:tblLayout w:type="fixed"/>
        <w:tblCellMar>
          <w:top w:w="28" w:type="dxa"/>
          <w:left w:w="28" w:type="dxa"/>
          <w:bottom w:w="28" w:type="dxa"/>
          <w:right w:w="28" w:type="dxa"/>
        </w:tblCellMar>
      </w:tblPr>
      <w:tblGrid>
        <w:gridCol w:w="1934"/>
        <w:gridCol w:w="1665"/>
        <w:gridCol w:w="1670"/>
        <w:gridCol w:w="109"/>
        <w:gridCol w:w="109"/>
        <w:gridCol w:w="109"/>
        <w:gridCol w:w="229"/>
        <w:gridCol w:w="517"/>
        <w:gridCol w:w="121"/>
        <w:gridCol w:w="121"/>
        <w:gridCol w:w="121"/>
        <w:gridCol w:w="121"/>
        <w:gridCol w:w="229"/>
        <w:gridCol w:w="537"/>
        <w:gridCol w:w="121"/>
        <w:gridCol w:w="109"/>
        <w:gridCol w:w="109"/>
        <w:gridCol w:w="109"/>
        <w:gridCol w:w="204"/>
        <w:gridCol w:w="487"/>
        <w:gridCol w:w="109"/>
        <w:gridCol w:w="109"/>
        <w:gridCol w:w="109"/>
        <w:gridCol w:w="109"/>
        <w:gridCol w:w="196"/>
        <w:gridCol w:w="466"/>
        <w:gridCol w:w="109"/>
        <w:gridCol w:w="109"/>
        <w:gridCol w:w="158"/>
      </w:tblGrid>
      <w:tr>
        <w:trPr/>
        <w:tc>
          <w:tcPr>
            <w:tcW w:w="193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5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Comprehensive income (loss) available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exclude realized and unrealized (gains) losses reported through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Realized (gain) 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investment securities measured at fair value through net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on derivative instruments and other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Adjustment to exclude unrealized (gain) loss reported through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 loss on available-for-sale securities measure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Estimated “catch-up” premium amortization cost (benefit) due to change in CPR forecast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TBA dollar roll income,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swap periodic income (cost), net </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interest income (expense), net </w:t>
            </w:r>
            <w:r>
              <w:rPr>
                <w:rFonts w:ascii="Times New Roman;serif" w:hAnsi="Times New Roman;serif"/>
                <w:b w:val="false"/>
                <w:color w:val="000000"/>
                <w:sz w:val="1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spread and dollar roll income available to common stockholders (non-GAAP measure)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 common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1,019.6 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spread and dollar roll income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1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1.Reported in interest income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interest income (expense), net includes interest income on cash and cash equivalents; price alignment interest income (expense) (“PAI”) on interest rate swap margin deposits posted by or (to) the Company; and other miscellaneous interest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Gain (Loss) on Investment Securities, Net </w:t>
      </w:r>
    </w:p>
    <w:p>
      <w:pPr>
        <w:pStyle w:val="TextBody"/>
        <w:bidi w:val="0"/>
        <w:spacing w:lineRule="auto" w:line="288" w:before="180" w:after="60"/>
        <w:ind w:left="0" w:right="0" w:firstLine="540"/>
        <w:jc w:val="both"/>
        <w:rPr/>
      </w:pPr>
      <w:r>
        <w:rPr>
          <w:rFonts w:ascii="Times New Roman;serif" w:hAnsi="Times New Roman;serif"/>
          <w:b w:val="false"/>
          <w:color w:val="000000"/>
          <w:sz w:val="20"/>
        </w:rPr>
        <w:t>The following table is a summary of our net gain (loss) on investment securities for the three and six months ended June 30, 2026 and 2025 (in millions):</w:t>
      </w:r>
      <w:r>
        <w:rPr>
          <w:color w:val="000000"/>
        </w:rPr>
        <w:t> </w:t>
      </w:r>
    </w:p>
    <w:tbl>
      <w:tblPr>
        <w:tblW w:w="10205" w:type="dxa"/>
        <w:jc w:val="center"/>
        <w:tblInd w:w="0" w:type="dxa"/>
        <w:tblLayout w:type="fixed"/>
        <w:tblCellMar>
          <w:top w:w="28" w:type="dxa"/>
          <w:left w:w="28" w:type="dxa"/>
          <w:bottom w:w="28" w:type="dxa"/>
          <w:right w:w="28" w:type="dxa"/>
        </w:tblCellMar>
      </w:tblPr>
      <w:tblGrid>
        <w:gridCol w:w="1961"/>
        <w:gridCol w:w="1631"/>
        <w:gridCol w:w="1643"/>
        <w:gridCol w:w="109"/>
        <w:gridCol w:w="109"/>
        <w:gridCol w:w="109"/>
        <w:gridCol w:w="216"/>
        <w:gridCol w:w="524"/>
        <w:gridCol w:w="120"/>
        <w:gridCol w:w="120"/>
        <w:gridCol w:w="120"/>
        <w:gridCol w:w="120"/>
        <w:gridCol w:w="216"/>
        <w:gridCol w:w="524"/>
        <w:gridCol w:w="120"/>
        <w:gridCol w:w="109"/>
        <w:gridCol w:w="109"/>
        <w:gridCol w:w="109"/>
        <w:gridCol w:w="196"/>
        <w:gridCol w:w="472"/>
        <w:gridCol w:w="109"/>
        <w:gridCol w:w="109"/>
        <w:gridCol w:w="109"/>
        <w:gridCol w:w="109"/>
        <w:gridCol w:w="196"/>
        <w:gridCol w:w="556"/>
        <w:gridCol w:w="109"/>
        <w:gridCol w:w="109"/>
        <w:gridCol w:w="162"/>
      </w:tblGrid>
      <w:tr>
        <w:trPr/>
        <w:tc>
          <w:tcPr>
            <w:tcW w:w="1961"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71" w:type="dxa"/>
            <w:gridSpan w:val="2"/>
            <w:tcBorders/>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Gain (Loss) on Investment Securities, Net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of investment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Unrealized (loss) gain on investment securities measured at fair value through net income, net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gain on investment securities measured at fair value through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(loss) gain on investment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1.Amounts exclude gain (loss) on TBA securities, which is reported in gain (loss) on derivative instruments and other securities, net in our Consolidated Statements of Comprehensive Income.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2.Investment securities acquired after fiscal year 2016 are measured at fair value through net income (see Note 2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Gain (Loss) on Derivative Instruments and Other Securities, Net</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our gain (loss) on derivative instruments and other securities, net for the three and six months ended June 30, 2026 and 2025 (in millions):</w:t>
      </w:r>
    </w:p>
    <w:tbl>
      <w:tblPr>
        <w:tblW w:w="9893" w:type="dxa"/>
        <w:jc w:val="center"/>
        <w:tblInd w:w="0" w:type="dxa"/>
        <w:tblLayout w:type="fixed"/>
        <w:tblCellMar>
          <w:top w:w="28" w:type="dxa"/>
          <w:left w:w="28" w:type="dxa"/>
          <w:bottom w:w="28" w:type="dxa"/>
          <w:right w:w="28" w:type="dxa"/>
        </w:tblCellMar>
      </w:tblPr>
      <w:tblGrid>
        <w:gridCol w:w="1709"/>
        <w:gridCol w:w="1501"/>
        <w:gridCol w:w="1514"/>
        <w:gridCol w:w="109"/>
        <w:gridCol w:w="109"/>
        <w:gridCol w:w="109"/>
        <w:gridCol w:w="239"/>
        <w:gridCol w:w="514"/>
        <w:gridCol w:w="133"/>
        <w:gridCol w:w="133"/>
        <w:gridCol w:w="133"/>
        <w:gridCol w:w="133"/>
        <w:gridCol w:w="239"/>
        <w:gridCol w:w="606"/>
        <w:gridCol w:w="133"/>
        <w:gridCol w:w="109"/>
        <w:gridCol w:w="109"/>
        <w:gridCol w:w="109"/>
        <w:gridCol w:w="196"/>
        <w:gridCol w:w="421"/>
        <w:gridCol w:w="109"/>
        <w:gridCol w:w="109"/>
        <w:gridCol w:w="109"/>
        <w:gridCol w:w="109"/>
        <w:gridCol w:w="196"/>
        <w:gridCol w:w="631"/>
        <w:gridCol w:w="109"/>
        <w:gridCol w:w="109"/>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dollar roll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securities, mark-to-market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periodic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mark-to-market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Payer swaptions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Receiver swaptions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futures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 futures contracts - long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interest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gain (loss) on derivative instruments and other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further details regarding our use of derivative instruments and related activity refer to Notes 2 and 5 of our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 There are various risks and uncertainties that can impact our liquidity, such as those described in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of our most recent Annual Report on Form 10-K and Item 3. </w:t>
      </w:r>
      <w:r>
        <w:rPr>
          <w:rFonts w:ascii="Times New Roman;serif" w:hAnsi="Times New Roman;serif"/>
          <w:b w:val="false"/>
          <w:i/>
          <w:color w:val="000000"/>
          <w:sz w:val="20"/>
        </w:rPr>
        <w:t>Quantitative and Qualitative Disclosures of Market Risks</w:t>
      </w:r>
      <w:r>
        <w:rPr>
          <w:color w:val="000000"/>
        </w:rPr>
        <w:t xml:space="preserve"> </w:t>
      </w:r>
      <w:r>
        <w:rPr>
          <w:rFonts w:ascii="Times New Roman;serif" w:hAnsi="Times New Roman;serif"/>
          <w:b w:val="false"/>
          <w:color w:val="000000"/>
          <w:sz w:val="20"/>
        </w:rPr>
        <w:t>in this Form 10-Q. In assessing our liquidity, we consider a number of factors, including our current leverage, collateral levels, access to capital markets, overall market conditions, and the sensitivity of our tangible net book value over a range of scenarios. We believe that we have sufficient liquidity and capital resources available to meet our obligations and execute our business strategy.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Leverage and Financing Sources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leverage will vary depending on market conditions and our assessment of relative risks and returns, but we generally expect our leverage to be between six and ten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7.4x and 7.2x as of June 30, 2026 and December 31, 2025, respectively. The following table includes a summary of our mortgage borrowings outstanding as of June 30, 2026 and December 31, 2025 (dollars in millions). For additional details of our mortgage borrowings refer to Notes 2, 4 and 5 to our Consolidated Financial Statements in this Form 10-Q.</w:t>
      </w:r>
    </w:p>
    <w:tbl>
      <w:tblPr>
        <w:tblW w:w="8718" w:type="dxa"/>
        <w:jc w:val="center"/>
        <w:tblInd w:w="0" w:type="dxa"/>
        <w:tblLayout w:type="fixed"/>
        <w:tblCellMar>
          <w:top w:w="28" w:type="dxa"/>
          <w:left w:w="28" w:type="dxa"/>
          <w:bottom w:w="28" w:type="dxa"/>
          <w:right w:w="28" w:type="dxa"/>
        </w:tblCellMar>
      </w:tblPr>
      <w:tblGrid>
        <w:gridCol w:w="1500"/>
        <w:gridCol w:w="1317"/>
        <w:gridCol w:w="1322"/>
        <w:gridCol w:w="109"/>
        <w:gridCol w:w="109"/>
        <w:gridCol w:w="109"/>
        <w:gridCol w:w="196"/>
        <w:gridCol w:w="646"/>
        <w:gridCol w:w="109"/>
        <w:gridCol w:w="109"/>
        <w:gridCol w:w="109"/>
        <w:gridCol w:w="109"/>
        <w:gridCol w:w="209"/>
        <w:gridCol w:w="212"/>
        <w:gridCol w:w="241"/>
        <w:gridCol w:w="109"/>
        <w:gridCol w:w="109"/>
        <w:gridCol w:w="109"/>
        <w:gridCol w:w="196"/>
        <w:gridCol w:w="646"/>
        <w:gridCol w:w="109"/>
        <w:gridCol w:w="109"/>
        <w:gridCol w:w="109"/>
        <w:gridCol w:w="109"/>
        <w:gridCol w:w="209"/>
        <w:gridCol w:w="212"/>
        <w:gridCol w:w="286"/>
      </w:tblGrid>
      <w:tr>
        <w:trPr/>
        <w:tc>
          <w:tcPr>
            <w:tcW w:w="150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Mortgage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Investment securities repurchase agreements </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of consolidated variable interest entities,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TBA and forward settling non-Agency securities,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mortgage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pPr>
      <w:r>
        <w:rPr>
          <w:rFonts w:ascii="Malgun Gothic;sans-serif" w:hAnsi="Malgun Gothic;sans-serif"/>
          <w:b w:val="false"/>
          <w:color w:val="000000"/>
          <w:sz w:val="16"/>
        </w:rPr>
        <w:t>1.</w:t>
      </w:r>
      <w:r>
        <w:rPr>
          <w:rFonts w:ascii="Times New Roman;serif" w:hAnsi="Times New Roman;serif"/>
          <w:b w:val="false"/>
          <w:color w:val="000000"/>
          <w:sz w:val="16"/>
        </w:rPr>
        <w:t>Includes Agency RMBS, CRT and non-Agency MBS repurchase agreements.</w:t>
      </w:r>
      <w:r>
        <w:rPr>
          <w:color w:val="000000"/>
        </w:rPr>
        <w:t xml:space="preserve"> </w:t>
      </w:r>
      <w:r>
        <w:rPr>
          <w:rFonts w:ascii="Malgun Gothic;sans-serif" w:hAnsi="Malgun Gothic;sans-serif"/>
          <w:b w:val="false"/>
          <w:color w:val="000000"/>
          <w:sz w:val="16"/>
        </w:rPr>
        <w:t>E</w:t>
      </w:r>
      <w:r>
        <w:rPr>
          <w:rFonts w:ascii="Times New Roman;serif" w:hAnsi="Times New Roman;serif"/>
          <w:b w:val="false"/>
          <w:color w:val="000000"/>
          <w:sz w:val="16"/>
        </w:rPr>
        <w:t xml:space="preserve">xcludes U.S. Treasury repurchase agreements totaling $10.3 billion and $12.3 billion as of June 30, 2026 and December 31, 2025,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2.As of June 30, 2026 and December 31, 2025, 44% and 44%, respectively, of our total repurchase agreements, including 49% and 51% or our investment securities repurchase agreements, respectively, were funded through the Fixed Income Clearing Corporation’s GCF Repo service.</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primarily finance our assets through collateralized borrowings structured as repurchase agreements (“repo”). We enter into these agreements on a bilateral basis with financial institutions and independent dealers, as well as through tri-party and centrally cleared repo platforms—such as the FICC’s GCF Repo service—accessed through our wholly owned, registered broker-dealer subsidiary, Bethesda Securities, LLC. We manage our repo funding through counterparty diversification, maintaining a suitable maturity profile, interest rate hedging, and other strategies. In addition to repo, we also utilize TBA dollar roll transactions to synthetically finance Agency RMBS.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terms of bilateral repurchase agreements are established on a transaction-by-transaction basis at the time each borrowing is initiated or renewed and are governed by the provisions of a Master Repurchase Agreement. For GCF Repo transactions, the terms and conditions are set by the FICC’s clearing rules and applicable operating procedures. Each of our repurchase agreements requires that borrowed amounts be subject to collateralization requirements, and interest rates are generally fixed and reflect prevailing market rates for the specified borrowing term and collateral type. Our repurchase agreement counterparties are not obligated to renew or enter into new borrowings upon the maturity of existing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TBA dollar roll transactions enhance our funding diversification, expand our available pool of assets, and improve our liquidity position by typically requiring less collateral than Agency RMBS financed with repo. These transactions may also benefit from lower implied costs, or “specialness.” However, if rolling TBA contracts into future months becomes uneconomical, we may need to take physical delivery of the underlying securities and fund those securities with other sources, potentially reducing our liquidity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Collateral Requirements and Unencumbered Assets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Borrowing capacity under our repurchase agreements is influenced by counterparty margin requirements, collateral values, interest rates, risk limits, and counterparties’ willingness and ability to lend. These factors may change over time in response to interest rate movements, overall market liquidity, shifts in credit quality and changes in bank regulatory requirements. Centrally cleared repo capacity also depends on Bethesda Securities continued compliance with regulatory and FICC membership requirements and maintaining its risk exposure within limits established by the FICC.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Haircuts for bilateral repurchase agreements are determined on a transaction-specific basis. A haircut is a discount applied to the market value of pledged collateral to protect the counterparty against potential declines in its value and potential costs of selling collateral after a default. When collateral values decline, counterparties typically issue a margin call requiring us to post additional collateral to restore the required collateralization level. Conversely, if the value of pledged securities rises, we may request the return of excess collateral. Collateral values are determined by our counterparties, who are required to act in good faith.</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centrally cleared GCF repo transactions, margin requirements are set by the FICC. These include an initial margin requirement, calculated daily using a Value-at-Risk (“VaR”) model, which evaluates Bethesda Securities’ net exposure to the FICC, taking into account the offsetting risk sensitivities of positions such as repos and reverse repos. Initial margin is designed to protect the FICC against potential future exposure from a member default and may also be used to cover losses arising from the default of other clearing members, subject to assessments from the loss mutualization waterfall and applicable caps and withdrawal provisions set pursuant to FICC rules. The FICC also imposes daily variation margin, based on amounts borrowed plus accrued interest, adjusted for fluctuations in collateral value, and is intended to cover the current exposure associated with the repo transaction.</w:t>
      </w:r>
    </w:p>
    <w:p>
      <w:pPr>
        <w:pStyle w:val="TextBody"/>
        <w:bidi w:val="0"/>
        <w:spacing w:lineRule="auto" w:line="288" w:before="180" w:after="283"/>
        <w:ind w:left="0" w:right="0" w:firstLine="495"/>
        <w:jc w:val="both"/>
        <w:rPr/>
      </w:pPr>
      <w:r>
        <w:rPr>
          <w:rFonts w:ascii="Times New Roman;serif" w:hAnsi="Times New Roman;serif"/>
          <w:b w:val="false"/>
          <w:color w:val="000000"/>
          <w:sz w:val="20"/>
        </w:rPr>
        <w:t>Margin thresholds may increase during periods of elevated market volatility, which could adversely affect our liquidity position. In addition, repo counterparties typically reduce the collateral values assigned to Agency RMBS each month to reflect principal repayments. Bilateral repo counterparties make this adjustment upon the publication of the pay-down factor by Fannie Mae, Freddie Mac or Ginnie Mae on the fifth business day following month-end, even though principal payments are generally not received until the 25</w:t>
      </w:r>
      <w:r>
        <w:rPr>
          <w:rFonts w:ascii="Times New Roman;serif" w:hAnsi="Times New Roman;serif"/>
          <w:b w:val="false"/>
          <w:color w:val="000000"/>
          <w:sz w:val="13"/>
        </w:rPr>
        <w:t xml:space="preserve">th </w:t>
      </w:r>
      <w:r>
        <w:rPr>
          <w:rFonts w:ascii="Times New Roman;serif" w:hAnsi="Times New Roman;serif"/>
          <w:b w:val="false"/>
          <w:color w:val="000000"/>
          <w:sz w:val="20"/>
        </w:rPr>
        <w:t xml:space="preserve">calendar day following month-end. The FICC assesses margin on the last business day of each month—prior to the factor release—using internally projected pay-down rates and subsequently adjusts collateral requirements to reflect the actual factor data when released.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difference between margin calls related to principal pay-downs and our receipt of the corresponding cash flows temporarily reduces our available liquidity each month. We manage this liquidity risk by monitoring factors that influence prepayment activity and through disciplined asset selection. As of June 30, 2026, approximately 10% of our investment portfolio consisted of TBA securities, which are not subject to monthly principal pay-downs. The remainder of our portfolio, primarily consisting of Agency RMBS, had an average one-year CPR forecast of 8%.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under our derivative agreements are typically subject to initial and variation margin requirements, similar to those for centrally cleared repo transactions, and may be adjusted based on changes in the value of the derivative agreements, collateral values, market volatility, and other factors. Collateral requirements for our TBA contracts are governed by the Mortgage-Backed Securities Division (“MBSD”) of the FICC. Collateral levels for interest rate swap agreements are established by the central clearing exchange and the associated futures commission merchants (“FCMs”), which may impose margin requirements in excess of those required by the clearing exchange. Collateral requirements for non-centrally cleared derivatives are set by the counterparty financial institution.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Haircut levels and initial or additional minimum margin requirements reduce the amount of our unencumbered assets and limit our borrowing capacity. Margin calls for repo and TBA transactions are typically due on the same business day, while margin calls for interest rate swaps and other derivative transactions are typically due on the next business day, subject to notice provisions. During the three and six months ended June 30, 2026, haircuts and initial margin requirements on our repo funding arrangements remained stable. As of June 30, 2026, the weighted average haircut and initial margin on our repurchase agreements were approximately 3.3% of the value of our collateral, compared to 3.1% as of December 31, 2025. We were in compliance with all margin requirements as of June 30, 2026.</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To mitigate the risk of margin calls, we seek to maintain excess liquidity by holding unencumbered liquid assets that can be used to satisfy collateral requirements, collateralize additional borrowings or be sold for cash. As of June 30, 2026, our unencumbered assets totaled approximately $7.5 billion, or 63% of tangible equity, consisting of $7.5 billion of cash and unencumbered Agency RMBS and $0.1 billion of unencumbered credit assets. This compares to approximately $7.7 billion of unencumbered assets, or 65% of tangible equity, as of December 31, 2025, consisting of $7.6 billion of cash and unencumbered Agency RMBS and $0.1 billion of unencumbered credit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For additional details regarding assets pledged under our repo and derivative agreements refer to Note 6 to our Consolidated Financial Statements in this Form 10-Q.</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Collateral requirements imposed by counterparties subject us to the risk that pledged assets may not be returned to us as and when required. We attempt to manage this risk by actively monitoring our collateral positions and limiting our counterparties to registered clearinghouses and regulated financial institutions, including banks and broker-dealers (both bank affiliated and independent) with acceptable credit ratings. We also diversify our funding sources across multiple counterparties and geographic region.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our maximum amount at risk (or the excess/shortfall of the value of collateral pledged/received over our repurchase agreement liabilities/reverse repurchase agreement receivables) with any of our repurchase agreement counterparties, excluding the FICC, was 1% of our tangible stockholders’ equity, with our top five repo counterparties, excluding the FICC, representing less than 5% of our tangible stockholders’ equity. As of June 30, 2026, less than 11% of our tangible stockholders’ equity was at risk with the FICC. Excluding central clearing exchanges, as of June 30, 2026, our amount at risk with any counterparty to our derivative agreements was less than 1% of our stockholders’ equity.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Asset Sales</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Agency RMBS securities are among the most liquid fixed income securities, and the TBA market is the second most liquid market (after the U.S. Treasury market). Although market conditions fluctuate, the vitality of these markets enables us to sell assets under most conditions to generate liquidity through direct sales or delivery into TBA contracts, subject to “good delivery” provisions promulgated by the Securities Industry and Financial Markets Association (“SIFMA”). Under certain market conditions, however, we may be unable to realize the full carrying value of our securities. We attempt to manage this risk by maintaining at least a minimum level of securities that trade at or near TBA values that in our estimation enhances our portfolio liquidity across a wide range of market conditions. Please refer to </w:t>
      </w:r>
      <w:r>
        <w:rPr>
          <w:rFonts w:ascii="Times New Roman;serif" w:hAnsi="Times New Roman;serif"/>
          <w:b w:val="false"/>
          <w:i/>
          <w:color w:val="000000"/>
          <w:sz w:val="20"/>
        </w:rPr>
        <w:t>Trends and Recent Market Impacts</w:t>
      </w:r>
      <w:r>
        <w:rPr>
          <w:color w:val="000000"/>
        </w:rPr>
        <w:t xml:space="preserve"> </w:t>
      </w:r>
      <w:r>
        <w:rPr>
          <w:rFonts w:ascii="Times New Roman;serif" w:hAnsi="Times New Roman;serif"/>
          <w:b w:val="false"/>
          <w:color w:val="000000"/>
          <w:sz w:val="20"/>
        </w:rPr>
        <w:t>of this Management Discussion and Analysis for further information regarding Agency RMBS and TBA market conditions.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 Markets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Equity capital markets serve as a source of capital to grow our business and to meet potential liquidity needs. The availability of equity capital is dependent on market conditions and investor demand for our common and preferred stock. We will typically not issue common stock at times when we believe the capital raised will not be accretive to our tangible net book value or earnings, and we will typically not issue preferred equity when its cost exceeds acceptable hurdle rates of return on our equity. We may also be unable to raise additional equity capital at suitable times or on favorable terms. As of June 30, 2026, we were authorized by our Board of Directors to enter into agreements with sales agents to publicly offer and sell shares of our common stock in privately negotiated and/or at-the-market transactions from time-to-time under two separate at-the-market programs, up to a maximum aggregate offering price under each program. As of June 30, 2026, shares of our common stock with an aggregate offering price of $0.1 billion remained authorized for issuance through December 31, 2026 under one program and $2.0 billion remained authorized for issuance through December 31, 2027 under a second program.</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Separately, when the trading price of our common stock is less than our then-current estimate of our tangible net book value per common share, among other conditions, we may repurchase shares of our common stock pursuant to the stock repurchase plan authorized by our Board. As of June 30, 2026, $1.0 billion remained authorized to repurchase shares of our common stock through December 31, 2026.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Please refer to Note 9 of our Consolidated Financial Statements in this Form 10-Q for further details regarding our recent equity capital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2026, we had not guaranteed obligations of unconsolidated entities or entered into a commitment or intent to provide funding to such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Act. Forward-looking statements are typically identified by words such as “believe,” “plan,” “expect,” “anticipate,” “see,” “intend,” “outlook,” “potential,” “forecast,” “estimate,” “will,” “could,” “should” “likely” and other similar, correlative or comparable words and expressions. </w:t>
      </w:r>
    </w:p>
    <w:p>
      <w:pPr>
        <w:pStyle w:val="TextBody"/>
        <w:bidi w:val="0"/>
        <w:spacing w:lineRule="auto" w:line="288" w:before="18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level, degree and extent of volatility in interest rates or the yield on our assets relative to interest rate benchmarks;</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fluctuations in mortgage prepayment rates on the loans underlying our Agency RMBS; </w:t>
      </w:r>
    </w:p>
    <w:p>
      <w:pPr>
        <w:pStyle w:val="TextBody"/>
        <w:bidi w:val="0"/>
        <w:spacing w:lineRule="auto" w:line="288" w:before="60" w:after="283"/>
        <w:ind w:left="0" w:right="0" w:hanging="270"/>
        <w:jc w:val="both"/>
        <w:rPr/>
      </w:pPr>
      <w:r>
        <w:rPr>
          <w:color w:val="000000"/>
        </w:rPr>
        <w:t>•</w:t>
      </w:r>
      <w:r>
        <w:rPr>
          <w:rFonts w:ascii="Times New Roman;serif" w:hAnsi="Times New Roman;serif"/>
          <w:b w:val="false"/>
          <w:color w:val="000000"/>
          <w:sz w:val="20"/>
        </w:rPr>
        <w:t xml:space="preserve">the availability and terms of our financing and hedge positions;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 xml:space="preserve">changes in the market value of our assets, including from changes in net interest spreads, market liquidity or depth, and changes in our “at risk” leverage or hedge positions;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fluctuations in the yield curve;</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 xml:space="preserve">the effectiveness of our risk mitigation strategies;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 xml:space="preserve">conditions in the market for Agency RMBS and other mortgage securities, including changes in the available supply of such securities or investor appetite therefor; </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changes in U.S. monetary policy or interest rates, including actions taken by the Federal Reserve to adjust the size or composition of its U.S. Treasury and Agency RMBS bond portfolio or to influence funding markets;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changes in U.S. government entity purchases or dispositions of Agency RMBS or other actions that directly or indirectly increase demand or supply of Agency RMBS or affect prepayment speeds;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direct or indirect effects of actions by the federal, state, or local governments that affect the economy, the housing sector or financial markets, including actions relating to fiscal policy;</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direct or indirect effects of geopolitical events, including war, terrorism, civil discord, embargos, trade or other disputes, or natural disasters, on conditions in the markets for Agency RMBS or other mortgage securities, the terms or availability of funding for our business, or our ongoing business operations;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the availability of personnel, operational resources, information technology and other systems to conduct our operations;</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changes to laws, regulations, rules or policies that affect the GSE’s, the primary or secondary mortgage markets in which we participate or U.S. housing finance activity, including actions that would end or alter the conservatorships of Fannie Mae or Freddie Mac or their quasi-governmental status; and</w:t>
      </w:r>
    </w:p>
    <w:p>
      <w:pPr>
        <w:pStyle w:val="TextBody"/>
        <w:bidi w:val="0"/>
        <w:spacing w:lineRule="auto" w:line="268" w:before="60" w:after="283"/>
        <w:ind w:left="0" w:right="0" w:hanging="270"/>
        <w:jc w:val="both"/>
        <w:rPr/>
      </w:pPr>
      <w:r>
        <w:rPr>
          <w:color w:val="000000"/>
        </w:rPr>
        <w:t>•</w:t>
      </w:r>
      <w:r>
        <w:rPr>
          <w:rFonts w:ascii="Times New Roman;serif" w:hAnsi="Times New Roman;serif"/>
          <w:b w:val="false"/>
          <w:color w:val="000000"/>
          <w:sz w:val="20"/>
        </w:rPr>
        <w:t>legislative or regulatory actions that affect our status as a REIT or our exemption from the Investment Company Act of 1940.</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under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in Part I of our most recent Annual Report on Form 10-K and Part II of this Form 10-Q. We caution readers not to place undue reliance on our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use our website (www.AGNC.com) and AGNC’s LinkedIn (www.linkedin.com/company/agnc-investment-corp/) and X (www.x.com/AGNCInvestment) accounts to distribute information about the Company. Investors should monitor these channels in addition to our press releases, filings with the U.S. Securities and Exchange Commission (“SEC”), public conference calls and webcasts, as information posted through them may be deemed material. Our website, alerts and social media channels are not incorporated by reference into, and are not a part of, this or any other report filed with or furnished to the SEC. Investors and others may automatically receive emails and information about AGNC when they sign up for investor alerts on the “Investor Resources” tab of the Investor Relations section of our website.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color w:val="000000"/>
          <w:sz w:val="20"/>
        </w:rPr>
        <w:t>Item 3.</w:t>
      </w:r>
      <w:r>
        <w:rPr>
          <w:color w:val="000000"/>
        </w:rPr>
        <w:t xml:space="preserve">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estimate the duration and convexity of our assets using a third-party risk management system and market data. We review the estimates for reasonableness, giving consideration to any unique characteristics of our securities, market conditions and other factors likely to impact these estimates, and based on our judgment we may make adjustments to the third-party estimates. Our estimated duration gap, which is a measure of the difference between the interest rate sensitivity of our assets and our liabilities, inclusive of interest rate hedges, was 0.7 years as of June 30, 2026, compared to 0.4 years as of December 31, 2025.</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quantifies the estimated changes in the fair value of our investment portfolio (including derivatives and other securities used for hedging purposes) and in our tangible net book value per common share as of June 30, 2026 and December 31, 2025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June 30, 2026 and December 31, 2025. </w:t>
      </w:r>
    </w:p>
    <w:p>
      <w:pPr>
        <w:pStyle w:val="TextBody"/>
        <w:bidi w:val="0"/>
        <w:spacing w:lineRule="auto" w:line="288" w:before="180" w:after="283"/>
        <w:ind w:left="0" w:right="0" w:firstLine="495"/>
        <w:jc w:val="both"/>
        <w:rPr/>
      </w:pPr>
      <w:r>
        <w:rPr>
          <w:rFonts w:ascii="Times New Roman;serif" w:hAnsi="Times New Roman;serif"/>
          <w:b w:val="false"/>
          <w:color w:val="000000"/>
          <w:sz w:val="20"/>
        </w:rPr>
        <w:t>To the extent that these estimates or other assumptions do not hold true, which may be more likely during periods of elevated market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85"/>
        <w:gridCol w:w="338"/>
        <w:gridCol w:w="339"/>
        <w:gridCol w:w="109"/>
        <w:gridCol w:w="109"/>
        <w:gridCol w:w="109"/>
        <w:gridCol w:w="555"/>
        <w:gridCol w:w="555"/>
        <w:gridCol w:w="557"/>
        <w:gridCol w:w="114"/>
        <w:gridCol w:w="114"/>
        <w:gridCol w:w="114"/>
        <w:gridCol w:w="729"/>
        <w:gridCol w:w="729"/>
        <w:gridCol w:w="732"/>
        <w:gridCol w:w="109"/>
        <w:gridCol w:w="109"/>
        <w:gridCol w:w="109"/>
        <w:gridCol w:w="555"/>
        <w:gridCol w:w="555"/>
        <w:gridCol w:w="557"/>
        <w:gridCol w:w="127"/>
        <w:gridCol w:w="127"/>
        <w:gridCol w:w="127"/>
        <w:gridCol w:w="654"/>
        <w:gridCol w:w="654"/>
        <w:gridCol w:w="9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1,2</w:t>
            </w:r>
          </w:p>
        </w:tc>
      </w:tr>
      <w:tr>
        <w:trPr/>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22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assumes there are no changes in mortgage spreads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 Interest rates are assumed to be floored at 0% in down rate scenarios.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Prepayment Risk and Extension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declining mortgage rates increase the rate of prepayments, while rising rates have the opposite effect.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 current period adjustment to interest income for the impact of the cumulative difference in the effective yield.</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pStyle w:val="TextBody"/>
        <w:bidi w:val="0"/>
        <w:spacing w:lineRule="auto" w:line="288" w:before="180" w:after="12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our investment securities (excluding TBAs) had a weighted average projected CPR of 8.6% and 9.6%, respectively, and a weighted average yield of 4.91% and 4.93%,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 </w:t>
      </w:r>
    </w:p>
    <w:tbl>
      <w:tblPr>
        <w:tblW w:w="10205" w:type="dxa"/>
        <w:jc w:val="center"/>
        <w:tblInd w:w="0" w:type="dxa"/>
        <w:tblLayout w:type="fixed"/>
        <w:tblCellMar>
          <w:top w:w="28" w:type="dxa"/>
          <w:left w:w="28" w:type="dxa"/>
          <w:bottom w:w="28" w:type="dxa"/>
          <w:right w:w="28" w:type="dxa"/>
        </w:tblCellMar>
      </w:tblPr>
      <w:tblGrid>
        <w:gridCol w:w="516"/>
        <w:gridCol w:w="448"/>
        <w:gridCol w:w="449"/>
        <w:gridCol w:w="109"/>
        <w:gridCol w:w="109"/>
        <w:gridCol w:w="109"/>
        <w:gridCol w:w="628"/>
        <w:gridCol w:w="628"/>
        <w:gridCol w:w="631"/>
        <w:gridCol w:w="118"/>
        <w:gridCol w:w="118"/>
        <w:gridCol w:w="118"/>
        <w:gridCol w:w="587"/>
        <w:gridCol w:w="587"/>
        <w:gridCol w:w="589"/>
        <w:gridCol w:w="109"/>
        <w:gridCol w:w="109"/>
        <w:gridCol w:w="109"/>
        <w:gridCol w:w="628"/>
        <w:gridCol w:w="628"/>
        <w:gridCol w:w="631"/>
        <w:gridCol w:w="142"/>
        <w:gridCol w:w="142"/>
        <w:gridCol w:w="142"/>
        <w:gridCol w:w="529"/>
        <w:gridCol w:w="529"/>
        <w:gridCol w:w="763"/>
      </w:tblGrid>
      <w:tr>
        <w:trPr/>
        <w:tc>
          <w:tcPr>
            <w:tcW w:w="5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Interest Rate Sensitivity </w:t>
            </w:r>
            <w:r>
              <w:rPr>
                <w:rFonts w:ascii="Times New Roman;serif" w:hAnsi="Times New Roman;serif"/>
                <w:b/>
                <w:color w:val="000000"/>
                <w:sz w:val="10"/>
              </w:rPr>
              <w:t>1</w:t>
            </w:r>
          </w:p>
        </w:tc>
      </w:tr>
      <w:tr>
        <w:trPr/>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Projected CPR</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Weighted Average Asset Yield </w:t>
            </w:r>
            <w:r>
              <w:rPr>
                <w:rFonts w:ascii="Times New Roman;serif" w:hAnsi="Times New Roman;serif"/>
                <w:b/>
                <w:color w:val="000000"/>
                <w:sz w:val="10"/>
              </w:rPr>
              <w:t>2</w:t>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4.79%</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4.84%</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4.89%</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Actual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4.96%</w:t>
            </w:r>
          </w:p>
        </w:tc>
      </w:tr>
      <w:tr>
        <w:trPr/>
        <w:tc>
          <w:tcPr>
            <w:tcW w:w="1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4.98%</w:t>
            </w:r>
          </w:p>
        </w:tc>
      </w:tr>
      <w:tr>
        <w:trPr/>
        <w:tc>
          <w:tcPr>
            <w:tcW w:w="1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+75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r>
      <w:tr>
        <w:trPr/>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1.Derived from models that are dependent on inputs and assumptions and assumes a static portfolio. Actual results could differ materially from these estimates. Table excludes TBA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2.Asset yield based on historical cost basis and does not include the impact of retroactive “catch-up” premium amortization adjustments due to changes in projected CPR.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Spread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Therefore, although we use hedging instruments to attempt to protect against moves in interest rates, our hedges are generally not designed to protect against spread risk, and our tangible net book value could decline if spreads widen.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June 30, 2026 and December 31, 2025 should spreads widen or tighten by 10, 25 and 50 basis points. The estimated impact of changes in spreads is in addition to our interest rate shock sensitivity included in the interest rate shock table above. The table below assumes a spread duration of 5.0 and 5.0 as of June 30, 2026 and December 31, 2025,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tbl>
      <w:tblPr>
        <w:tblW w:w="10205" w:type="dxa"/>
        <w:jc w:val="center"/>
        <w:tblInd w:w="0" w:type="dxa"/>
        <w:tblLayout w:type="fixed"/>
        <w:tblCellMar>
          <w:top w:w="28" w:type="dxa"/>
          <w:left w:w="28" w:type="dxa"/>
          <w:bottom w:w="28" w:type="dxa"/>
          <w:right w:w="28" w:type="dxa"/>
        </w:tblCellMar>
      </w:tblPr>
      <w:tblGrid>
        <w:gridCol w:w="380"/>
        <w:gridCol w:w="333"/>
        <w:gridCol w:w="335"/>
        <w:gridCol w:w="109"/>
        <w:gridCol w:w="109"/>
        <w:gridCol w:w="109"/>
        <w:gridCol w:w="555"/>
        <w:gridCol w:w="555"/>
        <w:gridCol w:w="558"/>
        <w:gridCol w:w="114"/>
        <w:gridCol w:w="114"/>
        <w:gridCol w:w="114"/>
        <w:gridCol w:w="730"/>
        <w:gridCol w:w="730"/>
        <w:gridCol w:w="733"/>
        <w:gridCol w:w="109"/>
        <w:gridCol w:w="109"/>
        <w:gridCol w:w="109"/>
        <w:gridCol w:w="555"/>
        <w:gridCol w:w="555"/>
        <w:gridCol w:w="558"/>
        <w:gridCol w:w="127"/>
        <w:gridCol w:w="127"/>
        <w:gridCol w:w="127"/>
        <w:gridCol w:w="655"/>
        <w:gridCol w:w="655"/>
        <w:gridCol w:w="941"/>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Spread Sensitivity </w:t>
            </w:r>
            <w:r>
              <w:rPr>
                <w:rFonts w:ascii="Times New Roman;serif" w:hAnsi="Times New Roman;serif"/>
                <w:b/>
                <w:color w:val="000000"/>
                <w:sz w:val="10"/>
              </w:rPr>
              <w:t>1,2</w:t>
            </w:r>
          </w:p>
        </w:tc>
      </w:tr>
      <w:tr>
        <w:trPr/>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Change in MBS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Portfolio Market Value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Change in Tangible Net Book Value Per Common Share</w:t>
            </w:r>
          </w:p>
        </w:tc>
      </w:tr>
      <w:tr>
        <w:trPr/>
        <w:tc>
          <w:tcPr>
            <w:tcW w:w="10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+25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-12.0%</w:t>
            </w:r>
          </w:p>
        </w:tc>
      </w:tr>
      <w:tr>
        <w:trPr/>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w:t>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1.Spread sensitivity is derived from models that are dependent on inputs and assumptions, assumes there are no changes in interest rates and assumes a static portfolio. Actual results could differ materially from these estimates.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2.Includes the effect of derivatives and other securities used for hedging purposes.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Liquidity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liquidity risk principally arises from financing long-term fixed rate assets with shorter-term variable rate borrowings. Future borrowings are dependent upon the willingness of lenders to finance our investments, lender collateral requirements and the lenders’ determination of the fair value of the securities pledged as collateral. These factors can change over time in response to interest rate movements, overall market liquidity, shifts in credit quality and changes in bank regulatory requirements. Borrowings under centrally cleared repo also depend on Bethesda Securities’ remaining compliant with regulatory and FICC membership requirements and maintaining its risk exposure within limits established by the FICC.</w:t>
      </w:r>
    </w:p>
    <w:p>
      <w:pPr>
        <w:pStyle w:val="TextBody"/>
        <w:bidi w:val="0"/>
        <w:spacing w:lineRule="auto" w:line="288" w:before="180" w:after="283"/>
        <w:ind w:left="0" w:right="0" w:firstLine="495"/>
        <w:jc w:val="both"/>
        <w:rPr/>
      </w:pPr>
      <w:r>
        <w:rPr>
          <w:rFonts w:ascii="Times New Roman;serif" w:hAnsi="Times New Roman;serif"/>
          <w:b w:val="false"/>
          <w:color w:val="000000"/>
          <w:sz w:val="20"/>
        </w:rPr>
        <w:t xml:space="preserve">As of June 30, 2026, we believe that we have sufficient liquidity and capital resources available to execute our business strategy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 xml:space="preserve">in this Form 10-Q for additional details). However, should the value of our collateral or the value of our derivative instruments suddenly decrease, or margin requirements increase, we may be required to post additional collateral for these arrangements, causing an adverse change in our liquidity position. Furthermore, there is no assurance that we will always be able to renew (or roll) our short-term funding liabilities. In addition, our bilateral counterparties have the option to increase our haircuts (margin requirements) on the assets we pledge against our funding liabilities, and our central clearing counterparties may adjust their risk models impacting the amount of initial margin we are required to post, thereby reducing the amount that can be borrowed against our assets even if they agree to renew or roll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funding liabilities. Significantly higher haircuts or initial margin requirements can reduce our ability to leverage our portfolio or may even force us to sell assets, especially if correlated with asset price declines or faster prepayment rates on our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regulated financial institutions with acceptable credit ratings or to registered central clearinghouses and monitoring concentration levels with any one counterparty. We also continuously monitor and adjust the amount of collateral pledged based on changes in market value. However, our efforts to manage credit risk may be unsuccessful and we could suffer losses as a result. Excluding central clearing exchanges, as of June 30, 2026, our maximum amount at risk with any counterparty related to our repurchase agreements and derivative agreements was 1% and less than 1%, respectively, of tangible stockholders’ equity.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including our Chief Executive Officer and Chief Financial Officer, evaluated the effectiveness of the design and operation of our disclosure controls and procedures as of June 30, 2026. Based on the foregoing, our Chief Executive Officer and Chief Financial Officer concluded that our disclosure controls and procedures were effective.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2. </w:t>
      </w:r>
      <w:r>
        <w:rPr>
          <w:rFonts w:ascii="Times New Roman;serif" w:hAnsi="Times New Roman;serif"/>
          <w:b/>
          <w:i/>
          <w:color w:val="000000"/>
          <w:sz w:val="18"/>
        </w:rPr>
        <w:t>Unregistered Sales of Equity Securities and Use of Proceeds</w:t>
      </w:r>
      <w:r>
        <w:rPr>
          <w:color w:val="000000"/>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color w:val="000000"/>
          <w:sz w:val="20"/>
        </w:rPr>
        <w:t xml:space="preserve">Item 3. </w:t>
      </w:r>
      <w:r>
        <w:rPr>
          <w:rFonts w:ascii="Times New Roman;serif" w:hAnsi="Times New Roman;serif"/>
          <w:b/>
          <w:i/>
          <w:color w:val="000000"/>
          <w:sz w:val="18"/>
        </w:rPr>
        <w:t>Defaults upon Senior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none of our directors or officers (as defined in Rule 16a-1(f) under the Exchange Act) informed us of the adoption or termination of a “Rule 10b5-1 trading arrangement” or “non-Rule 10b5-1 trading arrangement” (as each term is defined in Regulation S-K, Item 408), except as follows.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June 1, 2026, Peter Federico, our President, Chief Executive Officer, Chief Investment Officer, and a Director, adopted a Rule 10b5-1 trading arrangement intended to satisfy the affirmative defense of Rule 10b5-1(c) providing for the sale of up to 203,382 shares of our common stock. The trading arrangement will expire on December 31, 2026 or earlier if all transactions under the trading arrangement are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 and Financial Statement Schedules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Exhibit Index</w:t>
      </w:r>
    </w:p>
    <w:p>
      <w:pPr>
        <w:pStyle w:val="TextBody"/>
        <w:bidi w:val="0"/>
        <w:spacing w:lineRule="auto" w:line="288" w:before="180" w:after="283"/>
        <w:jc w:val="both"/>
        <w:rPr/>
      </w:pPr>
      <w:r>
        <w:rPr>
          <w:rFonts w:ascii="Times New Roman;serif" w:hAnsi="Times New Roman;serif"/>
          <w:b/>
          <w:color w:val="000000"/>
          <w:sz w:val="16"/>
          <w:u w:val="single"/>
        </w:rPr>
        <w:t>Exhibit No.</w:t>
      </w:r>
      <w:r>
        <w:rPr>
          <w:color w:val="000000"/>
        </w:rPr>
        <w:t>    </w:t>
      </w:r>
      <w:r>
        <w:rPr>
          <w:rFonts w:ascii="Times New Roman;serif" w:hAnsi="Times New Roman;serif"/>
          <w:b/>
          <w:color w:val="000000"/>
          <w:sz w:val="16"/>
          <w:u w:val="single"/>
        </w:rPr>
        <w:t>Description</w:t>
      </w:r>
    </w:p>
    <w:p>
      <w:pPr>
        <w:pStyle w:val="TextBody"/>
        <w:bidi w:val="0"/>
        <w:spacing w:lineRule="auto" w:line="288" w:before="180" w:after="283"/>
        <w:ind w:left="0" w:right="0" w:hanging="1440"/>
        <w:jc w:val="both"/>
        <w:rPr/>
      </w:pPr>
      <w:hyperlink r:id="rId3">
        <w:r>
          <w:rPr>
            <w:rStyle w:val="InternetLink"/>
          </w:rPr>
          <w:t>*3.1</w:t>
        </w:r>
      </w:hyperlink>
      <w:r>
        <w:rPr>
          <w:rFonts w:ascii="Times New Roman;serif" w:hAnsi="Times New Roman;serif"/>
          <w:b w:val="false"/>
          <w:color w:val="000000"/>
          <w:sz w:val="20"/>
        </w:rPr>
        <w:t>    </w:t>
      </w:r>
      <w:hyperlink r:id="rId4">
        <w:r>
          <w:rPr>
            <w:rStyle w:val="InternetLink"/>
          </w:rPr>
          <w:t>AGNC Investment Corp. Amended and Restated Certificate of Incorporation, as amended, incorporated herein by reference to Exhibit 3.1 of Form 10-Q for the quarter ended March 31, 2025 (File No. 001-34057), filed May 2, 2025.</w:t>
        </w:r>
      </w:hyperlink>
    </w:p>
    <w:p>
      <w:pPr>
        <w:pStyle w:val="TextBody"/>
        <w:bidi w:val="0"/>
        <w:spacing w:lineRule="auto" w:line="288" w:before="180" w:after="283"/>
        <w:ind w:left="0" w:right="0" w:hanging="1440"/>
        <w:jc w:val="both"/>
        <w:rPr/>
      </w:pPr>
      <w:hyperlink r:id="rId5">
        <w:r>
          <w:rPr>
            <w:rStyle w:val="InternetLink"/>
          </w:rPr>
          <w:t>*3.2</w:t>
        </w:r>
      </w:hyperlink>
      <w:r>
        <w:rPr>
          <w:rFonts w:ascii="Times New Roman;serif" w:hAnsi="Times New Roman;serif"/>
          <w:b w:val="false"/>
          <w:color w:val="000000"/>
          <w:sz w:val="20"/>
        </w:rPr>
        <w:t>    </w:t>
      </w:r>
      <w:hyperlink r:id="rId6">
        <w:r>
          <w:rPr>
            <w:rStyle w:val="InternetLink"/>
          </w:rPr>
          <w:t>AGNC Investment Corp. Amended and Restated Bylaws, as amended, incorporated herein by reference to Exhibit 3.1 of Form 8-K (File No. 001-34057), filed July 21, 2023.</w:t>
        </w:r>
      </w:hyperlink>
    </w:p>
    <w:p>
      <w:pPr>
        <w:pStyle w:val="TextBody"/>
        <w:bidi w:val="0"/>
        <w:spacing w:lineRule="auto" w:line="288" w:before="180" w:after="283"/>
        <w:ind w:left="0" w:right="0" w:hanging="1440"/>
        <w:jc w:val="both"/>
        <w:rPr/>
      </w:pPr>
      <w:hyperlink r:id="rId7">
        <w:r>
          <w:rPr>
            <w:rStyle w:val="InternetLink"/>
          </w:rPr>
          <w:t>*3.3</w:t>
        </w:r>
      </w:hyperlink>
      <w:r>
        <w:rPr>
          <w:rFonts w:ascii="Times New Roman;serif" w:hAnsi="Times New Roman;serif"/>
          <w:b w:val="false"/>
          <w:color w:val="000000"/>
          <w:sz w:val="20"/>
        </w:rPr>
        <w:t>    </w:t>
      </w:r>
      <w:hyperlink r:id="rId8">
        <w:r>
          <w:rPr>
            <w:rStyle w:val="InternetLink"/>
          </w:rPr>
          <w:t>Certificate of Designations of 7.00% Series C Fixed-to-Floating Rate Cumulative Redeemable Preferred Stock, incorporated herein by reference to Exhibit 3.5 of Form 8-A (File No. 001-34057), filed August 18, 2017.</w:t>
        </w:r>
      </w:hyperlink>
    </w:p>
    <w:p>
      <w:pPr>
        <w:pStyle w:val="TextBody"/>
        <w:bidi w:val="0"/>
        <w:spacing w:lineRule="auto" w:line="288" w:before="180" w:after="283"/>
        <w:ind w:left="0" w:right="0" w:hanging="1440"/>
        <w:jc w:val="both"/>
        <w:rPr/>
      </w:pPr>
      <w:hyperlink r:id="rId9">
        <w:r>
          <w:rPr>
            <w:rStyle w:val="InternetLink"/>
          </w:rPr>
          <w:t>*3.4</w:t>
        </w:r>
      </w:hyperlink>
      <w:r>
        <w:rPr>
          <w:rFonts w:ascii="Times New Roman;serif" w:hAnsi="Times New Roman;serif"/>
          <w:b w:val="false"/>
          <w:color w:val="000000"/>
          <w:sz w:val="20"/>
        </w:rPr>
        <w:t>    </w:t>
      </w:r>
      <w:hyperlink r:id="rId10">
        <w:r>
          <w:rPr>
            <w:rStyle w:val="InternetLink"/>
          </w:rPr>
          <w:t>Certificate of Elimination of 8.000% Series A Cumulative Redeemable Preferred Stock, incorporated herein by reference to Exhibit 3.1 of Form 8-K (File No 001-34057), filed October 26, 2017.</w:t>
        </w:r>
      </w:hyperlink>
    </w:p>
    <w:p>
      <w:pPr>
        <w:pStyle w:val="TextBody"/>
        <w:bidi w:val="0"/>
        <w:spacing w:lineRule="auto" w:line="288" w:before="180" w:after="283"/>
        <w:ind w:left="0" w:right="0" w:hanging="1440"/>
        <w:jc w:val="both"/>
        <w:rPr/>
      </w:pPr>
      <w:hyperlink r:id="rId11">
        <w:r>
          <w:rPr>
            <w:rStyle w:val="InternetLink"/>
          </w:rPr>
          <w:t>*3.5</w:t>
        </w:r>
      </w:hyperlink>
      <w:r>
        <w:rPr>
          <w:rFonts w:ascii="Times New Roman;serif" w:hAnsi="Times New Roman;serif"/>
          <w:b w:val="false"/>
          <w:color w:val="000000"/>
          <w:sz w:val="20"/>
        </w:rPr>
        <w:t>    </w:t>
      </w:r>
      <w:hyperlink r:id="rId12">
        <w:r>
          <w:rPr>
            <w:rStyle w:val="InternetLink"/>
          </w:rPr>
          <w:t>Certificate of Designations of 6.875% Series D Fixed-to-Floating Rate Cumulative Redeemable Preferred Stock, incorporated herein by reference to Exhibit 3.5 of Form 8-A (File No 001-34057), filed March 6, 2019.</w:t>
        </w:r>
      </w:hyperlink>
    </w:p>
    <w:p>
      <w:pPr>
        <w:pStyle w:val="TextBody"/>
        <w:bidi w:val="0"/>
        <w:spacing w:lineRule="auto" w:line="288" w:before="180" w:after="283"/>
        <w:ind w:left="0" w:right="0" w:hanging="1440"/>
        <w:jc w:val="both"/>
        <w:rPr/>
      </w:pPr>
      <w:hyperlink r:id="rId13">
        <w:r>
          <w:rPr>
            <w:rStyle w:val="InternetLink"/>
          </w:rPr>
          <w:t>*3.6</w:t>
        </w:r>
      </w:hyperlink>
      <w:r>
        <w:rPr>
          <w:rFonts w:ascii="Times New Roman;serif" w:hAnsi="Times New Roman;serif"/>
          <w:b w:val="false"/>
          <w:color w:val="000000"/>
          <w:sz w:val="20"/>
        </w:rPr>
        <w:t>    </w:t>
      </w:r>
      <w:hyperlink r:id="rId14">
        <w:r>
          <w:rPr>
            <w:rStyle w:val="InternetLink"/>
          </w:rPr>
          <w:t>Certificate of Designations of 6.50% Series E Fixed-to-Floating Rate Cumulative Redeemable Preferred Stock, incorporated herein by reference to Exhibit 3.6 of Form 8-A (File No 001-34057), filed October 3, 2019.</w:t>
        </w:r>
      </w:hyperlink>
    </w:p>
    <w:p>
      <w:pPr>
        <w:pStyle w:val="TextBody"/>
        <w:bidi w:val="0"/>
        <w:spacing w:lineRule="auto" w:line="288" w:before="180" w:after="283"/>
        <w:ind w:left="0" w:right="0" w:hanging="1440"/>
        <w:jc w:val="both"/>
        <w:rPr/>
      </w:pPr>
      <w:hyperlink r:id="rId15">
        <w:r>
          <w:rPr>
            <w:rStyle w:val="InternetLink"/>
          </w:rPr>
          <w:t>*3.7</w:t>
        </w:r>
      </w:hyperlink>
      <w:r>
        <w:rPr>
          <w:rFonts w:ascii="Times New Roman;serif" w:hAnsi="Times New Roman;serif"/>
          <w:b w:val="false"/>
          <w:color w:val="000000"/>
          <w:sz w:val="20"/>
        </w:rPr>
        <w:t>    </w:t>
      </w:r>
      <w:hyperlink r:id="rId16">
        <w:r>
          <w:rPr>
            <w:rStyle w:val="InternetLink"/>
          </w:rPr>
          <w:t>Certificate of Elimination of 7.750% Series B Cumulative Redeemable Preferred Stock, incorporated herein by reference to Exhibit 3.1 of Form 8-K (File No 001-34057), filed December 13, 2019.</w:t>
        </w:r>
      </w:hyperlink>
    </w:p>
    <w:p>
      <w:pPr>
        <w:pStyle w:val="TextBody"/>
        <w:bidi w:val="0"/>
        <w:spacing w:lineRule="auto" w:line="288" w:before="180" w:after="283"/>
        <w:ind w:left="0" w:right="0" w:hanging="1440"/>
        <w:jc w:val="both"/>
        <w:rPr/>
      </w:pPr>
      <w:hyperlink r:id="rId17">
        <w:r>
          <w:rPr>
            <w:rStyle w:val="InternetLink"/>
          </w:rPr>
          <w:t>*3.8</w:t>
        </w:r>
      </w:hyperlink>
      <w:r>
        <w:rPr>
          <w:rFonts w:ascii="Times New Roman;serif" w:hAnsi="Times New Roman;serif"/>
          <w:b w:val="false"/>
          <w:color w:val="000000"/>
          <w:sz w:val="20"/>
        </w:rPr>
        <w:t>    </w:t>
      </w:r>
      <w:hyperlink r:id="rId18">
        <w:r>
          <w:rPr>
            <w:rStyle w:val="InternetLink"/>
          </w:rPr>
          <w:t>Certificate of Designations of 6.125% Series F Fixed-to-Floating Rate Cumulative Redeemable Preferred Stock, incorporated herein by reference to Exhibit 3.6 of Form 8-A (File No 001-34057), filed February 11, 2020.</w:t>
        </w:r>
      </w:hyperlink>
    </w:p>
    <w:p>
      <w:pPr>
        <w:pStyle w:val="TextBody"/>
        <w:bidi w:val="0"/>
        <w:spacing w:lineRule="auto" w:line="288" w:before="180" w:after="283"/>
        <w:ind w:left="0" w:right="0" w:hanging="1440"/>
        <w:jc w:val="both"/>
        <w:rPr/>
      </w:pPr>
      <w:hyperlink r:id="rId19">
        <w:r>
          <w:rPr>
            <w:rStyle w:val="InternetLink"/>
          </w:rPr>
          <w:t>*3.9</w:t>
        </w:r>
      </w:hyperlink>
      <w:r>
        <w:rPr>
          <w:rFonts w:ascii="Times New Roman;serif" w:hAnsi="Times New Roman;serif"/>
          <w:b w:val="false"/>
          <w:color w:val="000000"/>
          <w:sz w:val="20"/>
        </w:rPr>
        <w:t>    </w:t>
      </w:r>
      <w:hyperlink r:id="rId20">
        <w:r>
          <w:rPr>
            <w:rStyle w:val="InternetLink"/>
          </w:rPr>
          <w:t>Certificate of Designations of 7.75% Series G Fixed-Rate Reset Cumulative Redeemable Preferred Stock, incorporated herein by reference to Exhibit 3.7 of Form 8-A (File No 001-34057), filed September 14, 2022.</w:t>
        </w:r>
      </w:hyperlink>
    </w:p>
    <w:p>
      <w:pPr>
        <w:pStyle w:val="TextBody"/>
        <w:bidi w:val="0"/>
        <w:spacing w:lineRule="auto" w:line="288" w:before="180" w:after="283"/>
        <w:ind w:left="0" w:right="0" w:hanging="1440"/>
        <w:jc w:val="both"/>
        <w:rPr/>
      </w:pPr>
      <w:hyperlink r:id="rId21">
        <w:r>
          <w:rPr>
            <w:rStyle w:val="InternetLink"/>
          </w:rPr>
          <w:t>*3.10</w:t>
        </w:r>
      </w:hyperlink>
      <w:r>
        <w:rPr>
          <w:rFonts w:ascii="Times New Roman;serif" w:hAnsi="Times New Roman;serif"/>
          <w:b w:val="false"/>
          <w:color w:val="000000"/>
          <w:sz w:val="20"/>
        </w:rPr>
        <w:t>    </w:t>
      </w:r>
      <w:hyperlink r:id="rId22">
        <w:r>
          <w:rPr>
            <w:rStyle w:val="InternetLink"/>
          </w:rPr>
          <w:t>Certificate of Designations of 8.75% Series H Fixed-Rate Cumulative Redeemable Preferred Stock, incorporated herein by reference to Exhibit 3.8 of Form 8-A (File No 001-34057), filed September 10, 2025.</w:t>
        </w:r>
      </w:hyperlink>
    </w:p>
    <w:p>
      <w:pPr>
        <w:pStyle w:val="TextBody"/>
        <w:bidi w:val="0"/>
        <w:spacing w:lineRule="auto" w:line="288" w:before="180" w:after="283"/>
        <w:ind w:left="0" w:right="0" w:hanging="1440"/>
        <w:jc w:val="both"/>
        <w:rPr/>
      </w:pPr>
      <w:hyperlink r:id="rId23">
        <w:r>
          <w:rPr>
            <w:rStyle w:val="InternetLink"/>
          </w:rPr>
          <w:t>*4.1</w:t>
        </w:r>
      </w:hyperlink>
      <w:r>
        <w:rPr>
          <w:rFonts w:ascii="Times New Roman;serif" w:hAnsi="Times New Roman;serif"/>
          <w:b w:val="false"/>
          <w:color w:val="000000"/>
          <w:sz w:val="20"/>
        </w:rPr>
        <w:t>    </w:t>
      </w:r>
      <w:hyperlink r:id="rId24">
        <w:r>
          <w:rPr>
            <w:rStyle w:val="InternetLink"/>
          </w:rPr>
          <w:t>Instruments defining the rights of holders of securities: See Article IV of our Amended and Restated Certificate of Incorporation, as amended, incorporated herein by reference to Exhibit 3.1 of Form 10-Q for the quarter ended March 31, 2025 (File No. 001-34057), filed May 2, 2025.</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1440"/>
        <w:jc w:val="both"/>
        <w:rPr/>
      </w:pPr>
      <w:hyperlink r:id="rId25">
        <w:r>
          <w:rPr>
            <w:rStyle w:val="InternetLink"/>
          </w:rPr>
          <w:t>*4.2</w:t>
        </w:r>
      </w:hyperlink>
      <w:r>
        <w:rPr>
          <w:rFonts w:ascii="Times New Roman;serif" w:hAnsi="Times New Roman;serif"/>
          <w:b w:val="false"/>
          <w:color w:val="000000"/>
          <w:sz w:val="20"/>
        </w:rPr>
        <w:t>    </w:t>
      </w:r>
      <w:hyperlink r:id="rId26">
        <w:r>
          <w:rPr>
            <w:rStyle w:val="InternetLink"/>
          </w:rPr>
          <w:t>Instruments defining the rights of holders of securities: See Article VI of our Amended and Restated Bylaws, as amended, incorporated herein by reference to Exhibit 3.1 of Form 8-K, filed July 21, 2023.</w:t>
        </w:r>
      </w:hyperlink>
    </w:p>
    <w:p>
      <w:pPr>
        <w:pStyle w:val="TextBody"/>
        <w:bidi w:val="0"/>
        <w:spacing w:lineRule="auto" w:line="288" w:before="180" w:after="283"/>
        <w:ind w:left="0" w:right="0" w:hanging="1440"/>
        <w:jc w:val="both"/>
        <w:rPr/>
      </w:pPr>
      <w:hyperlink r:id="rId27">
        <w:r>
          <w:rPr>
            <w:rStyle w:val="InternetLink"/>
          </w:rPr>
          <w:t>*4.3</w:t>
        </w:r>
      </w:hyperlink>
      <w:r>
        <w:rPr>
          <w:rFonts w:ascii="Times New Roman;serif" w:hAnsi="Times New Roman;serif"/>
          <w:b w:val="false"/>
          <w:color w:val="000000"/>
          <w:sz w:val="20"/>
        </w:rPr>
        <w:t>    </w:t>
      </w:r>
      <w:hyperlink r:id="rId28">
        <w:r>
          <w:rPr>
            <w:rStyle w:val="InternetLink"/>
          </w:rPr>
          <w:t>Form of Certificate for Common Stock, incorporated herein by reference to Exhibit 4.3 of Form 10-Q for the quarter ended September 30, 2022 (File No. 001-34057), filed November 7, 2022.</w:t>
        </w:r>
      </w:hyperlink>
    </w:p>
    <w:p>
      <w:pPr>
        <w:pStyle w:val="TextBody"/>
        <w:bidi w:val="0"/>
        <w:spacing w:lineRule="auto" w:line="288" w:before="180" w:after="283"/>
        <w:ind w:left="0" w:right="0" w:hanging="1440"/>
        <w:jc w:val="both"/>
        <w:rPr/>
      </w:pPr>
      <w:hyperlink r:id="rId29">
        <w:r>
          <w:rPr>
            <w:rStyle w:val="InternetLink"/>
          </w:rPr>
          <w:t>*4.4</w:t>
        </w:r>
      </w:hyperlink>
      <w:r>
        <w:rPr>
          <w:rFonts w:ascii="Times New Roman;serif" w:hAnsi="Times New Roman;serif"/>
          <w:b w:val="false"/>
          <w:color w:val="000000"/>
          <w:sz w:val="20"/>
        </w:rPr>
        <w:t>    </w:t>
      </w:r>
      <w:hyperlink r:id="rId30">
        <w:r>
          <w:rPr>
            <w:rStyle w:val="InternetLink"/>
          </w:rPr>
          <w:t>Specimen 7.00% Series C Fixed-to-Floating Rate Cumulative Redeemable Preferred Stock Certificate, incorporated herein by reference to Exhibit 4.1 of Form 8-A (File No. 001-34057), filed August 18, 2017.</w:t>
        </w:r>
      </w:hyperlink>
    </w:p>
    <w:p>
      <w:pPr>
        <w:pStyle w:val="TextBody"/>
        <w:bidi w:val="0"/>
        <w:spacing w:lineRule="auto" w:line="288" w:before="180" w:after="283"/>
        <w:ind w:left="0" w:right="0" w:hanging="1440"/>
        <w:jc w:val="both"/>
        <w:rPr/>
      </w:pPr>
      <w:hyperlink r:id="rId31">
        <w:r>
          <w:rPr>
            <w:rStyle w:val="InternetLink"/>
          </w:rPr>
          <w:t>*4.5</w:t>
        </w:r>
      </w:hyperlink>
      <w:r>
        <w:rPr>
          <w:rFonts w:ascii="Times New Roman;serif" w:hAnsi="Times New Roman;serif"/>
          <w:b w:val="false"/>
          <w:color w:val="000000"/>
          <w:sz w:val="20"/>
        </w:rPr>
        <w:t>    </w:t>
      </w:r>
      <w:hyperlink r:id="rId32">
        <w:r>
          <w:rPr>
            <w:rStyle w:val="InternetLink"/>
          </w:rPr>
          <w:t>Specimen 6.875% Series D Fixed-to-Floating Rate Cumulative Redeemable Preferred Stock Certificate, incorporated herein by reference to Exhibit 4.1 of Form 8-A (File No. 001-34057), filed March 6, 2019.</w:t>
        </w:r>
      </w:hyperlink>
    </w:p>
    <w:p>
      <w:pPr>
        <w:pStyle w:val="TextBody"/>
        <w:bidi w:val="0"/>
        <w:spacing w:lineRule="auto" w:line="288" w:before="180" w:after="283"/>
        <w:ind w:left="0" w:right="0" w:hanging="1440"/>
        <w:jc w:val="both"/>
        <w:rPr/>
      </w:pPr>
      <w:hyperlink r:id="rId33">
        <w:r>
          <w:rPr>
            <w:rStyle w:val="InternetLink"/>
          </w:rPr>
          <w:t>*4.6</w:t>
        </w:r>
      </w:hyperlink>
      <w:r>
        <w:rPr>
          <w:rFonts w:ascii="Times New Roman;serif" w:hAnsi="Times New Roman;serif"/>
          <w:b w:val="false"/>
          <w:color w:val="000000"/>
          <w:sz w:val="20"/>
        </w:rPr>
        <w:t>    </w:t>
      </w:r>
      <w:hyperlink r:id="rId34">
        <w:r>
          <w:rPr>
            <w:rStyle w:val="InternetLink"/>
          </w:rPr>
          <w:t>Specimen 6.50% Series E Fixed-to-Floating Rate Cumulative Redeemable Preferred Stock Certificate, incorporated herein by reference to Exhibit 4.1 of Form 8-A (File No. 001-34057), filed October 3, 2019.</w:t>
        </w:r>
      </w:hyperlink>
    </w:p>
    <w:p>
      <w:pPr>
        <w:pStyle w:val="TextBody"/>
        <w:bidi w:val="0"/>
        <w:spacing w:lineRule="auto" w:line="288" w:before="180" w:after="283"/>
        <w:ind w:left="0" w:right="0" w:hanging="1440"/>
        <w:jc w:val="both"/>
        <w:rPr/>
      </w:pPr>
      <w:hyperlink r:id="rId35">
        <w:r>
          <w:rPr>
            <w:rStyle w:val="InternetLink"/>
          </w:rPr>
          <w:t>*4.7</w:t>
        </w:r>
      </w:hyperlink>
      <w:r>
        <w:rPr>
          <w:rFonts w:ascii="Times New Roman;serif" w:hAnsi="Times New Roman;serif"/>
          <w:b w:val="false"/>
          <w:color w:val="000000"/>
          <w:sz w:val="20"/>
        </w:rPr>
        <w:t>    </w:t>
      </w:r>
      <w:hyperlink r:id="rId36">
        <w:r>
          <w:rPr>
            <w:rStyle w:val="InternetLink"/>
          </w:rPr>
          <w:t>Specimen 6.125% Series F Fixed-to-Floating Rate Cumulative Redeemable Preferred Stock Certificate, incorporated herein by reference to Exhibit 4.1 of Form 8-A (File No 001-34057), filed February 11, 2020.</w:t>
        </w:r>
      </w:hyperlink>
    </w:p>
    <w:p>
      <w:pPr>
        <w:pStyle w:val="TextBody"/>
        <w:bidi w:val="0"/>
        <w:spacing w:lineRule="auto" w:line="288" w:before="180" w:after="283"/>
        <w:ind w:left="0" w:right="0" w:hanging="1440"/>
        <w:jc w:val="both"/>
        <w:rPr/>
      </w:pPr>
      <w:hyperlink r:id="rId37">
        <w:r>
          <w:rPr>
            <w:rStyle w:val="InternetLink"/>
          </w:rPr>
          <w:t>*4.8</w:t>
        </w:r>
      </w:hyperlink>
      <w:r>
        <w:rPr>
          <w:rFonts w:ascii="Times New Roman;serif" w:hAnsi="Times New Roman;serif"/>
          <w:b w:val="false"/>
          <w:color w:val="000000"/>
          <w:sz w:val="20"/>
        </w:rPr>
        <w:t>    </w:t>
      </w:r>
      <w:hyperlink r:id="rId38">
        <w:r>
          <w:rPr>
            <w:rStyle w:val="InternetLink"/>
          </w:rPr>
          <w:t>Specimen 7.75% Series G Fixed-Rate Reset Cumulative Redeemable Preferred Stock Certificate, incorporated herein by reference to Exhibit 4.1 of Form 8-A (File No 001-34057), filed September 14, 2022.</w:t>
        </w:r>
      </w:hyperlink>
    </w:p>
    <w:p>
      <w:pPr>
        <w:pStyle w:val="TextBody"/>
        <w:bidi w:val="0"/>
        <w:spacing w:lineRule="auto" w:line="288" w:before="180" w:after="283"/>
        <w:ind w:left="0" w:right="0" w:hanging="1440"/>
        <w:jc w:val="both"/>
        <w:rPr/>
      </w:pPr>
      <w:hyperlink r:id="rId39">
        <w:r>
          <w:rPr>
            <w:rStyle w:val="InternetLink"/>
          </w:rPr>
          <w:t>*4.9</w:t>
        </w:r>
      </w:hyperlink>
      <w:r>
        <w:rPr>
          <w:rFonts w:ascii="Times New Roman;serif" w:hAnsi="Times New Roman;serif"/>
          <w:b w:val="false"/>
          <w:color w:val="000000"/>
          <w:sz w:val="20"/>
        </w:rPr>
        <w:t>    </w:t>
      </w:r>
      <w:hyperlink r:id="rId40">
        <w:r>
          <w:rPr>
            <w:rStyle w:val="InternetLink"/>
          </w:rPr>
          <w:t>Specimen 8.75% Series H Fixed-Rate Cumulative Redeemable Preferred Stock Certificate. incorporated herein by reference to Exhibit 4.1 of Form 8-A (File No 001-34057), filed September 10, 2025.</w:t>
        </w:r>
      </w:hyperlink>
    </w:p>
    <w:p>
      <w:pPr>
        <w:pStyle w:val="TextBody"/>
        <w:bidi w:val="0"/>
        <w:spacing w:lineRule="auto" w:line="288" w:before="180" w:after="283"/>
        <w:ind w:left="0" w:right="0" w:hanging="1440"/>
        <w:jc w:val="both"/>
        <w:rPr/>
      </w:pPr>
      <w:hyperlink r:id="rId41">
        <w:r>
          <w:rPr>
            <w:rStyle w:val="InternetLink"/>
          </w:rPr>
          <w:t>*4.</w:t>
        </w:r>
      </w:hyperlink>
      <w:r>
        <w:rPr>
          <w:rFonts w:ascii="Times New Roman;serif" w:hAnsi="Times New Roman;serif"/>
          <w:b w:val="false"/>
          <w:color w:val="000000"/>
          <w:sz w:val="20"/>
        </w:rPr>
        <w:t>10    </w:t>
      </w:r>
      <w:hyperlink r:id="rId42">
        <w:r>
          <w:rPr>
            <w:rStyle w:val="InternetLink"/>
          </w:rPr>
          <w:t>Deposit Agreement relating to 7.00% Series C Fixed-to-Floating Rate Cumulative Redeemable Preferred Stock, dated August 22, 2017, among AGNC Investment Corp., Computershare Inc. and Computershare Trust Company, N.A., jointly as depositary, incorporated herein by reference to Exhibit 4.2 of Form 8-K (File No. 001-34057) filed August 22, 2017.</w:t>
        </w:r>
      </w:hyperlink>
      <w:r>
        <w:rPr>
          <w:rFonts w:ascii="Times New Roman;serif" w:hAnsi="Times New Roman;serif"/>
          <w:b w:val="false"/>
          <w:color w:val="000000"/>
          <w:sz w:val="20"/>
        </w:rPr>
        <w:t xml:space="preserve"> </w:t>
      </w:r>
    </w:p>
    <w:p>
      <w:pPr>
        <w:pStyle w:val="TextBody"/>
        <w:bidi w:val="0"/>
        <w:spacing w:lineRule="auto" w:line="288" w:before="180" w:after="283"/>
        <w:ind w:left="0" w:right="0" w:hanging="1440"/>
        <w:jc w:val="both"/>
        <w:rPr/>
      </w:pPr>
      <w:hyperlink r:id="rId43">
        <w:r>
          <w:rPr>
            <w:rStyle w:val="InternetLink"/>
          </w:rPr>
          <w:t>*4.1</w:t>
        </w:r>
      </w:hyperlink>
      <w:r>
        <w:rPr>
          <w:rFonts w:ascii="Times New Roman;serif" w:hAnsi="Times New Roman;serif"/>
          <w:b w:val="false"/>
          <w:color w:val="000000"/>
          <w:sz w:val="20"/>
        </w:rPr>
        <w:t>1    </w:t>
      </w:r>
      <w:hyperlink r:id="rId44">
        <w:r>
          <w:rPr>
            <w:rStyle w:val="InternetLink"/>
          </w:rPr>
          <w:t>Form of Depositary Receipt representing 1/1,000th of a share of 7.00% Series C Fixed-to-Floating Rate Cumulative Redeemable Preferred Stock (included as part of Exhibit 4.10), incorporated herein by reference to Exhibit A of Exhibit 4.2 of Form 8-K (File No. 001-34057) filed August 22, 2017.</w:t>
        </w:r>
      </w:hyperlink>
    </w:p>
    <w:p>
      <w:pPr>
        <w:pStyle w:val="TextBody"/>
        <w:bidi w:val="0"/>
        <w:spacing w:lineRule="auto" w:line="288" w:before="180" w:after="283"/>
        <w:ind w:left="0" w:right="0" w:hanging="1440"/>
        <w:jc w:val="both"/>
        <w:rPr/>
      </w:pPr>
      <w:hyperlink r:id="rId45">
        <w:r>
          <w:rPr>
            <w:rStyle w:val="InternetLink"/>
          </w:rPr>
          <w:t>*4.1</w:t>
        </w:r>
      </w:hyperlink>
      <w:r>
        <w:rPr>
          <w:rFonts w:ascii="Times New Roman;serif" w:hAnsi="Times New Roman;serif"/>
          <w:b w:val="false"/>
          <w:color w:val="000000"/>
          <w:sz w:val="20"/>
        </w:rPr>
        <w:t>2    </w:t>
      </w:r>
      <w:hyperlink r:id="rId46">
        <w:r>
          <w:rPr>
            <w:rStyle w:val="InternetLink"/>
          </w:rPr>
          <w:t xml:space="preserve">Deposit Agreement relating to 6.875% Series D Fixed-to-Floating Rate Cumulative Redeemable Preferred Stock, dated March 6, 2019, among AGNC Investment Corp., Computershare Inc. and Computershare Trust Company, N.A., jointly as depositary, incorporated herein by reference to Exhibit 4.2 of Form 8-K (File No. 001-34057) filed March 6, 2019. </w:t>
        </w:r>
      </w:hyperlink>
    </w:p>
    <w:p>
      <w:pPr>
        <w:pStyle w:val="TextBody"/>
        <w:bidi w:val="0"/>
        <w:spacing w:lineRule="auto" w:line="288" w:before="180" w:after="283"/>
        <w:ind w:left="0" w:right="0" w:hanging="1440"/>
        <w:jc w:val="both"/>
        <w:rPr/>
      </w:pPr>
      <w:hyperlink r:id="rId47">
        <w:r>
          <w:rPr>
            <w:rStyle w:val="InternetLink"/>
          </w:rPr>
          <w:t>*4.1</w:t>
        </w:r>
      </w:hyperlink>
      <w:r>
        <w:rPr>
          <w:rFonts w:ascii="Times New Roman;serif" w:hAnsi="Times New Roman;serif"/>
          <w:b w:val="false"/>
          <w:color w:val="000000"/>
          <w:sz w:val="20"/>
        </w:rPr>
        <w:t>3    </w:t>
      </w:r>
      <w:hyperlink r:id="rId48">
        <w:r>
          <w:rPr>
            <w:rStyle w:val="InternetLink"/>
          </w:rPr>
          <w:t>Form of Depositary Receipt representing 1/1,000th of a share of 6.875% Series D Fixed-to-Floating Rate Cumulative Redeemable Preferred Stock (included as part of Exhibit 4.12), incorporated herein by reference to Exhibit A of Exhibit 4.2 of Form 8-K (File No. 001-34057) filed March 6,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49">
        <w:r>
          <w:rPr>
            <w:rStyle w:val="InternetLink"/>
          </w:rPr>
          <w:t>*4.1</w:t>
        </w:r>
      </w:hyperlink>
      <w:r>
        <w:rPr>
          <w:rFonts w:ascii="Times New Roman;serif" w:hAnsi="Times New Roman;serif"/>
          <w:b w:val="false"/>
          <w:color w:val="000000"/>
          <w:sz w:val="20"/>
        </w:rPr>
        <w:t>4    </w:t>
      </w:r>
      <w:hyperlink r:id="rId50">
        <w:r>
          <w:rPr>
            <w:rStyle w:val="InternetLink"/>
          </w:rPr>
          <w:t>Deposit Agreement relating to 6.50% Series E Fixed-to-Floating Rate Cumulative Redeemable Preferred Stock, dated October 3, 2019, among AGNC Investment Corp., Computershare Inc. and Computershare Trust Company, N.A., jointly as depositary, incorporated herein by reference to Exhibit 4.2 of Form 8-K (File No. 001-34057) filed October 3, 2019.</w:t>
        </w:r>
      </w:hyperlink>
    </w:p>
    <w:p>
      <w:pPr>
        <w:pStyle w:val="TextBody"/>
        <w:bidi w:val="0"/>
        <w:spacing w:lineRule="auto" w:line="288" w:before="180" w:after="283"/>
        <w:ind w:left="0" w:right="0" w:hanging="1440"/>
        <w:jc w:val="left"/>
        <w:rPr/>
      </w:pPr>
      <w:hyperlink r:id="rId51">
        <w:r>
          <w:rPr>
            <w:rStyle w:val="InternetLink"/>
          </w:rPr>
          <w:t>*4.1</w:t>
        </w:r>
      </w:hyperlink>
      <w:r>
        <w:rPr>
          <w:rFonts w:ascii="Times New Roman;serif" w:hAnsi="Times New Roman;serif"/>
          <w:b w:val="false"/>
          <w:color w:val="000000"/>
          <w:sz w:val="20"/>
        </w:rPr>
        <w:t>5    </w:t>
      </w:r>
      <w:hyperlink r:id="rId52">
        <w:r>
          <w:rPr>
            <w:rStyle w:val="InternetLink"/>
          </w:rPr>
          <w:t>Form of Depositary Receipt representing 1/1,000th of a share of 6.50% Series E Fixed-to-Floating Rate Cumulative Redeemable Preferred Stock (included as part of Exhibit 4.14), incorporated herein by reference to Exhibit A of Exhibit 4.2 of Form 8-K (File No. 001-34057) filed October 3, 2019</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left"/>
        <w:rPr/>
      </w:pPr>
      <w:hyperlink r:id="rId53">
        <w:r>
          <w:rPr>
            <w:rStyle w:val="InternetLink"/>
          </w:rPr>
          <w:t>*4.1</w:t>
        </w:r>
      </w:hyperlink>
      <w:r>
        <w:rPr>
          <w:rFonts w:ascii="Times New Roman;serif" w:hAnsi="Times New Roman;serif"/>
          <w:b w:val="false"/>
          <w:color w:val="000000"/>
          <w:sz w:val="20"/>
        </w:rPr>
        <w:t>6    </w:t>
      </w:r>
      <w:hyperlink r:id="rId54">
        <w:r>
          <w:rPr>
            <w:rStyle w:val="InternetLink"/>
          </w:rPr>
          <w:t>Deposit Agreement relating to 6.125% Series F Fixed-to-Floating Rate Cumulative Redeemable Preferred Stock, dated February 11, 2020, among AGNC Investment Corp., Computershare Inc. and Computershare Trust Company, N.A., jointly as depositary, incorporated herein by reference to Exhibit 4.1 of Form 8-K (File No. 001-34057) filed February 11, 2020.</w:t>
        </w:r>
      </w:hyperlink>
    </w:p>
    <w:p>
      <w:pPr>
        <w:pStyle w:val="TextBody"/>
        <w:bidi w:val="0"/>
        <w:spacing w:lineRule="auto" w:line="288" w:before="180" w:after="283"/>
        <w:ind w:left="0" w:right="0" w:hanging="1440"/>
        <w:jc w:val="left"/>
        <w:rPr/>
      </w:pPr>
      <w:hyperlink r:id="rId55">
        <w:r>
          <w:rPr>
            <w:rStyle w:val="InternetLink"/>
          </w:rPr>
          <w:t>*4.1</w:t>
        </w:r>
      </w:hyperlink>
      <w:r>
        <w:rPr>
          <w:rFonts w:ascii="Times New Roman;serif" w:hAnsi="Times New Roman;serif"/>
          <w:b w:val="false"/>
          <w:color w:val="000000"/>
          <w:sz w:val="20"/>
        </w:rPr>
        <w:t>7    </w:t>
      </w:r>
      <w:hyperlink r:id="rId56">
        <w:r>
          <w:rPr>
            <w:rStyle w:val="InternetLink"/>
          </w:rPr>
          <w:t>Form of Depositary Receipt representing 1/1,000th of a share of 6.125% Series F Fixed-to-Floating Rate Cumulative Redeemable Preferred Stock (included as part of Exhibit 4.16), incorporated herein by reference to Exhibit A of Exhibit 4.1 of Form 8-K (File No. 001-34057) filed February 11, 2020.</w:t>
        </w:r>
      </w:hyperlink>
    </w:p>
    <w:p>
      <w:pPr>
        <w:pStyle w:val="TextBody"/>
        <w:bidi w:val="0"/>
        <w:spacing w:lineRule="auto" w:line="288" w:before="180" w:after="283"/>
        <w:ind w:left="0" w:right="0" w:hanging="1440"/>
        <w:jc w:val="left"/>
        <w:rPr/>
      </w:pPr>
      <w:hyperlink r:id="rId57">
        <w:r>
          <w:rPr>
            <w:rStyle w:val="InternetLink"/>
          </w:rPr>
          <w:t>*4.1</w:t>
        </w:r>
      </w:hyperlink>
      <w:r>
        <w:rPr>
          <w:rFonts w:ascii="Times New Roman;serif" w:hAnsi="Times New Roman;serif"/>
          <w:b w:val="false"/>
          <w:color w:val="000000"/>
          <w:sz w:val="20"/>
        </w:rPr>
        <w:t>8    </w:t>
      </w:r>
      <w:hyperlink r:id="rId58">
        <w:r>
          <w:rPr>
            <w:rStyle w:val="InternetLink"/>
          </w:rPr>
          <w:t xml:space="preserve">Deposit Agreement relating to 7.75% Series G Fixed-Rate Reset Cumulative Redeemable Preferred Stock, dated September 14, 2022, among AGNC Investment Corp., Computershare Inc. and Computershare Trust </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hyperlink r:id="rId59">
        <w:r>
          <w:rPr>
            <w:rStyle w:val="InternetLink"/>
            <w:rFonts w:ascii="Times New Roman;serif" w:hAnsi="Times New Roman;serif"/>
            <w:b w:val="false"/>
            <w:color w:val="000000"/>
            <w:sz w:val="20"/>
          </w:rPr>
          <w:t>Company, N.A., jointly as depositary, incorporated herein by reference to Exhibit 4.2 of Form 8-K (File No. 001-34057) filed September 14, 2022.</w:t>
        </w:r>
      </w:hyperlink>
    </w:p>
    <w:p>
      <w:pPr>
        <w:pStyle w:val="TextBody"/>
        <w:bidi w:val="0"/>
        <w:spacing w:lineRule="auto" w:line="288" w:before="180" w:after="283"/>
        <w:ind w:left="0" w:right="0" w:hanging="1440"/>
        <w:jc w:val="left"/>
        <w:rPr/>
      </w:pPr>
      <w:hyperlink r:id="rId60">
        <w:r>
          <w:rPr>
            <w:rStyle w:val="InternetLink"/>
          </w:rPr>
          <w:t>*4.1</w:t>
        </w:r>
      </w:hyperlink>
      <w:r>
        <w:rPr>
          <w:rFonts w:ascii="Times New Roman;serif" w:hAnsi="Times New Roman;serif"/>
          <w:b w:val="false"/>
          <w:color w:val="000000"/>
          <w:sz w:val="20"/>
        </w:rPr>
        <w:t>9    </w:t>
      </w:r>
      <w:hyperlink r:id="rId61">
        <w:r>
          <w:rPr>
            <w:rStyle w:val="InternetLink"/>
          </w:rPr>
          <w:t>Form of Depositary Receipt representing 1/1,000th of a share of 7.75% Series G Fixed-Rate Reset Cumulative Redeemable Preferred Stock (included as part of Exhibit 4.18), incorporated herein by reference to Exhibit A of Exhibit 4.2 of Form 8-K (File No. 001-34057) filed September 14, 2022.</w:t>
        </w:r>
      </w:hyperlink>
    </w:p>
    <w:p>
      <w:pPr>
        <w:pStyle w:val="TextBody"/>
        <w:bidi w:val="0"/>
        <w:spacing w:lineRule="auto" w:line="288" w:before="180" w:after="283"/>
        <w:ind w:left="0" w:right="0" w:hanging="1440"/>
        <w:jc w:val="left"/>
        <w:rPr/>
      </w:pPr>
      <w:hyperlink r:id="rId62">
        <w:r>
          <w:rPr>
            <w:rStyle w:val="InternetLink"/>
          </w:rPr>
          <w:t>*4.20</w:t>
        </w:r>
      </w:hyperlink>
      <w:r>
        <w:rPr>
          <w:rFonts w:ascii="Times New Roman;serif" w:hAnsi="Times New Roman;serif"/>
          <w:b w:val="false"/>
          <w:color w:val="000000"/>
          <w:sz w:val="20"/>
        </w:rPr>
        <w:t>    </w:t>
      </w:r>
      <w:hyperlink r:id="rId63">
        <w:r>
          <w:rPr>
            <w:rStyle w:val="InternetLink"/>
          </w:rPr>
          <w:t>Deposit Agreement relating to 8.75% Series H Fixed-Rate Cumulative Redeemable Preferred Stock, dated September 10, 2025, among AGNC Investment Corp., Computershare Inc. and Computershare Trust Company, N.A., jointly as depositary, incorporated herein by reference to Exhibit 4.2 of Form 8-K (File No. 001-34057) filed September 10, 2025.</w:t>
        </w:r>
      </w:hyperlink>
    </w:p>
    <w:p>
      <w:pPr>
        <w:pStyle w:val="TextBody"/>
        <w:bidi w:val="0"/>
        <w:spacing w:lineRule="auto" w:line="288" w:before="180" w:after="283"/>
        <w:ind w:left="0" w:right="0" w:hanging="1440"/>
        <w:jc w:val="left"/>
        <w:rPr/>
      </w:pPr>
      <w:hyperlink r:id="rId64">
        <w:r>
          <w:rPr>
            <w:rStyle w:val="InternetLink"/>
          </w:rPr>
          <w:t>*4.21</w:t>
        </w:r>
      </w:hyperlink>
      <w:r>
        <w:rPr>
          <w:rFonts w:ascii="Times New Roman;serif" w:hAnsi="Times New Roman;serif"/>
          <w:b w:val="false"/>
          <w:color w:val="000000"/>
          <w:sz w:val="20"/>
        </w:rPr>
        <w:t>    </w:t>
      </w:r>
      <w:hyperlink r:id="rId65">
        <w:r>
          <w:rPr>
            <w:rStyle w:val="InternetLink"/>
          </w:rPr>
          <w:t>Form of Depositary Receipt representing 1/1,000th of a share of 8.75% Series H Fixed-Rate Cumulative Redeemable Preferred Stock (included as part of Exhibit 4.20), incorporated herein by reference to Exhibit A of Exhibit 4.2 of Form 8-K (File No. 001-34057) filed September 10, 2025.</w:t>
        </w:r>
      </w:hyperlink>
    </w:p>
    <w:p>
      <w:pPr>
        <w:pStyle w:val="TextBody"/>
        <w:bidi w:val="0"/>
        <w:spacing w:lineRule="auto" w:line="288" w:before="180" w:after="283"/>
        <w:ind w:left="0" w:right="0" w:hanging="1440"/>
        <w:jc w:val="left"/>
        <w:rPr/>
      </w:pPr>
      <w:hyperlink w:anchor="agncexhibit146302610-q.htm">
        <w:r>
          <w:rPr>
            <w:rStyle w:val="InternetLink"/>
          </w:rPr>
          <w:t>14</w:t>
        </w:r>
      </w:hyperlink>
      <w:r>
        <w:rPr>
          <w:rFonts w:ascii="Times New Roman;serif" w:hAnsi="Times New Roman;serif"/>
          <w:b w:val="false"/>
          <w:color w:val="000000"/>
          <w:sz w:val="20"/>
        </w:rPr>
        <w:t>    </w:t>
      </w:r>
      <w:hyperlink w:anchor="agncexhibit146302610-q.htm">
        <w:r>
          <w:rPr>
            <w:rStyle w:val="InternetLink"/>
          </w:rPr>
          <w:t>AGNC Investment Corp. Code of Ethics and Conduct, adopted July 1</w:t>
        </w:r>
      </w:hyperlink>
      <w:hyperlink w:anchor="agncexhibit146302610-q.htm">
        <w:r>
          <w:rPr>
            <w:rStyle w:val="InternetLink"/>
          </w:rPr>
          <w:t>6</w:t>
        </w:r>
      </w:hyperlink>
      <w:hyperlink w:anchor="agncexhibit146302610-q.htm">
        <w:r>
          <w:rPr>
            <w:rStyle w:val="InternetLink"/>
          </w:rPr>
          <w:t>, 202</w:t>
        </w:r>
      </w:hyperlink>
      <w:hyperlink w:anchor="agncexhibit146302610-q.htm">
        <w:r>
          <w:rPr>
            <w:rStyle w:val="InternetLink"/>
          </w:rPr>
          <w:t>6</w:t>
        </w:r>
      </w:hyperlink>
      <w:hyperlink w:anchor="agncexhibit146302610-q.htm">
        <w:r>
          <w:rPr>
            <w:rStyle w:val="InternetLink"/>
          </w:rPr>
          <w:t>,</w:t>
        </w:r>
      </w:hyperlink>
      <w:hyperlink w:anchor="agncexhibit146302610-q.htm">
        <w:r>
          <w:rPr>
            <w:rStyle w:val="InternetLink"/>
          </w:rPr>
          <w:t xml:space="preserve"> </w:t>
        </w:r>
      </w:hyperlink>
      <w:hyperlink w:anchor="agncexhibit146302610-q.htm">
        <w:r>
          <w:rPr>
            <w:rStyle w:val="InternetLink"/>
          </w:rPr>
          <w:t xml:space="preserve">filed </w:t>
        </w:r>
      </w:hyperlink>
      <w:hyperlink w:anchor="agncexhibit146302610-q.htm">
        <w:r>
          <w:rPr>
            <w:rStyle w:val="InternetLink"/>
          </w:rPr>
          <w:t>herewith</w:t>
        </w:r>
      </w:hyperlink>
      <w:r>
        <w:rPr>
          <w:rFonts w:ascii="Times New Roman;serif" w:hAnsi="Times New Roman;serif"/>
          <w:b w:val="false"/>
          <w:color w:val="000000"/>
          <w:sz w:val="20"/>
        </w:rPr>
        <w:t>.</w:t>
      </w:r>
    </w:p>
    <w:p>
      <w:pPr>
        <w:pStyle w:val="TextBody"/>
        <w:bidi w:val="0"/>
        <w:spacing w:lineRule="auto" w:line="288" w:before="180" w:after="283"/>
        <w:ind w:left="0" w:right="0" w:hanging="1440"/>
        <w:jc w:val="both"/>
        <w:rPr/>
      </w:pPr>
      <w:hyperlink w:anchor="agncexhibit3116302610-q.htm">
        <w:r>
          <w:rPr>
            <w:rStyle w:val="InternetLink"/>
          </w:rPr>
          <w:t>31.1</w:t>
        </w:r>
      </w:hyperlink>
      <w:r>
        <w:rPr>
          <w:rFonts w:ascii="Times New Roman;serif" w:hAnsi="Times New Roman;serif"/>
          <w:b w:val="false"/>
          <w:color w:val="000000"/>
          <w:sz w:val="20"/>
        </w:rPr>
        <w:t>    </w:t>
      </w:r>
      <w:hyperlink w:anchor="agncexhibit3116302610-q.htm">
        <w:r>
          <w:rPr>
            <w:rStyle w:val="InternetLink"/>
          </w:rPr>
          <w:t>Certification of CEO Pursuant to Section 302(a) of the Sarbanes-Oxley Act of 2002.</w:t>
        </w:r>
      </w:hyperlink>
    </w:p>
    <w:p>
      <w:pPr>
        <w:pStyle w:val="TextBody"/>
        <w:bidi w:val="0"/>
        <w:spacing w:lineRule="auto" w:line="288" w:before="180" w:after="283"/>
        <w:ind w:left="0" w:right="0" w:hanging="1440"/>
        <w:jc w:val="both"/>
        <w:rPr/>
      </w:pPr>
      <w:hyperlink w:anchor="agncexhibit3126302610-q.htm">
        <w:r>
          <w:rPr>
            <w:rStyle w:val="InternetLink"/>
          </w:rPr>
          <w:t>31.2</w:t>
        </w:r>
      </w:hyperlink>
      <w:r>
        <w:rPr>
          <w:rFonts w:ascii="Times New Roman;serif" w:hAnsi="Times New Roman;serif"/>
          <w:b w:val="false"/>
          <w:color w:val="000000"/>
          <w:sz w:val="20"/>
        </w:rPr>
        <w:t>    </w:t>
      </w:r>
      <w:hyperlink w:anchor="agncexhibit3126302610-q.htm">
        <w:r>
          <w:rPr>
            <w:rStyle w:val="InternetLink"/>
          </w:rPr>
          <w:t>Certification of CFO Pursuant to Section 302(a) of the Sarbanes-Oxley Act of 2002.</w:t>
        </w:r>
      </w:hyperlink>
    </w:p>
    <w:p>
      <w:pPr>
        <w:pStyle w:val="TextBody"/>
        <w:bidi w:val="0"/>
        <w:spacing w:lineRule="auto" w:line="288" w:before="180" w:after="283"/>
        <w:ind w:left="0" w:right="0" w:hanging="1440"/>
        <w:jc w:val="both"/>
        <w:rPr/>
      </w:pPr>
      <w:hyperlink w:anchor="agncexhibit326302610-q.htm">
        <w:r>
          <w:rPr>
            <w:rStyle w:val="InternetLink"/>
          </w:rPr>
          <w:t>32</w:t>
        </w:r>
      </w:hyperlink>
      <w:r>
        <w:rPr>
          <w:rFonts w:ascii="Times New Roman;serif" w:hAnsi="Times New Roman;serif"/>
          <w:b w:val="false"/>
          <w:color w:val="000000"/>
          <w:sz w:val="20"/>
        </w:rPr>
        <w:t>    </w:t>
      </w:r>
      <w:hyperlink w:anchor="agncexhibit326302610-q.htm">
        <w:r>
          <w:rPr>
            <w:rStyle w:val="InternetLink"/>
          </w:rPr>
          <w:t>Certification of CEO and CFO Pursuant to Section 906 of the Sarbanes-Oxley Act of 2002.</w:t>
        </w:r>
      </w:hyperlink>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101.INS**    The instance document does not appear in the interactive data file because its XBRL tags are embedded within the inline XBRL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101.SCH**    XBRL Taxonomy Extension Schema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101.CAL**    XBRL Taxonomy Extension Calculation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101.LAB**    XBRL Taxonomy Extension Labels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101.PRE**    XBRL Taxonomy Extension Presentation Linkbase Document</w:t>
      </w:r>
    </w:p>
    <w:p>
      <w:pPr>
        <w:pStyle w:val="TextBody"/>
        <w:bidi w:val="0"/>
        <w:spacing w:lineRule="auto" w:line="288" w:before="180" w:after="283"/>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101.DEF**    XBRL Taxonomy Extension Definition Linkbase Document</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This exhibit is being furnished rather than filed, and shall not be deemed incorporated by reference into any filing, in accordance with Item 601 of Regulation S-K</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Exhibits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See the exhibits filed herewith. </w:t>
      </w:r>
    </w:p>
    <w:p>
      <w:pPr>
        <w:pStyle w:val="TextBody"/>
        <w:bidi w:val="0"/>
        <w:spacing w:lineRule="auto" w:line="288" w:before="12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Additional financial statement schedules </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Company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60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367"/>
        <w:gridCol w:w="367"/>
        <w:gridCol w:w="367"/>
        <w:gridCol w:w="1858"/>
        <w:gridCol w:w="1858"/>
        <w:gridCol w:w="26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AGNC I</w:t>
            </w:r>
            <w:r>
              <w:rPr>
                <w:rFonts w:ascii="Times New Roman;serif" w:hAnsi="Times New Roman;serif"/>
                <w:b w:val="false"/>
                <w:color w:val="000000"/>
                <w:sz w:val="16"/>
              </w:rPr>
              <w:t>NVESTMENT</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ORP</w:t>
            </w:r>
            <w:r>
              <w:rPr>
                <w:rFonts w:ascii="Times New Roman;serif" w:hAnsi="Times New Roman;serif"/>
                <w:b w:val="false"/>
                <w:color w:val="000000"/>
                <w:sz w:val="20"/>
              </w:rPr>
              <w: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Peter J. Federico</w:t>
              <w:br/>
              <w:t>President, Chief Executive Officer and</w:t>
              <w:br/>
              <w:t>Chief Investment Officer, (Principal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Bernice E. Bell</w:t>
              <w:br/>
              <w:t xml:space="preserve">Executive Vice President and </w:t>
              <w:br/>
              <w:t>Chief Financial Officer (Principal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14</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AGNC INVESTMENT CORP. CODE OF ETHICS AND CONDUCT</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Adopted: July 16, 2026</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A.    INTRODUCTION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AGNC Investment Corp. (“AGNC”) has adopted this Code of Ethics and Conduct to communicate to all AGNC people the ethical and legal standards that we expect you to observe when dealing with AGNC, your AGNC colleagues, and others with whom we do business.</w:t>
      </w:r>
    </w:p>
    <w:p>
      <w:pPr>
        <w:pStyle w:val="TextBody"/>
        <w:bidi w:val="0"/>
        <w:spacing w:lineRule="auto" w:line="288" w:before="120" w:after="283"/>
        <w:jc w:val="both"/>
        <w:rPr/>
      </w:pPr>
      <w:r>
        <w:rPr>
          <w:rFonts w:ascii="Times New Roman;serif" w:hAnsi="Times New Roman;serif"/>
          <w:b w:val="false"/>
          <w:color w:val="000000"/>
          <w:sz w:val="22"/>
        </w:rPr>
        <w:t>Throughout this Code, we use the terms “AGNC people,” “you” and “your” to refer to all of AGNC’s and its subsidiaries’ directors, executive officers, employees and independent contractors, and the terms “AGNC,” the “company,” “we” and “our” to refer to AGNC and its subsidiaries.</w:t>
      </w:r>
      <w:r>
        <w:rPr>
          <w:color w:val="000000"/>
        </w:rPr>
        <w:t xml:space="preserve"> </w:t>
      </w:r>
      <w:r>
        <w:rPr>
          <w:rFonts w:ascii="Times New Roman;serif" w:hAnsi="Times New Roman;serif"/>
          <w:b w:val="false"/>
          <w:color w:val="000000"/>
          <w:sz w:val="22"/>
        </w:rPr>
        <w:t>We use the term “Code” to refer to this document, as it may be amended from time to time.</w:t>
      </w:r>
    </w:p>
    <w:p>
      <w:pPr>
        <w:pStyle w:val="TextBody"/>
        <w:bidi w:val="0"/>
        <w:spacing w:lineRule="auto" w:line="288" w:before="120" w:after="283"/>
        <w:jc w:val="both"/>
        <w:rPr/>
      </w:pPr>
      <w:r>
        <w:rPr>
          <w:rFonts w:ascii="Times New Roman;serif" w:hAnsi="Times New Roman;serif"/>
          <w:b w:val="false"/>
          <w:color w:val="000000"/>
          <w:sz w:val="22"/>
        </w:rPr>
        <w:t>We expect all AGNC people to act ethically and obey the law.</w:t>
      </w:r>
      <w:r>
        <w:rPr>
          <w:color w:val="000000"/>
        </w:rPr>
        <w:t xml:space="preserve"> </w:t>
      </w:r>
      <w:r>
        <w:rPr>
          <w:rFonts w:ascii="Times New Roman;serif" w:hAnsi="Times New Roman;serif"/>
          <w:b w:val="false"/>
          <w:color w:val="000000"/>
          <w:sz w:val="22"/>
        </w:rPr>
        <w:t>When you encounter ethical or legal issues where you are not certain about the correct course of action, you should use principles described in this Code as guideposts in deciding how to proceed.</w:t>
      </w:r>
      <w:r>
        <w:rPr>
          <w:color w:val="000000"/>
        </w:rPr>
        <w:t xml:space="preserve"> </w:t>
      </w:r>
      <w:r>
        <w:rPr>
          <w:rFonts w:ascii="Times New Roman;serif" w:hAnsi="Times New Roman;serif"/>
          <w:b w:val="false"/>
          <w:color w:val="000000"/>
          <w:sz w:val="22"/>
        </w:rPr>
        <w:t>We have adopted this Code to give you guidance for resolving these ethical and legal issues.</w:t>
      </w:r>
      <w:r>
        <w:rPr>
          <w:color w:val="000000"/>
        </w:rPr>
        <w:t xml:space="preserve"> </w:t>
      </w:r>
      <w:r>
        <w:rPr>
          <w:rFonts w:ascii="Times New Roman;serif" w:hAnsi="Times New Roman;serif"/>
          <w:b w:val="false"/>
          <w:color w:val="000000"/>
          <w:sz w:val="22"/>
        </w:rPr>
        <w:t>In particular, this Code addresses the following general topics: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Observing all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Avoiding conflicts of interest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Maintaining accurate and complete company records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Protecting confidential information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Because rapid changes in our industry and in the law constantly present new issues, we cannot create guidelines that address all circumstances or constitute the definitive answer on any question. When you are in doubt about the correct or best course of action, or have questions about the Code, you should always consider consulting your supervisor, the Chief Compliance Officer of the company (the “Chief Compliance Officer”) or the Legal team for guidance.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firmly believe that a strong commitment to ethical and legal conduct is essential for us successfully to achieve our purpose and vision. We therefore require all AGNC people to comply with this Code. To help ensure this compliance, we have established a procedure for reporting suspected violations of this Code. Any violations of this Code may result in disciplinary action, including termination of employment or contract, as applicable. These matters are described in more detail at the end of this Code.</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B.    OBSERVING ALL LAWS, RULES AND REGULATIONS</w:t>
      </w:r>
    </w:p>
    <w:p>
      <w:pPr>
        <w:pStyle w:val="TextBody"/>
        <w:bidi w:val="0"/>
        <w:spacing w:lineRule="auto" w:line="288" w:before="120" w:after="283"/>
        <w:ind w:left="0" w:right="0" w:hanging="360"/>
        <w:jc w:val="both"/>
        <w:rPr/>
      </w:pPr>
      <w:r>
        <w:rPr>
          <w:rFonts w:ascii="Times New Roman;serif" w:hAnsi="Times New Roman;serif"/>
          <w:b/>
          <w:color w:val="000000"/>
          <w:sz w:val="24"/>
        </w:rPr>
        <w:t>1.</w:t>
      </w:r>
      <w:r>
        <w:rPr>
          <w:rFonts w:ascii="Times New Roman;serif" w:hAnsi="Times New Roman;serif"/>
          <w:b/>
          <w:color w:val="000000"/>
          <w:sz w:val="22"/>
        </w:rPr>
        <w:t>GENERALLY</w:t>
      </w:r>
    </w:p>
    <w:p>
      <w:pPr>
        <w:pStyle w:val="TextBody"/>
        <w:bidi w:val="0"/>
        <w:spacing w:lineRule="auto" w:line="288" w:before="120" w:after="283"/>
        <w:jc w:val="both"/>
        <w:rPr/>
      </w:pPr>
      <w:r>
        <w:rPr>
          <w:rFonts w:ascii="Times New Roman;serif" w:hAnsi="Times New Roman;serif"/>
          <w:b w:val="false"/>
          <w:color w:val="000000"/>
          <w:sz w:val="22"/>
        </w:rPr>
        <w:t>We expect you to comply with all applicable local, state and federal laws, rules and regulations, both domestic and international, and refrain from illegal, dishonest or unethical conduct.</w:t>
      </w:r>
      <w:r>
        <w:rPr>
          <w:color w:val="000000"/>
        </w:rPr>
        <w:t xml:space="preserve"> </w:t>
      </w:r>
      <w:r>
        <w:rPr>
          <w:rFonts w:ascii="Times New Roman;serif" w:hAnsi="Times New Roman;serif"/>
          <w:b w:val="false"/>
          <w:color w:val="000000"/>
          <w:sz w:val="22"/>
        </w:rPr>
        <w:t>Although laws, rules and regulations may sometimes be ambiguous and difficult to interpret, we expect you to make a good-faith effort to follow both the letter and the spirit of the law.</w:t>
      </w:r>
    </w:p>
    <w:p>
      <w:pPr>
        <w:pStyle w:val="TextBody"/>
        <w:bidi w:val="0"/>
        <w:spacing w:lineRule="auto" w:line="288" w:before="120" w:after="283"/>
        <w:jc w:val="both"/>
        <w:rPr/>
      </w:pPr>
      <w:r>
        <w:rPr>
          <w:rFonts w:ascii="Times New Roman;serif" w:hAnsi="Times New Roman;serif"/>
          <w:b w:val="false"/>
          <w:color w:val="000000"/>
          <w:sz w:val="22"/>
        </w:rPr>
        <w:t>In addition, we expect you to comply with all AGNC policies and procedures that apply to you.</w:t>
      </w:r>
      <w:r>
        <w:rPr>
          <w:color w:val="000000"/>
        </w:rPr>
        <w:t xml:space="preserve"> </w:t>
      </w:r>
      <w:r>
        <w:rPr>
          <w:rFonts w:ascii="Times New Roman;serif" w:hAnsi="Times New Roman;serif"/>
          <w:b w:val="false"/>
          <w:color w:val="000000"/>
          <w:sz w:val="22"/>
        </w:rPr>
        <w:t>These include, but are not limited to, our policies on securities trading, political contributions, equal opportunity, harassment, drug-free workplace, computer usage and information technology, data protection and expense reimbursement and travel, as well as our internal financial controls and procedures.</w:t>
      </w:r>
      <w:r>
        <w:rPr>
          <w:color w:val="000000"/>
        </w:rPr>
        <w:t xml:space="preserve"> </w:t>
      </w:r>
      <w:r>
        <w:rPr>
          <w:rFonts w:ascii="Times New Roman;serif" w:hAnsi="Times New Roman;serif"/>
          <w:b w:val="false"/>
          <w:color w:val="000000"/>
          <w:sz w:val="22"/>
        </w:rPr>
        <w:t xml:space="preserve">We may modify or update these policies and procedures in the future and adopt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2"/>
        </w:rPr>
        <w:t>new company policies and procedures from time to time.</w:t>
      </w:r>
      <w:r>
        <w:rPr>
          <w:color w:val="000000"/>
        </w:rPr>
        <w:t xml:space="preserve"> </w:t>
      </w:r>
      <w:r>
        <w:rPr>
          <w:rFonts w:ascii="Times New Roman;serif" w:hAnsi="Times New Roman;serif"/>
          <w:b w:val="false"/>
          <w:color w:val="000000"/>
          <w:sz w:val="22"/>
        </w:rPr>
        <w:t>You are also expected to observe the terms of any confidentiality agreement, employment agreement, consulting agreement or other similar agreement that applies to you.</w:t>
      </w:r>
      <w:r>
        <w:rPr>
          <w:color w:val="000000"/>
        </w:rPr>
        <w:t xml:space="preserve"> </w:t>
      </w:r>
      <w:r>
        <w:rPr>
          <w:rFonts w:ascii="Times New Roman;serif" w:hAnsi="Times New Roman;serif"/>
          <w:b w:val="false"/>
          <w:color w:val="000000"/>
          <w:sz w:val="22"/>
        </w:rPr>
        <w:t>If you previously signed one of these agreements with AGNC, it remains in full force and effect.</w:t>
      </w:r>
    </w:p>
    <w:p>
      <w:pPr>
        <w:pStyle w:val="TextBody"/>
        <w:bidi w:val="0"/>
        <w:spacing w:lineRule="auto" w:line="288" w:before="120" w:after="283"/>
        <w:ind w:left="0" w:right="0" w:hanging="360"/>
        <w:jc w:val="both"/>
        <w:rPr/>
      </w:pPr>
      <w:r>
        <w:rPr>
          <w:rFonts w:ascii="Times New Roman;serif" w:hAnsi="Times New Roman;serif"/>
          <w:b/>
          <w:color w:val="000000"/>
          <w:sz w:val="24"/>
        </w:rPr>
        <w:t>2.</w:t>
      </w:r>
      <w:r>
        <w:rPr>
          <w:rFonts w:ascii="Times New Roman;serif" w:hAnsi="Times New Roman;serif"/>
          <w:b/>
          <w:color w:val="000000"/>
          <w:sz w:val="22"/>
        </w:rPr>
        <w:t>BRIBES AND KICKBACKS</w:t>
      </w:r>
    </w:p>
    <w:p>
      <w:pPr>
        <w:pStyle w:val="TextBody"/>
        <w:bidi w:val="0"/>
        <w:spacing w:lineRule="auto" w:line="288" w:before="120" w:after="283"/>
        <w:jc w:val="both"/>
        <w:rPr/>
      </w:pPr>
      <w:r>
        <w:rPr>
          <w:rFonts w:ascii="Times New Roman;serif" w:hAnsi="Times New Roman;serif"/>
          <w:b w:val="false"/>
          <w:color w:val="000000"/>
          <w:sz w:val="22"/>
        </w:rPr>
        <w:t>Bribery is illegal and subject to criminal penalties in the United States and many other countries.</w:t>
      </w:r>
      <w:r>
        <w:rPr>
          <w:color w:val="000000"/>
        </w:rPr>
        <w:t xml:space="preserve"> </w:t>
      </w:r>
      <w:r>
        <w:rPr>
          <w:rFonts w:ascii="Times New Roman;serif" w:hAnsi="Times New Roman;serif"/>
          <w:b w:val="false"/>
          <w:color w:val="000000"/>
          <w:sz w:val="22"/>
        </w:rPr>
        <w:t>Bribery is forbidden under the U.S. Foreign Corrupt Practices Act (the “FCPA”), which is described in more detail in Section B.3 of this Code, and other laws, rules and regulations.</w:t>
      </w:r>
      <w:r>
        <w:rPr>
          <w:color w:val="000000"/>
        </w:rPr>
        <w:t xml:space="preserve"> </w:t>
      </w:r>
      <w:r>
        <w:rPr>
          <w:rFonts w:ascii="Times New Roman;serif" w:hAnsi="Times New Roman;serif"/>
          <w:b w:val="false"/>
          <w:color w:val="000000"/>
          <w:sz w:val="22"/>
        </w:rPr>
        <w:t>You may not give any bribes, kickbacks or other similar considerations to any person or organization to attract business.</w:t>
      </w:r>
      <w:r>
        <w:rPr>
          <w:color w:val="000000"/>
        </w:rPr>
        <w:t xml:space="preserve"> </w:t>
      </w:r>
      <w:r>
        <w:rPr>
          <w:rFonts w:ascii="Times New Roman;serif" w:hAnsi="Times New Roman;serif"/>
          <w:b w:val="false"/>
          <w:color w:val="000000"/>
          <w:sz w:val="22"/>
        </w:rPr>
        <w:t>All decisions regarding the investing of our assets or the purchasing of goods and services must be made on the basis of applicable investment or acquisition criteria, and in a way that preserves AGNC’s integrity.</w:t>
      </w:r>
    </w:p>
    <w:p>
      <w:pPr>
        <w:pStyle w:val="TextBody"/>
        <w:bidi w:val="0"/>
        <w:spacing w:lineRule="auto" w:line="288" w:before="120" w:after="283"/>
        <w:jc w:val="both"/>
        <w:rPr/>
      </w:pPr>
      <w:r>
        <w:rPr>
          <w:rFonts w:ascii="Times New Roman;serif" w:hAnsi="Times New Roman;serif"/>
          <w:b w:val="false"/>
          <w:color w:val="000000"/>
          <w:sz w:val="22"/>
        </w:rPr>
        <w:t>Fees, commissions or other amounts paid to outside consultants, agents or other third parties must be fully disclosed in our investment process or otherwise to our Chief Compliance Officer and must be legal, proper and reasonable in relation to customary commercial practice.</w:t>
      </w:r>
      <w:r>
        <w:rPr>
          <w:color w:val="000000"/>
        </w:rPr>
        <w:t xml:space="preserve"> </w:t>
      </w:r>
      <w:r>
        <w:rPr>
          <w:rFonts w:ascii="Times New Roman;serif" w:hAnsi="Times New Roman;serif"/>
          <w:b w:val="false"/>
          <w:color w:val="000000"/>
          <w:sz w:val="22"/>
        </w:rPr>
        <w:t>Payments to these persons should never be used to accomplish indirectly what AGNC could not properly or legally do directly.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also be familiar with, and observe, the provisions of Section C.3 of this Code relating to Gifts, Gratuities and Entertainment, because the giving or receiving of such items could constitute an illegal bribe or kickback under certain circumstances.</w:t>
      </w:r>
    </w:p>
    <w:p>
      <w:pPr>
        <w:pStyle w:val="TextBody"/>
        <w:bidi w:val="0"/>
        <w:spacing w:lineRule="auto" w:line="288" w:before="120" w:after="283"/>
        <w:ind w:left="0" w:right="0" w:hanging="360"/>
        <w:jc w:val="both"/>
        <w:rPr/>
      </w:pPr>
      <w:r>
        <w:rPr>
          <w:rFonts w:ascii="Times New Roman;serif" w:hAnsi="Times New Roman;serif"/>
          <w:b/>
          <w:color w:val="000000"/>
          <w:sz w:val="24"/>
        </w:rPr>
        <w:t>3.</w:t>
      </w:r>
      <w:r>
        <w:rPr>
          <w:rFonts w:ascii="Times New Roman;serif" w:hAnsi="Times New Roman;serif"/>
          <w:b/>
          <w:color w:val="000000"/>
          <w:sz w:val="22"/>
        </w:rPr>
        <w:t>POLITICAL ACTIVITY</w:t>
      </w:r>
    </w:p>
    <w:p>
      <w:pPr>
        <w:pStyle w:val="TextBody"/>
        <w:bidi w:val="0"/>
        <w:spacing w:lineRule="auto" w:line="288" w:before="120" w:after="283"/>
        <w:jc w:val="both"/>
        <w:rPr/>
      </w:pPr>
      <w:r>
        <w:rPr>
          <w:rFonts w:ascii="Times New Roman;serif" w:hAnsi="Times New Roman;serif"/>
          <w:b w:val="false"/>
          <w:color w:val="000000"/>
          <w:sz w:val="22"/>
        </w:rPr>
        <w:t>We do not make contributions or payments that could be considered a contribution to political parties or candidates or to intermediary organizations such as political action committees.</w:t>
      </w:r>
      <w:r>
        <w:rPr>
          <w:color w:val="000000"/>
        </w:rPr>
        <w:t xml:space="preserve"> </w:t>
      </w:r>
      <w:r>
        <w:rPr>
          <w:rFonts w:ascii="Times New Roman;serif" w:hAnsi="Times New Roman;serif"/>
          <w:b w:val="false"/>
          <w:color w:val="000000"/>
          <w:sz w:val="22"/>
        </w:rPr>
        <w:t>However, you are free to exercise your right to make personal political contributions within legal limits, except to the extent these contributions are otherwise prohibited or restricted by other AGNC policies.</w:t>
      </w:r>
      <w:r>
        <w:rPr>
          <w:color w:val="000000"/>
        </w:rPr>
        <w:t xml:space="preserve"> </w:t>
      </w:r>
      <w:r>
        <w:rPr>
          <w:rFonts w:ascii="Times New Roman;serif" w:hAnsi="Times New Roman;serif"/>
          <w:b w:val="false"/>
          <w:color w:val="000000"/>
          <w:sz w:val="22"/>
        </w:rPr>
        <w:t>You should not make these contributions in a way that might appear to be an endorsement or contribution by AGNC. You should be certain that you understand, and are complying with, all such laws, rules and regulations before making any political contributions.</w:t>
      </w:r>
      <w:r>
        <w:rPr>
          <w:color w:val="000000"/>
        </w:rPr>
        <w:t xml:space="preserve"> </w:t>
      </w:r>
      <w:r>
        <w:rPr>
          <w:rFonts w:ascii="Times New Roman;serif" w:hAnsi="Times New Roman;serif"/>
          <w:b w:val="false"/>
          <w:color w:val="000000"/>
          <w:sz w:val="22"/>
        </w:rPr>
        <w:t xml:space="preserve">We will not reimburse you for political contributions in any way. </w:t>
      </w:r>
    </w:p>
    <w:p>
      <w:pPr>
        <w:pStyle w:val="TextBody"/>
        <w:bidi w:val="0"/>
        <w:spacing w:lineRule="auto" w:line="288" w:before="120" w:after="283"/>
        <w:ind w:left="0" w:right="0" w:hanging="360"/>
        <w:jc w:val="both"/>
        <w:rPr/>
      </w:pPr>
      <w:r>
        <w:rPr>
          <w:rFonts w:ascii="Times New Roman;serif" w:hAnsi="Times New Roman;serif"/>
          <w:b/>
          <w:color w:val="000000"/>
          <w:sz w:val="24"/>
        </w:rPr>
        <w:t>4.</w:t>
      </w:r>
      <w:r>
        <w:rPr>
          <w:rFonts w:ascii="Times New Roman;serif" w:hAnsi="Times New Roman;serif"/>
          <w:b/>
          <w:color w:val="000000"/>
          <w:sz w:val="22"/>
        </w:rPr>
        <w:t>ANTITRUST</w:t>
      </w:r>
    </w:p>
    <w:p>
      <w:pPr>
        <w:pStyle w:val="TextBody"/>
        <w:bidi w:val="0"/>
        <w:spacing w:lineRule="auto" w:line="288" w:before="120" w:after="283"/>
        <w:jc w:val="both"/>
        <w:rPr/>
      </w:pPr>
      <w:r>
        <w:rPr>
          <w:rFonts w:ascii="Times New Roman;serif" w:hAnsi="Times New Roman;serif"/>
          <w:b w:val="false"/>
          <w:color w:val="000000"/>
          <w:sz w:val="22"/>
        </w:rPr>
        <w:t>Antitrust laws generally prohibit agreements or actions that restrain trade or reduce competition.</w:t>
      </w:r>
      <w:r>
        <w:rPr>
          <w:color w:val="000000"/>
        </w:rPr>
        <w:t xml:space="preserve"> </w:t>
      </w:r>
      <w:r>
        <w:rPr>
          <w:rFonts w:ascii="Times New Roman;serif" w:hAnsi="Times New Roman;serif"/>
          <w:b w:val="false"/>
          <w:color w:val="000000"/>
          <w:sz w:val="22"/>
        </w:rPr>
        <w:t>The free enterprise system rests on the notion that free and open competition is the best way to ensure an adequate supply of products and services at reasonable prices.</w:t>
      </w:r>
      <w:r>
        <w:rPr>
          <w:color w:val="000000"/>
        </w:rPr>
        <w:t xml:space="preserve"> </w:t>
      </w:r>
      <w:r>
        <w:rPr>
          <w:rFonts w:ascii="Times New Roman;serif" w:hAnsi="Times New Roman;serif"/>
          <w:b w:val="false"/>
          <w:color w:val="000000"/>
          <w:sz w:val="22"/>
        </w:rPr>
        <w:t>We expect you to adhere to both the spirit and the letter of the antitrust laws of the United States and with all applicable antitrust laws governing competition in any country in which AGNC does business.</w:t>
      </w:r>
      <w:r>
        <w:rPr>
          <w:color w:val="000000"/>
        </w:rPr>
        <w:t xml:space="preserve"> </w:t>
      </w:r>
      <w:r>
        <w:rPr>
          <w:rFonts w:ascii="Times New Roman;serif" w:hAnsi="Times New Roman;serif"/>
          <w:b w:val="false"/>
          <w:color w:val="000000"/>
          <w:sz w:val="22"/>
        </w:rPr>
        <w:t>Violation of antitrust laws can result in severe civil and criminal penalties, including imprisonment for individuals, and AGNC can be subjected to substantial fines and damage awards.</w:t>
      </w:r>
    </w:p>
    <w:p>
      <w:pPr>
        <w:pStyle w:val="TextBody"/>
        <w:bidi w:val="0"/>
        <w:spacing w:lineRule="auto" w:line="288" w:before="120" w:after="283"/>
        <w:ind w:left="0" w:right="0" w:hanging="360"/>
        <w:jc w:val="left"/>
        <w:rPr/>
      </w:pPr>
      <w:r>
        <w:rPr>
          <w:rFonts w:ascii="Times New Roman;serif" w:hAnsi="Times New Roman;serif"/>
          <w:b/>
          <w:color w:val="000000"/>
          <w:sz w:val="20"/>
        </w:rPr>
        <w:t>a.</w:t>
      </w:r>
      <w:r>
        <w:rPr>
          <w:rFonts w:ascii="Times New Roman;serif" w:hAnsi="Times New Roman;serif"/>
          <w:b/>
          <w:color w:val="000000"/>
          <w:sz w:val="22"/>
        </w:rPr>
        <w:t>Agreements with Competitors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following agreements, arrangements or understandings between AGNC and its competitors (whether oral or in writing) should be avoided:</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that affect the price or other terms or conditions of sale of products or the terms on which we invest;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regarding the companies in which AGNC or its managed companies will, or will not, invest or sell or provide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to refuse to invest in or sell to particular businesses or to refuse to buy from particular businesses;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Agreements that limit the types of investments that AGNC will make.</w:t>
      </w:r>
    </w:p>
    <w:p>
      <w:pPr>
        <w:pStyle w:val="TextBody"/>
        <w:bidi w:val="0"/>
        <w:spacing w:lineRule="auto" w:line="288" w:before="120" w:after="283"/>
        <w:jc w:val="both"/>
        <w:rPr/>
      </w:pPr>
      <w:r>
        <w:rPr>
          <w:rFonts w:ascii="Times New Roman;serif" w:hAnsi="Times New Roman;serif"/>
          <w:b w:val="false"/>
          <w:color w:val="000000"/>
          <w:sz w:val="22"/>
        </w:rPr>
        <w:t>Contacts with our competitors are sensitive and risky, because courts can infer an agreement or collusion from these contacts when they are followed by common action or behavior.</w:t>
      </w:r>
      <w:r>
        <w:rPr>
          <w:color w:val="000000"/>
        </w:rPr>
        <w:t xml:space="preserve"> </w:t>
      </w:r>
      <w:r>
        <w:rPr>
          <w:rFonts w:ascii="Times New Roman;serif" w:hAnsi="Times New Roman;serif"/>
          <w:b w:val="false"/>
          <w:color w:val="000000"/>
          <w:sz w:val="22"/>
        </w:rPr>
        <w:t>We recognize that we may need to work with our competitors in the regular course of our business.</w:t>
      </w:r>
      <w:r>
        <w:rPr>
          <w:color w:val="000000"/>
        </w:rPr>
        <w:t xml:space="preserve"> </w:t>
      </w:r>
      <w:r>
        <w:rPr>
          <w:rFonts w:ascii="Times New Roman;serif" w:hAnsi="Times New Roman;serif"/>
          <w:b w:val="false"/>
          <w:color w:val="000000"/>
          <w:sz w:val="22"/>
        </w:rPr>
        <w:t>In all contacts with our competitors, you are expected to avoid discussing prices, costs, competition, division of markets, marketing plans or studies, or any other proprietary or confidential information.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any competitor initiates a discussion with you involving the subjects above, you should immediately excuse yourself from the conversation and report the matter to the Chief Compliance Officer or a member of the Legal team.</w:t>
      </w:r>
    </w:p>
    <w:p>
      <w:pPr>
        <w:pStyle w:val="TextBody"/>
        <w:bidi w:val="0"/>
        <w:spacing w:lineRule="auto" w:line="288" w:before="120" w:after="283"/>
        <w:ind w:left="0" w:right="0" w:hanging="360"/>
        <w:jc w:val="both"/>
        <w:rPr/>
      </w:pPr>
      <w:r>
        <w:rPr>
          <w:rFonts w:ascii="Times New Roman;serif" w:hAnsi="Times New Roman;serif"/>
          <w:b/>
          <w:color w:val="000000"/>
          <w:sz w:val="24"/>
        </w:rPr>
        <w:t>5.</w:t>
      </w:r>
      <w:r>
        <w:rPr>
          <w:rFonts w:ascii="Times New Roman;serif" w:hAnsi="Times New Roman;serif"/>
          <w:b/>
          <w:color w:val="000000"/>
          <w:sz w:val="22"/>
        </w:rPr>
        <w:t>SECURITIES LAWS AND INSIDER TRADING</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U.S. federal securities laws are built on the premise that a purchaser and a seller of securities should have equal access to important information regarding the company whose securities they are trading. Consequently, federal securities laws forbid an investor from purchasing or selling securities based upon inside information not available to the other party.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consequences of insider trading violations can be severe. AGNC people who trade on inside information, or who communicate (or tip) this information to others so that they may trade, may face a civil penalty of up to three times the profit gained (or loss avoided), a substantial criminal fine and a jail term of up to 20 years. Additionally, if we or our senior officers do not take appropriate steps to prevent AGNC people from insider trading, we may also face severe legal consequences, including, among other things, substantial criminal penalties.</w:t>
      </w:r>
    </w:p>
    <w:p>
      <w:pPr>
        <w:pStyle w:val="TextBody"/>
        <w:bidi w:val="0"/>
        <w:spacing w:lineRule="auto" w:line="288" w:before="120" w:after="283"/>
        <w:jc w:val="both"/>
        <w:rPr/>
      </w:pPr>
      <w:r>
        <w:rPr>
          <w:rFonts w:ascii="Times New Roman;serif" w:hAnsi="Times New Roman;serif"/>
          <w:b w:val="false"/>
          <w:color w:val="000000"/>
          <w:sz w:val="22"/>
        </w:rPr>
        <w:t>Accordingly, if you have material, nonpublic (i.e., inside) information about AGNC or another company, you should not buy or sell securities of AGNC or the other company (including derivative securities such as put and call options) until a reasonable time after the inside information has been publicly disclosed. You also should only disclose or discuss inside information with other AMM Group members who need to know, or use, the information as part of their employment or service for the AMM Group, and you should not disclose inside information to others outside AGNC until a reasonable time after the information has been publicly disclosed. In addition, it is never appropriate for you to advise others to buy or sell AGNC securities.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AGNC has implemented the AGNC Investment Corp. Policy on Insider Trading, which is administered by the Chief Compliance Officer, to promote compliance with insider trading laws, rules and regulations and establish standards on trading of AGNC securities and the securities of other public companies as to which an AGNC Person may obtain material nonpublic information in the course of his or her services to AGNC. The Policy on Insider Trading also includes restrictions on derivative transactions, including prediction market contracts. AGNC people with questions regarding insider trading or the policy and its applicability to any securities or derivatives transaction should contact the Legal Department.</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both"/>
        <w:rPr/>
      </w:pPr>
      <w:r>
        <w:rPr/>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6.HARASSMENT AND DISCRIMINATION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 are committed to providing a supportive work environment that is free from harassment and discrimination of any kind. To this end, AGNC has adopted an Anti-Harassment Policy and an Equal Employment Opportunity policy, copies of which are included in the Policy Booklet distributed to all AGNC employees. AGNC will not tolerate discrimination or harassment of employees or non-employees with whom we have a business, service or professional relationship. AGNC people are encouraged to report any acts of harassment or discrimination to the Chief Compliance Officer, the Chair of the Compensation and Corporate Governance Committee of the Board of Directors or to the hotline.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7.HEALTH AND SAFETY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We strive to provide AGNC people with a safe and healthy work environment. You have a responsibility for maintaining a safe and healthy workplace for all other AGNC people by following safety and health rules and practices and reporting accidents, injuries and unsafe equipment, practices and conditions.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Violence and threatening behavior are not permitted and will not be tolerated. If any AGNC person knows of actual or potential workplace violence or threatening behavior, he/she should immediately report such concerns to his or her manager, a member of the Human Resources or Legal Departments, the Chief Compliance Officer or the hotline.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All AGNC people are expected to conduct AGNC business free from the influence of any substance that could impair job performance. This includes alcohol, illegal drugs, controlled substances and, in certain instances, prescription medication. The use, sale and/or distribution of illegal drugs in the workplace will not be tolerated at any time.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8.INTERNATIONAL ISSUES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You are expected to comply with the legal requirements and ethical standards of each country in which you conduct AGNC business, as well as with all U.S. laws applicable in other countries.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 FCPA applies to business transactions both inside the United States and in other countries. Its requirements relate to accurate and complete financial books and records, transactions with foreign government officials and restrictions on the use of funds for unlawful or improper purposes. Because violation of the FCPA can bring severe penalties, including criminal fines for the company and individuals and jail terms, it is essential that you become familiar with the FCPA’s requirements if you are involved in investment transactions or other business in a foreign country. Other legal requirements may affect our international business or transactions. These include, but are not limited to, laws, rules and regulations prohibiting money laundering and transactions with specifically designated nationals subject to government sanctions, which are covered by our Anti-Money Laundering Policy. If you have any questions regarding legal requirements applicable to international business or transactions, please contact a member of our Legal team.</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C.    AVOIDING CONFLICTS OF INTEREST</w:t>
      </w:r>
    </w:p>
    <w:p>
      <w:pPr>
        <w:pStyle w:val="TextBody"/>
        <w:bidi w:val="0"/>
        <w:spacing w:lineRule="auto" w:line="288" w:before="120" w:after="283"/>
        <w:ind w:left="0" w:right="0" w:hanging="360"/>
        <w:jc w:val="both"/>
        <w:rPr/>
      </w:pPr>
      <w:r>
        <w:rPr>
          <w:rFonts w:ascii="Times New Roman;serif" w:hAnsi="Times New Roman;serif"/>
          <w:b/>
          <w:color w:val="000000"/>
          <w:sz w:val="24"/>
        </w:rPr>
        <w:t>1.</w:t>
      </w:r>
      <w:r>
        <w:rPr>
          <w:rFonts w:ascii="Times New Roman;serif" w:hAnsi="Times New Roman;serif"/>
          <w:b/>
          <w:color w:val="000000"/>
          <w:sz w:val="22"/>
        </w:rPr>
        <w:t>GENERALLY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All AGNC people have a duty of loyalty to act in the best interests of the company. We expect you to avoid situations and relationships that involve actual or potential conflicts of interest. Generally, a conflict of interest arises whenever your personal interests diverge from your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responsibilities to AGNC or from AGNC’s best interests. Put another way, a conflict of interest is created whenever an activity, association or relationship of yours might impair your independent exercise of judgment in AGNC’s best interest.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Examples of situations that could be perceived as conflicts of interest and should be avoided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Conducting AGNC’s business with a company owned, partially owned or controlled by you or a member of your family;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Ownership of more than one percent of the stock of a company that competes or does business with AGNC (other than indirect ownership as a result of owning a widely-held mutual fund);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Working as an employee or a consultant for a competitor, regulatory body, government entity or enterprise, investment adviser, fund, investor, consulting or research firm, or vendor concerning AGNC, its business or strategy, or the markets or industry sector in which AGNC does business (other than as part of your AGNC employment);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Doing any work for a third party that may adversely affect your performance or judgment on the job, diminish your ability to devote the necessary time and attention to your duties or require you to divulge confidential information about AGNC, its business or strategy;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Appropriating or diverting to yourself or others any business opportunity or idea in which AGNC might have an interest.</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These situations (and others like them), where your loyalties to AGNC could be compromised, must be avoided. If you believe that you are involved in a potential conflict of interest, we expect you to discuss it with your supervisor or the Chief Compliance Officer. If a conflict is determined to exist, you must disengage from the conflict situation or terminate your employment.</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2.USE OF OUR ASSETS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You are responsible for the proper use of AGNC’s physical resources and property, as well as its proprietary information.</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Our offices, equipment, supplies and other resources may not be used for activities that are not related to your employment with AGNC, except for any activities that have been approved in writing in advance by us, or for personal usage that is minor in amount and reasonable. If you are found to be engaging in, or attempting, theft of any AGNC property, including documents, equipment, intellectual property, personal property of other employees, cash or any other items of value, you may be subject to immediate termination of your employment or contract and possible criminal proceedings. We expect you to report any theft or attempted theft to your supervisor or the Chief Compliance Officer.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Proprietary words, slogans, symbols, logos or other devices used to identify AGNC and its proprietary methods and services are important business tools and valuable assets, which require care in their use and treatment. You may not negotiate or enter into any agreement respecting AGNC’s trademarks, service marks or logos without first consulting a member of our Legal team. We also respect the intellectual property rights of others. Thus, using the trademark or service mark of, or referencing for marketing purposes, another company (even one with whom AGNC has a business relationship), requires clearance or approval by our Legal team, to determine whether the use of that other company’s mark is proper. You should avoid the unauthorized use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of copyrighted or patented materials of others and should ask a member of the Legal team if you have any questions regarding the permissibility of photocopying, excerpting, electronically copying or otherwise using copyrighted or patented materials. In addition, simply because material is available for copying (such as content or images downloaded from the internet) does not mean that it is automatically legal or permissible to copy or distribute.</w:t>
      </w:r>
    </w:p>
    <w:p>
      <w:pPr>
        <w:pStyle w:val="TextBody"/>
        <w:bidi w:val="0"/>
        <w:spacing w:lineRule="auto" w:line="288" w:before="120" w:after="283"/>
        <w:ind w:left="0" w:right="0" w:hanging="360"/>
        <w:jc w:val="both"/>
        <w:rPr/>
      </w:pPr>
      <w:r>
        <w:rPr>
          <w:rFonts w:ascii="Times New Roman;serif" w:hAnsi="Times New Roman;serif"/>
          <w:b/>
          <w:color w:val="000000"/>
          <w:sz w:val="24"/>
        </w:rPr>
        <w:t>3.</w:t>
      </w:r>
      <w:r>
        <w:rPr>
          <w:rFonts w:ascii="Times New Roman;serif" w:hAnsi="Times New Roman;serif"/>
          <w:b/>
          <w:color w:val="000000"/>
          <w:sz w:val="22"/>
        </w:rPr>
        <w:t>GIFTS, GRATUITIES AND ENTERTAINMENT</w:t>
      </w:r>
    </w:p>
    <w:p>
      <w:pPr>
        <w:pStyle w:val="TextBody"/>
        <w:bidi w:val="0"/>
        <w:spacing w:lineRule="auto" w:line="288" w:before="120" w:after="283"/>
        <w:ind w:left="0" w:right="0" w:hanging="360"/>
        <w:jc w:val="left"/>
        <w:rPr/>
      </w:pPr>
      <w:r>
        <w:rPr>
          <w:rFonts w:ascii="Times New Roman;serif" w:hAnsi="Times New Roman;serif"/>
          <w:b/>
          <w:color w:val="000000"/>
          <w:sz w:val="20"/>
        </w:rPr>
        <w:t>a.</w:t>
      </w:r>
      <w:r>
        <w:rPr>
          <w:rFonts w:ascii="Times New Roman;serif" w:hAnsi="Times New Roman;serif"/>
          <w:b/>
          <w:color w:val="000000"/>
          <w:sz w:val="22"/>
        </w:rPr>
        <w:t>Giving</w:t>
      </w:r>
    </w:p>
    <w:p>
      <w:pPr>
        <w:pStyle w:val="TextBody"/>
        <w:bidi w:val="0"/>
        <w:spacing w:lineRule="auto" w:line="288" w:before="120" w:after="283"/>
        <w:jc w:val="both"/>
        <w:rPr/>
      </w:pPr>
      <w:r>
        <w:rPr>
          <w:rFonts w:ascii="Times New Roman;serif" w:hAnsi="Times New Roman;serif"/>
          <w:b w:val="false"/>
          <w:color w:val="000000"/>
          <w:sz w:val="22"/>
        </w:rPr>
        <w:t>You may not offer money, gifts or other items or services of value to anyone with whom we do business or potentially would do business for the purpose of securing an investment opportunity or contract or obtaining favorable treatment.</w:t>
      </w:r>
      <w:r>
        <w:rPr>
          <w:color w:val="000000"/>
        </w:rPr>
        <w:t xml:space="preserve"> </w:t>
      </w:r>
      <w:r>
        <w:rPr>
          <w:rFonts w:ascii="Times New Roman;serif" w:hAnsi="Times New Roman;serif"/>
          <w:b w:val="false"/>
          <w:color w:val="000000"/>
          <w:sz w:val="22"/>
        </w:rPr>
        <w:t>Business-connected favors or gifts may not be extended unless they: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Are consistent with customary business practices;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Do not have substantial monetary value and would not be viewed as improper by others;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Do not violate applicable laws, rules or regulations.</w:t>
      </w:r>
    </w:p>
    <w:p>
      <w:pPr>
        <w:pStyle w:val="TextBody"/>
        <w:bidi w:val="0"/>
        <w:spacing w:lineRule="auto" w:line="288" w:before="120" w:after="283"/>
        <w:jc w:val="both"/>
        <w:rPr/>
      </w:pPr>
      <w:r>
        <w:rPr>
          <w:rFonts w:ascii="Times New Roman;serif" w:hAnsi="Times New Roman;serif"/>
          <w:b w:val="false"/>
          <w:color w:val="000000"/>
          <w:sz w:val="22"/>
        </w:rPr>
        <w:t>Business entertainment in the form of meals and beverages may be offered only if these activities and related expenses are modest and infrequent.</w:t>
      </w:r>
      <w:r>
        <w:rPr>
          <w:color w:val="000000"/>
        </w:rPr>
        <w:t xml:space="preserve"> </w:t>
      </w:r>
      <w:r>
        <w:rPr>
          <w:rFonts w:ascii="Times New Roman;serif" w:hAnsi="Times New Roman;serif"/>
          <w:b w:val="false"/>
          <w:color w:val="000000"/>
          <w:sz w:val="22"/>
        </w:rPr>
        <w:t>Other forms of entertainment (such as tickets to sporting, civic or cultural events) are allowed only if reasonable, customary and not excessive. You should not give to or receive from vendors or service providers gift cards or other cash-like items.</w:t>
      </w:r>
    </w:p>
    <w:p>
      <w:pPr>
        <w:pStyle w:val="TextBody"/>
        <w:bidi w:val="0"/>
        <w:spacing w:lineRule="auto" w:line="288" w:before="120" w:after="283"/>
        <w:ind w:left="0" w:right="0" w:hanging="360"/>
        <w:jc w:val="left"/>
        <w:rPr>
          <w:rFonts w:ascii="Times New Roman;serif" w:hAnsi="Times New Roman;serif"/>
          <w:b/>
          <w:color w:val="000000"/>
          <w:sz w:val="22"/>
        </w:rPr>
      </w:pPr>
      <w:r>
        <w:rPr>
          <w:rFonts w:ascii="Times New Roman;serif" w:hAnsi="Times New Roman;serif"/>
          <w:b/>
          <w:color w:val="000000"/>
          <w:sz w:val="22"/>
        </w:rPr>
        <w:t>b.Receiving</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To avoid even the implication of impropriety, you should decline any gift, favor, entertainment or anything else of value from current or prospective intermediaries, clients, suppliers or contractors or their representatives except for: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Gifts that do not have substantial monetary value given at holidays or other special occasions;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 xml:space="preserve">Reasonable entertainment at lunch, dinner or business meetings where the return of the expenditure on a reciprocal basis is likely to occur and would be properly chargeable as a business expense;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Promotional materials, including gift cards, received at conferences or other widely attended corporate or industry events with a value of less than $50;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Other routine entertainment that is business-related such as sports outings or cultural events, but only if such is otherwise acceptable under this Code and is reasonable, customary and not excessive.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the event that you receive any gift or entertainment with a fair market value in excess of $200, you must promptly report it to your supervisor and/or such other person as may be designated by the Chief Compliance Officer. Executive officers must report such gifts or entertainment in writing, on a periodic basis, to the Audit Committee of the Board of Directors (the “Audit Committee”).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Ultimately, you must exercise good business judgment in deciding which situations are unacceptable. If there is ever any doubt as to the acceptability of any entertainment activity, consult with your supervisor or our Chief Compliance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D.    MAINTAINING ACCURATE AND COMPLETE COMPANY RECORDS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1.ACCOUNTING AND FINANCIAL RECORDS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are required under U.S. federal securities laws and generally accepted accounting principles to keep books, records and accounts that accurately reflect all transactions and to provide an adequate system of internal accounting and controls. We expect you to ensure that those portions of our books, records and accounts for which you have responsibility are valid, complete, accurate and supported by appropriate documentation in verifiable form.</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not: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Improperly accelerate or defer expenses or revenues to achieve financial results or goals;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Deviate from any accounting standards applicable to AGNC or otherwise;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Participate in the valuation of any of our assets at a value other than that required by law;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Maintain any undisclosed or unrecorded funds or off the book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Establish or maintain improper, misleading, incomplete or fraudulent accounting documentation or financial reporting;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Make any payment for purposes other than those described in the documents supporting the payment;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Submit or approve any expense report where you know or suspect that any portion of the underlying expenses were not incurred or are not accurate;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Sign any documents believed to be inaccurate or untruthful.</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AGNC people who exercise supervisory duties over our assets or records are expected to establish and implement appropriate internal controls over all areas of their responsibility. This will help ensure the safeguarding of AGNC’s assets and the accuracy of our financial records and reports. We have adopted and will continue to adopt various types of internal controls and procedures as required to meet internal needs and applicable laws and regulations. We expect you to follow these controls and procedures to the extent they apply to you, to assure the complete and accurate recording of all transactions.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Any accounting entries or adjustments that materially depart from generally accepted accounting principles must be approved by our Audit Committee and reported to our independent auditors. You must not interfere with or seek to influence improperly (directly or indirectly) the review or auditing of our financial records by our Audit Committee or independent auditors.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you become aware of any questionable transaction or accounting practice concerning AGNC, our investments or our other assets, we expect you to report the matter immediately to our Chief Compliance Officer or to a member of our Audit Committee. In addition, we expect you to report all material off-balance-sheet transactions, arrangements and obligations, contingent or otherwise, and other AGNC relationships outside the ordinary course of business with unconsolidated entities or other persons that may have material current or future effects on our financial condition or results of operations to our Chief Compliance Officer or to a member of our Audit Committee.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Section F.2 of this Code describes the procedure for making these reports. You may also make an anonymous report under Section F.2 if you are not comfortable revealing your identity when making a report.</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2.DISCLOSURES TO INVESTORS</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are required under U.S. federal securities laws to provide the public with periodic disclosure regarding our business and financial condition (such as quarterly and annual reports and materials for our annual stockholders’ meeting). We provide additional disclosures to the public through our quarterly earnings calls and press releases and provide disclosures to our lenders and other credit providers through various means. All AGNC people who participate in the preparation or dissemination of these disclosures, or who provide information that they know may be used in the preparation of these disclosures, have a legal and ethical duty to ensure that the content of the disclosures is accurate, complete and timely.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have created and will continue to create disclosure controls and procedures that are designed to ensure that all such disclosures are accurate, complete and timely. If you become aware that our disclosures are not accurate, complete and timely, or become aware of a transaction or development you believe may require disclosure, you should report the matter immediately to our Chief Compliance Officer or a member of the Audit Committee.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3.RETENTION OF DOCUMENTS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Certain types of documents and records (including, for example, e-mails) must be retained for specific periods of time, because of legal and regulatory requirements, or contractual obligations to our providers of capital or others. These periods of time, and the types of documents and records covered, may vary from time to time and will be announced as appropriate. We expect you to comply with the document retention requirements that apply to you. If you are working with these types of documents and records, or are uncertain whether the documents or records you are working with are subject to these retention requirements, please consult with your supervisor, a member of our Legal team or our Chief Compliance Officer.</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Whenever you become aware that documents or records of any type may be required in connection with a lawsuit or government investigation, you must preserve all possibly relevant documents. This means that you must immediately stop disposing of or altering those documents pertaining to the subjects of the litigation or investigation, even if that activity is ordinary or routine. If you are uncertain whether documents or records under your control should be preserved because they might relate to a lawsuit or investigation, you should contact a member of our Legal team or our Chief Compliance Officer.</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E.    PROTECTING CONFIDENTIAL INFORMATION</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1.AGNC CONFIDENTIAL INFORMATION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will often have access to information that is private to AGNC, has not been made public and constitutes trade secrets or proprietary information. Protection of this information is critical to our ability to grow and compete.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Under the laws of most jurisdictions where we do business, trade secrets are legally protected property as long as they remain secret (meaning not generally or publicly known).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Your obligations with respect to our confidential trade secrets and proprietary information are: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Not to disclose the information outside of AGNC;</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Not to use the information for personal gain or any other purpose except to benefit AGNC’s business, even if the use does not harm AGNC’s business or operations;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Not to disclose the information within AGNC, except to other AGNC people who need to know, or use, the information and are aware that it constitutes a trade secret or proprietary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These obligations continue even after you leave AGNC, until the information becomes publicly available or until we no longer consider it a trade secret or proprietary information. Any documents, papers or records that contain trade secrets or proprietary information are our property and must remain at the company. In certain cases, AGNC people have executed nondisclosure agreements, employment agreements or other similar agreements that govern their obligations with respect to our information.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Our confidential trade secrets and proprietary information may include, among other things, information regarding our operations, business plans, investments, customers, strategies, trade secrets, records, finances, assets, data or other information that reveals the processes, methodologies or know how by which our existing or future investments, services or methods of operation are developed, conducted or operated.</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2.CONFIDENTIAL INFORMATION OF OTHERS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 the normal course of business, you will acquire information about many other organizations, including clients, vendors, suppliers, counterparties, issuers and competitors. This is a normal business activity and is not unethical in itself. We properly gather this kind of information for such purposes as evaluating investments and funding sources. We also collect information on competitors from a variety of legitimate sources to evaluate the relative merits of our own investments and other business practices.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There are, however, limits to the ways that this information should be acquired and used. When working with sensitive information about existing or prospective clients, vendors, suppliers, counterparties, issuers, and competitors, which they have made available to us or we have otherwise received on a confidential basis, you should use that information only for the purposes for which it was disclosed to you and make it available only to other AGNC people with a legitimate need to know. You may not use this information for personal gain, including through securities transactions, derivative transactions, or prediction market contracts concerning the party from whom or on whose behalf we obtained the information.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not use illegitimate means to acquire a competitor’s trade secrets or other confidential information. Illegal practices such as trespassing, burglary, wiretapping, bribery and stealing are obviously wrong. We will not tolerate any form of questionable intelligence-gathering. In addition, we strive to protect the privacy of personal information of others. We will only collect, use, process, and disclose an individual’s personal information in accordance with applicable law and our internal policies.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3.INADVERTENT DISCLOSURE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be careful to avoid the inadvertent disclosure of proprietary information. To avoid inadvertent disclosure, you should never discuss with any unauthorized person proprietary information that AGNC considers confidential or that we have not made public. You also should not discuss this information even with authorized AGNC people if you are in locations where unauthorized people may overhear you, such as airplanes or elevators, or when using non-secure electronic bulletin boards or databases. You should also not discuss this information with family members or with friends, because they may innocently or unintentionally pass the information on to someone else.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4.CONTACTS WITH REPORTERS, ANALYSTS AND OTHER MEDIA</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Because of the importance of the legal requirements regarding disclosure of certain information to our investors, we must make certain that any information regarding our business, financial condition or operating results that is released to the public is accurate and consistent. As a result,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not discuss internal AGNC matters with anyone outside of AGNC, except as clearly required in the performance of your job duties. This prohibition applies particularly to inquiries about AGNC made by the news media, securities analysts or investors. All responses to these inquiries must be made only by our executive officers (and individuals specifically designated by them, including members of our Investor Relations and Corporate Communications staffs), who are authorized to discuss information about AGNC with the news media, securities analysts and investors. If you receive inquiries from these sources, you should immediately refer them to one of these authorized spokespersons.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It should also be noted that the foregoing restrictions also apply with regard to the disclosure of information through other media, including but not limited to bulletin boards, internet chat rooms and social media.</w:t>
      </w:r>
    </w:p>
    <w:p>
      <w:pPr>
        <w:pStyle w:val="TextBody"/>
        <w:bidi w:val="0"/>
        <w:spacing w:lineRule="auto" w:line="288" w:before="120" w:after="283"/>
        <w:jc w:val="left"/>
        <w:rPr/>
      </w:pPr>
      <w:r>
        <w:rPr>
          <w:rFonts w:ascii="Times New Roman;serif" w:hAnsi="Times New Roman;serif"/>
          <w:b w:val="false"/>
          <w:color w:val="000000"/>
          <w:sz w:val="22"/>
        </w:rPr>
        <w:t>F.    </w:t>
      </w:r>
      <w:r>
        <w:rPr>
          <w:rFonts w:ascii="Times New Roman;serif" w:hAnsi="Times New Roman;serif"/>
          <w:b/>
          <w:color w:val="000000"/>
          <w:sz w:val="22"/>
        </w:rPr>
        <w:t>ADMINISTRATION OF THIS CODE</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1.ONGOING REVIEW OF COMPLIANCE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require all AGNC people to comply with this Code. Upon your receipt of this Code, and also from time to time as we deem to be necessary, we may require you to sign an acknowledgement confirming that you have read and understood this Code and agree to comply with its provisions. We reserve the right to monitor your continuing compliance with the provisions of this Code and to investigate any suspected violations. If substantiated, these violations could result in disciplinary action, as described more fully in the following sections.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2.REPORTING OF SUSPECTED VIOLATIONS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We expect you to bring to the attention of the Chief Compliance Officer (or any people that the Chief Compliance Officer designates) information about suspected violations of this Code by any other AGNC person as promptly as practicable. Additionally, we may designate a third-party hotline provider to which information about suspected violations of the Code may be reported. If you have information about suspected improper accounting or auditing matters, you should bring such information to the attention of our Chief Compliance Officer or a member of our Audit Committee directly. To contact our Audit Committee or to submit a report to them, please contact them at the contact information that we will distribute periodically.</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you are not comfortable revealing your identity when making a report, you can also make an anonymous report with our Chief Compliance Officer, the hotline or our Audit Committee.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You should feel safe in reporting this information, without regard to the identity or position of the suspected offender. We will treat the information in a confidential manner (consistent with appropriate evaluation and investigation) and will not take any acts of retribution or retaliation against you for making a report.</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Because failure to report criminal activity can itself be understood to condone the crime, we emphasize the importance of prompt reporting. For both criminal activity and other violations of this Code, failure to report knowledge of wrongdoing may result in disciplinary action against those who fail to report.</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3.NON-RETALIATION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Nothing in this Code shall prohibit you from reporting any possible violation of federal law or regulation to any governmental agency. Further, nothing shall restrict you from communicating with such agency in the course of its investigation or from making disclosures that are protected pursuant to the whistleblower provisions of federal law and regulation.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Retaliation in any form against an AGNC person who reports a violation of this Code (even if the report is mistaken but was submitted in the good faith belief it was correct) or who assists in the investigation of a reported violation is itself a serious violation of this Code. Acts of retaliation should be reported immediately and may result in severe disciplinary action.</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4.INVESTIGATION OF SUSPECTED VIOLATIONS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Suspected violations will be investigated under the supervision of our Chief Compliance Officer or the Audit Committee, in such manner as the Chief Compliance Officer or the Audit Committee, as applicable, deems appropriate. You are expected to cooperate in the investigation of reported violations. When practical and appropriate under the circumstances, and in order to protect the privacy of the persons involved, those people investigating the suspected violation will attempt to keep confidential the identity of someone who reports a suspected violation or who participates in the investigation. There may be situations, however, when this information must be disclosed as part of our investigation.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Chief Compliance Officer may call upon members of our Legal team to participate in any investigations. You should be aware that our Chief Compliance Officer and the members of our Legal team are legally obligated to act in the best interests of AGNC as a company. They do not act as lawyers or personal representatives for any individual AGNC person, including our executive officers. Our Board of Directors (the “Board”) has ultimate responsibility for final interpretation of this Code and for determining whether any violations of this Code have occurred.</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5.DISCIPLINARY ACTION</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If our Chief Compliance Officer or our Board (or those acting under their supervision) determine, in their good faith discretion, that you have violated any provision of this Code, you may be subject to disciplinary action, up to and including termination of your employment or contract without prior warning and referral for criminal prosecution and fines.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6.SPECIAL PROVISIONS APPLICABLE TO CERTAIN FINANCIAL EXECUTIVES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Given the important position of trust and authority that they occupy, our Chief Executive Officer, President, Chief Operating Officer, Chief Investment Officer, Chief Financial Officer, Chief Accounting Officer, Controller, directors and certain other persons who may be designated by the Board or the Audit Committee (collectively, the “Financial Executives”) should act extremely cautiously in interpreting and applying this Code. Financial Executives should consult with our Chief Compliance Officer with respect to any proposed actions or arrangements that are not clearly consistent with the Code. In the event that a Financial Executive wishes to engage in a proposed action or arrangement that is not consistent with the Code, the Financial Executive must obtain a waiver of the relevant Code provisions in advance from the Board.</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Sarbanes-Oxley Act of 2002 imposes certain reporting requirements on AGNC with respect to our Financial Executives’ compliance with the Code. In accordance with these requirements, we will publicly report on a Current Report on Form 8-K any waivers of any provision of the Code granted by our Board to any Financial Executive. Violations of the Code by our Financial Executives may also be immediately reported on Form 8-K.</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7.REVISIONS AND UPDATES TO THIS CODE</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This Code may be revised, changed or amended at any time by our Board. Following any material revisions or updates, an updated version of this Code will be distributed to you, and will supersede the prior version of this Code effective upon distribution. We may ask you to sign an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acknowledgement confirming that you have read and understood the revised version of the Code, and that you agree to comply with its provisions.</w:t>
      </w:r>
    </w:p>
    <w:p>
      <w:pPr>
        <w:pStyle w:val="TextBody"/>
        <w:bidi w:val="0"/>
        <w:spacing w:lineRule="auto" w:line="288" w:before="120" w:after="283"/>
        <w:ind w:left="0" w:right="0" w:hanging="360"/>
        <w:jc w:val="both"/>
        <w:rPr>
          <w:rFonts w:ascii="Times New Roman;serif" w:hAnsi="Times New Roman;serif"/>
          <w:b/>
          <w:color w:val="000000"/>
          <w:sz w:val="22"/>
        </w:rPr>
      </w:pPr>
      <w:r>
        <w:rPr>
          <w:rFonts w:ascii="Times New Roman;serif" w:hAnsi="Times New Roman;serif"/>
          <w:b/>
          <w:color w:val="000000"/>
          <w:sz w:val="22"/>
        </w:rPr>
        <w:t>8.IMPORTANT DISCLAIMERS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This Code reflects general principles to guide you in making ethical decisions and cannot, and is not intended to, address every specific situation in which we may find it appropriate to take disciplinary action. This Code is not intended to create any contract (express or implied) with you, including without limitation any employment contract, or to constitute any promise with regard to the length and terms of your employment.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Peter J. Federico,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AGNC Investment Corp.;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00"/>
        <w:gridCol w:w="177"/>
        <w:gridCol w:w="178"/>
        <w:gridCol w:w="2534"/>
        <w:gridCol w:w="2534"/>
        <w:gridCol w:w="255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7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ind w:left="0" w:right="0" w:hanging="225"/>
        <w:jc w:val="both"/>
        <w:rPr/>
      </w:pPr>
      <w:r>
        <w:rPr/>
      </w:r>
    </w:p>
    <w:p>
      <w:pPr>
        <w:pStyle w:val="TextBody"/>
        <w:bidi w:val="0"/>
        <w:spacing w:before="0" w:after="0"/>
        <w:ind w:left="0" w:right="0" w:hanging="225"/>
        <w:jc w:val="both"/>
        <w:rPr/>
      </w:pPr>
      <w:r>
        <w:rPr/>
      </w:r>
    </w:p>
    <w:p>
      <w:pPr>
        <w:pStyle w:val="TextBody"/>
        <w:bidi w:val="0"/>
        <w:spacing w:lineRule="auto" w:line="288" w:before="0" w:after="0"/>
        <w:ind w:left="0" w:right="0" w:hanging="225"/>
        <w:jc w:val="both"/>
        <w:rPr>
          <w:rFonts w:ascii="Times New Roman;serif" w:hAnsi="Times New Roman;serif"/>
          <w:b w:val="false"/>
          <w:color w:val="000000"/>
          <w:sz w:val="20"/>
        </w:rPr>
      </w:pPr>
      <w:r>
        <w:rPr>
          <w:rFonts w:ascii="Times New Roman;serif" w:hAnsi="Times New Roman;serif"/>
          <w:b w:val="false"/>
          <w:color w:val="000000"/>
          <w:sz w:val="20"/>
        </w:rPr>
        <w:t xml:space="preserve">I, Bernice E. Bell, certify that: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AGNC Investment Corp;</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ind w:left="0" w:right="0" w:hanging="450"/>
        <w:jc w:val="both"/>
        <w:rPr/>
      </w:pPr>
      <w:r>
        <w:rPr/>
      </w:r>
    </w:p>
    <w:tbl>
      <w:tblPr>
        <w:tblW w:w="7632" w:type="dxa"/>
        <w:jc w:val="left"/>
        <w:tblInd w:w="0" w:type="dxa"/>
        <w:tblLayout w:type="fixed"/>
        <w:tblCellMar>
          <w:top w:w="28" w:type="dxa"/>
          <w:left w:w="28" w:type="dxa"/>
          <w:bottom w:w="28" w:type="dxa"/>
          <w:right w:w="28" w:type="dxa"/>
        </w:tblCellMar>
      </w:tblPr>
      <w:tblGrid>
        <w:gridCol w:w="200"/>
        <w:gridCol w:w="177"/>
        <w:gridCol w:w="178"/>
        <w:gridCol w:w="2228"/>
        <w:gridCol w:w="2228"/>
        <w:gridCol w:w="224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before="0" w:after="0"/>
        <w:jc w:val="righ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AGNC Investment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Peter J. Federico, President, Chief Executive Officer and Chief Investment Officer, and Bernice E. Bell, Executive Vice President and Chief Financial Officer of AGNC Investment Corp. (the “Company”), certify pursuant to Section 906 of the Sarbanes-Oxley Act of 2002, 18 U.S.C. Section 1350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2026 (the “Report”) fully complies with the requirements of Section 13(a) of the Securities Exchange Act of 1934 (15 U.S.C. 78m);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95"/>
        <w:jc w:val="both"/>
        <w:rPr/>
      </w:pPr>
      <w:r>
        <w:rPr/>
      </w:r>
    </w:p>
    <w:p>
      <w:pPr>
        <w:pStyle w:val="TextBody"/>
        <w:bidi w:val="0"/>
        <w:spacing w:lineRule="auto" w:line="288" w:before="0" w:after="0"/>
        <w:jc w:val="left"/>
        <w:rPr>
          <w:color w:val="000000"/>
        </w:rPr>
      </w:pPr>
      <w:r>
        <w:rPr>
          <w:color w:val="000000"/>
        </w:rPr>
        <w:t> </w:t>
      </w:r>
    </w:p>
    <w:tbl>
      <w:tblPr>
        <w:tblW w:w="5486" w:type="dxa"/>
        <w:jc w:val="left"/>
        <w:tblInd w:w="0" w:type="dxa"/>
        <w:tblLayout w:type="fixed"/>
        <w:tblCellMar>
          <w:top w:w="28" w:type="dxa"/>
          <w:left w:w="28" w:type="dxa"/>
          <w:bottom w:w="28" w:type="dxa"/>
          <w:right w:w="28" w:type="dxa"/>
        </w:tblCellMar>
      </w:tblPr>
      <w:tblGrid>
        <w:gridCol w:w="233"/>
        <w:gridCol w:w="205"/>
        <w:gridCol w:w="207"/>
        <w:gridCol w:w="1488"/>
        <w:gridCol w:w="1488"/>
        <w:gridCol w:w="1493"/>
        <w:gridCol w:w="109"/>
        <w:gridCol w:w="109"/>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P</w:t>
            </w:r>
            <w:r>
              <w:rPr>
                <w:rFonts w:ascii="Times New Roman;serif" w:hAnsi="Times New Roman;serif"/>
                <w:b w:val="false"/>
                <w:color w:val="000000"/>
                <w:sz w:val="16"/>
              </w:rPr>
              <w:t>ETER</w:t>
            </w:r>
            <w:r>
              <w:rPr>
                <w:color w:val="000000"/>
              </w:rPr>
              <w:t xml:space="preserve"> </w:t>
            </w:r>
            <w:r>
              <w:rPr>
                <w:rFonts w:ascii="Times New Roman;serif" w:hAnsi="Times New Roman;serif"/>
                <w:b w:val="false"/>
                <w:color w:val="000000"/>
                <w:sz w:val="20"/>
              </w:rPr>
              <w:t>J. F</w:t>
            </w:r>
            <w:r>
              <w:rPr>
                <w:rFonts w:ascii="Times New Roman;serif" w:hAnsi="Times New Roman;serif"/>
                <w:b w:val="false"/>
                <w:color w:val="000000"/>
                <w:sz w:val="16"/>
              </w:rPr>
              <w:t>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Peter J. Federico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Chief Executive Officer and </w:t>
              <w:br/>
              <w:t>Chief Investment Officer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ERNICE</w:t>
            </w:r>
            <w:r>
              <w:rPr>
                <w:color w:val="000000"/>
              </w:rPr>
              <w:t xml:space="preserve"> </w:t>
            </w:r>
            <w:r>
              <w:rPr>
                <w:rFonts w:ascii="Times New Roman;serif" w:hAnsi="Times New Roman;serif"/>
                <w:b w:val="false"/>
                <w:color w:val="000000"/>
                <w:sz w:val="20"/>
              </w:rPr>
              <w:t>E. B</w:t>
            </w:r>
            <w:r>
              <w:rPr>
                <w:rFonts w:ascii="Times New Roman;serif" w:hAnsi="Times New Roman;serif"/>
                <w:b w:val="false"/>
                <w:color w:val="000000"/>
                <w:sz w:val="16"/>
              </w:rPr>
              <w:t>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Bernice E. Bell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br/>
              <w:t>Chief Financial Officer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ind w:left="0" w:right="0" w:firstLine="495"/>
        <w:jc w:val="both"/>
        <w:rPr/>
      </w:pPr>
      <w:r>
        <w:rPr/>
      </w:r>
    </w:p>
    <w:p>
      <w:pPr>
        <w:pStyle w:val="TextBody"/>
        <w:bidi w:val="0"/>
        <w:spacing w:before="0" w:after="0"/>
        <w:jc w:val="both"/>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Malgun Gothic">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23689/000142368925000056/agncexhibit313312510-q.htm" TargetMode="External"/><Relationship Id="rId4" Type="http://schemas.openxmlformats.org/officeDocument/2006/relationships/hyperlink" Target="https://www.sec.gov/Archives/edgar/data/1423689/000142368925000056/agncexhibit313312510-q.htm" TargetMode="External"/><Relationship Id="rId5" Type="http://schemas.openxmlformats.org/officeDocument/2006/relationships/hyperlink" Target="https://www.sec.gov/Archives/edgar/data/1423689/000142368921000017/arbylaws-march2021vrevised.htm" TargetMode="External"/><Relationship Id="rId6" Type="http://schemas.openxmlformats.org/officeDocument/2006/relationships/hyperlink" Target="https://www.sec.gov/Archives/edgar/data/1423689/000142368923000046/bylaws72023-ex.htm" TargetMode="External"/><Relationship Id="rId7" Type="http://schemas.openxmlformats.org/officeDocument/2006/relationships/hyperlink" Target="https://www.sec.gov/Archives/edgar/data/1423689/000142368917000044/ex35certificateofdesignati.htm" TargetMode="External"/><Relationship Id="rId8" Type="http://schemas.openxmlformats.org/officeDocument/2006/relationships/hyperlink" Target="https://www.sec.gov/Archives/edgar/data/1423689/000142368917000044/ex35certificateofdesignati.htm" TargetMode="External"/><Relationship Id="rId9" Type="http://schemas.openxmlformats.org/officeDocument/2006/relationships/hyperlink" Target="https://www.sec.gov/Archives/edgar/data/1423689/000142368917000065/certificateofelimination.htm" TargetMode="External"/><Relationship Id="rId10" Type="http://schemas.openxmlformats.org/officeDocument/2006/relationships/hyperlink" Target="https://www.sec.gov/Archives/edgar/data/1423689/000142368917000065/certificateofelimination.htm" TargetMode="External"/><Relationship Id="rId11" Type="http://schemas.openxmlformats.org/officeDocument/2006/relationships/hyperlink" Target="https://www.sec.gov/Archives/edgar/data/1423689/000142368919000019/certificateofdesignations.htm" TargetMode="External"/><Relationship Id="rId12" Type="http://schemas.openxmlformats.org/officeDocument/2006/relationships/hyperlink" Target="https://www.sec.gov/Archives/edgar/data/1423689/000142368919000019/certificateofdesignations.htm" TargetMode="External"/><Relationship Id="rId13" Type="http://schemas.openxmlformats.org/officeDocument/2006/relationships/hyperlink" Target="https://www.sec.gov/Archives/edgar/data/1423689/000142368919000064/certofdesignations.htm" TargetMode="External"/><Relationship Id="rId14" Type="http://schemas.openxmlformats.org/officeDocument/2006/relationships/hyperlink" Target="https://www.sec.gov/Archives/edgar/data/1423689/000142368919000064/certofdesignations.htm" TargetMode="External"/><Relationship Id="rId15" Type="http://schemas.openxmlformats.org/officeDocument/2006/relationships/hyperlink" Target="https://www.sec.gov/Archives/edgar/data/1423689/000142368919000078/certificateofeliminati.htm" TargetMode="External"/><Relationship Id="rId16" Type="http://schemas.openxmlformats.org/officeDocument/2006/relationships/hyperlink" Target="https://www.sec.gov/Archives/edgar/data/1423689/000142368919000078/certificateofeliminati.htm" TargetMode="External"/><Relationship Id="rId17" Type="http://schemas.openxmlformats.org/officeDocument/2006/relationships/hyperlink" Target="https://www.sec.gov/Archives/edgar/data/1423689/000142368920000012/certificateofdesignations-.htm" TargetMode="External"/><Relationship Id="rId18" Type="http://schemas.openxmlformats.org/officeDocument/2006/relationships/hyperlink" Target="https://www.sec.gov/Archives/edgar/data/1423689/000142368920000012/certificateofdesignations-.htm" TargetMode="External"/><Relationship Id="rId19" Type="http://schemas.openxmlformats.org/officeDocument/2006/relationships/hyperlink" Target="https://www.sec.gov/Archives/edgar/data/1423689/000142368922000061/seriesgcertificateofdesign.htm" TargetMode="External"/><Relationship Id="rId20" Type="http://schemas.openxmlformats.org/officeDocument/2006/relationships/hyperlink" Target="https://www.sec.gov/Archives/edgar/data/1423689/000142368922000061/seriesgcertificateofdesign.htm" TargetMode="External"/><Relationship Id="rId21" Type="http://schemas.openxmlformats.org/officeDocument/2006/relationships/hyperlink" Target="https://www.sec.gov/Archives/edgar/data/1423689/000142368925000093/certificateofdesignations-.htm" TargetMode="External"/><Relationship Id="rId22" Type="http://schemas.openxmlformats.org/officeDocument/2006/relationships/hyperlink" Target="https://www.sec.gov/Archives/edgar/data/1423689/000142368925000093/certificateofdesignations-.htm" TargetMode="External"/><Relationship Id="rId23" Type="http://schemas.openxmlformats.org/officeDocument/2006/relationships/hyperlink" Target="https://www.sec.gov/Archives/edgar/data/1423689/000142368925000056/agncexhibit313312510-q.htm" TargetMode="External"/><Relationship Id="rId24" Type="http://schemas.openxmlformats.org/officeDocument/2006/relationships/hyperlink" Target="https://www.sec.gov/Archives/edgar/data/1423689/000142368925000056/agncexhibit313312510-q.htm" TargetMode="External"/><Relationship Id="rId25" Type="http://schemas.openxmlformats.org/officeDocument/2006/relationships/hyperlink" Target="https://www.sec.gov/Archives/edgar/data/1423689/000142368921000017/arbylaws-march2021vrevised.htm" TargetMode="External"/><Relationship Id="rId26" Type="http://schemas.openxmlformats.org/officeDocument/2006/relationships/hyperlink" Target="https://www.sec.gov/Archives/edgar/data/1423689/000142368923000046/bylaws72023-ex.htm" TargetMode="External"/><Relationship Id="rId27" Type="http://schemas.openxmlformats.org/officeDocument/2006/relationships/hyperlink" Target="https://www.sec.gov/Archives/edgar/data/1423689/000142368922000076/exhibit43.htm" TargetMode="External"/><Relationship Id="rId28" Type="http://schemas.openxmlformats.org/officeDocument/2006/relationships/hyperlink" Target="https://www.sec.gov/Archives/edgar/data/1423689/000142368922000076/exhibit43.htm" TargetMode="External"/><Relationship Id="rId29" Type="http://schemas.openxmlformats.org/officeDocument/2006/relationships/hyperlink" Target="https://www.sec.gov/Archives/edgar/data/1423689/000142368917000044/exhibit41.htm" TargetMode="External"/><Relationship Id="rId30" Type="http://schemas.openxmlformats.org/officeDocument/2006/relationships/hyperlink" Target="https://www.sec.gov/Archives/edgar/data/1423689/000142368917000044/exhibit41.htm" TargetMode="External"/><Relationship Id="rId31" Type="http://schemas.openxmlformats.org/officeDocument/2006/relationships/hyperlink" Target="https://www.sec.gov/Archives/edgar/data/1423689/000142368919000019/stockcertificateb98.htm" TargetMode="External"/><Relationship Id="rId32" Type="http://schemas.openxmlformats.org/officeDocument/2006/relationships/hyperlink" Target="https://www.sec.gov/Archives/edgar/data/1423689/000142368919000019/stockcertificateb98.htm" TargetMode="External"/><Relationship Id="rId33" Type="http://schemas.openxmlformats.org/officeDocument/2006/relationships/hyperlink" Target="https://www.sec.gov/Archives/edgar/data/1423689/000142368919000064/stockcertificate.htm" TargetMode="External"/><Relationship Id="rId34" Type="http://schemas.openxmlformats.org/officeDocument/2006/relationships/hyperlink" Target="https://www.sec.gov/Archives/edgar/data/1423689/000142368919000064/stockcertificate.htm" TargetMode="External"/><Relationship Id="rId35" Type="http://schemas.openxmlformats.org/officeDocument/2006/relationships/hyperlink" Target="https://www.sec.gov/Archives/edgar/data/1423689/000142368920000012/stockcertificate.htm" TargetMode="External"/><Relationship Id="rId36" Type="http://schemas.openxmlformats.org/officeDocument/2006/relationships/hyperlink" Target="https://www.sec.gov/Archives/edgar/data/1423689/000142368920000012/stockcertificate.htm" TargetMode="External"/><Relationship Id="rId37" Type="http://schemas.openxmlformats.org/officeDocument/2006/relationships/hyperlink" Target="https://www.sec.gov/Archives/edgar/data/1423689/000142368922000061/stockcertificate1.htm" TargetMode="External"/><Relationship Id="rId38" Type="http://schemas.openxmlformats.org/officeDocument/2006/relationships/hyperlink" Target="https://www.sec.gov/Archives/edgar/data/1423689/000142368922000061/stockcertificate1.htm" TargetMode="External"/><Relationship Id="rId39" Type="http://schemas.openxmlformats.org/officeDocument/2006/relationships/hyperlink" Target="https://www.sec.gov/Archives/edgar/data/1423689/000142368925000093/stockcertificate1.htm" TargetMode="External"/><Relationship Id="rId40" Type="http://schemas.openxmlformats.org/officeDocument/2006/relationships/hyperlink" Target="https://www.sec.gov/Archives/edgar/data/1423689/000142368925000093/stockcertificate1.htm" TargetMode="External"/><Relationship Id="rId41" Type="http://schemas.openxmlformats.org/officeDocument/2006/relationships/hyperlink" Target="https://www.sec.gov/Archives/edgar/data/1423689/000142368917000049/depositagreement.htm" TargetMode="External"/><Relationship Id="rId42" Type="http://schemas.openxmlformats.org/officeDocument/2006/relationships/hyperlink" Target="https://www.sec.gov/Archives/edgar/data/1423689/000142368917000049/depositagreement.htm" TargetMode="External"/><Relationship Id="rId43" Type="http://schemas.openxmlformats.org/officeDocument/2006/relationships/hyperlink" Target="https://www.sec.gov/Archives/edgar/data/1423689/000142368917000049/depositagreement.htm" TargetMode="External"/><Relationship Id="rId44" Type="http://schemas.openxmlformats.org/officeDocument/2006/relationships/hyperlink" Target="https://www.sec.gov/Archives/edgar/data/1423689/000142368917000049/depositagreement.htm" TargetMode="External"/><Relationship Id="rId45" Type="http://schemas.openxmlformats.org/officeDocument/2006/relationships/hyperlink" Target="https://www.sec.gov/Archives/edgar/data/1423689/000142368919000021/prefddepositagmt.htm" TargetMode="External"/><Relationship Id="rId46" Type="http://schemas.openxmlformats.org/officeDocument/2006/relationships/hyperlink" Target="https://www.sec.gov/Archives/edgar/data/1423689/000142368919000021/prefddepositagmt.htm" TargetMode="External"/><Relationship Id="rId47" Type="http://schemas.openxmlformats.org/officeDocument/2006/relationships/hyperlink" Target="https://www.sec.gov/Archives/edgar/data/1423689/000142368919000021/prefddepositagmt.htm" TargetMode="External"/><Relationship Id="rId48" Type="http://schemas.openxmlformats.org/officeDocument/2006/relationships/hyperlink" Target="https://www.sec.gov/Archives/edgar/data/1423689/000142368919000021/prefddepositagmt.htm" TargetMode="External"/><Relationship Id="rId49" Type="http://schemas.openxmlformats.org/officeDocument/2006/relationships/hyperlink" Target="https://www.sec.gov/Archives/edgar/data/1423689/000142368919000068/depositagmt-prefe.htm" TargetMode="External"/><Relationship Id="rId50" Type="http://schemas.openxmlformats.org/officeDocument/2006/relationships/hyperlink" Target="https://www.sec.gov/Archives/edgar/data/1423689/000142368919000068/depositagmt-prefe.htm" TargetMode="External"/><Relationship Id="rId51" Type="http://schemas.openxmlformats.org/officeDocument/2006/relationships/hyperlink" Target="https://www.sec.gov/Archives/edgar/data/1423689/000142368919000068/depositagmt-prefe.htm" TargetMode="External"/><Relationship Id="rId52" Type="http://schemas.openxmlformats.org/officeDocument/2006/relationships/hyperlink" Target="https://www.sec.gov/Archives/edgar/data/1423689/000142368919000068/depositagmt-prefe.htm" TargetMode="External"/><Relationship Id="rId53" Type="http://schemas.openxmlformats.org/officeDocument/2006/relationships/hyperlink" Target="https://www.sec.gov/Archives/edgar/data/1423689/000142368920000014/depositaryagmt-seriesf.htm" TargetMode="External"/><Relationship Id="rId54" Type="http://schemas.openxmlformats.org/officeDocument/2006/relationships/hyperlink" Target="https://www.sec.gov/Archives/edgar/data/1423689/000142368920000014/depositaryagmt-seriesf.htm" TargetMode="External"/><Relationship Id="rId55" Type="http://schemas.openxmlformats.org/officeDocument/2006/relationships/hyperlink" Target="https://www.sec.gov/Archives/edgar/data/1423689/000142368920000014/depositaryagmt-seriesf.htm" TargetMode="External"/><Relationship Id="rId56" Type="http://schemas.openxmlformats.org/officeDocument/2006/relationships/hyperlink" Target="https://www.sec.gov/Archives/edgar/data/1423689/000142368920000014/depositaryagmt-seriesf.htm" TargetMode="External"/><Relationship Id="rId57" Type="http://schemas.openxmlformats.org/officeDocument/2006/relationships/hyperlink" Target="https://www.sec.gov/Archives/edgar/data/1423689/000142368922000069/depositaryagmt.htm" TargetMode="External"/><Relationship Id="rId58" Type="http://schemas.openxmlformats.org/officeDocument/2006/relationships/hyperlink" Target="https://www.sec.gov/Archives/edgar/data/1423689/000142368922000069/depositaryagmt.htm" TargetMode="External"/><Relationship Id="rId59" Type="http://schemas.openxmlformats.org/officeDocument/2006/relationships/hyperlink" Target="https://www.sec.gov/Archives/edgar/data/1423689/000142368922000069/depositaryagmt.htm" TargetMode="External"/><Relationship Id="rId60" Type="http://schemas.openxmlformats.org/officeDocument/2006/relationships/hyperlink" Target="https://www.sec.gov/Archives/edgar/data/1423689/000142368922000069/depositaryagmt.htm" TargetMode="External"/><Relationship Id="rId61" Type="http://schemas.openxmlformats.org/officeDocument/2006/relationships/hyperlink" Target="https://www.sec.gov/Archives/edgar/data/1423689/000142368922000069/depositaryagmt.htm" TargetMode="External"/><Relationship Id="rId62" Type="http://schemas.openxmlformats.org/officeDocument/2006/relationships/hyperlink" Target="https://www.sec.gov/Archives/edgar/data/1423689/000142368925000097/serieshdepositaryagmt.htm" TargetMode="External"/><Relationship Id="rId63" Type="http://schemas.openxmlformats.org/officeDocument/2006/relationships/hyperlink" Target="https://www.sec.gov/Archives/edgar/data/1423689/000142368925000097/serieshdepositaryagmt.htm" TargetMode="External"/><Relationship Id="rId64" Type="http://schemas.openxmlformats.org/officeDocument/2006/relationships/hyperlink" Target="https://www.sec.gov/Archives/edgar/data/1423689/000142368925000097/serieshdepositaryagmt.htm" TargetMode="External"/><Relationship Id="rId65" Type="http://schemas.openxmlformats.org/officeDocument/2006/relationships/hyperlink" Target="https://www.sec.gov/Archives/edgar/data/1423689/000142368925000097/serieshdepositaryagmt.htm" TargetMode="External"/><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35571</Words>
  <Characters>194066</Characters>
  <CharactersWithSpaces>226607</CharactersWithSpaces>
  <Paragraphs>6058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