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8300" w:type="dxa"/>
            <w:vAlign w:val="bottom"/>
          </w:tcPr>
          <w:p>
            <w:pPr>
              <w:jc w:val="center"/>
              <w:ind w:left="219"/>
              <w:spacing w:after="0"/>
              <w:rPr>
                <w:sz w:val="20"/>
                <w:szCs w:val="20"/>
                <w:color w:val="auto"/>
              </w:rPr>
            </w:pPr>
            <w:r>
              <w:rPr>
                <w:rFonts w:ascii="Arial" w:cs="Arial" w:eastAsia="Arial" w:hAnsi="Arial"/>
                <w:sz w:val="20"/>
                <w:szCs w:val="20"/>
                <w:b w:val="1"/>
                <w:bCs w:val="1"/>
                <w:color w:val="auto"/>
                <w:w w:val="98"/>
              </w:rPr>
              <w:t>UNITED STATES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8300" w:type="dxa"/>
            <w:vAlign w:val="bottom"/>
          </w:tcPr>
          <w:p>
            <w:pPr>
              <w:jc w:val="center"/>
              <w:ind w:left="239"/>
              <w:spacing w:after="0"/>
              <w:rPr>
                <w:sz w:val="20"/>
                <w:szCs w:val="20"/>
                <w:color w:val="auto"/>
              </w:rPr>
            </w:pPr>
            <w:r>
              <w:rPr>
                <w:rFonts w:ascii="Arial" w:cs="Arial" w:eastAsia="Arial" w:hAnsi="Arial"/>
                <w:sz w:val="20"/>
                <w:szCs w:val="20"/>
                <w:b w:val="1"/>
                <w:bCs w:val="1"/>
                <w:color w:val="auto"/>
              </w:rPr>
              <w:t>SECURITIES AND EXCHANGE COMMISSION</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3"/>
              </w:rPr>
              <w:t>Washington, D.C. 20549</w:t>
            </w:r>
          </w:p>
        </w:tc>
        <w:tc>
          <w:tcPr>
            <w:tcW w:w="0" w:type="dxa"/>
            <w:vAlign w:val="bottom"/>
          </w:tcPr>
          <w:p>
            <w:pPr>
              <w:spacing w:after="0"/>
              <w:rPr>
                <w:sz w:val="1"/>
                <w:szCs w:val="1"/>
                <w:color w:val="auto"/>
              </w:rPr>
            </w:pPr>
          </w:p>
        </w:tc>
      </w:tr>
      <w:tr>
        <w:trPr>
          <w:trHeight w:val="256"/>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19"/>
              <w:spacing w:after="0"/>
              <w:rPr>
                <w:sz w:val="20"/>
                <w:szCs w:val="20"/>
                <w:color w:val="auto"/>
              </w:rPr>
            </w:pPr>
            <w:r>
              <w:rPr>
                <w:rFonts w:ascii="Arial" w:cs="Arial" w:eastAsia="Arial" w:hAnsi="Arial"/>
                <w:sz w:val="20"/>
                <w:szCs w:val="20"/>
                <w:b w:val="1"/>
                <w:bCs w:val="1"/>
                <w:color w:val="auto"/>
                <w:w w:val="99"/>
              </w:rPr>
              <w:t>FORM 10-Q</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8300" w:type="dxa"/>
            <w:vAlign w:val="bottom"/>
          </w:tcPr>
          <w:p>
            <w:pPr>
              <w:ind w:left="9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3"/>
              </w:rPr>
              <w:t>For the quarterly period ended September 30, 2020</w:t>
            </w:r>
          </w:p>
        </w:tc>
        <w:tc>
          <w:tcPr>
            <w:tcW w:w="0" w:type="dxa"/>
            <w:vAlign w:val="bottom"/>
          </w:tcPr>
          <w:p>
            <w:pPr>
              <w:spacing w:after="0"/>
              <w:rPr>
                <w:sz w:val="1"/>
                <w:szCs w:val="1"/>
                <w:color w:val="auto"/>
              </w:rPr>
            </w:pPr>
          </w:p>
        </w:tc>
      </w:tr>
      <w:tr>
        <w:trPr>
          <w:trHeight w:val="186"/>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39"/>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219"/>
        </w:trPr>
        <w:tc>
          <w:tcPr>
            <w:tcW w:w="1060" w:type="dxa"/>
            <w:vAlign w:val="bottom"/>
            <w:vMerge w:val="continue"/>
          </w:tcPr>
          <w:p>
            <w:pPr>
              <w:spacing w:after="0"/>
              <w:rPr>
                <w:sz w:val="19"/>
                <w:szCs w:val="19"/>
                <w:color w:val="auto"/>
              </w:rPr>
            </w:pPr>
          </w:p>
        </w:tc>
        <w:tc>
          <w:tcPr>
            <w:tcW w:w="8300" w:type="dxa"/>
            <w:vAlign w:val="bottom"/>
          </w:tcPr>
          <w:p>
            <w:pPr>
              <w:ind w:left="9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7"/>
        </w:trPr>
        <w:tc>
          <w:tcPr>
            <w:tcW w:w="1060" w:type="dxa"/>
            <w:vAlign w:val="bottom"/>
          </w:tcPr>
          <w:p>
            <w:pPr>
              <w:spacing w:after="0"/>
              <w:rPr>
                <w:sz w:val="23"/>
                <w:szCs w:val="23"/>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2"/>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483235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102235</wp:posOffset>
            </wp:positionV>
            <wp:extent cx="204025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1740" w:type="dxa"/>
        <w:tblCellMar>
          <w:top w:w="0" w:type="dxa"/>
          <w:left w:w="0" w:type="dxa"/>
          <w:bottom w:w="0" w:type="dxa"/>
          <w:right w:w="0" w:type="dxa"/>
        </w:tblCellMar>
      </w:tblPr>
      <w:tr>
        <w:trPr>
          <w:trHeight w:val="230"/>
        </w:trPr>
        <w:tc>
          <w:tcPr>
            <w:tcW w:w="2020" w:type="dxa"/>
            <w:vAlign w:val="bottom"/>
          </w:tcPr>
          <w:p>
            <w:pPr>
              <w:spacing w:after="0"/>
              <w:rPr>
                <w:sz w:val="19"/>
                <w:szCs w:val="19"/>
                <w:color w:val="auto"/>
              </w:rPr>
            </w:pPr>
          </w:p>
        </w:tc>
        <w:tc>
          <w:tcPr>
            <w:tcW w:w="5440" w:type="dxa"/>
            <w:vAlign w:val="bottom"/>
          </w:tcPr>
          <w:p>
            <w:pPr>
              <w:jc w:val="center"/>
              <w:ind w:right="1646"/>
              <w:spacing w:after="0"/>
              <w:rPr>
                <w:sz w:val="20"/>
                <w:szCs w:val="20"/>
                <w:color w:val="auto"/>
              </w:rPr>
            </w:pPr>
            <w:r>
              <w:rPr>
                <w:rFonts w:ascii="Arial" w:cs="Arial" w:eastAsia="Arial" w:hAnsi="Arial"/>
                <w:sz w:val="20"/>
                <w:szCs w:val="20"/>
                <w:b w:val="1"/>
                <w:bCs w:val="1"/>
                <w:color w:val="auto"/>
                <w:w w:val="99"/>
              </w:rPr>
              <w:t>AGNC INVESTMENT CORP.</w:t>
            </w:r>
          </w:p>
        </w:tc>
      </w:tr>
      <w:tr>
        <w:trPr>
          <w:trHeight w:val="166"/>
        </w:trPr>
        <w:tc>
          <w:tcPr>
            <w:tcW w:w="2020" w:type="dxa"/>
            <w:vAlign w:val="bottom"/>
          </w:tcPr>
          <w:p>
            <w:pPr>
              <w:spacing w:after="0"/>
              <w:rPr>
                <w:sz w:val="14"/>
                <w:szCs w:val="14"/>
                <w:color w:val="auto"/>
              </w:rPr>
            </w:pPr>
          </w:p>
        </w:tc>
        <w:tc>
          <w:tcPr>
            <w:tcW w:w="5440" w:type="dxa"/>
            <w:vAlign w:val="bottom"/>
          </w:tcPr>
          <w:p>
            <w:pPr>
              <w:jc w:val="center"/>
              <w:ind w:right="162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182"/>
        </w:trPr>
        <w:tc>
          <w:tcPr>
            <w:tcW w:w="2020" w:type="dxa"/>
            <w:vAlign w:val="bottom"/>
          </w:tcPr>
          <w:p>
            <w:pPr>
              <w:spacing w:after="0"/>
              <w:rPr>
                <w:sz w:val="15"/>
                <w:szCs w:val="15"/>
                <w:color w:val="auto"/>
              </w:rPr>
            </w:pPr>
          </w:p>
        </w:tc>
        <w:tc>
          <w:tcPr>
            <w:tcW w:w="5440" w:type="dxa"/>
            <w:vAlign w:val="bottom"/>
          </w:tcPr>
          <w:p>
            <w:pPr>
              <w:jc w:val="right"/>
              <w:ind w:right="1706"/>
              <w:spacing w:after="0"/>
              <w:rPr>
                <w:sz w:val="20"/>
                <w:szCs w:val="20"/>
                <w:color w:val="auto"/>
              </w:rPr>
            </w:pPr>
            <w:r>
              <w:rPr>
                <w:rFonts w:ascii="Arial" w:cs="Arial" w:eastAsia="Arial" w:hAnsi="Arial"/>
                <w:sz w:val="14"/>
                <w:szCs w:val="14"/>
                <w:color w:val="auto"/>
                <w:w w:val="93"/>
              </w:rPr>
              <w:t>__________________________________________________</w:t>
            </w:r>
          </w:p>
        </w:tc>
      </w:tr>
      <w:tr>
        <w:trPr>
          <w:trHeight w:val="203"/>
        </w:trPr>
        <w:tc>
          <w:tcPr>
            <w:tcW w:w="20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Delaware</w:t>
            </w:r>
          </w:p>
        </w:tc>
        <w:tc>
          <w:tcPr>
            <w:tcW w:w="5440" w:type="dxa"/>
            <w:vAlign w:val="bottom"/>
          </w:tcPr>
          <w:p>
            <w:pPr>
              <w:jc w:val="center"/>
              <w:ind w:left="4246"/>
              <w:spacing w:after="0"/>
              <w:rPr>
                <w:sz w:val="20"/>
                <w:szCs w:val="20"/>
                <w:color w:val="auto"/>
              </w:rPr>
            </w:pPr>
            <w:r>
              <w:rPr>
                <w:rFonts w:ascii="Arial" w:cs="Arial" w:eastAsia="Arial" w:hAnsi="Arial"/>
                <w:sz w:val="14"/>
                <w:szCs w:val="14"/>
                <w:b w:val="1"/>
                <w:bCs w:val="1"/>
                <w:color w:val="auto"/>
                <w:w w:val="90"/>
              </w:rPr>
              <w:t>26-1701984</w:t>
            </w:r>
          </w:p>
        </w:tc>
      </w:tr>
      <w:tr>
        <w:trPr>
          <w:trHeight w:val="147"/>
        </w:trPr>
        <w:tc>
          <w:tcPr>
            <w:tcW w:w="202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5440" w:type="dxa"/>
            <w:vAlign w:val="bottom"/>
          </w:tcPr>
          <w:p>
            <w:pPr>
              <w:jc w:val="center"/>
              <w:ind w:left="4246"/>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Incorporation or Organization)</w:t>
            </w:r>
          </w:p>
        </w:tc>
        <w:tc>
          <w:tcPr>
            <w:tcW w:w="5440" w:type="dxa"/>
            <w:vAlign w:val="bottom"/>
          </w:tcPr>
          <w:p>
            <w:pPr>
              <w:jc w:val="center"/>
              <w:ind w:left="4246"/>
              <w:spacing w:after="0"/>
              <w:rPr>
                <w:sz w:val="20"/>
                <w:szCs w:val="20"/>
                <w:color w:val="auto"/>
              </w:rPr>
            </w:pPr>
            <w:r>
              <w:rPr>
                <w:rFonts w:ascii="Arial" w:cs="Arial" w:eastAsia="Arial" w:hAnsi="Arial"/>
                <w:sz w:val="14"/>
                <w:szCs w:val="14"/>
                <w:b w:val="1"/>
                <w:bCs w:val="1"/>
                <w:color w:val="auto"/>
                <w:w w:val="94"/>
              </w:rPr>
              <w:t>Identification No.)</w:t>
            </w:r>
          </w:p>
        </w:tc>
      </w:tr>
      <w:tr>
        <w:trPr>
          <w:trHeight w:val="250"/>
        </w:trPr>
        <w:tc>
          <w:tcPr>
            <w:tcW w:w="2020" w:type="dxa"/>
            <w:vAlign w:val="bottom"/>
          </w:tcPr>
          <w:p>
            <w:pPr>
              <w:spacing w:after="0"/>
              <w:rPr>
                <w:sz w:val="21"/>
                <w:szCs w:val="21"/>
                <w:color w:val="auto"/>
              </w:rPr>
            </w:pPr>
          </w:p>
        </w:tc>
        <w:tc>
          <w:tcPr>
            <w:tcW w:w="5440" w:type="dxa"/>
            <w:vAlign w:val="bottom"/>
          </w:tcPr>
          <w:p>
            <w:pPr>
              <w:jc w:val="center"/>
              <w:ind w:right="1646"/>
              <w:spacing w:after="0"/>
              <w:rPr>
                <w:sz w:val="20"/>
                <w:szCs w:val="20"/>
                <w:color w:val="auto"/>
              </w:rPr>
            </w:pPr>
            <w:r>
              <w:rPr>
                <w:rFonts w:ascii="Arial" w:cs="Arial" w:eastAsia="Arial" w:hAnsi="Arial"/>
                <w:sz w:val="14"/>
                <w:szCs w:val="14"/>
                <w:b w:val="1"/>
                <w:bCs w:val="1"/>
                <w:color w:val="auto"/>
                <w:w w:val="93"/>
              </w:rPr>
              <w:t>2 Bethesda Metro Center, 12th Floor</w:t>
            </w:r>
          </w:p>
        </w:tc>
      </w:tr>
      <w:tr>
        <w:trPr>
          <w:trHeight w:val="162"/>
        </w:trPr>
        <w:tc>
          <w:tcPr>
            <w:tcW w:w="2020" w:type="dxa"/>
            <w:vAlign w:val="bottom"/>
          </w:tcPr>
          <w:p>
            <w:pPr>
              <w:spacing w:after="0"/>
              <w:rPr>
                <w:sz w:val="14"/>
                <w:szCs w:val="14"/>
                <w:color w:val="auto"/>
              </w:rPr>
            </w:pPr>
          </w:p>
        </w:tc>
        <w:tc>
          <w:tcPr>
            <w:tcW w:w="5440" w:type="dxa"/>
            <w:vAlign w:val="bottom"/>
          </w:tcPr>
          <w:p>
            <w:pPr>
              <w:jc w:val="center"/>
              <w:ind w:right="1646"/>
              <w:spacing w:after="0"/>
              <w:rPr>
                <w:sz w:val="20"/>
                <w:szCs w:val="20"/>
                <w:color w:val="auto"/>
              </w:rPr>
            </w:pPr>
            <w:r>
              <w:rPr>
                <w:rFonts w:ascii="Arial" w:cs="Arial" w:eastAsia="Arial" w:hAnsi="Arial"/>
                <w:sz w:val="14"/>
                <w:szCs w:val="14"/>
                <w:b w:val="1"/>
                <w:bCs w:val="1"/>
                <w:color w:val="auto"/>
                <w:w w:val="93"/>
              </w:rPr>
              <w:t>Bethesda, Maryland 20814</w:t>
            </w:r>
          </w:p>
        </w:tc>
      </w:tr>
      <w:tr>
        <w:trPr>
          <w:trHeight w:val="162"/>
        </w:trPr>
        <w:tc>
          <w:tcPr>
            <w:tcW w:w="2020" w:type="dxa"/>
            <w:vAlign w:val="bottom"/>
          </w:tcPr>
          <w:p>
            <w:pPr>
              <w:spacing w:after="0"/>
              <w:rPr>
                <w:sz w:val="14"/>
                <w:szCs w:val="14"/>
                <w:color w:val="auto"/>
              </w:rPr>
            </w:pPr>
          </w:p>
        </w:tc>
        <w:tc>
          <w:tcPr>
            <w:tcW w:w="5440" w:type="dxa"/>
            <w:vAlign w:val="bottom"/>
          </w:tcPr>
          <w:p>
            <w:pPr>
              <w:jc w:val="center"/>
              <w:ind w:right="1626"/>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62"/>
        </w:trPr>
        <w:tc>
          <w:tcPr>
            <w:tcW w:w="2020" w:type="dxa"/>
            <w:vAlign w:val="bottom"/>
          </w:tcPr>
          <w:p>
            <w:pPr>
              <w:spacing w:after="0"/>
              <w:rPr>
                <w:sz w:val="14"/>
                <w:szCs w:val="14"/>
                <w:color w:val="auto"/>
              </w:rPr>
            </w:pPr>
          </w:p>
        </w:tc>
        <w:tc>
          <w:tcPr>
            <w:tcW w:w="5440" w:type="dxa"/>
            <w:vAlign w:val="bottom"/>
          </w:tcPr>
          <w:p>
            <w:pPr>
              <w:jc w:val="right"/>
              <w:ind w:right="3046"/>
              <w:spacing w:after="0"/>
              <w:rPr>
                <w:sz w:val="20"/>
                <w:szCs w:val="20"/>
                <w:color w:val="auto"/>
              </w:rPr>
            </w:pPr>
            <w:r>
              <w:rPr>
                <w:rFonts w:ascii="Arial" w:cs="Arial" w:eastAsia="Arial" w:hAnsi="Arial"/>
                <w:sz w:val="14"/>
                <w:szCs w:val="14"/>
                <w:b w:val="1"/>
                <w:bCs w:val="1"/>
                <w:color w:val="auto"/>
              </w:rPr>
              <w:t>(301) 968-9315</w:t>
            </w:r>
          </w:p>
        </w:tc>
      </w:tr>
      <w:tr>
        <w:trPr>
          <w:trHeight w:val="166"/>
        </w:trPr>
        <w:tc>
          <w:tcPr>
            <w:tcW w:w="2020" w:type="dxa"/>
            <w:vAlign w:val="bottom"/>
          </w:tcPr>
          <w:p>
            <w:pPr>
              <w:spacing w:after="0"/>
              <w:rPr>
                <w:sz w:val="14"/>
                <w:szCs w:val="14"/>
                <w:color w:val="auto"/>
              </w:rPr>
            </w:pPr>
          </w:p>
        </w:tc>
        <w:tc>
          <w:tcPr>
            <w:tcW w:w="5440" w:type="dxa"/>
            <w:vAlign w:val="bottom"/>
          </w:tcPr>
          <w:p>
            <w:pPr>
              <w:jc w:val="center"/>
              <w:ind w:right="164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74"/>
        </w:trPr>
        <w:tc>
          <w:tcPr>
            <w:tcW w:w="2020" w:type="dxa"/>
            <w:vAlign w:val="bottom"/>
          </w:tcPr>
          <w:p>
            <w:pPr>
              <w:spacing w:after="0"/>
              <w:rPr>
                <w:sz w:val="15"/>
                <w:szCs w:val="15"/>
                <w:color w:val="auto"/>
              </w:rPr>
            </w:pPr>
          </w:p>
        </w:tc>
        <w:tc>
          <w:tcPr>
            <w:tcW w:w="5440" w:type="dxa"/>
            <w:vAlign w:val="bottom"/>
          </w:tcPr>
          <w:p>
            <w:pPr>
              <w:jc w:val="center"/>
              <w:ind w:right="1606"/>
              <w:spacing w:after="0"/>
              <w:rPr>
                <w:sz w:val="20"/>
                <w:szCs w:val="20"/>
                <w:color w:val="auto"/>
              </w:rPr>
            </w:pPr>
            <w:r>
              <w:rPr>
                <w:rFonts w:ascii="Arial" w:cs="Arial" w:eastAsia="Arial" w:hAnsi="Arial"/>
                <w:sz w:val="14"/>
                <w:szCs w:val="14"/>
                <w:color w:val="auto"/>
                <w:w w:val="92"/>
              </w:rPr>
              <w:t>__________________________________________________</w:t>
            </w:r>
          </w:p>
        </w:tc>
      </w:tr>
    </w:tbl>
    <w:p>
      <w:pPr>
        <w:ind w:right="100"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4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00" w:type="dxa"/>
        <w:tblCellMar>
          <w:top w:w="0" w:type="dxa"/>
          <w:left w:w="0" w:type="dxa"/>
          <w:bottom w:w="0" w:type="dxa"/>
          <w:right w:w="0" w:type="dxa"/>
        </w:tblCellMar>
      </w:tblPr>
      <w:tr>
        <w:trPr>
          <w:trHeight w:val="182"/>
        </w:trPr>
        <w:tc>
          <w:tcPr>
            <w:tcW w:w="2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40" w:type="dxa"/>
            <w:vAlign w:val="bottom"/>
          </w:tcPr>
          <w:p>
            <w:pPr>
              <w:spacing w:after="0"/>
              <w:rPr>
                <w:sz w:val="20"/>
                <w:szCs w:val="20"/>
                <w:color w:val="auto"/>
              </w:rPr>
            </w:pPr>
            <w:r>
              <w:rPr>
                <w:rFonts w:ascii="Arial" w:cs="Arial" w:eastAsia="Arial" w:hAnsi="Arial"/>
                <w:sz w:val="14"/>
                <w:szCs w:val="14"/>
                <w:color w:val="auto"/>
              </w:rPr>
              <w:t>Non-accelerated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9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 emerging growth company, indicate by check mark if registrant has elected not to use the extended transition period for complying with any new or revised financial accounting</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standards provided pursuant to Section 13(a) of the Exchange Act. </w:t>
            </w:r>
            <w:r>
              <w:rPr>
                <w:rFonts w:ascii="MS PGothic" w:cs="MS PGothic" w:eastAsia="MS PGothic" w:hAnsi="MS PGothic"/>
                <w:sz w:val="14"/>
                <w:szCs w:val="14"/>
                <w:color w:val="auto"/>
              </w:rPr>
              <w:t>☐</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00" w:type="dxa"/>
            <w:vAlign w:val="bottom"/>
            <w:gridSpan w:val="5"/>
          </w:tcPr>
          <w:p>
            <w:pPr>
              <w:ind w:left="340"/>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3740" w:type="dxa"/>
            <w:vAlign w:val="bottom"/>
          </w:tcPr>
          <w:p>
            <w:pPr>
              <w:ind w:left="6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182"/>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120" w:type="dxa"/>
            <w:vAlign w:val="bottom"/>
          </w:tcPr>
          <w:p>
            <w:pPr>
              <w:spacing w:after="0"/>
              <w:rPr>
                <w:sz w:val="15"/>
                <w:szCs w:val="15"/>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AGNC</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74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42"/>
        </w:trPr>
        <w:tc>
          <w:tcPr>
            <w:tcW w:w="574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2"/>
              </w:rPr>
              <w:t>Depositary shares of 7.000% Series C Fixed-to-Floating Rate Cumulative Redeemable Preferred</w:t>
            </w:r>
          </w:p>
        </w:tc>
        <w:tc>
          <w:tcPr>
            <w:tcW w:w="176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w w:val="98"/>
              </w:rPr>
              <w:t>AGNCN</w:t>
            </w:r>
          </w:p>
        </w:tc>
        <w:tc>
          <w:tcPr>
            <w:tcW w:w="374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1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760" w:type="dxa"/>
            <w:vAlign w:val="bottom"/>
            <w:gridSpan w:val="3"/>
            <w:vMerge w:val="continue"/>
          </w:tcPr>
          <w:p>
            <w:pPr>
              <w:spacing w:after="0"/>
              <w:rPr>
                <w:sz w:val="9"/>
                <w:szCs w:val="9"/>
                <w:color w:val="auto"/>
              </w:rPr>
            </w:pP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74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4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2"/>
              </w:rPr>
              <w:t>Depositary shares of 6.875% Series D Fixed-to-Floating Rate Cumulative Redeemable Preferred</w:t>
            </w:r>
          </w:p>
        </w:tc>
        <w:tc>
          <w:tcPr>
            <w:tcW w:w="176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rPr>
              <w:t>AGNCM</w:t>
            </w:r>
          </w:p>
        </w:tc>
        <w:tc>
          <w:tcPr>
            <w:tcW w:w="374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1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760" w:type="dxa"/>
            <w:vAlign w:val="bottom"/>
            <w:gridSpan w:val="3"/>
            <w:vMerge w:val="continue"/>
          </w:tcPr>
          <w:p>
            <w:pPr>
              <w:spacing w:after="0"/>
              <w:rPr>
                <w:sz w:val="9"/>
                <w:szCs w:val="9"/>
                <w:color w:val="auto"/>
              </w:rPr>
            </w:pP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74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4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2"/>
              </w:rPr>
              <w:t>Depositary shares of 6.50% Series E Fixed-to-Floating Rate Cumulative Redeemable Preferred</w:t>
            </w:r>
          </w:p>
        </w:tc>
        <w:tc>
          <w:tcPr>
            <w:tcW w:w="176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w w:val="97"/>
              </w:rPr>
              <w:t>AGNCO</w:t>
            </w:r>
          </w:p>
        </w:tc>
        <w:tc>
          <w:tcPr>
            <w:tcW w:w="374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1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760" w:type="dxa"/>
            <w:vAlign w:val="bottom"/>
            <w:gridSpan w:val="3"/>
            <w:vMerge w:val="continue"/>
          </w:tcPr>
          <w:p>
            <w:pPr>
              <w:spacing w:after="0"/>
              <w:rPr>
                <w:sz w:val="9"/>
                <w:szCs w:val="9"/>
                <w:color w:val="auto"/>
              </w:rPr>
            </w:pP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74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4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2"/>
              </w:rPr>
              <w:t>Depositary shares of 6.125% Series F Fixed-to-Floating Rate Cumulative Redeemable Preferred</w:t>
            </w:r>
          </w:p>
        </w:tc>
        <w:tc>
          <w:tcPr>
            <w:tcW w:w="176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rPr>
              <w:t>AGNCP</w:t>
            </w:r>
          </w:p>
        </w:tc>
        <w:tc>
          <w:tcPr>
            <w:tcW w:w="374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1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760" w:type="dxa"/>
            <w:vAlign w:val="bottom"/>
            <w:gridSpan w:val="3"/>
            <w:vMerge w:val="continue"/>
          </w:tcPr>
          <w:p>
            <w:pPr>
              <w:spacing w:after="0"/>
              <w:rPr>
                <w:sz w:val="9"/>
                <w:szCs w:val="9"/>
                <w:color w:val="auto"/>
              </w:rPr>
            </w:pP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74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issuer's common stock, $0.01 par value, outstanding as of October 31, 2020 was 545,211,569.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64135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29845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u w:val="single" w:color="auto"/>
                  <w:color w:val="0000FF"/>
                </w:rPr>
                <w:t>PART I</w:t>
              </w:r>
              <w:r>
                <w:rPr>
                  <w:rFonts w:ascii="Arial" w:cs="Arial" w:eastAsia="Arial" w:hAnsi="Arial"/>
                  <w:sz w:val="16"/>
                  <w:szCs w:val="16"/>
                  <w:b w:val="1"/>
                  <w:bCs w:val="1"/>
                  <w:color w:val="0000FF"/>
                </w:rPr>
                <w:t>.</w:t>
              </w:r>
            </w:hyperlink>
          </w:p>
        </w:tc>
        <w:tc>
          <w:tcPr>
            <w:tcW w:w="7900" w:type="dxa"/>
            <w:vAlign w:val="bottom"/>
          </w:tcPr>
          <w:p>
            <w:pPr>
              <w:ind w:left="320"/>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FINANCIAL INFORMATION</w:t>
              </w:r>
            </w:hyperlink>
          </w:p>
        </w:tc>
        <w:tc>
          <w:tcPr>
            <w:tcW w:w="1960" w:type="dxa"/>
            <w:vAlign w:val="bottom"/>
          </w:tcPr>
          <w:p>
            <w:pPr>
              <w:spacing w:after="0"/>
              <w:rPr>
                <w:sz w:val="18"/>
                <w:szCs w:val="18"/>
                <w:color w:val="auto"/>
              </w:rPr>
            </w:pPr>
          </w:p>
        </w:tc>
      </w:tr>
      <w:tr>
        <w:trPr>
          <w:trHeight w:val="235"/>
        </w:trPr>
        <w:tc>
          <w:tcPr>
            <w:tcW w:w="680" w:type="dxa"/>
            <w:vAlign w:val="bottom"/>
          </w:tcPr>
          <w:p>
            <w:pPr>
              <w:spacing w:after="0"/>
              <w:rPr>
                <w:rFonts w:ascii="Arial" w:cs="Arial" w:eastAsia="Arial" w:hAnsi="Arial"/>
                <w:sz w:val="16"/>
                <w:szCs w:val="16"/>
                <w:color w:val="0000FF"/>
              </w:rPr>
            </w:pPr>
            <w:hyperlink w:anchor="page3">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7900" w:type="dxa"/>
            <w:vAlign w:val="bottom"/>
          </w:tcPr>
          <w:p>
            <w:pPr>
              <w:ind w:left="32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Financial Statements</w:t>
              </w:r>
            </w:hyperlink>
          </w:p>
        </w:tc>
        <w:tc>
          <w:tcPr>
            <w:tcW w:w="1960" w:type="dxa"/>
            <w:vAlign w:val="bottom"/>
          </w:tcPr>
          <w:p>
            <w:pPr>
              <w:jc w:val="center"/>
              <w:ind w:left="1718"/>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2</w:t>
              </w:r>
            </w:hyperlink>
          </w:p>
        </w:tc>
      </w:tr>
      <w:tr>
        <w:trPr>
          <w:trHeight w:val="210"/>
        </w:trPr>
        <w:tc>
          <w:tcPr>
            <w:tcW w:w="680" w:type="dxa"/>
            <w:vAlign w:val="bottom"/>
          </w:tcPr>
          <w:p>
            <w:pPr>
              <w:spacing w:after="0"/>
              <w:rPr>
                <w:rFonts w:ascii="Arial" w:cs="Arial" w:eastAsia="Arial" w:hAnsi="Arial"/>
                <w:sz w:val="16"/>
                <w:szCs w:val="16"/>
                <w:color w:val="0000FF"/>
              </w:rPr>
            </w:pPr>
            <w:hyperlink w:anchor="page24">
              <w:r>
                <w:rPr>
                  <w:rFonts w:ascii="Arial" w:cs="Arial" w:eastAsia="Arial" w:hAnsi="Arial"/>
                  <w:sz w:val="16"/>
                  <w:szCs w:val="16"/>
                  <w:u w:val="single" w:color="auto"/>
                  <w:color w:val="0000FF"/>
                </w:rPr>
                <w:t>Item 2</w:t>
              </w:r>
              <w:r>
                <w:rPr>
                  <w:rFonts w:ascii="Arial" w:cs="Arial" w:eastAsia="Arial" w:hAnsi="Arial"/>
                  <w:sz w:val="16"/>
                  <w:szCs w:val="16"/>
                  <w:color w:val="0000FF"/>
                </w:rPr>
                <w:t>.</w:t>
              </w:r>
            </w:hyperlink>
          </w:p>
        </w:tc>
        <w:tc>
          <w:tcPr>
            <w:tcW w:w="7900" w:type="dxa"/>
            <w:vAlign w:val="bottom"/>
          </w:tcPr>
          <w:p>
            <w:pPr>
              <w:ind w:left="320"/>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Management's Discussion and Analysis of Financial Condition and Results of Operations</w:t>
              </w:r>
            </w:hyperlink>
          </w:p>
        </w:tc>
        <w:tc>
          <w:tcPr>
            <w:tcW w:w="1960" w:type="dxa"/>
            <w:vAlign w:val="bottom"/>
          </w:tcPr>
          <w:p>
            <w:pPr>
              <w:jc w:val="center"/>
              <w:ind w:left="1718"/>
              <w:spacing w:after="0"/>
              <w:rPr>
                <w:rFonts w:ascii="Arial" w:cs="Arial" w:eastAsia="Arial" w:hAnsi="Arial"/>
                <w:sz w:val="16"/>
                <w:szCs w:val="16"/>
                <w:u w:val="single" w:color="auto"/>
                <w:color w:val="0000FF"/>
                <w:w w:val="89"/>
              </w:rPr>
            </w:pPr>
            <w:hyperlink w:anchor="page24">
              <w:r>
                <w:rPr>
                  <w:rFonts w:ascii="Arial" w:cs="Arial" w:eastAsia="Arial" w:hAnsi="Arial"/>
                  <w:sz w:val="16"/>
                  <w:szCs w:val="16"/>
                  <w:u w:val="single" w:color="auto"/>
                  <w:color w:val="0000FF"/>
                  <w:w w:val="89"/>
                </w:rPr>
                <w:t>24</w:t>
              </w:r>
            </w:hyperlink>
          </w:p>
        </w:tc>
      </w:tr>
      <w:tr>
        <w:trPr>
          <w:trHeight w:val="216"/>
        </w:trPr>
        <w:tc>
          <w:tcPr>
            <w:tcW w:w="680" w:type="dxa"/>
            <w:vAlign w:val="bottom"/>
          </w:tcPr>
          <w:p>
            <w:pPr>
              <w:spacing w:after="0"/>
              <w:rPr>
                <w:rFonts w:ascii="Arial" w:cs="Arial" w:eastAsia="Arial" w:hAnsi="Arial"/>
                <w:sz w:val="16"/>
                <w:szCs w:val="16"/>
                <w:color w:val="0000FF"/>
              </w:rPr>
            </w:pPr>
            <w:hyperlink w:anchor="page43">
              <w:r>
                <w:rPr>
                  <w:rFonts w:ascii="Arial" w:cs="Arial" w:eastAsia="Arial" w:hAnsi="Arial"/>
                  <w:sz w:val="16"/>
                  <w:szCs w:val="16"/>
                  <w:u w:val="single" w:color="auto"/>
                  <w:color w:val="0000FF"/>
                </w:rPr>
                <w:t>Item 3</w:t>
              </w:r>
              <w:r>
                <w:rPr>
                  <w:rFonts w:ascii="Arial" w:cs="Arial" w:eastAsia="Arial" w:hAnsi="Arial"/>
                  <w:sz w:val="16"/>
                  <w:szCs w:val="16"/>
                  <w:color w:val="0000FF"/>
                </w:rPr>
                <w:t>.</w:t>
              </w:r>
            </w:hyperlink>
          </w:p>
        </w:tc>
        <w:tc>
          <w:tcPr>
            <w:tcW w:w="7900" w:type="dxa"/>
            <w:vAlign w:val="bottom"/>
          </w:tcPr>
          <w:p>
            <w:pPr>
              <w:ind w:left="320"/>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Quantitative and Qualitative Disclosures About Market Risk</w:t>
              </w:r>
            </w:hyperlink>
          </w:p>
        </w:tc>
        <w:tc>
          <w:tcPr>
            <w:tcW w:w="1960" w:type="dxa"/>
            <w:vAlign w:val="bottom"/>
          </w:tcPr>
          <w:p>
            <w:pPr>
              <w:jc w:val="center"/>
              <w:ind w:left="1718"/>
              <w:spacing w:after="0"/>
              <w:rPr>
                <w:rFonts w:ascii="Arial" w:cs="Arial" w:eastAsia="Arial" w:hAnsi="Arial"/>
                <w:sz w:val="16"/>
                <w:szCs w:val="16"/>
                <w:u w:val="single" w:color="auto"/>
                <w:color w:val="0000FF"/>
                <w:w w:val="89"/>
              </w:rPr>
            </w:pPr>
            <w:hyperlink w:anchor="page43">
              <w:r>
                <w:rPr>
                  <w:rFonts w:ascii="Arial" w:cs="Arial" w:eastAsia="Arial" w:hAnsi="Arial"/>
                  <w:sz w:val="16"/>
                  <w:szCs w:val="16"/>
                  <w:u w:val="single" w:color="auto"/>
                  <w:color w:val="0000FF"/>
                  <w:w w:val="89"/>
                </w:rPr>
                <w:t>42</w:t>
              </w:r>
            </w:hyperlink>
          </w:p>
        </w:tc>
      </w:tr>
      <w:tr>
        <w:trPr>
          <w:trHeight w:val="216"/>
        </w:trPr>
        <w:tc>
          <w:tcPr>
            <w:tcW w:w="680" w:type="dxa"/>
            <w:vAlign w:val="bottom"/>
          </w:tcPr>
          <w:p>
            <w:pPr>
              <w:spacing w:after="0"/>
              <w:rPr>
                <w:rFonts w:ascii="Arial" w:cs="Arial" w:eastAsia="Arial" w:hAnsi="Arial"/>
                <w:sz w:val="16"/>
                <w:szCs w:val="16"/>
                <w:color w:val="0000FF"/>
              </w:rPr>
            </w:pPr>
            <w:hyperlink w:anchor="page46">
              <w:r>
                <w:rPr>
                  <w:rFonts w:ascii="Arial" w:cs="Arial" w:eastAsia="Arial" w:hAnsi="Arial"/>
                  <w:sz w:val="16"/>
                  <w:szCs w:val="16"/>
                  <w:u w:val="single" w:color="auto"/>
                  <w:color w:val="0000FF"/>
                </w:rPr>
                <w:t>Item 4</w:t>
              </w:r>
              <w:r>
                <w:rPr>
                  <w:rFonts w:ascii="Arial" w:cs="Arial" w:eastAsia="Arial" w:hAnsi="Arial"/>
                  <w:sz w:val="16"/>
                  <w:szCs w:val="16"/>
                  <w:color w:val="0000FF"/>
                </w:rPr>
                <w:t>.</w:t>
              </w:r>
            </w:hyperlink>
          </w:p>
        </w:tc>
        <w:tc>
          <w:tcPr>
            <w:tcW w:w="7900" w:type="dxa"/>
            <w:vAlign w:val="bottom"/>
          </w:tcPr>
          <w:p>
            <w:pPr>
              <w:ind w:left="3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Controls and Procedures</w:t>
              </w:r>
            </w:hyperlink>
          </w:p>
        </w:tc>
        <w:tc>
          <w:tcPr>
            <w:tcW w:w="1960" w:type="dxa"/>
            <w:vAlign w:val="bottom"/>
          </w:tcPr>
          <w:p>
            <w:pPr>
              <w:jc w:val="center"/>
              <w:ind w:left="1718"/>
              <w:spacing w:after="0"/>
              <w:rPr>
                <w:rFonts w:ascii="Arial" w:cs="Arial" w:eastAsia="Arial" w:hAnsi="Arial"/>
                <w:sz w:val="16"/>
                <w:szCs w:val="16"/>
                <w:u w:val="single" w:color="auto"/>
                <w:color w:val="0000FF"/>
                <w:w w:val="89"/>
              </w:rPr>
            </w:pPr>
            <w:hyperlink w:anchor="page46">
              <w:r>
                <w:rPr>
                  <w:rFonts w:ascii="Arial" w:cs="Arial" w:eastAsia="Arial" w:hAnsi="Arial"/>
                  <w:sz w:val="16"/>
                  <w:szCs w:val="16"/>
                  <w:u w:val="single" w:color="auto"/>
                  <w:color w:val="0000FF"/>
                  <w:w w:val="89"/>
                </w:rPr>
                <w:t>46</w:t>
              </w:r>
            </w:hyperlink>
          </w:p>
        </w:tc>
      </w:tr>
      <w:tr>
        <w:trPr>
          <w:trHeight w:val="473"/>
        </w:trPr>
        <w:tc>
          <w:tcPr>
            <w:tcW w:w="680" w:type="dxa"/>
            <w:vAlign w:val="bottom"/>
          </w:tcPr>
          <w:p>
            <w:pPr>
              <w:spacing w:after="0"/>
              <w:rPr>
                <w:rFonts w:ascii="Arial" w:cs="Arial" w:eastAsia="Arial" w:hAnsi="Arial"/>
                <w:sz w:val="16"/>
                <w:szCs w:val="16"/>
                <w:b w:val="1"/>
                <w:bCs w:val="1"/>
                <w:u w:val="single" w:color="auto"/>
                <w:color w:val="0000FF"/>
              </w:rPr>
            </w:pPr>
            <w:hyperlink w:anchor="page47">
              <w:r>
                <w:rPr>
                  <w:rFonts w:ascii="Arial" w:cs="Arial" w:eastAsia="Arial" w:hAnsi="Arial"/>
                  <w:sz w:val="16"/>
                  <w:szCs w:val="16"/>
                  <w:b w:val="1"/>
                  <w:bCs w:val="1"/>
                  <w:u w:val="single" w:color="auto"/>
                  <w:color w:val="0000FF"/>
                </w:rPr>
                <w:t>PART II.</w:t>
              </w:r>
            </w:hyperlink>
          </w:p>
        </w:tc>
        <w:tc>
          <w:tcPr>
            <w:tcW w:w="7900" w:type="dxa"/>
            <w:vAlign w:val="bottom"/>
          </w:tcPr>
          <w:p>
            <w:pPr>
              <w:ind w:left="320"/>
              <w:spacing w:after="0"/>
              <w:rPr>
                <w:rFonts w:ascii="Arial" w:cs="Arial" w:eastAsia="Arial" w:hAnsi="Arial"/>
                <w:sz w:val="16"/>
                <w:szCs w:val="16"/>
                <w:b w:val="1"/>
                <w:bCs w:val="1"/>
                <w:u w:val="single" w:color="auto"/>
                <w:color w:val="0000FF"/>
              </w:rPr>
            </w:pPr>
            <w:hyperlink w:anchor="page47">
              <w:r>
                <w:rPr>
                  <w:rFonts w:ascii="Arial" w:cs="Arial" w:eastAsia="Arial" w:hAnsi="Arial"/>
                  <w:sz w:val="16"/>
                  <w:szCs w:val="16"/>
                  <w:b w:val="1"/>
                  <w:bCs w:val="1"/>
                  <w:u w:val="single" w:color="auto"/>
                  <w:color w:val="0000FF"/>
                </w:rPr>
                <w:t>OTHER INFORMATION</w:t>
              </w:r>
            </w:hyperlink>
          </w:p>
        </w:tc>
        <w:tc>
          <w:tcPr>
            <w:tcW w:w="1960" w:type="dxa"/>
            <w:vAlign w:val="bottom"/>
          </w:tcPr>
          <w:p>
            <w:pPr>
              <w:spacing w:after="0"/>
              <w:rPr>
                <w:sz w:val="24"/>
                <w:szCs w:val="24"/>
                <w:color w:val="auto"/>
              </w:rPr>
            </w:pPr>
          </w:p>
        </w:tc>
      </w:tr>
      <w:tr>
        <w:trPr>
          <w:trHeight w:val="216"/>
        </w:trPr>
        <w:tc>
          <w:tcPr>
            <w:tcW w:w="680" w:type="dxa"/>
            <w:vAlign w:val="bottom"/>
          </w:tcPr>
          <w:p>
            <w:pPr>
              <w:spacing w:after="0"/>
              <w:rPr>
                <w:rFonts w:ascii="Arial" w:cs="Arial" w:eastAsia="Arial" w:hAnsi="Arial"/>
                <w:sz w:val="16"/>
                <w:szCs w:val="16"/>
                <w:color w:val="0000FF"/>
              </w:rPr>
            </w:pPr>
            <w:hyperlink w:anchor="page47">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7900" w:type="dxa"/>
            <w:vAlign w:val="bottom"/>
          </w:tcPr>
          <w:p>
            <w:pPr>
              <w:ind w:left="32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Legal Proceedings</w:t>
              </w:r>
            </w:hyperlink>
          </w:p>
        </w:tc>
        <w:tc>
          <w:tcPr>
            <w:tcW w:w="1960" w:type="dxa"/>
            <w:vAlign w:val="bottom"/>
          </w:tcPr>
          <w:p>
            <w:pPr>
              <w:jc w:val="center"/>
              <w:ind w:left="1718"/>
              <w:spacing w:after="0"/>
              <w:rPr>
                <w:rFonts w:ascii="Arial" w:cs="Arial" w:eastAsia="Arial" w:hAnsi="Arial"/>
                <w:sz w:val="16"/>
                <w:szCs w:val="16"/>
                <w:u w:val="single" w:color="auto"/>
                <w:color w:val="0000FF"/>
                <w:w w:val="89"/>
              </w:rPr>
            </w:pPr>
            <w:hyperlink w:anchor="page47">
              <w:r>
                <w:rPr>
                  <w:rFonts w:ascii="Arial" w:cs="Arial" w:eastAsia="Arial" w:hAnsi="Arial"/>
                  <w:sz w:val="16"/>
                  <w:szCs w:val="16"/>
                  <w:u w:val="single" w:color="auto"/>
                  <w:color w:val="0000FF"/>
                  <w:w w:val="89"/>
                </w:rPr>
                <w:t>46</w:t>
              </w:r>
            </w:hyperlink>
          </w:p>
        </w:tc>
      </w:tr>
      <w:tr>
        <w:trPr>
          <w:trHeight w:val="216"/>
        </w:trPr>
        <w:tc>
          <w:tcPr>
            <w:tcW w:w="680" w:type="dxa"/>
            <w:vAlign w:val="bottom"/>
          </w:tcPr>
          <w:p>
            <w:pPr>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Item 1A.</w:t>
              </w:r>
            </w:hyperlink>
          </w:p>
        </w:tc>
        <w:tc>
          <w:tcPr>
            <w:tcW w:w="7900" w:type="dxa"/>
            <w:vAlign w:val="bottom"/>
          </w:tcPr>
          <w:p>
            <w:pPr>
              <w:ind w:left="32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Risk Factors</w:t>
              </w:r>
            </w:hyperlink>
          </w:p>
        </w:tc>
        <w:tc>
          <w:tcPr>
            <w:tcW w:w="1960" w:type="dxa"/>
            <w:vAlign w:val="bottom"/>
          </w:tcPr>
          <w:p>
            <w:pPr>
              <w:jc w:val="center"/>
              <w:ind w:left="1718"/>
              <w:spacing w:after="0"/>
              <w:rPr>
                <w:rFonts w:ascii="Arial" w:cs="Arial" w:eastAsia="Arial" w:hAnsi="Arial"/>
                <w:sz w:val="16"/>
                <w:szCs w:val="16"/>
                <w:u w:val="single" w:color="auto"/>
                <w:color w:val="0000FF"/>
                <w:w w:val="89"/>
              </w:rPr>
            </w:pPr>
            <w:hyperlink w:anchor="page47">
              <w:r>
                <w:rPr>
                  <w:rFonts w:ascii="Arial" w:cs="Arial" w:eastAsia="Arial" w:hAnsi="Arial"/>
                  <w:sz w:val="16"/>
                  <w:szCs w:val="16"/>
                  <w:u w:val="single" w:color="auto"/>
                  <w:color w:val="0000FF"/>
                  <w:w w:val="89"/>
                </w:rPr>
                <w:t>46</w:t>
              </w:r>
            </w:hyperlink>
          </w:p>
        </w:tc>
      </w:tr>
      <w:tr>
        <w:trPr>
          <w:trHeight w:val="216"/>
        </w:trPr>
        <w:tc>
          <w:tcPr>
            <w:tcW w:w="680" w:type="dxa"/>
            <w:vAlign w:val="bottom"/>
          </w:tcPr>
          <w:p>
            <w:pPr>
              <w:spacing w:after="0"/>
              <w:rPr>
                <w:rFonts w:ascii="Arial" w:cs="Arial" w:eastAsia="Arial" w:hAnsi="Arial"/>
                <w:sz w:val="16"/>
                <w:szCs w:val="16"/>
                <w:color w:val="0000FF"/>
              </w:rPr>
            </w:pPr>
            <w:hyperlink w:anchor="page49">
              <w:r>
                <w:rPr>
                  <w:rFonts w:ascii="Arial" w:cs="Arial" w:eastAsia="Arial" w:hAnsi="Arial"/>
                  <w:sz w:val="16"/>
                  <w:szCs w:val="16"/>
                  <w:u w:val="single" w:color="auto"/>
                  <w:color w:val="0000FF"/>
                </w:rPr>
                <w:t>Item 2</w:t>
              </w:r>
              <w:r>
                <w:rPr>
                  <w:rFonts w:ascii="Arial" w:cs="Arial" w:eastAsia="Arial" w:hAnsi="Arial"/>
                  <w:sz w:val="16"/>
                  <w:szCs w:val="16"/>
                  <w:color w:val="0000FF"/>
                </w:rPr>
                <w:t>.</w:t>
              </w:r>
            </w:hyperlink>
          </w:p>
        </w:tc>
        <w:tc>
          <w:tcPr>
            <w:tcW w:w="7900" w:type="dxa"/>
            <w:vAlign w:val="bottom"/>
          </w:tcPr>
          <w:p>
            <w:pPr>
              <w:ind w:left="32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Properties</w:t>
              </w:r>
            </w:hyperlink>
          </w:p>
        </w:tc>
        <w:tc>
          <w:tcPr>
            <w:tcW w:w="1960" w:type="dxa"/>
            <w:vAlign w:val="bottom"/>
          </w:tcPr>
          <w:p>
            <w:pPr>
              <w:jc w:val="center"/>
              <w:ind w:left="1718"/>
              <w:spacing w:after="0"/>
              <w:rPr>
                <w:rFonts w:ascii="Arial" w:cs="Arial" w:eastAsia="Arial" w:hAnsi="Arial"/>
                <w:sz w:val="16"/>
                <w:szCs w:val="16"/>
                <w:u w:val="single" w:color="auto"/>
                <w:color w:val="0000FF"/>
                <w:w w:val="89"/>
              </w:rPr>
            </w:pPr>
            <w:hyperlink w:anchor="page49">
              <w:r>
                <w:rPr>
                  <w:rFonts w:ascii="Arial" w:cs="Arial" w:eastAsia="Arial" w:hAnsi="Arial"/>
                  <w:sz w:val="16"/>
                  <w:szCs w:val="16"/>
                  <w:u w:val="single" w:color="auto"/>
                  <w:color w:val="0000FF"/>
                  <w:w w:val="89"/>
                </w:rPr>
                <w:t>48</w:t>
              </w:r>
            </w:hyperlink>
          </w:p>
        </w:tc>
      </w:tr>
      <w:tr>
        <w:trPr>
          <w:trHeight w:val="216"/>
        </w:trPr>
        <w:tc>
          <w:tcPr>
            <w:tcW w:w="680" w:type="dxa"/>
            <w:vAlign w:val="bottom"/>
          </w:tcPr>
          <w:p>
            <w:pPr>
              <w:spacing w:after="0"/>
              <w:rPr>
                <w:rFonts w:ascii="Arial" w:cs="Arial" w:eastAsia="Arial" w:hAnsi="Arial"/>
                <w:sz w:val="16"/>
                <w:szCs w:val="16"/>
                <w:color w:val="0000FF"/>
              </w:rPr>
            </w:pPr>
            <w:hyperlink w:anchor="page49">
              <w:r>
                <w:rPr>
                  <w:rFonts w:ascii="Arial" w:cs="Arial" w:eastAsia="Arial" w:hAnsi="Arial"/>
                  <w:sz w:val="16"/>
                  <w:szCs w:val="16"/>
                  <w:u w:val="single" w:color="auto"/>
                  <w:color w:val="0000FF"/>
                </w:rPr>
                <w:t>Item 3</w:t>
              </w:r>
              <w:r>
                <w:rPr>
                  <w:rFonts w:ascii="Arial" w:cs="Arial" w:eastAsia="Arial" w:hAnsi="Arial"/>
                  <w:sz w:val="16"/>
                  <w:szCs w:val="16"/>
                  <w:color w:val="0000FF"/>
                </w:rPr>
                <w:t>.</w:t>
              </w:r>
            </w:hyperlink>
          </w:p>
        </w:tc>
        <w:tc>
          <w:tcPr>
            <w:tcW w:w="7900" w:type="dxa"/>
            <w:vAlign w:val="bottom"/>
          </w:tcPr>
          <w:p>
            <w:pPr>
              <w:ind w:left="32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Defaults upon Senior Securities</w:t>
              </w:r>
            </w:hyperlink>
          </w:p>
        </w:tc>
        <w:tc>
          <w:tcPr>
            <w:tcW w:w="1960" w:type="dxa"/>
            <w:vAlign w:val="bottom"/>
          </w:tcPr>
          <w:p>
            <w:pPr>
              <w:jc w:val="center"/>
              <w:ind w:left="1718"/>
              <w:spacing w:after="0"/>
              <w:rPr>
                <w:rFonts w:ascii="Arial" w:cs="Arial" w:eastAsia="Arial" w:hAnsi="Arial"/>
                <w:sz w:val="16"/>
                <w:szCs w:val="16"/>
                <w:u w:val="single" w:color="auto"/>
                <w:color w:val="0000FF"/>
                <w:w w:val="89"/>
              </w:rPr>
            </w:pPr>
            <w:hyperlink w:anchor="page49">
              <w:r>
                <w:rPr>
                  <w:rFonts w:ascii="Arial" w:cs="Arial" w:eastAsia="Arial" w:hAnsi="Arial"/>
                  <w:sz w:val="16"/>
                  <w:szCs w:val="16"/>
                  <w:u w:val="single" w:color="auto"/>
                  <w:color w:val="0000FF"/>
                  <w:w w:val="89"/>
                </w:rPr>
                <w:t>48</w:t>
              </w:r>
            </w:hyperlink>
          </w:p>
        </w:tc>
      </w:tr>
      <w:tr>
        <w:trPr>
          <w:trHeight w:val="216"/>
        </w:trPr>
        <w:tc>
          <w:tcPr>
            <w:tcW w:w="680" w:type="dxa"/>
            <w:vAlign w:val="bottom"/>
          </w:tcPr>
          <w:p>
            <w:pPr>
              <w:spacing w:after="0"/>
              <w:rPr>
                <w:rFonts w:ascii="Arial" w:cs="Arial" w:eastAsia="Arial" w:hAnsi="Arial"/>
                <w:sz w:val="16"/>
                <w:szCs w:val="16"/>
                <w:color w:val="0000FF"/>
              </w:rPr>
            </w:pPr>
            <w:hyperlink w:anchor="page49">
              <w:r>
                <w:rPr>
                  <w:rFonts w:ascii="Arial" w:cs="Arial" w:eastAsia="Arial" w:hAnsi="Arial"/>
                  <w:sz w:val="16"/>
                  <w:szCs w:val="16"/>
                  <w:u w:val="single" w:color="auto"/>
                  <w:color w:val="0000FF"/>
                </w:rPr>
                <w:t>Item 4</w:t>
              </w:r>
              <w:r>
                <w:rPr>
                  <w:rFonts w:ascii="Arial" w:cs="Arial" w:eastAsia="Arial" w:hAnsi="Arial"/>
                  <w:sz w:val="16"/>
                  <w:szCs w:val="16"/>
                  <w:color w:val="0000FF"/>
                </w:rPr>
                <w:t>.</w:t>
              </w:r>
            </w:hyperlink>
          </w:p>
        </w:tc>
        <w:tc>
          <w:tcPr>
            <w:tcW w:w="7900" w:type="dxa"/>
            <w:vAlign w:val="bottom"/>
          </w:tcPr>
          <w:p>
            <w:pPr>
              <w:ind w:left="32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Mine Safety Disclosures</w:t>
              </w:r>
            </w:hyperlink>
          </w:p>
        </w:tc>
        <w:tc>
          <w:tcPr>
            <w:tcW w:w="1960" w:type="dxa"/>
            <w:vAlign w:val="bottom"/>
          </w:tcPr>
          <w:p>
            <w:pPr>
              <w:jc w:val="center"/>
              <w:ind w:left="1718"/>
              <w:spacing w:after="0"/>
              <w:rPr>
                <w:rFonts w:ascii="Arial" w:cs="Arial" w:eastAsia="Arial" w:hAnsi="Arial"/>
                <w:sz w:val="16"/>
                <w:szCs w:val="16"/>
                <w:u w:val="single" w:color="auto"/>
                <w:color w:val="0000FF"/>
                <w:w w:val="89"/>
              </w:rPr>
            </w:pPr>
            <w:hyperlink w:anchor="page49">
              <w:r>
                <w:rPr>
                  <w:rFonts w:ascii="Arial" w:cs="Arial" w:eastAsia="Arial" w:hAnsi="Arial"/>
                  <w:sz w:val="16"/>
                  <w:szCs w:val="16"/>
                  <w:u w:val="single" w:color="auto"/>
                  <w:color w:val="0000FF"/>
                  <w:w w:val="89"/>
                </w:rPr>
                <w:t>48</w:t>
              </w:r>
            </w:hyperlink>
          </w:p>
        </w:tc>
      </w:tr>
      <w:tr>
        <w:trPr>
          <w:trHeight w:val="216"/>
        </w:trPr>
        <w:tc>
          <w:tcPr>
            <w:tcW w:w="680" w:type="dxa"/>
            <w:vAlign w:val="bottom"/>
          </w:tcPr>
          <w:p>
            <w:pPr>
              <w:spacing w:after="0"/>
              <w:rPr>
                <w:rFonts w:ascii="Arial" w:cs="Arial" w:eastAsia="Arial" w:hAnsi="Arial"/>
                <w:sz w:val="16"/>
                <w:szCs w:val="16"/>
                <w:color w:val="0000FF"/>
              </w:rPr>
            </w:pPr>
            <w:hyperlink w:anchor="page49">
              <w:r>
                <w:rPr>
                  <w:rFonts w:ascii="Arial" w:cs="Arial" w:eastAsia="Arial" w:hAnsi="Arial"/>
                  <w:sz w:val="16"/>
                  <w:szCs w:val="16"/>
                  <w:u w:val="single" w:color="auto"/>
                  <w:color w:val="0000FF"/>
                </w:rPr>
                <w:t>Item 5</w:t>
              </w:r>
              <w:r>
                <w:rPr>
                  <w:rFonts w:ascii="Arial" w:cs="Arial" w:eastAsia="Arial" w:hAnsi="Arial"/>
                  <w:sz w:val="16"/>
                  <w:szCs w:val="16"/>
                  <w:color w:val="0000FF"/>
                </w:rPr>
                <w:t>.</w:t>
              </w:r>
            </w:hyperlink>
          </w:p>
        </w:tc>
        <w:tc>
          <w:tcPr>
            <w:tcW w:w="7900" w:type="dxa"/>
            <w:vAlign w:val="bottom"/>
          </w:tcPr>
          <w:p>
            <w:pPr>
              <w:ind w:left="32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Other Information</w:t>
              </w:r>
            </w:hyperlink>
          </w:p>
        </w:tc>
        <w:tc>
          <w:tcPr>
            <w:tcW w:w="1960" w:type="dxa"/>
            <w:vAlign w:val="bottom"/>
          </w:tcPr>
          <w:p>
            <w:pPr>
              <w:jc w:val="center"/>
              <w:ind w:left="1718"/>
              <w:spacing w:after="0"/>
              <w:rPr>
                <w:rFonts w:ascii="Arial" w:cs="Arial" w:eastAsia="Arial" w:hAnsi="Arial"/>
                <w:sz w:val="16"/>
                <w:szCs w:val="16"/>
                <w:u w:val="single" w:color="auto"/>
                <w:color w:val="0000FF"/>
                <w:w w:val="89"/>
              </w:rPr>
            </w:pPr>
            <w:hyperlink w:anchor="page49">
              <w:r>
                <w:rPr>
                  <w:rFonts w:ascii="Arial" w:cs="Arial" w:eastAsia="Arial" w:hAnsi="Arial"/>
                  <w:sz w:val="16"/>
                  <w:szCs w:val="16"/>
                  <w:u w:val="single" w:color="auto"/>
                  <w:color w:val="0000FF"/>
                  <w:w w:val="89"/>
                </w:rPr>
                <w:t>49</w:t>
              </w:r>
            </w:hyperlink>
          </w:p>
        </w:tc>
      </w:tr>
      <w:tr>
        <w:trPr>
          <w:trHeight w:val="216"/>
        </w:trPr>
        <w:tc>
          <w:tcPr>
            <w:tcW w:w="680" w:type="dxa"/>
            <w:vAlign w:val="bottom"/>
          </w:tcPr>
          <w:p>
            <w:pPr>
              <w:spacing w:after="0"/>
              <w:rPr>
                <w:rFonts w:ascii="Arial" w:cs="Arial" w:eastAsia="Arial" w:hAnsi="Arial"/>
                <w:sz w:val="16"/>
                <w:szCs w:val="16"/>
                <w:color w:val="0000FF"/>
              </w:rPr>
            </w:pPr>
            <w:hyperlink w:anchor="page50">
              <w:r>
                <w:rPr>
                  <w:rFonts w:ascii="Arial" w:cs="Arial" w:eastAsia="Arial" w:hAnsi="Arial"/>
                  <w:sz w:val="16"/>
                  <w:szCs w:val="16"/>
                  <w:u w:val="single" w:color="auto"/>
                  <w:color w:val="0000FF"/>
                </w:rPr>
                <w:t>Item 6</w:t>
              </w:r>
              <w:r>
                <w:rPr>
                  <w:rFonts w:ascii="Arial" w:cs="Arial" w:eastAsia="Arial" w:hAnsi="Arial"/>
                  <w:sz w:val="16"/>
                  <w:szCs w:val="16"/>
                  <w:color w:val="0000FF"/>
                </w:rPr>
                <w:t>.</w:t>
              </w:r>
            </w:hyperlink>
          </w:p>
        </w:tc>
        <w:tc>
          <w:tcPr>
            <w:tcW w:w="7900" w:type="dxa"/>
            <w:vAlign w:val="bottom"/>
          </w:tcPr>
          <w:p>
            <w:pPr>
              <w:ind w:left="320"/>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Exhibits</w:t>
              </w:r>
            </w:hyperlink>
          </w:p>
        </w:tc>
        <w:tc>
          <w:tcPr>
            <w:tcW w:w="1960" w:type="dxa"/>
            <w:vAlign w:val="bottom"/>
          </w:tcPr>
          <w:p>
            <w:pPr>
              <w:jc w:val="center"/>
              <w:ind w:left="1718"/>
              <w:spacing w:after="0"/>
              <w:rPr>
                <w:rFonts w:ascii="Arial" w:cs="Arial" w:eastAsia="Arial" w:hAnsi="Arial"/>
                <w:sz w:val="16"/>
                <w:szCs w:val="16"/>
                <w:u w:val="single" w:color="auto"/>
                <w:color w:val="0000FF"/>
                <w:w w:val="89"/>
              </w:rPr>
            </w:pPr>
            <w:hyperlink w:anchor="page50">
              <w:r>
                <w:rPr>
                  <w:rFonts w:ascii="Arial" w:cs="Arial" w:eastAsia="Arial" w:hAnsi="Arial"/>
                  <w:sz w:val="16"/>
                  <w:szCs w:val="16"/>
                  <w:u w:val="single" w:color="auto"/>
                  <w:color w:val="0000FF"/>
                  <w:w w:val="89"/>
                </w:rPr>
                <w:t>50</w:t>
              </w:r>
            </w:hyperlink>
          </w:p>
        </w:tc>
      </w:tr>
      <w:tr>
        <w:trPr>
          <w:trHeight w:val="438"/>
        </w:trPr>
        <w:tc>
          <w:tcPr>
            <w:tcW w:w="68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6"/>
              </w:rPr>
              <w:t>Signatures</w:t>
            </w:r>
          </w:p>
        </w:tc>
        <w:tc>
          <w:tcPr>
            <w:tcW w:w="7900" w:type="dxa"/>
            <w:vAlign w:val="bottom"/>
          </w:tcPr>
          <w:p>
            <w:pPr>
              <w:spacing w:after="0"/>
              <w:rPr>
                <w:sz w:val="24"/>
                <w:szCs w:val="24"/>
                <w:color w:val="auto"/>
              </w:rPr>
            </w:pPr>
          </w:p>
        </w:tc>
        <w:tc>
          <w:tcPr>
            <w:tcW w:w="1960" w:type="dxa"/>
            <w:vAlign w:val="bottom"/>
          </w:tcPr>
          <w:p>
            <w:pPr>
              <w:jc w:val="center"/>
              <w:ind w:left="1718"/>
              <w:spacing w:after="0"/>
              <w:rPr>
                <w:rFonts w:ascii="Arial" w:cs="Arial" w:eastAsia="Arial" w:hAnsi="Arial"/>
                <w:sz w:val="16"/>
                <w:szCs w:val="16"/>
                <w:u w:val="single" w:color="auto"/>
                <w:color w:val="0000FF"/>
                <w:w w:val="89"/>
              </w:rPr>
            </w:pPr>
            <w:hyperlink w:anchor="page52">
              <w:r>
                <w:rPr>
                  <w:rFonts w:ascii="Arial" w:cs="Arial" w:eastAsia="Arial" w:hAnsi="Arial"/>
                  <w:sz w:val="16"/>
                  <w:szCs w:val="16"/>
                  <w:u w:val="single" w:color="auto"/>
                  <w:color w:val="0000FF"/>
                  <w:w w:val="89"/>
                </w:rPr>
                <w:t>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40" w:top="891" w:right="10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87"/>
        </w:trPr>
        <w:tc>
          <w:tcPr>
            <w:tcW w:w="79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Agency securities, at fair value (including pledged securities of $55,711 and $92,608, respectively)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66,556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98,516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Credit risk transfer securities, at fair value (including pledged securities of $413 and $309, respectively)</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Non-Agency securities, at fair value (including pledged securities of $455 and $0, respectively)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U.S. Treasury securities, at fair value (including pledged securities of $0 and $97, respectively)</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Receivable for investment securities sold (including pledged securities of $10 and $0, respectively)</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 under reverse repurchase agreements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10,181</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3"/>
        </w:trPr>
        <w:tc>
          <w:tcPr>
            <w:tcW w:w="790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79,968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113,082</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Repurchase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54,566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89,182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of consolidated variable interest entities, at fair value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Payable for investment securities purchased</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Dividends payable</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9,543</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Accounts payable and other liabilities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102,041</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 aggregate liquidation preference of $1,538 and $963, respectively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166"/>
        </w:trPr>
        <w:tc>
          <w:tcPr>
            <w:tcW w:w="7900" w:type="dxa"/>
            <w:vAlign w:val="bottom"/>
          </w:tcPr>
          <w:p>
            <w:pPr>
              <w:ind w:left="220"/>
              <w:spacing w:after="0" w:line="166" w:lineRule="exact"/>
              <w:rPr>
                <w:sz w:val="20"/>
                <w:szCs w:val="20"/>
                <w:color w:val="auto"/>
              </w:rPr>
            </w:pPr>
            <w:r>
              <w:rPr>
                <w:rFonts w:ascii="Arial" w:cs="Arial" w:eastAsia="Arial" w:hAnsi="Arial"/>
                <w:sz w:val="16"/>
                <w:szCs w:val="16"/>
                <w:color w:val="auto"/>
                <w:w w:val="92"/>
              </w:rPr>
              <w:t>Common stock - $0.01 par value; 1,500 and 900 shares authorized, respectively; 545.2 and 540.9 shares issued and</w:t>
            </w:r>
          </w:p>
        </w:tc>
        <w:tc>
          <w:tcPr>
            <w:tcW w:w="1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7900" w:type="dxa"/>
            <w:vAlign w:val="bottom"/>
          </w:tcPr>
          <w:p>
            <w:pPr>
              <w:ind w:left="220"/>
              <w:spacing w:after="0"/>
              <w:rPr>
                <w:sz w:val="20"/>
                <w:szCs w:val="20"/>
                <w:color w:val="auto"/>
              </w:rPr>
            </w:pPr>
            <w:r>
              <w:rPr>
                <w:rFonts w:ascii="Arial" w:cs="Arial" w:eastAsia="Arial" w:hAnsi="Arial"/>
                <w:sz w:val="16"/>
                <w:szCs w:val="16"/>
                <w:color w:val="auto"/>
              </w:rPr>
              <w:t>outstanding, respectively</w:t>
            </w: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13,893</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Retained deficit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(3,886)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11,041</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113,082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6"/>
                <w:szCs w:val="16"/>
                <w:color w:val="auto"/>
              </w:rPr>
            </w:pPr>
          </w:p>
        </w:tc>
        <w:tc>
          <w:tcPr>
            <w:tcW w:w="1760" w:type="dxa"/>
            <w:vAlign w:val="bottom"/>
            <w:gridSpan w:val="4"/>
          </w:tcPr>
          <w:p>
            <w:pPr>
              <w:jc w:val="right"/>
              <w:ind w:right="190"/>
              <w:spacing w:after="0"/>
              <w:rPr>
                <w:sz w:val="20"/>
                <w:szCs w:val="20"/>
                <w:color w:val="auto"/>
              </w:rPr>
            </w:pPr>
            <w:r>
              <w:rPr>
                <w:rFonts w:ascii="Arial" w:cs="Arial" w:eastAsia="Arial" w:hAnsi="Arial"/>
                <w:sz w:val="16"/>
                <w:szCs w:val="16"/>
                <w:b w:val="1"/>
                <w:bCs w:val="1"/>
                <w:color w:val="auto"/>
                <w:w w:val="97"/>
              </w:rPr>
              <w:t>Nine Months Ended</w:t>
            </w:r>
          </w:p>
        </w:tc>
        <w:tc>
          <w:tcPr>
            <w:tcW w:w="0" w:type="dxa"/>
            <w:vAlign w:val="bottom"/>
          </w:tcPr>
          <w:p>
            <w:pPr>
              <w:spacing w:after="0"/>
              <w:rPr>
                <w:sz w:val="1"/>
                <w:szCs w:val="1"/>
                <w:color w:val="auto"/>
              </w:rPr>
            </w:pPr>
          </w:p>
        </w:tc>
      </w:tr>
      <w:tr>
        <w:trPr>
          <w:trHeight w:val="213"/>
        </w:trPr>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76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interest income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340"/>
              <w:spacing w:after="0"/>
              <w:rPr>
                <w:sz w:val="20"/>
                <w:szCs w:val="20"/>
                <w:color w:val="auto"/>
              </w:rPr>
            </w:pPr>
            <w:r>
              <w:rPr>
                <w:rFonts w:ascii="Arial" w:cs="Arial" w:eastAsia="Arial" w:hAnsi="Arial"/>
                <w:sz w:val="18"/>
                <w:szCs w:val="18"/>
                <w:color w:val="auto"/>
              </w:rPr>
              <w:t>Gain on sale of investment securities, net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Unrealized gain (loss) on investment securities measured at fair value through net income, net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Gain (loss) on derivative instruments and other securities,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other gain (loss), net: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on preferred stock</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Unrealized gain on investment securities measured at fair value through other comprehensive</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net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preferred stock</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Net income (loss) per common share - basic</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common share -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Dividends declared per common share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Preferred</w:t>
            </w:r>
          </w:p>
        </w:tc>
        <w:tc>
          <w:tcPr>
            <w:tcW w:w="18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8"/>
                <w:szCs w:val="8"/>
                <w:color w:val="auto"/>
              </w:rPr>
            </w:pPr>
          </w:p>
        </w:tc>
        <w:tc>
          <w:tcPr>
            <w:tcW w:w="88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8"/>
                <w:szCs w:val="8"/>
                <w:color w:val="auto"/>
              </w:rPr>
            </w:pPr>
          </w:p>
        </w:tc>
        <w:tc>
          <w:tcPr>
            <w:tcW w:w="12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10,346</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tcPr>
          <w:p>
            <w:pPr>
              <w:ind w:left="34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tcPr>
          <w:p>
            <w:pPr>
              <w:ind w:left="34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9,906</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tcPr>
          <w:p>
            <w:pPr>
              <w:ind w:left="34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Issuance of common stock, net of offering cost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Issuance of preferred stock, net of offering cost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11,041</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tcPr>
          <w:p>
            <w:pPr>
              <w:ind w:left="34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Issuance of preferred stock, net of offering cost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557</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net of offering cost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6"/>
        </w:trPr>
        <w:tc>
          <w:tcPr>
            <w:tcW w:w="4000" w:type="dxa"/>
            <w:vAlign w:val="bottom"/>
          </w:tcPr>
          <w:p>
            <w:pPr>
              <w:ind w:left="22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7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r>
      <w:tr>
        <w:trPr>
          <w:trHeight w:val="197"/>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(1,041)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480" w:type="dxa"/>
            <w:vAlign w:val="bottom"/>
          </w:tcPr>
          <w:p>
            <w:pPr>
              <w:ind w:left="32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7480" w:type="dxa"/>
            <w:vAlign w:val="bottom"/>
          </w:tcPr>
          <w:p>
            <w:pPr>
              <w:ind w:left="320"/>
              <w:spacing w:after="0"/>
              <w:rPr>
                <w:sz w:val="20"/>
                <w:szCs w:val="20"/>
                <w:color w:val="auto"/>
              </w:rPr>
            </w:pPr>
            <w:r>
              <w:rPr>
                <w:rFonts w:ascii="Arial" w:cs="Arial" w:eastAsia="Arial" w:hAnsi="Arial"/>
                <w:sz w:val="16"/>
                <w:szCs w:val="16"/>
                <w:color w:val="auto"/>
              </w:rPr>
              <w:t>Gain on sale of investment securities, net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gain on investment securities measured at fair value through net income, net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w:t>
            </w:r>
          </w:p>
        </w:tc>
      </w:tr>
      <w:tr>
        <w:trPr>
          <w:trHeight w:val="213"/>
        </w:trPr>
        <w:tc>
          <w:tcPr>
            <w:tcW w:w="7480" w:type="dxa"/>
            <w:vAlign w:val="bottom"/>
          </w:tcPr>
          <w:p>
            <w:pPr>
              <w:ind w:left="320"/>
              <w:spacing w:after="0"/>
              <w:rPr>
                <w:sz w:val="20"/>
                <w:szCs w:val="20"/>
                <w:color w:val="auto"/>
              </w:rPr>
            </w:pPr>
            <w:r>
              <w:rPr>
                <w:rFonts w:ascii="Arial" w:cs="Arial" w:eastAsia="Arial" w:hAnsi="Arial"/>
                <w:sz w:val="16"/>
                <w:szCs w:val="16"/>
                <w:color w:val="auto"/>
              </w:rPr>
              <w:t>Loss on derivative instruments and other securities, net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2,986</w:t>
            </w: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(Increase) decrease in other assets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74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Decrease in accounts payable and other accrued liabilities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Purchases of Agency mortgage-backed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(37,199)</w:t>
            </w:r>
          </w:p>
        </w:tc>
      </w:tr>
      <w:tr>
        <w:trPr>
          <w:trHeight w:val="213"/>
        </w:trPr>
        <w:tc>
          <w:tcPr>
            <w:tcW w:w="7480" w:type="dxa"/>
            <w:vAlign w:val="bottom"/>
          </w:tcPr>
          <w:p>
            <w:pPr>
              <w:ind w:left="320"/>
              <w:spacing w:after="0"/>
              <w:rPr>
                <w:sz w:val="20"/>
                <w:szCs w:val="20"/>
                <w:color w:val="auto"/>
              </w:rPr>
            </w:pPr>
            <w:r>
              <w:rPr>
                <w:rFonts w:ascii="Arial" w:cs="Arial" w:eastAsia="Arial" w:hAnsi="Arial"/>
                <w:sz w:val="16"/>
                <w:szCs w:val="16"/>
                <w:color w:val="auto"/>
              </w:rPr>
              <w:t>Purchases of credit risk transfer and non-Agency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(1,233)</w:t>
            </w: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 of Agency mortgage-backed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17,620</w:t>
            </w:r>
          </w:p>
        </w:tc>
      </w:tr>
      <w:tr>
        <w:trPr>
          <w:trHeight w:val="213"/>
        </w:trPr>
        <w:tc>
          <w:tcPr>
            <w:tcW w:w="7480" w:type="dxa"/>
            <w:vAlign w:val="bottom"/>
          </w:tcPr>
          <w:p>
            <w:pPr>
              <w:ind w:left="32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1,130</w:t>
            </w: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Principal collections on Agency mortgage-backed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8,508</w:t>
            </w:r>
          </w:p>
        </w:tc>
      </w:tr>
      <w:tr>
        <w:trPr>
          <w:trHeight w:val="213"/>
        </w:trPr>
        <w:tc>
          <w:tcPr>
            <w:tcW w:w="7480" w:type="dxa"/>
            <w:vAlign w:val="bottom"/>
          </w:tcPr>
          <w:p>
            <w:pPr>
              <w:ind w:left="32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on U.S. Treasury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(26,169)</w:t>
            </w:r>
          </w:p>
        </w:tc>
      </w:tr>
      <w:tr>
        <w:trPr>
          <w:trHeight w:val="213"/>
        </w:trPr>
        <w:tc>
          <w:tcPr>
            <w:tcW w:w="7480" w:type="dxa"/>
            <w:vAlign w:val="bottom"/>
          </w:tcPr>
          <w:p>
            <w:pPr>
              <w:ind w:left="320"/>
              <w:spacing w:after="0"/>
              <w:rPr>
                <w:sz w:val="20"/>
                <w:szCs w:val="20"/>
                <w:color w:val="auto"/>
              </w:rPr>
            </w:pPr>
            <w:r>
              <w:rPr>
                <w:rFonts w:ascii="Arial" w:cs="Arial" w:eastAsia="Arial" w:hAnsi="Arial"/>
                <w:sz w:val="16"/>
                <w:szCs w:val="16"/>
                <w:color w:val="auto"/>
              </w:rPr>
              <w:t>Proceeds from U.S. Treasury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8,313</w:t>
            </w: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proceeds from reverse repurchase agreements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16,014</w:t>
            </w:r>
          </w:p>
        </w:tc>
      </w:tr>
      <w:tr>
        <w:trPr>
          <w:trHeight w:val="213"/>
        </w:trPr>
        <w:tc>
          <w:tcPr>
            <w:tcW w:w="74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Net payments on derivative instruments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(14,991)</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repurchase arrangements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2,651,280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3,251,916</w:t>
            </w:r>
          </w:p>
        </w:tc>
      </w:tr>
      <w:tr>
        <w:trPr>
          <w:trHeight w:val="213"/>
        </w:trPr>
        <w:tc>
          <w:tcPr>
            <w:tcW w:w="7480" w:type="dxa"/>
            <w:vAlign w:val="bottom"/>
          </w:tcPr>
          <w:p>
            <w:pPr>
              <w:ind w:left="320"/>
              <w:spacing w:after="0"/>
              <w:rPr>
                <w:sz w:val="20"/>
                <w:szCs w:val="20"/>
                <w:color w:val="auto"/>
              </w:rPr>
            </w:pPr>
            <w:r>
              <w:rPr>
                <w:rFonts w:ascii="Arial" w:cs="Arial" w:eastAsia="Arial" w:hAnsi="Arial"/>
                <w:sz w:val="16"/>
                <w:szCs w:val="16"/>
                <w:color w:val="auto"/>
              </w:rPr>
              <w:t>Payments on repurchase agreements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(2,685,896)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(3,237,021)</w:t>
            </w: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on debt of consolidated variable interest entities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7480" w:type="dxa"/>
            <w:vAlign w:val="bottom"/>
          </w:tcPr>
          <w:p>
            <w:pPr>
              <w:ind w:left="320"/>
              <w:spacing w:after="0"/>
              <w:rPr>
                <w:sz w:val="20"/>
                <w:szCs w:val="20"/>
                <w:color w:val="auto"/>
              </w:rPr>
            </w:pPr>
            <w:r>
              <w:rPr>
                <w:rFonts w:ascii="Arial" w:cs="Arial" w:eastAsia="Arial" w:hAnsi="Arial"/>
                <w:sz w:val="16"/>
                <w:szCs w:val="16"/>
                <w:color w:val="auto"/>
              </w:rPr>
              <w:t>Net proceeds from preferred stock issuances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proceeds from common stock issuances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13"/>
        </w:trPr>
        <w:tc>
          <w:tcPr>
            <w:tcW w:w="7480" w:type="dxa"/>
            <w:vAlign w:val="bottom"/>
          </w:tcPr>
          <w:p>
            <w:pPr>
              <w:ind w:left="320"/>
              <w:spacing w:after="0"/>
              <w:rPr>
                <w:sz w:val="20"/>
                <w:szCs w:val="20"/>
                <w:color w:val="auto"/>
              </w:rPr>
            </w:pPr>
            <w:r>
              <w:rPr>
                <w:rFonts w:ascii="Arial" w:cs="Arial" w:eastAsia="Arial" w:hAnsi="Arial"/>
                <w:sz w:val="16"/>
                <w:szCs w:val="16"/>
                <w:color w:val="auto"/>
              </w:rPr>
              <w:t>Payments for common stock repurchases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9"/>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dividends paid</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0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(34,703)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14,304</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w:t>
            </w:r>
          </w:p>
        </w:tc>
      </w:tr>
      <w:tr>
        <w:trPr>
          <w:trHeight w:val="23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60" w:top="891" w:right="9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4"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unaudited interim consolidated financial statements include the accounts of all our wholly-owned subsidiaries and variable interest entities for which we are the primary beneficiary. Significant intercompany accounts and transactions have been eliminated.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internally managed, and 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3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in other investments in, or related to, the housing, mortgage or real estate markets. We fund our investments primarily through borrowings structured as repurchase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of loans exceed certain thresholds. By reducing the amount that they are obligated to repay to holders of CRT securities, the GSEs and/or other third parties offset credit losses on the related loans.</w:t>
      </w:r>
    </w:p>
    <w:p>
      <w:pPr>
        <w:spacing w:after="0" w:line="11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9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 xml:space="preserve">All of our securities are reported at fair value on our consolidated balance sheet. Accounting Standards Codification ("ASC") Topic 320,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requires that at the time of purchase, we designate a security as held-to-maturity, available-for-sale or trading, depending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ability and intent to hold such security to maturity. Alternatively, we may elect the fair value option of accounting for securities pursuant to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18"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such as during periods of elevated market uncertainty or unique market conditions,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1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we account for repurchase transactions as collateralized financing transactions, which are carried at their contractual amounts (cost), plus accrued interest. Our repurchase agreements typically have maturities of less than one year but may extend up to five years or more.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Overnight Index Swap Rate ("OIS") or three-month London Interbank Offered Rate ("LIBOR"). Our interest rate swaps typically have terms from one to 10 years but may extend up to 20 years or more. Our interest rate swaps are centrally cleared through a registered commodities exchange. The clearing exchange requires that we post an "initial margin" amount determined by the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our consolidated balance sheets.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 xml:space="preserve">In June 2016 the Financial Account Standards Board ("FASB") issued </w:t>
      </w:r>
      <w:r>
        <w:rPr>
          <w:rFonts w:ascii="Arial" w:cs="Arial" w:eastAsia="Arial" w:hAnsi="Arial"/>
          <w:sz w:val="17"/>
          <w:szCs w:val="17"/>
          <w:i w:val="1"/>
          <w:iCs w:val="1"/>
          <w:color w:val="auto"/>
        </w:rPr>
        <w:t>Accounting Standards Update 2016-13, 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w:t>
      </w:r>
      <w:r>
        <w:rPr>
          <w:rFonts w:ascii="Arial" w:cs="Arial" w:eastAsia="Arial" w:hAnsi="Arial"/>
          <w:sz w:val="17"/>
          <w:szCs w:val="17"/>
          <w:color w:val="auto"/>
        </w:rPr>
        <w:t>which replaces the incurred loss impairment methodology in prior GAAP with a methodology that better reflects expected credit losses. For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carried at amortized cost, impairment will be measured as a current estimate of expected lifetime credit losses. For available-for-sale investment securities with changes in fair value recorded in accumulated other comprehensive income, the FASB made targeted improvements eliminating the write-down of available-for-sale securities under the "other-than-temporary" impairment model replacing it with an allowance for credit loss model. We adopted ASU 2016-13 effective January 1, 2020, which had no material effect on our financial results.</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As of September 30, 2020 and December 31, 2019, our investment portfolio consisted of $68.0 billion and $100.4 billion of investment securities, at fair value, respectively, and $29.5 billion and $7.4 billion of net TBA securities, at fair value, respectively. Our net TBA position is reported at its net carrying value of $76 million and $25 million as of September 30, 2020 and December 31, 2019,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2020 and December 31, 2019, our investment securities had a net unamortized premium balance of $2.6 billion and $3.1 billion,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ind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September 30, 2020 and December 31, 2019, excluding TBA securities, (dollars in millions). Details of our TBA securities as of each of the respective dates are included in Note 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196"/>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5"/>
              </w:rPr>
              <w:t>December 31, 2019</w:t>
            </w: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248"/>
              <w:spacing w:after="0" w:line="135" w:lineRule="exact"/>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4"/>
            <w:vMerge w:val="restart"/>
          </w:tcPr>
          <w:p>
            <w:pPr>
              <w:jc w:val="right"/>
              <w:ind w:right="257"/>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1240" w:type="dxa"/>
            <w:vAlign w:val="bottom"/>
            <w:gridSpan w:val="4"/>
          </w:tcPr>
          <w:p>
            <w:pPr>
              <w:jc w:val="right"/>
              <w:ind w:right="189"/>
              <w:spacing w:after="0" w:line="135"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12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63,307</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w w:val="93"/>
              </w:rPr>
              <w:t>66,278</w:t>
            </w:r>
          </w:p>
        </w:tc>
        <w:tc>
          <w:tcPr>
            <w:tcW w:w="700" w:type="dxa"/>
            <w:vAlign w:val="bottom"/>
            <w:gridSpan w:val="2"/>
          </w:tcPr>
          <w:p>
            <w:pPr>
              <w:jc w:val="right"/>
              <w:ind w:right="374"/>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96,375</w:t>
            </w:r>
          </w:p>
        </w:tc>
        <w:tc>
          <w:tcPr>
            <w:tcW w:w="3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98,074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12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341</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Multifamily</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19</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63,864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66,879</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97,159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177</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 securities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678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653</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securities</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65,024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3"/>
              </w:rPr>
              <w:t>68,044</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98,670</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8"/>
          </w:tcPr>
          <w:p>
            <w:pPr>
              <w:jc w:val="right"/>
              <w:ind w:right="197"/>
              <w:spacing w:after="0"/>
              <w:rPr>
                <w:sz w:val="20"/>
                <w:szCs w:val="20"/>
                <w:color w:val="auto"/>
              </w:rPr>
            </w:pPr>
            <w:r>
              <w:rPr>
                <w:rFonts w:ascii="Arial" w:cs="Arial" w:eastAsia="Arial" w:hAnsi="Arial"/>
                <w:sz w:val="14"/>
                <w:szCs w:val="14"/>
                <w:b w:val="1"/>
                <w:bCs w:val="1"/>
                <w:color w:val="auto"/>
                <w:w w:val="90"/>
              </w:rPr>
              <w:t>September 30, 2020</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574"/>
              <w:spacing w:after="0"/>
              <w:rPr>
                <w:sz w:val="20"/>
                <w:szCs w:val="20"/>
                <w:color w:val="auto"/>
              </w:rPr>
            </w:pPr>
            <w:r>
              <w:rPr>
                <w:rFonts w:ascii="Arial" w:cs="Arial" w:eastAsia="Arial" w:hAnsi="Arial"/>
                <w:sz w:val="14"/>
                <w:szCs w:val="14"/>
                <w:b w:val="1"/>
                <w:bCs w:val="1"/>
                <w:color w:val="auto"/>
              </w:rPr>
              <w:t>Non-Agency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Fannie Mae</w:t>
            </w:r>
          </w:p>
        </w:tc>
        <w:tc>
          <w:tcPr>
            <w:tcW w:w="80" w:type="dxa"/>
            <w:vAlign w:val="bottom"/>
          </w:tcPr>
          <w:p>
            <w:pPr>
              <w:spacing w:after="0"/>
              <w:rPr>
                <w:sz w:val="11"/>
                <w:szCs w:val="11"/>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Freddie Mac</w:t>
            </w:r>
          </w:p>
        </w:tc>
        <w:tc>
          <w:tcPr>
            <w:tcW w:w="180" w:type="dxa"/>
            <w:vAlign w:val="bottom"/>
          </w:tcPr>
          <w:p>
            <w:pPr>
              <w:spacing w:after="0"/>
              <w:rPr>
                <w:sz w:val="11"/>
                <w:szCs w:val="11"/>
                <w:color w:val="auto"/>
              </w:rPr>
            </w:pPr>
          </w:p>
        </w:tc>
        <w:tc>
          <w:tcPr>
            <w:tcW w:w="800" w:type="dxa"/>
            <w:vAlign w:val="bottom"/>
          </w:tcPr>
          <w:p>
            <w:pPr>
              <w:jc w:val="right"/>
              <w:ind w:right="213"/>
              <w:spacing w:after="0" w:line="130" w:lineRule="exact"/>
              <w:rPr>
                <w:sz w:val="20"/>
                <w:szCs w:val="20"/>
                <w:color w:val="auto"/>
              </w:rPr>
            </w:pPr>
            <w:r>
              <w:rPr>
                <w:rFonts w:ascii="Arial" w:cs="Arial" w:eastAsia="Arial" w:hAnsi="Arial"/>
                <w:sz w:val="14"/>
                <w:szCs w:val="14"/>
                <w:b w:val="1"/>
                <w:bCs w:val="1"/>
                <w:color w:val="auto"/>
              </w:rPr>
              <w:t>Ginnie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RMBS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CMBS</w:t>
            </w:r>
          </w:p>
        </w:tc>
        <w:tc>
          <w:tcPr>
            <w:tcW w:w="100" w:type="dxa"/>
            <w:vAlign w:val="bottom"/>
          </w:tcPr>
          <w:p>
            <w:pPr>
              <w:spacing w:after="0"/>
              <w:rPr>
                <w:sz w:val="11"/>
                <w:szCs w:val="11"/>
                <w:color w:val="auto"/>
              </w:rPr>
            </w:pPr>
          </w:p>
        </w:tc>
        <w:tc>
          <w:tcPr>
            <w:tcW w:w="9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CRT</w:t>
            </w:r>
          </w:p>
        </w:tc>
        <w:tc>
          <w:tcPr>
            <w:tcW w:w="260" w:type="dxa"/>
            <w:vAlign w:val="bottom"/>
          </w:tcPr>
          <w:p>
            <w:pPr>
              <w:spacing w:after="0"/>
              <w:rPr>
                <w:sz w:val="11"/>
                <w:szCs w:val="11"/>
                <w:color w:val="auto"/>
              </w:rPr>
            </w:pPr>
          </w:p>
        </w:tc>
        <w:tc>
          <w:tcPr>
            <w:tcW w:w="7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Mae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10,703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4,046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14,763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479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683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11,176</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4,249</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15,439</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834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gridSpan w:val="3"/>
          </w:tcPr>
          <w:p>
            <w:pPr>
              <w:jc w:val="right"/>
              <w:ind w:right="280"/>
              <w:spacing w:after="0"/>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11,794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4,464</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15</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16,273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tcPr>
          <w:p>
            <w:pPr>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31,624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14,891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309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w w:val="82"/>
              </w:rPr>
              <w:t>678</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47,686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Arial" w:cs="Arial" w:eastAsia="Arial" w:hAnsi="Arial"/>
                <w:sz w:val="13"/>
                <w:szCs w:val="13"/>
                <w:color w:val="auto"/>
                <w:w w:val="86"/>
              </w:rPr>
              <w:t>(12)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1,285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1,947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32,889</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15,531</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173</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94"/>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ind w:right="88"/>
              <w:spacing w:after="0"/>
              <w:rPr>
                <w:sz w:val="20"/>
                <w:szCs w:val="20"/>
                <w:color w:val="auto"/>
              </w:rPr>
            </w:pPr>
            <w:r>
              <w:rPr>
                <w:rFonts w:ascii="Arial" w:cs="Arial" w:eastAsia="Arial" w:hAnsi="Arial"/>
                <w:sz w:val="13"/>
                <w:szCs w:val="13"/>
                <w:color w:val="auto"/>
                <w:w w:val="82"/>
              </w:rPr>
              <w:t>678</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49,585</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2,232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Arial" w:cs="Arial" w:eastAsia="Arial" w:hAnsi="Arial"/>
                <w:sz w:val="13"/>
                <w:szCs w:val="13"/>
                <w:color w:val="auto"/>
                <w:w w:val="86"/>
              </w:rPr>
              <w:t>(28)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34,293</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16,310</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177</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335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gridSpan w:val="3"/>
            <w:shd w:val="clear" w:color="auto" w:fill="CCEEFF"/>
          </w:tcPr>
          <w:p>
            <w:pPr>
              <w:jc w:val="right"/>
              <w:ind w:right="88"/>
              <w:spacing w:after="0"/>
              <w:rPr>
                <w:sz w:val="20"/>
                <w:szCs w:val="20"/>
                <w:color w:val="auto"/>
              </w:rPr>
            </w:pPr>
            <w:r>
              <w:rPr>
                <w:rFonts w:ascii="Arial" w:cs="Arial" w:eastAsia="Arial" w:hAnsi="Arial"/>
                <w:sz w:val="13"/>
                <w:szCs w:val="13"/>
                <w:color w:val="auto"/>
                <w:w w:val="82"/>
              </w:rPr>
              <w:t>653</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51,771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Total securities,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46,087</w:t>
            </w:r>
          </w:p>
        </w:tc>
        <w:tc>
          <w:tcPr>
            <w:tcW w:w="12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20,774</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177</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color w:val="auto"/>
                <w:w w:val="82"/>
              </w:rPr>
              <w:t>653</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68,044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coupon as of September 30, 2020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3.79 %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4.13 %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3.31 %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Weighted average yield as of September 30, 2020 </w:t>
            </w:r>
            <w:r>
              <w:rPr>
                <w:rFonts w:ascii="Arial" w:cs="Arial" w:eastAsia="Arial" w:hAnsi="Arial"/>
                <w:sz w:val="16"/>
                <w:szCs w:val="16"/>
                <w:color w:val="auto"/>
                <w:vertAlign w:val="superscript"/>
              </w:rPr>
              <w:t>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2.49 %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2.66 %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2.22 %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0.53 %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4.40 %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3.47 %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15.9% based on forward rates as of September 30, 2020.</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80" w:type="dxa"/>
            <w:vAlign w:val="bottom"/>
          </w:tcPr>
          <w:p>
            <w:pPr>
              <w:spacing w:after="0"/>
              <w:rPr>
                <w:sz w:val="11"/>
                <w:szCs w:val="11"/>
                <w:color w:val="auto"/>
              </w:rPr>
            </w:pPr>
          </w:p>
        </w:tc>
        <w:tc>
          <w:tcPr>
            <w:tcW w:w="920" w:type="dxa"/>
            <w:vAlign w:val="bottom"/>
            <w:gridSpan w:val="2"/>
          </w:tcPr>
          <w:p>
            <w:pPr>
              <w:ind w:left="100"/>
              <w:spacing w:after="0" w:line="130" w:lineRule="exact"/>
              <w:rPr>
                <w:sz w:val="20"/>
                <w:szCs w:val="20"/>
                <w:color w:val="auto"/>
              </w:rPr>
            </w:pPr>
            <w:r>
              <w:rPr>
                <w:rFonts w:ascii="Arial" w:cs="Arial" w:eastAsia="Arial" w:hAnsi="Arial"/>
                <w:sz w:val="14"/>
                <w:szCs w:val="14"/>
                <w:b w:val="1"/>
                <w:bCs w:val="1"/>
                <w:color w:val="auto"/>
              </w:rPr>
              <w:t>Fannie</w:t>
            </w:r>
          </w:p>
        </w:tc>
        <w:tc>
          <w:tcPr>
            <w:tcW w:w="8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Freddie Mac</w:t>
            </w:r>
          </w:p>
        </w:tc>
        <w:tc>
          <w:tcPr>
            <w:tcW w:w="180" w:type="dxa"/>
            <w:vAlign w:val="bottom"/>
          </w:tcPr>
          <w:p>
            <w:pPr>
              <w:spacing w:after="0"/>
              <w:rPr>
                <w:sz w:val="11"/>
                <w:szCs w:val="11"/>
                <w:color w:val="auto"/>
              </w:rPr>
            </w:pPr>
          </w:p>
        </w:tc>
        <w:tc>
          <w:tcPr>
            <w:tcW w:w="800" w:type="dxa"/>
            <w:vAlign w:val="bottom"/>
          </w:tcPr>
          <w:p>
            <w:pPr>
              <w:jc w:val="right"/>
              <w:ind w:right="236"/>
              <w:spacing w:after="0" w:line="130" w:lineRule="exact"/>
              <w:rPr>
                <w:sz w:val="20"/>
                <w:szCs w:val="20"/>
                <w:color w:val="auto"/>
              </w:rPr>
            </w:pPr>
            <w:r>
              <w:rPr>
                <w:rFonts w:ascii="Arial" w:cs="Arial" w:eastAsia="Arial" w:hAnsi="Arial"/>
                <w:sz w:val="14"/>
                <w:szCs w:val="14"/>
                <w:b w:val="1"/>
                <w:bCs w:val="1"/>
                <w:color w:val="auto"/>
              </w:rPr>
              <w:t>Ginnie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RMBS</w:t>
            </w:r>
          </w:p>
        </w:tc>
        <w:tc>
          <w:tcPr>
            <w:tcW w:w="20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CMBS</w:t>
            </w:r>
          </w:p>
        </w:tc>
        <w:tc>
          <w:tcPr>
            <w:tcW w:w="20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CRT</w:t>
            </w:r>
          </w:p>
        </w:tc>
        <w:tc>
          <w:tcPr>
            <w:tcW w:w="200" w:type="dxa"/>
            <w:vAlign w:val="bottom"/>
          </w:tcPr>
          <w:p>
            <w:pPr>
              <w:spacing w:after="0"/>
              <w:rPr>
                <w:sz w:val="11"/>
                <w:szCs w:val="11"/>
                <w:color w:val="auto"/>
              </w:rPr>
            </w:pPr>
          </w:p>
        </w:tc>
        <w:tc>
          <w:tcPr>
            <w:tcW w:w="7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Mae</w:t>
            </w: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Par value</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14,301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4,762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w:t>
            </w: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19,081</w:t>
            </w:r>
          </w:p>
        </w:tc>
        <w:tc>
          <w:tcPr>
            <w:tcW w:w="0" w:type="dxa"/>
            <w:vAlign w:val="bottom"/>
          </w:tcPr>
          <w:p>
            <w:pPr>
              <w:spacing w:after="0"/>
              <w:rPr>
                <w:sz w:val="1"/>
                <w:szCs w:val="1"/>
                <w:color w:val="auto"/>
              </w:rPr>
            </w:pPr>
          </w:p>
        </w:tc>
      </w:tr>
      <w:tr>
        <w:trPr>
          <w:trHeight w:val="168"/>
        </w:trPr>
        <w:tc>
          <w:tcPr>
            <w:tcW w:w="3780" w:type="dxa"/>
            <w:vAlign w:val="bottom"/>
            <w:gridSpan w:val="2"/>
          </w:tcPr>
          <w:p>
            <w:pPr>
              <w:ind w:left="180"/>
              <w:spacing w:after="0"/>
              <w:rPr>
                <w:sz w:val="20"/>
                <w:szCs w:val="20"/>
                <w:color w:val="auto"/>
              </w:rPr>
            </w:pPr>
            <w:r>
              <w:rPr>
                <w:rFonts w:ascii="Arial" w:cs="Arial" w:eastAsia="Arial" w:hAnsi="Arial"/>
                <w:sz w:val="13"/>
                <w:szCs w:val="13"/>
                <w:color w:val="auto"/>
              </w:rPr>
              <w:t>Unamortized discount</w:t>
            </w:r>
          </w:p>
        </w:tc>
        <w:tc>
          <w:tcPr>
            <w:tcW w:w="18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Unamortized premium</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161"/>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color w:val="auto"/>
              </w:rPr>
              <w:t>15,002</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5,036</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20,056</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Gross unrealized gains</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9"/>
        </w:trPr>
        <w:tc>
          <w:tcPr>
            <w:tcW w:w="3780" w:type="dxa"/>
            <w:vAlign w:val="bottom"/>
            <w:gridSpan w:val="2"/>
          </w:tcPr>
          <w:p>
            <w:pPr>
              <w:ind w:left="180"/>
              <w:spacing w:after="0"/>
              <w:rPr>
                <w:sz w:val="20"/>
                <w:szCs w:val="20"/>
                <w:color w:val="auto"/>
              </w:rPr>
            </w:pPr>
            <w:r>
              <w:rPr>
                <w:rFonts w:ascii="Arial" w:cs="Arial" w:eastAsia="Arial" w:hAnsi="Arial"/>
                <w:sz w:val="13"/>
                <w:szCs w:val="13"/>
                <w:color w:val="auto"/>
              </w:rPr>
              <w:t>Gross unrealized losses</w:t>
            </w:r>
          </w:p>
        </w:tc>
        <w:tc>
          <w:tcPr>
            <w:tcW w:w="18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75"/>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15,094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5,040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20,153</w:t>
            </w:r>
          </w:p>
        </w:tc>
        <w:tc>
          <w:tcPr>
            <w:tcW w:w="0" w:type="dxa"/>
            <w:vAlign w:val="bottom"/>
          </w:tcPr>
          <w:p>
            <w:pPr>
              <w:spacing w:after="0"/>
              <w:rPr>
                <w:sz w:val="1"/>
                <w:szCs w:val="1"/>
                <w:color w:val="auto"/>
              </w:rPr>
            </w:pPr>
          </w:p>
        </w:tc>
      </w:tr>
      <w:tr>
        <w:trPr>
          <w:trHeight w:val="148"/>
        </w:trPr>
        <w:tc>
          <w:tcPr>
            <w:tcW w:w="378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 value</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45,106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29,881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937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76,480</w:t>
            </w:r>
          </w:p>
        </w:tc>
        <w:tc>
          <w:tcPr>
            <w:tcW w:w="0" w:type="dxa"/>
            <w:vAlign w:val="bottom"/>
          </w:tcPr>
          <w:p>
            <w:pPr>
              <w:spacing w:after="0"/>
              <w:rPr>
                <w:sz w:val="1"/>
                <w:szCs w:val="1"/>
                <w:color w:val="auto"/>
              </w:rPr>
            </w:pPr>
          </w:p>
        </w:tc>
      </w:tr>
      <w:tr>
        <w:trPr>
          <w:trHeight w:val="168"/>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Unamortized discount</w:t>
            </w:r>
          </w:p>
        </w:tc>
        <w:tc>
          <w:tcPr>
            <w:tcW w:w="18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Unamortized premium</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1,218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967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2,219</w:t>
            </w:r>
          </w:p>
        </w:tc>
        <w:tc>
          <w:tcPr>
            <w:tcW w:w="0" w:type="dxa"/>
            <w:vAlign w:val="bottom"/>
          </w:tcPr>
          <w:p>
            <w:pPr>
              <w:spacing w:after="0"/>
              <w:rPr>
                <w:sz w:val="1"/>
                <w:szCs w:val="1"/>
                <w:color w:val="auto"/>
              </w:rPr>
            </w:pPr>
          </w:p>
        </w:tc>
      </w:tr>
      <w:tr>
        <w:trPr>
          <w:trHeight w:val="161"/>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8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Arial" w:cs="Arial" w:eastAsia="Arial" w:hAnsi="Arial"/>
                <w:sz w:val="13"/>
                <w:szCs w:val="13"/>
                <w:color w:val="auto"/>
              </w:rPr>
              <w:t>46,256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30,846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961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78,614</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Gross unrealized gains</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1,729</w:t>
            </w:r>
          </w:p>
        </w:tc>
        <w:tc>
          <w:tcPr>
            <w:tcW w:w="0" w:type="dxa"/>
            <w:vAlign w:val="bottom"/>
          </w:tcPr>
          <w:p>
            <w:pPr>
              <w:spacing w:after="0"/>
              <w:rPr>
                <w:sz w:val="1"/>
                <w:szCs w:val="1"/>
                <w:color w:val="auto"/>
              </w:rPr>
            </w:pPr>
          </w:p>
        </w:tc>
      </w:tr>
      <w:tr>
        <w:trPr>
          <w:trHeight w:val="169"/>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Gross unrealized losses</w:t>
            </w:r>
          </w:p>
        </w:tc>
        <w:tc>
          <w:tcPr>
            <w:tcW w:w="18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5"/>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47,215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31,519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209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370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976</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80,289</w:t>
            </w:r>
          </w:p>
        </w:tc>
        <w:tc>
          <w:tcPr>
            <w:tcW w:w="0" w:type="dxa"/>
            <w:vAlign w:val="bottom"/>
          </w:tcPr>
          <w:p>
            <w:pPr>
              <w:spacing w:after="0"/>
              <w:rPr>
                <w:sz w:val="1"/>
                <w:szCs w:val="1"/>
                <w:color w:val="auto"/>
              </w:rPr>
            </w:pPr>
          </w:p>
        </w:tc>
      </w:tr>
      <w:tr>
        <w:trPr>
          <w:trHeight w:val="169"/>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62,309</w:t>
            </w:r>
          </w:p>
        </w:tc>
        <w:tc>
          <w:tcPr>
            <w:tcW w:w="10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36,559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370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976</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100,442</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2019</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3.68 %</w:t>
            </w:r>
          </w:p>
        </w:tc>
        <w:tc>
          <w:tcPr>
            <w:tcW w:w="0" w:type="dxa"/>
            <w:vAlign w:val="bottom"/>
          </w:tcPr>
          <w:p>
            <w:pPr>
              <w:spacing w:after="0"/>
              <w:rPr>
                <w:sz w:val="1"/>
                <w:szCs w:val="1"/>
                <w:color w:val="auto"/>
              </w:rPr>
            </w:pPr>
          </w:p>
        </w:tc>
      </w:tr>
      <w:tr>
        <w:trPr>
          <w:trHeight w:val="214"/>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2019 </w:t>
            </w:r>
            <w:r>
              <w:rPr>
                <w:rFonts w:ascii="Arial" w:cs="Arial" w:eastAsia="Arial" w:hAnsi="Arial"/>
                <w:sz w:val="16"/>
                <w:szCs w:val="16"/>
                <w:color w:val="auto"/>
                <w:vertAlign w:val="superscript"/>
              </w:rPr>
              <w:t>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3.03 %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3.07 %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10.8% based on forward rates as of December 31, 2019.</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2020 and December 31, 2019, our investments in CRT and non-Agency securities had the following credit ratings: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9"/>
        </w:trPr>
        <w:tc>
          <w:tcPr>
            <w:tcW w:w="406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18"/>
                <w:szCs w:val="18"/>
                <w:b w:val="1"/>
                <w:bCs w:val="1"/>
                <w:color w:val="auto"/>
                <w:vertAlign w:val="superscript"/>
              </w:rPr>
              <w:t>1</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RMBS</w:t>
            </w:r>
          </w:p>
        </w:tc>
        <w:tc>
          <w:tcPr>
            <w:tcW w:w="20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RMBS</w:t>
            </w:r>
          </w:p>
        </w:tc>
        <w:tc>
          <w:tcPr>
            <w:tcW w:w="20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r>
      <w:tr>
        <w:trPr>
          <w:trHeight w:val="183"/>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w:t>
            </w: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September 30, 2020 and December 31, 2019, the weighted average expected constant prepayment rate ("CPR") over the remaining life of our Agency and high credit quality non-Agency RMBS investment portfolio was 15.9% and 10.8%, respectively. Our estimates can differ materially for different securities and thus our individual holdings have a wide range of projected CPRs. The following table summarizes our investments as of September 30, 2020 and December 31, 2019 according to their estimated weighted average life classification (dollars in millions):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September 30, 2020</w:t>
            </w: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2019</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 Weighted Average Life of</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Weighted</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Average</w:t>
            </w: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8"/>
        </w:trPr>
        <w:tc>
          <w:tcPr>
            <w:tcW w:w="2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Coupon</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Yield</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84"/>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3 years</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2,387</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3.65%</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2.01%</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3.54%</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2.61%</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&gt; 3 years and ≤ 5 years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37,564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35,873</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3.76%</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2.62%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10,822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10,563</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3.85%</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3.20%</w:t>
            </w:r>
          </w:p>
        </w:tc>
        <w:tc>
          <w:tcPr>
            <w:tcW w:w="0" w:type="dxa"/>
            <w:vAlign w:val="bottom"/>
          </w:tcPr>
          <w:p>
            <w:pPr>
              <w:spacing w:after="0"/>
              <w:rPr>
                <w:sz w:val="1"/>
                <w:szCs w:val="1"/>
                <w:color w:val="auto"/>
              </w:rPr>
            </w:pPr>
          </w:p>
        </w:tc>
      </w:tr>
      <w:tr>
        <w:trPr>
          <w:trHeight w:val="192"/>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&gt; 5 years and ≤10 years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86,492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3.67%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&gt; 10 years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4.08%</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3.71%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3.31%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3.06%</w:t>
            </w:r>
          </w:p>
        </w:tc>
        <w:tc>
          <w:tcPr>
            <w:tcW w:w="0" w:type="dxa"/>
            <w:vAlign w:val="bottom"/>
          </w:tcPr>
          <w:p>
            <w:pPr>
              <w:spacing w:after="0"/>
              <w:rPr>
                <w:sz w:val="1"/>
                <w:szCs w:val="1"/>
                <w:color w:val="auto"/>
              </w:rPr>
            </w:pPr>
          </w:p>
        </w:tc>
      </w:tr>
      <w:tr>
        <w:trPr>
          <w:trHeight w:val="21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68,044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65,024</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3.59%</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2.56%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100,442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98,670</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3.68%</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45"/>
        <w:spacing w:after="0" w:line="269"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September 30, 2020 and December 31, 2019 (in millions):</w:t>
      </w: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Unrealized Loss Position For</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12 Months or More</w:t>
            </w: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Securities Classified as Available-for-Sale</w:t>
            </w: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68"/>
              <w:spacing w:after="0" w:line="130"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88"/>
              <w:spacing w:after="0" w:line="130"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08"/>
              <w:spacing w:after="0" w:line="130"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940" w:type="dxa"/>
            <w:vAlign w:val="bottom"/>
          </w:tcPr>
          <w:p>
            <w:pPr>
              <w:jc w:val="center"/>
              <w:ind w:right="108"/>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September 30, 2020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center"/>
              <w:ind w:left="628"/>
              <w:spacing w:after="0"/>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center"/>
              <w:ind w:left="608"/>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center"/>
              <w:ind w:left="6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December 31, 2019</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1,653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6,984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8,637</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385"/>
        </w:trPr>
        <w:tc>
          <w:tcPr>
            <w:tcW w:w="404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2"/>
              </w:rPr>
              <w:t>Gains and Losses on Sale of Investment Securities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86"/>
        <w:spacing w:after="0" w:line="269" w:lineRule="auto"/>
        <w:rPr>
          <w:sz w:val="20"/>
          <w:szCs w:val="20"/>
          <w:color w:val="auto"/>
        </w:rPr>
      </w:pPr>
      <w:r>
        <w:rPr>
          <w:rFonts w:ascii="Arial" w:cs="Arial" w:eastAsia="Arial" w:hAnsi="Arial"/>
          <w:sz w:val="18"/>
          <w:szCs w:val="18"/>
          <w:color w:val="auto"/>
        </w:rPr>
        <w:t>The following table is a summary of our net gain (loss) from the sale of investment securities for the three and nine months ended September 30, 2020 and 2019 by investment classification of accounting (in millions):</w:t>
      </w:r>
    </w:p>
    <w:tbl>
      <w:tblPr>
        <w:tblLayout w:type="fixed"/>
        <w:tblInd w:w="4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June 30,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9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0" w:type="dxa"/>
            <w:vAlign w:val="bottom"/>
            <w:gridSpan w:val="3"/>
          </w:tcPr>
          <w:p>
            <w:pPr>
              <w:jc w:val="right"/>
              <w:ind w:right="180"/>
              <w:spacing w:after="0" w:line="116" w:lineRule="exact"/>
              <w:rPr>
                <w:sz w:val="20"/>
                <w:szCs w:val="20"/>
                <w:color w:val="auto"/>
              </w:rPr>
            </w:pPr>
            <w:r>
              <w:rPr>
                <w:rFonts w:ascii="Arial" w:cs="Arial" w:eastAsia="Arial" w:hAnsi="Arial"/>
                <w:sz w:val="13"/>
                <w:szCs w:val="13"/>
                <w:b w:val="1"/>
                <w:bCs w:val="1"/>
                <w:color w:val="auto"/>
                <w:w w:val="91"/>
              </w:rPr>
              <w:t>Available-for-Sale</w:t>
            </w:r>
          </w:p>
        </w:tc>
        <w:tc>
          <w:tcPr>
            <w:tcW w:w="1200" w:type="dxa"/>
            <w:vAlign w:val="bottom"/>
            <w:gridSpan w:val="3"/>
          </w:tcPr>
          <w:p>
            <w:pPr>
              <w:jc w:val="center"/>
              <w:ind w:right="100"/>
              <w:spacing w:after="0" w:line="116" w:lineRule="exact"/>
              <w:rPr>
                <w:sz w:val="20"/>
                <w:szCs w:val="20"/>
                <w:color w:val="auto"/>
              </w:rPr>
            </w:pPr>
            <w:r>
              <w:rPr>
                <w:rFonts w:ascii="Arial" w:cs="Arial" w:eastAsia="Arial" w:hAnsi="Arial"/>
                <w:sz w:val="13"/>
                <w:szCs w:val="13"/>
                <w:b w:val="1"/>
                <w:bCs w:val="1"/>
                <w:color w:val="auto"/>
                <w:w w:val="91"/>
              </w:rPr>
              <w:t>Fair Value Option</w:t>
            </w:r>
          </w:p>
        </w:tc>
        <w:tc>
          <w:tcPr>
            <w:tcW w:w="180" w:type="dxa"/>
            <w:vAlign w:val="bottom"/>
          </w:tcPr>
          <w:p>
            <w:pPr>
              <w:spacing w:after="0"/>
              <w:rPr>
                <w:sz w:val="10"/>
                <w:szCs w:val="10"/>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1200" w:type="dxa"/>
            <w:vAlign w:val="bottom"/>
            <w:gridSpan w:val="3"/>
          </w:tcPr>
          <w:p>
            <w:pPr>
              <w:jc w:val="right"/>
              <w:ind w:right="180"/>
              <w:spacing w:after="0" w:line="116" w:lineRule="exact"/>
              <w:rPr>
                <w:sz w:val="20"/>
                <w:szCs w:val="20"/>
                <w:color w:val="auto"/>
              </w:rPr>
            </w:pPr>
            <w:r>
              <w:rPr>
                <w:rFonts w:ascii="Arial" w:cs="Arial" w:eastAsia="Arial" w:hAnsi="Arial"/>
                <w:sz w:val="13"/>
                <w:szCs w:val="13"/>
                <w:b w:val="1"/>
                <w:bCs w:val="1"/>
                <w:color w:val="auto"/>
                <w:w w:val="91"/>
              </w:rPr>
              <w:t>Available-for-Sale</w:t>
            </w:r>
          </w:p>
        </w:tc>
        <w:tc>
          <w:tcPr>
            <w:tcW w:w="1200" w:type="dxa"/>
            <w:vAlign w:val="bottom"/>
            <w:gridSpan w:val="3"/>
          </w:tcPr>
          <w:p>
            <w:pPr>
              <w:jc w:val="center"/>
              <w:ind w:right="100"/>
              <w:spacing w:after="0" w:line="116" w:lineRule="exact"/>
              <w:rPr>
                <w:sz w:val="20"/>
                <w:szCs w:val="20"/>
                <w:color w:val="auto"/>
              </w:rPr>
            </w:pPr>
            <w:r>
              <w:rPr>
                <w:rFonts w:ascii="Arial" w:cs="Arial" w:eastAsia="Arial" w:hAnsi="Arial"/>
                <w:sz w:val="13"/>
                <w:szCs w:val="13"/>
                <w:b w:val="1"/>
                <w:bCs w:val="1"/>
                <w:color w:val="auto"/>
                <w:w w:val="91"/>
              </w:rPr>
              <w:t>Fair Value Option</w:t>
            </w:r>
          </w:p>
        </w:tc>
        <w:tc>
          <w:tcPr>
            <w:tcW w:w="240" w:type="dxa"/>
            <w:vAlign w:val="bottom"/>
          </w:tcPr>
          <w:p>
            <w:pPr>
              <w:spacing w:after="0"/>
              <w:rPr>
                <w:sz w:val="10"/>
                <w:szCs w:val="10"/>
                <w:color w:val="auto"/>
              </w:rPr>
            </w:pPr>
          </w:p>
        </w:tc>
        <w:tc>
          <w:tcPr>
            <w:tcW w:w="860" w:type="dxa"/>
            <w:vAlign w:val="bottom"/>
            <w:vMerge w:val="restart"/>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80"/>
              <w:spacing w:after="0" w:line="175" w:lineRule="exact"/>
              <w:rPr>
                <w:sz w:val="20"/>
                <w:szCs w:val="20"/>
                <w:color w:val="auto"/>
              </w:rPr>
            </w:pPr>
            <w:r>
              <w:rPr>
                <w:rFonts w:ascii="Arial" w:cs="Arial" w:eastAsia="Arial" w:hAnsi="Arial"/>
                <w:sz w:val="13"/>
                <w:szCs w:val="13"/>
                <w:b w:val="1"/>
                <w:bCs w:val="1"/>
                <w:color w:val="auto"/>
              </w:rPr>
              <w:t xml:space="preserve">Securities </w:t>
            </w:r>
            <w:r>
              <w:rPr>
                <w:rFonts w:ascii="Arial" w:cs="Arial" w:eastAsia="Arial" w:hAnsi="Arial"/>
                <w:sz w:val="16"/>
                <w:szCs w:val="16"/>
                <w:b w:val="1"/>
                <w:bCs w:val="1"/>
                <w:color w:val="auto"/>
                <w:vertAlign w:val="superscript"/>
              </w:rPr>
              <w:t>2</w:t>
            </w:r>
          </w:p>
        </w:tc>
        <w:tc>
          <w:tcPr>
            <w:tcW w:w="1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3"/>
              </w:rPr>
              <w:t>Securities</w:t>
            </w: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60" w:type="dxa"/>
            <w:vAlign w:val="bottom"/>
          </w:tcPr>
          <w:p>
            <w:pPr>
              <w:jc w:val="right"/>
              <w:spacing w:after="0" w:line="175" w:lineRule="exact"/>
              <w:rPr>
                <w:sz w:val="20"/>
                <w:szCs w:val="20"/>
                <w:color w:val="auto"/>
              </w:rPr>
            </w:pPr>
            <w:r>
              <w:rPr>
                <w:rFonts w:ascii="Arial" w:cs="Arial" w:eastAsia="Arial" w:hAnsi="Arial"/>
                <w:sz w:val="13"/>
                <w:szCs w:val="13"/>
                <w:b w:val="1"/>
                <w:bCs w:val="1"/>
                <w:color w:val="auto"/>
              </w:rPr>
              <w:t xml:space="preserve">Securities </w:t>
            </w:r>
            <w:r>
              <w:rPr>
                <w:rFonts w:ascii="Arial" w:cs="Arial" w:eastAsia="Arial" w:hAnsi="Arial"/>
                <w:sz w:val="16"/>
                <w:szCs w:val="16"/>
                <w:b w:val="1"/>
                <w:bCs w:val="1"/>
                <w:color w:val="auto"/>
                <w:vertAlign w:val="superscript"/>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3"/>
              </w:rPr>
              <w:t>Securities</w:t>
            </w: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14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(13,430)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(13,430)</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ind w:right="71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(5,048)</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(5,048)</w:t>
            </w:r>
          </w:p>
        </w:tc>
        <w:tc>
          <w:tcPr>
            <w:tcW w:w="0" w:type="dxa"/>
            <w:vAlign w:val="bottom"/>
          </w:tcPr>
          <w:p>
            <w:pPr>
              <w:spacing w:after="0"/>
              <w:rPr>
                <w:sz w:val="1"/>
                <w:szCs w:val="1"/>
                <w:color w:val="auto"/>
              </w:rPr>
            </w:pPr>
          </w:p>
        </w:tc>
      </w:tr>
      <w:tr>
        <w:trPr>
          <w:trHeight w:val="192"/>
        </w:trPr>
        <w:tc>
          <w:tcPr>
            <w:tcW w:w="39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13,776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13,776</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18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2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354</w:t>
            </w:r>
          </w:p>
        </w:tc>
        <w:tc>
          <w:tcPr>
            <w:tcW w:w="200" w:type="dxa"/>
            <w:vAlign w:val="bottom"/>
          </w:tcPr>
          <w:p>
            <w:pPr>
              <w:spacing w:after="0"/>
              <w:rPr>
                <w:sz w:val="16"/>
                <w:szCs w:val="16"/>
                <w:color w:val="auto"/>
              </w:rPr>
            </w:pPr>
          </w:p>
        </w:tc>
        <w:tc>
          <w:tcPr>
            <w:tcW w:w="860" w:type="dxa"/>
            <w:vAlign w:val="bottom"/>
          </w:tcPr>
          <w:p>
            <w:pPr>
              <w:jc w:val="right"/>
              <w:ind w:right="711"/>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2"/>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2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9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0" w:type="dxa"/>
            <w:vAlign w:val="bottom"/>
            <w:gridSpan w:val="3"/>
          </w:tcPr>
          <w:p>
            <w:pPr>
              <w:jc w:val="center"/>
              <w:ind w:right="120"/>
              <w:spacing w:after="0" w:line="116" w:lineRule="exact"/>
              <w:rPr>
                <w:sz w:val="20"/>
                <w:szCs w:val="20"/>
                <w:color w:val="auto"/>
              </w:rPr>
            </w:pPr>
            <w:r>
              <w:rPr>
                <w:rFonts w:ascii="Arial" w:cs="Arial" w:eastAsia="Arial" w:hAnsi="Arial"/>
                <w:sz w:val="13"/>
                <w:szCs w:val="13"/>
                <w:b w:val="1"/>
                <w:bCs w:val="1"/>
                <w:color w:val="auto"/>
                <w:w w:val="87"/>
              </w:rPr>
              <w:t>Available-for-Sale</w:t>
            </w:r>
          </w:p>
        </w:tc>
        <w:tc>
          <w:tcPr>
            <w:tcW w:w="1200" w:type="dxa"/>
            <w:vAlign w:val="bottom"/>
            <w:gridSpan w:val="3"/>
          </w:tcPr>
          <w:p>
            <w:pPr>
              <w:jc w:val="center"/>
              <w:ind w:right="100"/>
              <w:spacing w:after="0" w:line="116" w:lineRule="exact"/>
              <w:rPr>
                <w:sz w:val="20"/>
                <w:szCs w:val="20"/>
                <w:color w:val="auto"/>
              </w:rPr>
            </w:pPr>
            <w:r>
              <w:rPr>
                <w:rFonts w:ascii="Arial" w:cs="Arial" w:eastAsia="Arial" w:hAnsi="Arial"/>
                <w:sz w:val="13"/>
                <w:szCs w:val="13"/>
                <w:b w:val="1"/>
                <w:bCs w:val="1"/>
                <w:color w:val="auto"/>
                <w:w w:val="91"/>
              </w:rPr>
              <w:t>Fair Value Option</w:t>
            </w:r>
          </w:p>
        </w:tc>
        <w:tc>
          <w:tcPr>
            <w:tcW w:w="100" w:type="dxa"/>
            <w:vAlign w:val="bottom"/>
          </w:tcPr>
          <w:p>
            <w:pPr>
              <w:spacing w:after="0"/>
              <w:rPr>
                <w:sz w:val="10"/>
                <w:szCs w:val="10"/>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Total</w:t>
            </w:r>
          </w:p>
        </w:tc>
        <w:tc>
          <w:tcPr>
            <w:tcW w:w="1200" w:type="dxa"/>
            <w:vAlign w:val="bottom"/>
            <w:gridSpan w:val="3"/>
          </w:tcPr>
          <w:p>
            <w:pPr>
              <w:jc w:val="center"/>
              <w:ind w:right="120"/>
              <w:spacing w:after="0" w:line="116" w:lineRule="exact"/>
              <w:rPr>
                <w:sz w:val="20"/>
                <w:szCs w:val="20"/>
                <w:color w:val="auto"/>
              </w:rPr>
            </w:pPr>
            <w:r>
              <w:rPr>
                <w:rFonts w:ascii="Arial" w:cs="Arial" w:eastAsia="Arial" w:hAnsi="Arial"/>
                <w:sz w:val="13"/>
                <w:szCs w:val="13"/>
                <w:b w:val="1"/>
                <w:bCs w:val="1"/>
                <w:color w:val="auto"/>
                <w:w w:val="87"/>
              </w:rPr>
              <w:t>Available-for-Sale</w:t>
            </w:r>
          </w:p>
        </w:tc>
        <w:tc>
          <w:tcPr>
            <w:tcW w:w="1200" w:type="dxa"/>
            <w:vAlign w:val="bottom"/>
            <w:gridSpan w:val="3"/>
          </w:tcPr>
          <w:p>
            <w:pPr>
              <w:jc w:val="center"/>
              <w:ind w:right="100"/>
              <w:spacing w:after="0" w:line="116" w:lineRule="exact"/>
              <w:rPr>
                <w:sz w:val="20"/>
                <w:szCs w:val="20"/>
                <w:color w:val="auto"/>
              </w:rPr>
            </w:pPr>
            <w:r>
              <w:rPr>
                <w:rFonts w:ascii="Arial" w:cs="Arial" w:eastAsia="Arial" w:hAnsi="Arial"/>
                <w:sz w:val="13"/>
                <w:szCs w:val="13"/>
                <w:b w:val="1"/>
                <w:bCs w:val="1"/>
                <w:color w:val="auto"/>
                <w:w w:val="91"/>
              </w:rPr>
              <w:t>Fair Value Option</w:t>
            </w:r>
          </w:p>
        </w:tc>
        <w:tc>
          <w:tcPr>
            <w:tcW w:w="240" w:type="dxa"/>
            <w:vAlign w:val="bottom"/>
          </w:tcPr>
          <w:p>
            <w:pPr>
              <w:spacing w:after="0"/>
              <w:rPr>
                <w:sz w:val="10"/>
                <w:szCs w:val="10"/>
                <w:color w:val="auto"/>
              </w:rPr>
            </w:pPr>
          </w:p>
        </w:tc>
        <w:tc>
          <w:tcPr>
            <w:tcW w:w="860" w:type="dxa"/>
            <w:vAlign w:val="bottom"/>
            <w:vMerge w:val="restart"/>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3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3"/>
              </w:rPr>
              <w:t>Securities</w:t>
            </w: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14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(67,342)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(68,775)</w:t>
            </w:r>
          </w:p>
        </w:tc>
        <w:tc>
          <w:tcPr>
            <w:tcW w:w="2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(17,379)</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(18,084)</w:t>
            </w:r>
          </w:p>
        </w:tc>
        <w:tc>
          <w:tcPr>
            <w:tcW w:w="0" w:type="dxa"/>
            <w:vAlign w:val="bottom"/>
          </w:tcPr>
          <w:p>
            <w:pPr>
              <w:spacing w:after="0"/>
              <w:rPr>
                <w:sz w:val="1"/>
                <w:szCs w:val="1"/>
                <w:color w:val="auto"/>
              </w:rPr>
            </w:pPr>
          </w:p>
        </w:tc>
      </w:tr>
      <w:tr>
        <w:trPr>
          <w:trHeight w:val="192"/>
        </w:trPr>
        <w:tc>
          <w:tcPr>
            <w:tcW w:w="39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18"/>
                <w:szCs w:val="18"/>
                <w:color w:val="auto"/>
                <w:vertAlign w:val="superscript"/>
              </w:rPr>
              <w:t>1</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1,473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68,295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69,768</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17,669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18,365</w:t>
            </w:r>
          </w:p>
        </w:tc>
        <w:tc>
          <w:tcPr>
            <w:tcW w:w="0" w:type="dxa"/>
            <w:vAlign w:val="bottom"/>
          </w:tcPr>
          <w:p>
            <w:pPr>
              <w:spacing w:after="0"/>
              <w:rPr>
                <w:sz w:val="1"/>
                <w:szCs w:val="1"/>
                <w:color w:val="auto"/>
              </w:rPr>
            </w:pPr>
          </w:p>
        </w:tc>
      </w:tr>
      <w:tr>
        <w:trPr>
          <w:trHeight w:val="18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1,090</w:t>
            </w:r>
          </w:p>
        </w:tc>
        <w:tc>
          <w:tcPr>
            <w:tcW w:w="2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8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10 for a summary of changes in accumulated OCI.</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Reverse Repurchase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We pledge our securities as collateral under our borrowings structured as repurchase agreements with financial institutions. Amounts available to be borrowed are dependent upon the fair value of the securities pledged as collateral, which</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jc w:val="both"/>
        <w:spacing w:after="0" w:line="301" w:lineRule="auto"/>
        <w:rPr>
          <w:sz w:val="20"/>
          <w:szCs w:val="20"/>
          <w:color w:val="auto"/>
        </w:rPr>
      </w:pPr>
      <w:r>
        <w:rPr>
          <w:rFonts w:ascii="Arial" w:cs="Arial" w:eastAsia="Arial" w:hAnsi="Arial"/>
          <w:sz w:val="16"/>
          <w:szCs w:val="16"/>
          <w:color w:val="auto"/>
        </w:rPr>
        <w:t>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2020, we had met all margin call requirements. For additional information regarding our pledged assets, please refer to Note 7.</w:t>
      </w:r>
    </w:p>
    <w:p>
      <w:pPr>
        <w:spacing w:after="0" w:line="10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of September 30, 2020 and December 31, 2019, we had $54.6 billion and $89.2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may have floating interest rates based on an index plus or minus a fixed spread. The following table summarizes our borrowings under repurchase agreements by their remaining maturities as of September 30, 2020 and December 31, 2019 (dollars in millions):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 2020</w:t>
            </w:r>
          </w:p>
        </w:tc>
        <w:tc>
          <w:tcPr>
            <w:tcW w:w="11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Weighted</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Interest</w:t>
            </w:r>
          </w:p>
        </w:tc>
        <w:tc>
          <w:tcPr>
            <w:tcW w:w="16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 Days</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Interest</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88"/>
        </w:trPr>
        <w:tc>
          <w:tcPr>
            <w:tcW w:w="24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11"/>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20"/>
              <w:spacing w:after="0"/>
              <w:rPr>
                <w:sz w:val="20"/>
                <w:szCs w:val="20"/>
                <w:color w:val="auto"/>
              </w:rPr>
            </w:pPr>
            <w:r>
              <w:rPr>
                <w:rFonts w:ascii="Arial" w:cs="Arial" w:eastAsia="Arial" w:hAnsi="Arial"/>
                <w:sz w:val="16"/>
                <w:szCs w:val="16"/>
                <w:color w:val="auto"/>
              </w:rPr>
              <w:t>≤ 1 month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28,119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0.21 %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56,664</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&gt; 1 to ≤ 3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12,906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20"/>
              <w:spacing w:after="0"/>
              <w:rPr>
                <w:sz w:val="20"/>
                <w:szCs w:val="20"/>
                <w:color w:val="auto"/>
              </w:rPr>
            </w:pPr>
            <w:r>
              <w:rPr>
                <w:rFonts w:ascii="Arial" w:cs="Arial" w:eastAsia="Arial" w:hAnsi="Arial"/>
                <w:sz w:val="16"/>
                <w:szCs w:val="16"/>
                <w:color w:val="auto"/>
              </w:rPr>
              <w:t>&gt; 3 to ≤ 6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7,642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104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5,683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&gt; 6 to ≤ 9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216</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20"/>
              <w:spacing w:after="0"/>
              <w:rPr>
                <w:sz w:val="20"/>
                <w:szCs w:val="20"/>
                <w:color w:val="auto"/>
              </w:rPr>
            </w:pPr>
            <w:r>
              <w:rPr>
                <w:rFonts w:ascii="Arial" w:cs="Arial" w:eastAsia="Arial" w:hAnsi="Arial"/>
                <w:sz w:val="16"/>
                <w:szCs w:val="16"/>
                <w:color w:val="auto"/>
              </w:rPr>
              <w:t>&gt; 9 to ≤ 12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0.62 %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2,152</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2.41 %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&gt; 12 to ≤ 24 months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20"/>
              <w:spacing w:after="0"/>
              <w:rPr>
                <w:sz w:val="20"/>
                <w:szCs w:val="20"/>
                <w:color w:val="auto"/>
              </w:rPr>
            </w:pPr>
            <w:r>
              <w:rPr>
                <w:rFonts w:ascii="Arial" w:cs="Arial" w:eastAsia="Arial" w:hAnsi="Arial"/>
                <w:sz w:val="16"/>
                <w:szCs w:val="16"/>
                <w:color w:val="auto"/>
              </w:rPr>
              <w:t>&gt; 24 to ≤ 36 months</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6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13"/>
        </w:trPr>
        <w:tc>
          <w:tcPr>
            <w:tcW w:w="29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Agency repo</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54,366</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0.37 %</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89,085</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&gt; 1 day to ≤ 1 month</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54,566</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0.37 %</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c>
          <w:tcPr>
            <w:tcW w:w="4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89,182</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2.17 %</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September 30, 2020 and December 31, 2019, $8.9 billion and $17.0 billion, respectively, of our repurchase agreements had a remaining maturity of one business day and none of our repurchase agreements were due on demand. As of September 30, 2020, we had $1.5 billion of forward commitments to enter into repurchase agreements, with a weighted average forward start date of 93 days and a weighted average interest rate of 0.25%. As of December 31, 2019, we had $4.5 billion of forward commitments to enter into repurchase agreements, with a weighted average forward start date of 12 days and a weighted average interest rate of 1.60%. As of September 30, 2020 and December 31, 2019, 48% and 40%,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48% and 38% of our repurchase agreement funding outstanding as of September 30, 2020 and December 31, 2019, respectively.</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nine months ended September 30, 2020, we terminated $3.7 billion of repurchase agreements with a weighted average interest rate of 2.11% and a weighted average remaining maturity of 2.2 years. The terminated agreements were replaced with shorter duration repurchase agreements at lower prevailing market rates. We recognized losses on debt extinguishment of $146 million in other gain (loss), net for the nine months ended September 30, 2020 associated with the terminated repurchase agreements. We did not terminate any repurchase agreements during the three months ended September 30, 2020 or the prior year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2020 and December 31, 2019, we had $8.6 billion and $10.2 billion, respectively, of reverse repurchase agreements outstanding used primarily to borrow securities to cover short sales of U.S. Treasury securities, for which we had associated obligations to return borrowed securities at fair value of $8.4 billion and $9.5 billion, respectively. As of September 30, 2020 and December 31, 2019, $3.6 billion and $5.4 billion, respectively, of our reverse repurchase agreements were with the FICC sourced through BES.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3.</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table below summarizes fair value information about our derivative and other hedging instrument assets/(liabilities) as of September 30, 2020 and December 31, 2019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00" w:type="dxa"/>
            <w:vAlign w:val="bottom"/>
            <w:vMerge w:val="restart"/>
          </w:tcPr>
          <w:p>
            <w:pPr>
              <w:spacing w:after="0"/>
              <w:rPr>
                <w:sz w:val="14"/>
                <w:szCs w:val="14"/>
                <w:color w:val="auto"/>
              </w:rPr>
            </w:pPr>
          </w:p>
        </w:tc>
        <w:tc>
          <w:tcPr>
            <w:tcW w:w="416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Swaptions</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TBA securities</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 short</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8"/>
        </w:trPr>
        <w:tc>
          <w:tcPr>
            <w:tcW w:w="44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derivative assets, at fair value</w:t>
            </w:r>
          </w:p>
        </w:tc>
        <w:tc>
          <w:tcPr>
            <w:tcW w:w="4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 short</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derivative liabilities, at fair value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U.S. Treasury securities,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69"/>
        </w:trPr>
        <w:tc>
          <w:tcPr>
            <w:tcW w:w="4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U.S. Treasury securities - short</w:t>
            </w:r>
          </w:p>
        </w:tc>
        <w:tc>
          <w:tcPr>
            <w:tcW w:w="42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Obligation to return securities borrowed under reverse</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(8,372)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(9,543)</w:t>
            </w:r>
          </w:p>
        </w:tc>
        <w:tc>
          <w:tcPr>
            <w:tcW w:w="0" w:type="dxa"/>
            <w:vAlign w:val="bottom"/>
          </w:tcPr>
          <w:p>
            <w:pPr>
              <w:spacing w:after="0"/>
              <w:rPr>
                <w:sz w:val="1"/>
                <w:szCs w:val="1"/>
                <w:color w:val="auto"/>
              </w:rPr>
            </w:pPr>
          </w:p>
        </w:tc>
      </w:tr>
      <w:tr>
        <w:trPr>
          <w:trHeight w:val="209"/>
        </w:trPr>
        <w:tc>
          <w:tcPr>
            <w:tcW w:w="4440" w:type="dxa"/>
            <w:vAlign w:val="bottom"/>
            <w:gridSpan w:val="2"/>
            <w:vMerge w:val="continue"/>
            <w:shd w:val="clear" w:color="auto" w:fill="CCEEFF"/>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at fair value</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U.S. Treasury securities, net at fair value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summarize certain characteristics of our derivative and other hedging instruments outstanding as of September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(dollars in millions):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September 30, 2020</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 2019</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 Fixed / Receive Variable Interest</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Receive</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Receive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Rate Swaps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0.10%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9,850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1.17%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1.55%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3.8</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1.70%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0.28%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1.36%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1.58%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8.9</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0.47%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14.4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1.64%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1.78%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15.4</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42,975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0.15%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79,075</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1.29%</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1.59%</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Pay Fixed / Receive Variable Interest Rate Swaps by</w:t>
            </w:r>
          </w:p>
        </w:tc>
        <w:tc>
          <w:tcPr>
            <w:tcW w:w="16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vMerge w:val="restart"/>
          </w:tcPr>
          <w:p>
            <w:pPr>
              <w:spacing w:after="0"/>
              <w:rPr>
                <w:sz w:val="14"/>
                <w:szCs w:val="14"/>
                <w:color w:val="auto"/>
              </w:rPr>
            </w:pPr>
          </w:p>
        </w:tc>
        <w:tc>
          <w:tcPr>
            <w:tcW w:w="16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 Index (% of Notional Amount)</w:t>
            </w:r>
          </w:p>
        </w:tc>
        <w:tc>
          <w:tcPr>
            <w:tcW w:w="2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SOFR</w:t>
            </w:r>
          </w:p>
        </w:tc>
        <w:tc>
          <w:tcPr>
            <w:tcW w:w="1660" w:type="dxa"/>
            <w:vAlign w:val="bottom"/>
          </w:tcPr>
          <w:p>
            <w:pPr>
              <w:jc w:val="right"/>
              <w:spacing w:after="0"/>
              <w:rPr>
                <w:sz w:val="20"/>
                <w:szCs w:val="20"/>
                <w:color w:val="auto"/>
              </w:rPr>
            </w:pPr>
            <w:r>
              <w:rPr>
                <w:rFonts w:ascii="Arial" w:cs="Arial" w:eastAsia="Arial" w:hAnsi="Arial"/>
                <w:sz w:val="16"/>
                <w:szCs w:val="16"/>
                <w:color w:val="auto"/>
              </w:rPr>
              <w:t>69 %</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OIS</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3M LIBOR</w:t>
            </w: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 %</w:t>
            </w:r>
          </w:p>
        </w:tc>
        <w:tc>
          <w:tcPr>
            <w:tcW w:w="164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38"/>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Swaptions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center"/>
              <w:ind w:left="622"/>
              <w:spacing w:after="0"/>
              <w:rPr>
                <w:sz w:val="20"/>
                <w:szCs w:val="20"/>
                <w:color w:val="auto"/>
              </w:rPr>
            </w:pPr>
            <w:r>
              <w:rPr>
                <w:rFonts w:ascii="Arial" w:cs="Arial" w:eastAsia="Arial" w:hAnsi="Arial"/>
                <w:sz w:val="14"/>
                <w:szCs w:val="14"/>
                <w:b w:val="1"/>
                <w:bCs w:val="1"/>
                <w:color w:val="auto"/>
                <w:w w:val="93"/>
              </w:rPr>
              <w:t>Underlying Payer Swap</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left="23"/>
              <w:spacing w:after="0" w:line="135"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Average Fixed</w:t>
            </w:r>
          </w:p>
        </w:tc>
        <w:tc>
          <w:tcPr>
            <w:tcW w:w="900" w:type="dxa"/>
            <w:vAlign w:val="bottom"/>
            <w:tcBorders>
              <w:top w:val="single" w:sz="8" w:color="auto"/>
            </w:tcBorders>
            <w:vMerge w:val="restart"/>
          </w:tcPr>
          <w:p>
            <w:pPr>
              <w:jc w:val="center"/>
              <w:ind w:right="122"/>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3"/>
              <w:spacing w:after="0" w:line="135" w:lineRule="exact"/>
              <w:rPr>
                <w:sz w:val="20"/>
                <w:szCs w:val="20"/>
                <w:color w:val="auto"/>
              </w:rPr>
            </w:pPr>
            <w:r>
              <w:rPr>
                <w:rFonts w:ascii="Arial" w:cs="Arial" w:eastAsia="Arial" w:hAnsi="Arial"/>
                <w:sz w:val="14"/>
                <w:szCs w:val="14"/>
                <w:b w:val="1"/>
                <w:bCs w:val="1"/>
                <w:color w:val="auto"/>
                <w:w w:val="95"/>
              </w:rPr>
              <w:t>Months to</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40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Option Expiration Date</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Basis</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tcPr>
          <w:p>
            <w:pPr>
              <w:jc w:val="center"/>
              <w:ind w:left="3"/>
              <w:spacing w:after="0" w:line="135" w:lineRule="exact"/>
              <w:rPr>
                <w:sz w:val="20"/>
                <w:szCs w:val="20"/>
                <w:color w:val="auto"/>
              </w:rPr>
            </w:pPr>
            <w:r>
              <w:rPr>
                <w:rFonts w:ascii="Arial" w:cs="Arial" w:eastAsia="Arial" w:hAnsi="Arial"/>
                <w:sz w:val="14"/>
                <w:szCs w:val="14"/>
                <w:b w:val="1"/>
                <w:bCs w:val="1"/>
                <w:color w:val="auto"/>
                <w:w w:val="96"/>
              </w:rPr>
              <w:t>Current Option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Pay</w:t>
            </w:r>
          </w:p>
        </w:tc>
        <w:tc>
          <w:tcPr>
            <w:tcW w:w="90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9"/>
        </w:trPr>
        <w:tc>
          <w:tcPr>
            <w:tcW w:w="4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w w:val="97"/>
              </w:rPr>
              <w:t>Expiration Date</w:t>
            </w: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tcPr>
          <w:p>
            <w:pPr>
              <w:jc w:val="center"/>
              <w:ind w:right="300"/>
              <w:spacing w:after="0" w:line="189" w:lineRule="exact"/>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18"/>
                <w:szCs w:val="18"/>
                <w:b w:val="1"/>
                <w:bCs w:val="1"/>
                <w:color w:val="auto"/>
                <w:w w:val="92"/>
                <w:vertAlign w:val="superscript"/>
              </w:rPr>
              <w:t>2</w:t>
            </w:r>
          </w:p>
        </w:tc>
        <w:tc>
          <w:tcPr>
            <w:tcW w:w="90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40" w:type="dxa"/>
            <w:vAlign w:val="bottom"/>
          </w:tcPr>
          <w:p>
            <w:pPr>
              <w:jc w:val="center"/>
              <w:ind w:left="3"/>
              <w:spacing w:after="0"/>
              <w:rPr>
                <w:sz w:val="20"/>
                <w:szCs w:val="20"/>
                <w:color w:val="auto"/>
              </w:rPr>
            </w:pPr>
            <w:r>
              <w:rPr>
                <w:rFonts w:ascii="Arial" w:cs="Arial" w:eastAsia="Arial" w:hAnsi="Arial"/>
                <w:sz w:val="16"/>
                <w:szCs w:val="16"/>
                <w:color w:val="auto"/>
                <w:w w:val="89"/>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6,400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2"/>
              <w:spacing w:after="0"/>
              <w:rPr>
                <w:sz w:val="20"/>
                <w:szCs w:val="20"/>
                <w:color w:val="auto"/>
              </w:rPr>
            </w:pPr>
            <w:r>
              <w:rPr>
                <w:rFonts w:ascii="Arial" w:cs="Arial" w:eastAsia="Arial" w:hAnsi="Arial"/>
                <w:sz w:val="16"/>
                <w:szCs w:val="16"/>
                <w:color w:val="auto"/>
                <w:w w:val="89"/>
              </w:rPr>
              <w:t>9.2</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3"/>
              <w:spacing w:after="0"/>
              <w:rPr>
                <w:sz w:val="20"/>
                <w:szCs w:val="20"/>
                <w:color w:val="auto"/>
              </w:rPr>
            </w:pPr>
            <w:r>
              <w:rPr>
                <w:rFonts w:ascii="Arial" w:cs="Arial" w:eastAsia="Arial" w:hAnsi="Arial"/>
                <w:sz w:val="16"/>
                <w:szCs w:val="16"/>
                <w:color w:val="auto"/>
                <w:w w:val="89"/>
              </w:rPr>
              <w:t>17</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right="102"/>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ind w:left="3"/>
              <w:spacing w:after="0"/>
              <w:rPr>
                <w:sz w:val="20"/>
                <w:szCs w:val="20"/>
                <w:color w:val="auto"/>
              </w:rPr>
            </w:pPr>
            <w:r>
              <w:rPr>
                <w:rFonts w:ascii="Arial" w:cs="Arial" w:eastAsia="Arial" w:hAnsi="Arial"/>
                <w:sz w:val="16"/>
                <w:szCs w:val="16"/>
                <w:color w:val="auto"/>
                <w:w w:val="89"/>
              </w:rPr>
              <w:t>7</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6,900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2.32%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color w:val="auto"/>
                <w:w w:val="89"/>
              </w:rPr>
              <w:t>9.3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
              <w:spacing w:after="0"/>
              <w:rPr>
                <w:sz w:val="20"/>
                <w:szCs w:val="20"/>
                <w:color w:val="auto"/>
              </w:rPr>
            </w:pPr>
            <w:r>
              <w:rPr>
                <w:rFonts w:ascii="Arial" w:cs="Arial" w:eastAsia="Arial" w:hAnsi="Arial"/>
                <w:sz w:val="16"/>
                <w:szCs w:val="16"/>
                <w:color w:val="auto"/>
                <w:w w:val="89"/>
              </w:rPr>
              <w:t>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2"/>
              <w:spacing w:after="0"/>
              <w:rPr>
                <w:sz w:val="20"/>
                <w:szCs w:val="20"/>
                <w:color w:val="auto"/>
              </w:rPr>
            </w:pPr>
            <w:r>
              <w:rPr>
                <w:rFonts w:ascii="Arial" w:cs="Arial" w:eastAsia="Arial" w:hAnsi="Arial"/>
                <w:sz w:val="16"/>
                <w:szCs w:val="16"/>
                <w:color w:val="auto"/>
                <w:w w:val="89"/>
              </w:rPr>
              <w:t>9.3</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ind w:left="3"/>
              <w:spacing w:after="0"/>
              <w:rPr>
                <w:sz w:val="20"/>
                <w:szCs w:val="20"/>
                <w:color w:val="auto"/>
              </w:rPr>
            </w:pPr>
            <w:r>
              <w:rPr>
                <w:rFonts w:ascii="Arial" w:cs="Arial" w:eastAsia="Arial" w:hAnsi="Arial"/>
                <w:sz w:val="16"/>
                <w:szCs w:val="16"/>
                <w:color w:val="auto"/>
                <w:w w:val="89"/>
              </w:rPr>
              <w:t>16</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3,200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2.50%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ind w:left="3"/>
              <w:spacing w:after="0"/>
              <w:rPr>
                <w:sz w:val="20"/>
                <w:szCs w:val="20"/>
                <w:color w:val="auto"/>
              </w:rPr>
            </w:pPr>
            <w:r>
              <w:rPr>
                <w:rFonts w:ascii="Arial" w:cs="Arial" w:eastAsia="Arial" w:hAnsi="Arial"/>
                <w:sz w:val="16"/>
                <w:szCs w:val="16"/>
                <w:color w:val="auto"/>
                <w:w w:val="89"/>
              </w:rPr>
              <w:t>11</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8,850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right="102"/>
              <w:spacing w:after="0"/>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September 30, 2020 and December 31, 2019, ≤ 1 year notional amount includes $700 million of Bermudan swaptions where the options may be exercised on predetermined dates up to their final exercise date, which is six months prior to the underlying swaps' maturity date.</w:t>
      </w:r>
    </w:p>
    <w:p>
      <w:pPr>
        <w:ind w:left="660" w:hanging="328"/>
        <w:spacing w:after="0" w:line="255"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September 30, 2020, 71% and 29% of the underlying swap receive rates were tied to 3-Month LIBOR and SOFR, respectively, and, as of December 31, 2019, 100% of the underlying payer swap receive rates were tied to 3-Month LIBOR.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 Treasury Securities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02"/>
              <w:spacing w:after="0" w:line="135" w:lineRule="exact"/>
              <w:rPr>
                <w:sz w:val="20"/>
                <w:szCs w:val="20"/>
                <w:color w:val="auto"/>
              </w:rPr>
            </w:pPr>
            <w:r>
              <w:rPr>
                <w:rFonts w:ascii="Arial" w:cs="Arial" w:eastAsia="Arial" w:hAnsi="Arial"/>
                <w:sz w:val="14"/>
                <w:szCs w:val="14"/>
                <w:b w:val="1"/>
                <w:bCs w:val="1"/>
                <w:color w:val="auto"/>
                <w:w w:val="94"/>
              </w:rPr>
              <w:t>Face Amount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4"/>
              </w:rPr>
              <w:t xml:space="preserve">Cost Basis </w:t>
            </w:r>
            <w:r>
              <w:rPr>
                <w:rFonts w:ascii="Arial" w:cs="Arial" w:eastAsia="Arial" w:hAnsi="Arial"/>
                <w:sz w:val="18"/>
                <w:szCs w:val="18"/>
                <w:b w:val="1"/>
                <w:bCs w:val="1"/>
                <w:color w:val="auto"/>
                <w:w w:val="94"/>
                <w:vertAlign w:val="superscript"/>
              </w:rPr>
              <w:t>1</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2"/>
              <w:spacing w:after="0" w:line="135" w:lineRule="exact"/>
              <w:rPr>
                <w:sz w:val="20"/>
                <w:szCs w:val="20"/>
                <w:color w:val="auto"/>
              </w:rPr>
            </w:pPr>
            <w:r>
              <w:rPr>
                <w:rFonts w:ascii="Arial" w:cs="Arial" w:eastAsia="Arial" w:hAnsi="Arial"/>
                <w:sz w:val="14"/>
                <w:szCs w:val="14"/>
                <w:b w:val="1"/>
                <w:bCs w:val="1"/>
                <w:color w:val="auto"/>
                <w:w w:val="99"/>
              </w:rPr>
              <w:t>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1"/>
              </w:rPr>
              <w:t xml:space="preserve">Cost Basis </w:t>
            </w:r>
            <w:r>
              <w:rPr>
                <w:rFonts w:ascii="Arial" w:cs="Arial" w:eastAsia="Arial" w:hAnsi="Arial"/>
                <w:sz w:val="18"/>
                <w:szCs w:val="18"/>
                <w:b w:val="1"/>
                <w:bCs w:val="1"/>
                <w:color w:val="auto"/>
                <w:w w:val="91"/>
                <w:vertAlign w:val="superscript"/>
              </w:rPr>
              <w:t>1</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9"/>
              </w:rPr>
              <w:t>Long/(Short)</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Long/(Short)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7 years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 years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(9,543)</w:t>
            </w:r>
          </w:p>
        </w:tc>
        <w:tc>
          <w:tcPr>
            <w:tcW w:w="0" w:type="dxa"/>
            <w:vAlign w:val="bottom"/>
          </w:tcPr>
          <w:p>
            <w:pPr>
              <w:spacing w:after="0"/>
              <w:rPr>
                <w:sz w:val="1"/>
                <w:szCs w:val="1"/>
                <w:color w:val="auto"/>
              </w:rPr>
            </w:pPr>
          </w:p>
        </w:tc>
      </w:tr>
      <w:tr>
        <w:trPr>
          <w:trHeight w:val="212"/>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Total U.S. Treasury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(7,728)</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(7,892)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(8,372)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(9,129)</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(9,234)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(9,446)</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September 30, 2020 and December 31, 2019, short U.S. Treasury securities had a weighted average yield of 1.32% and 2.19%, respectively, and, as of December 31, 2019, long U.S. Treasury securities had a weighted average yield of 2.21%.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U.S. Treasury Futures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21"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0"/>
                <w:szCs w:val="10"/>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21"/>
        </w:trPr>
        <w:tc>
          <w:tcPr>
            <w:tcW w:w="2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Maturity</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9"/>
              </w:rPr>
              <w:t>Long (Short)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0" w:type="dxa"/>
            <w:vAlign w:val="bottom"/>
          </w:tcPr>
          <w:p>
            <w:pPr>
              <w:spacing w:after="0"/>
              <w:rPr>
                <w:sz w:val="1"/>
                <w:szCs w:val="1"/>
                <w:color w:val="auto"/>
              </w:rPr>
            </w:pPr>
          </w:p>
        </w:tc>
      </w:tr>
      <w:tr>
        <w:trPr>
          <w:trHeight w:val="20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 years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0"/>
                <w:szCs w:val="10"/>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89"/>
              </w:rPr>
              <w:t>Net Carrying</w:t>
            </w:r>
          </w:p>
        </w:tc>
        <w:tc>
          <w:tcPr>
            <w:tcW w:w="0" w:type="dxa"/>
            <w:vAlign w:val="bottom"/>
          </w:tcPr>
          <w:p>
            <w:pPr>
              <w:spacing w:after="0"/>
              <w:rPr>
                <w:sz w:val="1"/>
                <w:szCs w:val="1"/>
                <w:color w:val="auto"/>
              </w:rPr>
            </w:pPr>
          </w:p>
        </w:tc>
      </w:tr>
      <w:tr>
        <w:trPr>
          <w:trHeight w:val="122"/>
        </w:trPr>
        <w:tc>
          <w:tcPr>
            <w:tcW w:w="2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TBA Securities by Coupon</w:t>
            </w: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18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840" w:type="dxa"/>
            <w:vAlign w:val="bottom"/>
          </w:tcPr>
          <w:p>
            <w:pPr>
              <w:jc w:val="right"/>
              <w:ind w:right="209"/>
              <w:spacing w:after="0" w:line="175"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8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10,228</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10,514</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10,552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15-Year TBA securities</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11,421</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11,456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30-Year TBA securities: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5,753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4.5%</w:t>
            </w: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17,427</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18,080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41</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28,521</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29,460</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29,536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firstLine="755"/>
        <w:spacing w:after="0" w:line="269"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and nine months ended September 30, 2020 and 2019 (in millions):</w:t>
      </w:r>
    </w:p>
    <w:tbl>
      <w:tblPr>
        <w:tblLayout w:type="fixed"/>
        <w:tblInd w:w="0" w:type="dxa"/>
        <w:tblCellMar>
          <w:top w:w="0" w:type="dxa"/>
          <w:left w:w="0" w:type="dxa"/>
          <w:bottom w:w="0" w:type="dxa"/>
          <w:right w:w="0" w:type="dxa"/>
        </w:tblCellMar>
      </w:tblPr>
      <w:tr>
        <w:trPr>
          <w:trHeight w:val="144"/>
        </w:trPr>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0"/>
              </w:rPr>
              <w:t>Settlement,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w w:val="99"/>
              </w:rPr>
              <w:t>Beginning</w:t>
            </w:r>
          </w:p>
        </w:tc>
        <w:tc>
          <w:tcPr>
            <w:tcW w:w="1240" w:type="dxa"/>
            <w:vAlign w:val="bottom"/>
          </w:tcPr>
          <w:p>
            <w:pPr>
              <w:spacing w:after="0"/>
              <w:rPr>
                <w:sz w:val="11"/>
                <w:szCs w:val="11"/>
                <w:color w:val="auto"/>
              </w:rPr>
            </w:pPr>
          </w:p>
        </w:tc>
        <w:tc>
          <w:tcPr>
            <w:tcW w:w="1200" w:type="dxa"/>
            <w:vAlign w:val="bottom"/>
          </w:tcPr>
          <w:p>
            <w:pPr>
              <w:jc w:val="center"/>
              <w:ind w:right="1"/>
              <w:spacing w:after="0" w:line="135" w:lineRule="exact"/>
              <w:rPr>
                <w:sz w:val="20"/>
                <w:szCs w:val="20"/>
                <w:color w:val="auto"/>
              </w:rPr>
            </w:pPr>
            <w:r>
              <w:rPr>
                <w:rFonts w:ascii="Arial" w:cs="Arial" w:eastAsia="Arial" w:hAnsi="Arial"/>
                <w:sz w:val="14"/>
                <w:szCs w:val="14"/>
                <w:b w:val="1"/>
                <w:bCs w:val="1"/>
                <w:color w:val="auto"/>
                <w:w w:val="95"/>
              </w:rPr>
              <w:t>Termination,</w:t>
            </w:r>
          </w:p>
        </w:tc>
        <w:tc>
          <w:tcPr>
            <w:tcW w:w="300" w:type="dxa"/>
            <w:vAlign w:val="bottom"/>
          </w:tcPr>
          <w:p>
            <w:pPr>
              <w:spacing w:after="0"/>
              <w:rPr>
                <w:sz w:val="11"/>
                <w:szCs w:val="11"/>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1"/>
                <w:szCs w:val="11"/>
                <w:color w:val="auto"/>
              </w:rPr>
            </w:pPr>
          </w:p>
        </w:tc>
        <w:tc>
          <w:tcPr>
            <w:tcW w:w="12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9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Additions</w:t>
            </w:r>
          </w:p>
        </w:tc>
        <w:tc>
          <w:tcPr>
            <w:tcW w:w="1200" w:type="dxa"/>
            <w:vAlign w:val="bottom"/>
          </w:tcPr>
          <w:p>
            <w:pPr>
              <w:jc w:val="center"/>
              <w:ind w:right="1"/>
              <w:spacing w:after="0" w:line="135" w:lineRule="exact"/>
              <w:rPr>
                <w:sz w:val="20"/>
                <w:szCs w:val="20"/>
                <w:color w:val="auto"/>
              </w:rPr>
            </w:pPr>
            <w:r>
              <w:rPr>
                <w:rFonts w:ascii="Arial" w:cs="Arial" w:eastAsia="Arial" w:hAnsi="Arial"/>
                <w:sz w:val="14"/>
                <w:szCs w:val="14"/>
                <w:b w:val="1"/>
                <w:bCs w:val="1"/>
                <w:color w:val="auto"/>
                <w:w w:val="97"/>
              </w:rPr>
              <w:t>Expiration or</w:t>
            </w:r>
          </w:p>
        </w:tc>
        <w:tc>
          <w:tcPr>
            <w:tcW w:w="3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2"/>
              </w:rPr>
              <w:t>Other Securities,</w:t>
            </w:r>
          </w:p>
        </w:tc>
        <w:tc>
          <w:tcPr>
            <w:tcW w:w="0" w:type="dxa"/>
            <w:vAlign w:val="bottom"/>
          </w:tcPr>
          <w:p>
            <w:pPr>
              <w:spacing w:after="0"/>
              <w:rPr>
                <w:sz w:val="1"/>
                <w:szCs w:val="1"/>
                <w:color w:val="auto"/>
              </w:rPr>
            </w:pPr>
          </w:p>
        </w:tc>
      </w:tr>
      <w:tr>
        <w:trPr>
          <w:trHeight w:val="189"/>
        </w:trPr>
        <w:tc>
          <w:tcPr>
            <w:tcW w:w="3860" w:type="dxa"/>
            <w:vAlign w:val="bottom"/>
            <w:vMerge w:val="continue"/>
          </w:tcPr>
          <w:p>
            <w:pPr>
              <w:spacing w:after="0"/>
              <w:rPr>
                <w:sz w:val="16"/>
                <w:szCs w:val="16"/>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Notional Amount</w:t>
            </w:r>
          </w:p>
        </w:tc>
        <w:tc>
          <w:tcPr>
            <w:tcW w:w="1240" w:type="dxa"/>
            <w:vAlign w:val="bottom"/>
            <w:vMerge w:val="continue"/>
          </w:tcPr>
          <w:p>
            <w:pPr>
              <w:spacing w:after="0"/>
              <w:rPr>
                <w:sz w:val="16"/>
                <w:szCs w:val="16"/>
                <w:color w:val="auto"/>
              </w:rPr>
            </w:pPr>
          </w:p>
        </w:tc>
        <w:tc>
          <w:tcPr>
            <w:tcW w:w="1200" w:type="dxa"/>
            <w:vAlign w:val="bottom"/>
          </w:tcPr>
          <w:p>
            <w:pPr>
              <w:jc w:val="center"/>
              <w:ind w:right="1"/>
              <w:spacing w:after="0"/>
              <w:rPr>
                <w:sz w:val="20"/>
                <w:szCs w:val="20"/>
                <w:color w:val="auto"/>
              </w:rPr>
            </w:pPr>
            <w:r>
              <w:rPr>
                <w:rFonts w:ascii="Arial" w:cs="Arial" w:eastAsia="Arial" w:hAnsi="Arial"/>
                <w:sz w:val="14"/>
                <w:szCs w:val="14"/>
                <w:b w:val="1"/>
                <w:bCs w:val="1"/>
                <w:color w:val="auto"/>
                <w:w w:val="90"/>
              </w:rPr>
              <w:t>Exercise</w:t>
            </w: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Notional Amount</w:t>
            </w:r>
          </w:p>
        </w:tc>
        <w:tc>
          <w:tcPr>
            <w:tcW w:w="120" w:type="dxa"/>
            <w:vAlign w:val="bottom"/>
          </w:tcPr>
          <w:p>
            <w:pPr>
              <w:spacing w:after="0"/>
              <w:rPr>
                <w:sz w:val="16"/>
                <w:szCs w:val="16"/>
                <w:color w:val="auto"/>
              </w:rPr>
            </w:pPr>
          </w:p>
        </w:tc>
        <w:tc>
          <w:tcPr>
            <w:tcW w:w="1200" w:type="dxa"/>
            <w:vAlign w:val="bottom"/>
          </w:tcPr>
          <w:p>
            <w:pPr>
              <w:jc w:val="center"/>
              <w:ind w:right="61"/>
              <w:spacing w:after="0" w:line="189" w:lineRule="exact"/>
              <w:rPr>
                <w:sz w:val="20"/>
                <w:szCs w:val="20"/>
                <w:color w:val="auto"/>
              </w:rPr>
            </w:pPr>
            <w:r>
              <w:rPr>
                <w:rFonts w:ascii="Arial" w:cs="Arial" w:eastAsia="Arial" w:hAnsi="Arial"/>
                <w:sz w:val="14"/>
                <w:szCs w:val="14"/>
                <w:b w:val="1"/>
                <w:bCs w:val="1"/>
                <w:color w:val="auto"/>
                <w:w w:val="90"/>
              </w:rPr>
              <w:t xml:space="preserve">Net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2020:</w:t>
            </w: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19,760</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80,599</w:t>
            </w:r>
          </w:p>
        </w:tc>
        <w:tc>
          <w:tcPr>
            <w:tcW w:w="1200" w:type="dxa"/>
            <w:vAlign w:val="bottom"/>
          </w:tcPr>
          <w:p>
            <w:pPr>
              <w:jc w:val="right"/>
              <w:spacing w:after="0"/>
              <w:rPr>
                <w:sz w:val="20"/>
                <w:szCs w:val="20"/>
                <w:color w:val="auto"/>
              </w:rPr>
            </w:pPr>
            <w:r>
              <w:rPr>
                <w:rFonts w:ascii="Arial" w:cs="Arial" w:eastAsia="Arial" w:hAnsi="Arial"/>
                <w:sz w:val="16"/>
                <w:szCs w:val="16"/>
                <w:color w:val="auto"/>
              </w:rPr>
              <w:t>(71,838)</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28,521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42,075</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24,975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(24,075)</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42,975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Payer swaptions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9,350</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(2,450)</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6,900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(7,247)</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(2,735)</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2,255</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(7,727)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long position</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1,132</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(1,133)</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2019:</w:t>
            </w:r>
          </w:p>
        </w:tc>
        <w:tc>
          <w:tcPr>
            <w:tcW w:w="9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11,043</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24,305</w:t>
            </w:r>
          </w:p>
        </w:tc>
        <w:tc>
          <w:tcPr>
            <w:tcW w:w="1200" w:type="dxa"/>
            <w:vAlign w:val="bottom"/>
          </w:tcPr>
          <w:p>
            <w:pPr>
              <w:jc w:val="right"/>
              <w:spacing w:after="0"/>
              <w:rPr>
                <w:sz w:val="20"/>
                <w:szCs w:val="20"/>
                <w:color w:val="auto"/>
              </w:rPr>
            </w:pPr>
            <w:r>
              <w:rPr>
                <w:rFonts w:ascii="Arial" w:cs="Arial" w:eastAsia="Arial" w:hAnsi="Arial"/>
                <w:sz w:val="16"/>
                <w:szCs w:val="16"/>
                <w:color w:val="auto"/>
              </w:rPr>
              <w:t>(33,381)</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74,950</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82,625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81,775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Interest rate swaps - receiver</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(175)</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175</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4,400</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4,500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8,650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(7,245)</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(98)</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2,710</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(4,633)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1,134</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rPr>
              <w:t>(1,650)</w:t>
            </w:r>
          </w:p>
        </w:tc>
        <w:tc>
          <w:tcPr>
            <w:tcW w:w="12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(1,000)</w:t>
            </w:r>
          </w:p>
        </w:tc>
        <w:tc>
          <w:tcPr>
            <w:tcW w:w="12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1,650</w:t>
            </w:r>
          </w:p>
        </w:tc>
        <w:tc>
          <w:tcPr>
            <w:tcW w:w="3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right w:val="single" w:sz="8" w:color="auto"/>
            </w:tcBorders>
          </w:tcPr>
          <w:p>
            <w:pPr>
              <w:jc w:val="right"/>
              <w:ind w:right="6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2020:</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7,322</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193,535</w:t>
            </w:r>
          </w:p>
        </w:tc>
        <w:tc>
          <w:tcPr>
            <w:tcW w:w="1020" w:type="dxa"/>
            <w:vAlign w:val="bottom"/>
          </w:tcPr>
          <w:p>
            <w:pPr>
              <w:jc w:val="right"/>
              <w:spacing w:after="0"/>
              <w:rPr>
                <w:sz w:val="20"/>
                <w:szCs w:val="20"/>
                <w:color w:val="auto"/>
              </w:rPr>
            </w:pPr>
            <w:r>
              <w:rPr>
                <w:rFonts w:ascii="Arial" w:cs="Arial" w:eastAsia="Arial" w:hAnsi="Arial"/>
                <w:sz w:val="16"/>
                <w:szCs w:val="16"/>
                <w:color w:val="auto"/>
              </w:rPr>
              <w:t>(172,336)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28,521</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1,196</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79,075</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100,700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(136,800)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42,975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Payer swaptions</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8,850</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2,000</w:t>
            </w:r>
          </w:p>
        </w:tc>
        <w:tc>
          <w:tcPr>
            <w:tcW w:w="1020" w:type="dxa"/>
            <w:vAlign w:val="bottom"/>
          </w:tcPr>
          <w:p>
            <w:pPr>
              <w:jc w:val="right"/>
              <w:spacing w:after="0"/>
              <w:rPr>
                <w:sz w:val="20"/>
                <w:szCs w:val="20"/>
                <w:color w:val="auto"/>
              </w:rPr>
            </w:pPr>
            <w:r>
              <w:rPr>
                <w:rFonts w:ascii="Arial" w:cs="Arial" w:eastAsia="Arial" w:hAnsi="Arial"/>
                <w:sz w:val="16"/>
                <w:szCs w:val="16"/>
                <w:color w:val="auto"/>
              </w:rPr>
              <w:t>(3,950)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6,900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(9,224)</w:t>
            </w: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(12,967)</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14,464</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(7,727)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long position</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95</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7,011</w:t>
            </w:r>
          </w:p>
        </w:tc>
        <w:tc>
          <w:tcPr>
            <w:tcW w:w="1020" w:type="dxa"/>
            <w:vAlign w:val="bottom"/>
          </w:tcPr>
          <w:p>
            <w:pPr>
              <w:jc w:val="right"/>
              <w:spacing w:after="0"/>
              <w:rPr>
                <w:sz w:val="20"/>
                <w:szCs w:val="20"/>
                <w:color w:val="auto"/>
              </w:rPr>
            </w:pPr>
            <w:r>
              <w:rPr>
                <w:rFonts w:ascii="Arial" w:cs="Arial" w:eastAsia="Arial" w:hAnsi="Arial"/>
                <w:sz w:val="16"/>
                <w:szCs w:val="16"/>
                <w:color w:val="auto"/>
              </w:rPr>
              <w:t>(7,107)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(1,000)</w:t>
            </w: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(3,000)</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49"/>
        </w:trPr>
        <w:tc>
          <w:tcPr>
            <w:tcW w:w="3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w:t>
            </w: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2019:</w:t>
            </w:r>
          </w:p>
        </w:tc>
        <w:tc>
          <w:tcPr>
            <w:tcW w:w="1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7,152</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70,606</w:t>
            </w:r>
          </w:p>
        </w:tc>
        <w:tc>
          <w:tcPr>
            <w:tcW w:w="1020" w:type="dxa"/>
            <w:vAlign w:val="bottom"/>
          </w:tcPr>
          <w:p>
            <w:pPr>
              <w:jc w:val="right"/>
              <w:spacing w:after="0"/>
              <w:rPr>
                <w:sz w:val="20"/>
                <w:szCs w:val="20"/>
                <w:color w:val="auto"/>
              </w:rPr>
            </w:pPr>
            <w:r>
              <w:rPr>
                <w:rFonts w:ascii="Arial" w:cs="Arial" w:eastAsia="Arial" w:hAnsi="Arial"/>
                <w:sz w:val="16"/>
                <w:szCs w:val="16"/>
                <w:color w:val="auto"/>
              </w:rPr>
              <w:t>(75,791)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51,625</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152,975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(122,825)</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81,775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Interest rate swaps - receiver</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(175)</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3,500</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7,150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8,650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(21,345)</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(7,404)</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24,116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(4,633)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(1,084)</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45</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1,776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1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279"/>
              <w:spacing w:after="0"/>
              <w:rPr>
                <w:sz w:val="20"/>
                <w:szCs w:val="20"/>
                <w:color w:val="auto"/>
              </w:rPr>
            </w:pPr>
            <w:r>
              <w:rPr>
                <w:rFonts w:ascii="Arial" w:cs="Arial" w:eastAsia="Arial" w:hAnsi="Arial"/>
                <w:sz w:val="16"/>
                <w:szCs w:val="16"/>
                <w:color w:val="auto"/>
              </w:rPr>
              <w:t>(1,650)</w:t>
            </w:r>
          </w:p>
        </w:tc>
        <w:tc>
          <w:tcPr>
            <w:tcW w:w="1260" w:type="dxa"/>
            <w:vAlign w:val="bottom"/>
            <w:tcBorders>
              <w:bottom w:val="single" w:sz="8" w:color="CCEEFF"/>
            </w:tcBorders>
          </w:tcPr>
          <w:p>
            <w:pPr>
              <w:jc w:val="right"/>
              <w:ind w:right="259"/>
              <w:spacing w:after="0"/>
              <w:rPr>
                <w:sz w:val="20"/>
                <w:szCs w:val="20"/>
                <w:color w:val="auto"/>
              </w:rPr>
            </w:pPr>
            <w:r>
              <w:rPr>
                <w:rFonts w:ascii="Arial" w:cs="Arial" w:eastAsia="Arial" w:hAnsi="Arial"/>
                <w:sz w:val="16"/>
                <w:szCs w:val="16"/>
                <w:color w:val="auto"/>
              </w:rPr>
              <w:t>(4,300)</w:t>
            </w:r>
          </w:p>
        </w:tc>
        <w:tc>
          <w:tcPr>
            <w:tcW w:w="10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4,950</w:t>
            </w:r>
          </w:p>
        </w:tc>
        <w:tc>
          <w:tcPr>
            <w:tcW w:w="44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auto"/>
            </w:tcBorders>
          </w:tcPr>
          <w:p>
            <w:pPr>
              <w:jc w:val="right"/>
              <w:ind w:right="5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35"/>
        </w:trPr>
        <w:tc>
          <w:tcPr>
            <w:tcW w:w="38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6474460</wp:posOffset>
            </wp:positionH>
            <wp:positionV relativeFrom="page">
              <wp:posOffset>594995</wp:posOffset>
            </wp:positionV>
            <wp:extent cx="8401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page">
              <wp:posOffset>6474460</wp:posOffset>
            </wp:positionH>
            <wp:positionV relativeFrom="page">
              <wp:posOffset>620395</wp:posOffset>
            </wp:positionV>
            <wp:extent cx="8401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exclude $146 million of losses on debt extinguishment for the nine months ended September 30, 2020 (see Note 5) and other miscellaneous gains and losses for all periods presented recognized in gain (loss) on derivative instruments and other securities, net in our consolidated statements of comprehensive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2020, our maximum amount at risk with any counterparty related to our repurchase agreements, excluding the Fixed Income Clearing Corporation, was less than 2% of our tangible stockholders' equity (measured as the excess of the value of collateral pledged over the amount of our repurchase liabilities). As of September 30, 2020, approximately 10% of our tangible stockholder's equity was at risk with the Fixed Income Clearing Corporation.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ind w:firstLine="445"/>
        <w:spacing w:after="0" w:line="284" w:lineRule="auto"/>
        <w:rPr>
          <w:sz w:val="20"/>
          <w:szCs w:val="20"/>
          <w:color w:val="auto"/>
        </w:rPr>
      </w:pPr>
      <w:r>
        <w:rPr>
          <w:rFonts w:ascii="Arial" w:cs="Arial" w:eastAsia="Arial" w:hAnsi="Arial"/>
          <w:sz w:val="17"/>
          <w:szCs w:val="17"/>
          <w:color w:val="auto"/>
        </w:rPr>
        <w:t>The following tables summarize our assets pledged as collateral under our funding, derivative and brokerage and clearing agreements by type, including securities pledged related to securities sold but not yet settled, as of September 30, 2020 and December 31, 2019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Repurchase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Debt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Brokerage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Clearing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Agreements</w:t>
            </w:r>
          </w:p>
        </w:tc>
        <w:tc>
          <w:tcPr>
            <w:tcW w:w="400" w:type="dxa"/>
            <w:vAlign w:val="bottom"/>
            <w:tcBorders>
              <w:bottom w:val="single" w:sz="8" w:color="auto"/>
            </w:tcBorders>
          </w:tcPr>
          <w:p>
            <w:pPr>
              <w:jc w:val="right"/>
              <w:ind w:right="253"/>
              <w:spacing w:after="0"/>
              <w:rPr>
                <w:sz w:val="20"/>
                <w:szCs w:val="20"/>
                <w:color w:val="auto"/>
              </w:rPr>
            </w:pPr>
            <w:r>
              <w:rPr>
                <w:rFonts w:ascii="Arial" w:cs="Arial" w:eastAsia="Arial" w:hAnsi="Arial"/>
                <w:sz w:val="9"/>
                <w:szCs w:val="9"/>
                <w:b w:val="1"/>
                <w:bCs w:val="1"/>
                <w:color w:val="auto"/>
              </w:rPr>
              <w:t>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Consolidated VIEs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Agreements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9"/>
              </w:rPr>
              <w:t xml:space="preserve">Agreements </w:t>
            </w:r>
            <w:r>
              <w:rPr>
                <w:rFonts w:ascii="Arial" w:cs="Arial" w:eastAsia="Arial" w:hAnsi="Arial"/>
                <w:sz w:val="18"/>
                <w:szCs w:val="18"/>
                <w:b w:val="1"/>
                <w:bCs w:val="1"/>
                <w:color w:val="auto"/>
                <w:w w:val="89"/>
                <w:vertAlign w:val="superscript"/>
              </w:rPr>
              <w:t>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55,136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56,165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7"/>
                <w:szCs w:val="17"/>
                <w:color w:val="auto"/>
              </w:rPr>
            </w:pPr>
          </w:p>
        </w:tc>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57,020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58,961</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Repurchase</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Debt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Brokerage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Clearing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Agreements</w:t>
            </w:r>
          </w:p>
        </w:tc>
        <w:tc>
          <w:tcPr>
            <w:tcW w:w="400" w:type="dxa"/>
            <w:vAlign w:val="bottom"/>
          </w:tcPr>
          <w:p>
            <w:pPr>
              <w:jc w:val="right"/>
              <w:ind w:right="273"/>
              <w:spacing w:after="0"/>
              <w:rPr>
                <w:sz w:val="20"/>
                <w:szCs w:val="20"/>
                <w:color w:val="auto"/>
              </w:rPr>
            </w:pPr>
            <w:r>
              <w:rPr>
                <w:rFonts w:ascii="Arial" w:cs="Arial" w:eastAsia="Arial" w:hAnsi="Arial"/>
                <w:sz w:val="9"/>
                <w:szCs w:val="9"/>
                <w:b w:val="1"/>
                <w:bCs w:val="1"/>
                <w:color w:val="auto"/>
                <w:w w:val="78"/>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Consolidated VIEs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Agreements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80"/>
              <w:spacing w:after="0" w:line="189" w:lineRule="exact"/>
              <w:rPr>
                <w:sz w:val="20"/>
                <w:szCs w:val="20"/>
                <w:color w:val="auto"/>
              </w:rPr>
            </w:pPr>
            <w:r>
              <w:rPr>
                <w:rFonts w:ascii="Arial" w:cs="Arial" w:eastAsia="Arial" w:hAnsi="Arial"/>
                <w:sz w:val="14"/>
                <w:szCs w:val="14"/>
                <w:b w:val="1"/>
                <w:bCs w:val="1"/>
                <w:color w:val="auto"/>
                <w:w w:val="89"/>
              </w:rPr>
              <w:t xml:space="preserve">Agreements </w:t>
            </w:r>
            <w:r>
              <w:rPr>
                <w:rFonts w:ascii="Arial" w:cs="Arial" w:eastAsia="Arial" w:hAnsi="Arial"/>
                <w:sz w:val="18"/>
                <w:szCs w:val="18"/>
                <w:b w:val="1"/>
                <w:bCs w:val="1"/>
                <w:color w:val="auto"/>
                <w:w w:val="89"/>
                <w:vertAlign w:val="superscript"/>
              </w:rPr>
              <w:t>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92,142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CRT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U.S. Treasury securities - fair value</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Accrued interest on pledged securities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93,282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94,634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 and securities sold but not yet settled.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$131 million and $144 million of retained interests in our consolidated VIEs pledged as collateral under repurchase agreements as of September 30, 2020 and December 31, 2019, respectively.</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5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September 30, 2020 and December 31, 2019 (in millions). For the corresponding borrowings associated with the following amounts and the interest rates thereon, refer to Note 5</w:t>
      </w:r>
      <w:r>
        <w:rPr>
          <w:rFonts w:ascii="Arial" w:cs="Arial" w:eastAsia="Arial" w:hAnsi="Arial"/>
          <w:sz w:val="18"/>
          <w:szCs w:val="18"/>
          <w:i w:val="1"/>
          <w:iCs w:val="1"/>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September 30, 2020</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35"/>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40" w:type="dxa"/>
            <w:vAlign w:val="bottom"/>
          </w:tcPr>
          <w:p>
            <w:pPr>
              <w:spacing w:after="0"/>
              <w:rPr>
                <w:sz w:val="11"/>
                <w:szCs w:val="11"/>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9"/>
              </w:rPr>
              <w:t>Fair Value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Interest on</w:t>
            </w:r>
          </w:p>
        </w:tc>
        <w:tc>
          <w:tcPr>
            <w:tcW w:w="160" w:type="dxa"/>
            <w:vAlign w:val="bottom"/>
          </w:tcPr>
          <w:p>
            <w:pPr>
              <w:spacing w:after="0"/>
              <w:rPr>
                <w:sz w:val="11"/>
                <w:szCs w:val="11"/>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35"/>
        </w:trPr>
        <w:tc>
          <w:tcPr>
            <w:tcW w:w="3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18"/>
                <w:szCs w:val="18"/>
                <w:b w:val="1"/>
                <w:bCs w:val="1"/>
                <w:color w:val="auto"/>
                <w:vertAlign w:val="superscript"/>
              </w:rPr>
              <w:t>1,2</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Pledged Securities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9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83"/>
        </w:trPr>
        <w:tc>
          <w:tcPr>
            <w:tcW w:w="3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28,729</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27,243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56,990</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55,951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6"/>
        </w:trPr>
        <w:tc>
          <w:tcPr>
            <w:tcW w:w="392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8,214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14,410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3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14,051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13,380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11"/>
        </w:trPr>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56,014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53,215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92,547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90,887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140" w:hanging="328"/>
        <w:spacing w:after="0" w:line="241"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$131 million and $144 million of retained interests in our consolidated VIEs pledged as collateral under repurchase agreements as of September 30, 2020 and December 31, 2019, respectively.</w:t>
      </w:r>
    </w:p>
    <w:p>
      <w:pPr>
        <w:ind w:left="660" w:right="720" w:hanging="328"/>
        <w:spacing w:after="0" w:line="25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$200 million and $357 million of repledged U.S. Treasury securities received as collateral from counterparties as of September 30, 2020 and December 31, 2019,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September 30, 2020 and December 31, 2019, we had assets pledged to us from counterparties as collateral under our reverse repurchase and derivative agreements summarized in the tables below (in millions).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 2020</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U.S. Treasury securities - fair value</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8,579</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3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8,790</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10,099</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10,100</w:t>
            </w: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ind w:left="180"/>
              <w:spacing w:after="0"/>
              <w:rPr>
                <w:sz w:val="20"/>
                <w:szCs w:val="20"/>
                <w:color w:val="auto"/>
              </w:rPr>
            </w:pPr>
            <w:r>
              <w:rPr>
                <w:rFonts w:ascii="Arial" w:cs="Arial" w:eastAsia="Arial" w:hAnsi="Arial"/>
                <w:sz w:val="9"/>
                <w:szCs w:val="9"/>
                <w:b w:val="1"/>
                <w:bCs w:val="1"/>
                <w:color w:val="auto"/>
              </w:rPr>
              <w:t>1</w:t>
            </w: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Cash</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11"/>
        </w:trPr>
        <w:tc>
          <w:tcPr>
            <w:tcW w:w="2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September 30, 2020 and December 31, 2019, $200 million and $357 million, respectively, of U.S. Treasury securities received from counterparties were repledged as collateral and $8.4 billion and $9.5 billion, respectively, were used to cover short sales of U.S. Treasury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September 30, 2020 and December 31, 2019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14"/>
          </w:tcPr>
          <w:p>
            <w:pPr>
              <w:jc w:val="right"/>
              <w:ind w:right="68"/>
              <w:spacing w:after="0"/>
              <w:rPr>
                <w:sz w:val="20"/>
                <w:szCs w:val="20"/>
                <w:color w:val="auto"/>
              </w:rPr>
            </w:pPr>
            <w:r>
              <w:rPr>
                <w:rFonts w:ascii="Arial" w:cs="Arial" w:eastAsia="Arial" w:hAnsi="Arial"/>
                <w:sz w:val="14"/>
                <w:szCs w:val="14"/>
                <w:b w:val="1"/>
                <w:bCs w:val="1"/>
                <w:color w:val="auto"/>
              </w:rPr>
              <w:t>Offsetting of Financial and Derivative Assets</w:t>
            </w: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7"/>
          </w:tcPr>
          <w:p>
            <w:pPr>
              <w:ind w:left="200"/>
              <w:spacing w:after="0"/>
              <w:rPr>
                <w:sz w:val="20"/>
                <w:szCs w:val="20"/>
                <w:color w:val="auto"/>
              </w:rPr>
            </w:pPr>
            <w:r>
              <w:rPr>
                <w:rFonts w:ascii="Arial" w:cs="Arial" w:eastAsia="Arial" w:hAnsi="Arial"/>
                <w:sz w:val="14"/>
                <w:szCs w:val="14"/>
                <w:b w:val="1"/>
                <w:bCs w:val="1"/>
                <w:color w:val="auto"/>
              </w:rPr>
              <w:t>Gross Amounts Not Offset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ind w:right="68"/>
              <w:spacing w:after="0" w:line="135" w:lineRule="exact"/>
              <w:rPr>
                <w:sz w:val="20"/>
                <w:szCs w:val="20"/>
                <w:color w:val="auto"/>
              </w:rPr>
            </w:pPr>
            <w:r>
              <w:rPr>
                <w:rFonts w:ascii="Arial" w:cs="Arial" w:eastAsia="Arial" w:hAnsi="Arial"/>
                <w:sz w:val="14"/>
                <w:szCs w:val="14"/>
                <w:b w:val="1"/>
                <w:bCs w:val="1"/>
                <w:color w:val="auto"/>
              </w:rPr>
              <w:t>in the</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Net Amounts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4"/>
              </w:rPr>
              <w:t>Consolidated Balance Sheets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Gross Amounts</w:t>
            </w:r>
          </w:p>
        </w:tc>
        <w:tc>
          <w:tcPr>
            <w:tcW w:w="1220" w:type="dxa"/>
            <w:vAlign w:val="bottom"/>
            <w:gridSpan w:val="4"/>
          </w:tcPr>
          <w:p>
            <w:pPr>
              <w:jc w:val="center"/>
              <w:ind w:right="120"/>
              <w:spacing w:after="0" w:line="115" w:lineRule="exact"/>
              <w:rPr>
                <w:sz w:val="20"/>
                <w:szCs w:val="20"/>
                <w:color w:val="auto"/>
              </w:rPr>
            </w:pPr>
            <w:r>
              <w:rPr>
                <w:rFonts w:ascii="Arial" w:cs="Arial" w:eastAsia="Arial" w:hAnsi="Arial"/>
                <w:sz w:val="13"/>
                <w:szCs w:val="13"/>
                <w:b w:val="1"/>
                <w:bCs w:val="1"/>
                <w:color w:val="auto"/>
                <w:w w:val="96"/>
              </w:rPr>
              <w:t>Gross Amounts</w:t>
            </w:r>
          </w:p>
        </w:tc>
        <w:tc>
          <w:tcPr>
            <w:tcW w:w="1240" w:type="dxa"/>
            <w:vAlign w:val="bottom"/>
            <w:gridSpan w:val="5"/>
          </w:tcPr>
          <w:p>
            <w:pPr>
              <w:jc w:val="center"/>
              <w:ind w:right="100"/>
              <w:spacing w:after="0" w:line="115" w:lineRule="exact"/>
              <w:rPr>
                <w:sz w:val="20"/>
                <w:szCs w:val="20"/>
                <w:color w:val="auto"/>
              </w:rPr>
            </w:pPr>
            <w:r>
              <w:rPr>
                <w:rFonts w:ascii="Arial" w:cs="Arial" w:eastAsia="Arial" w:hAnsi="Arial"/>
                <w:sz w:val="13"/>
                <w:szCs w:val="13"/>
                <w:b w:val="1"/>
                <w:bCs w:val="1"/>
                <w:color w:val="auto"/>
                <w:w w:val="93"/>
              </w:rPr>
              <w:t>Assets Presented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in the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Financial</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Collateral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of Recognized</w:t>
            </w:r>
          </w:p>
        </w:tc>
        <w:tc>
          <w:tcPr>
            <w:tcW w:w="80" w:type="dxa"/>
            <w:vAlign w:val="bottom"/>
          </w:tcPr>
          <w:p>
            <w:pPr>
              <w:spacing w:after="0"/>
              <w:rPr>
                <w:sz w:val="11"/>
                <w:szCs w:val="11"/>
                <w:color w:val="auto"/>
              </w:rPr>
            </w:pPr>
          </w:p>
        </w:tc>
        <w:tc>
          <w:tcPr>
            <w:tcW w:w="114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Net Amount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Balance Sheets</w:t>
            </w:r>
          </w:p>
        </w:tc>
        <w:tc>
          <w:tcPr>
            <w:tcW w:w="80" w:type="dxa"/>
            <w:vAlign w:val="bottom"/>
          </w:tcPr>
          <w:p>
            <w:pPr>
              <w:spacing w:after="0"/>
              <w:rPr>
                <w:sz w:val="16"/>
                <w:szCs w:val="16"/>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Instruments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right"/>
              <w:ind w:right="360"/>
              <w:spacing w:after="0" w:line="189" w:lineRule="exact"/>
              <w:rPr>
                <w:sz w:val="20"/>
                <w:szCs w:val="20"/>
                <w:color w:val="auto"/>
              </w:rPr>
            </w:pPr>
            <w:r>
              <w:rPr>
                <w:rFonts w:ascii="Arial" w:cs="Arial" w:eastAsia="Arial" w:hAnsi="Arial"/>
                <w:sz w:val="14"/>
                <w:szCs w:val="14"/>
                <w:b w:val="1"/>
                <w:bCs w:val="1"/>
                <w:color w:val="auto"/>
                <w:w w:val="85"/>
              </w:rPr>
              <w:t xml:space="preserve">Received </w:t>
            </w:r>
            <w:r>
              <w:rPr>
                <w:rFonts w:ascii="Arial" w:cs="Arial" w:eastAsia="Arial" w:hAnsi="Arial"/>
                <w:sz w:val="18"/>
                <w:szCs w:val="18"/>
                <w:b w:val="1"/>
                <w:bCs w:val="1"/>
                <w:color w:val="auto"/>
                <w:w w:val="85"/>
                <w:vertAlign w:val="superscript"/>
              </w:rPr>
              <w:t>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tcPr>
          <w:p>
            <w:pPr>
              <w:ind w:left="80"/>
              <w:spacing w:after="0" w:line="189"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15"/>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980" w:type="dxa"/>
            <w:vAlign w:val="bottom"/>
            <w:gridSpan w:val="2"/>
          </w:tcPr>
          <w:p>
            <w:pPr>
              <w:ind w:left="60"/>
              <w:spacing w:after="0"/>
              <w:rPr>
                <w:sz w:val="20"/>
                <w:szCs w:val="20"/>
                <w:color w:val="auto"/>
              </w:rPr>
            </w:pPr>
            <w:r>
              <w:rPr>
                <w:rFonts w:ascii="Arial" w:cs="Arial" w:eastAsia="Arial" w:hAnsi="Arial"/>
                <w:sz w:val="14"/>
                <w:szCs w:val="14"/>
                <w:color w:val="auto"/>
              </w:rPr>
              <w:t>Receivable under reverse repurchase agreements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(5,463)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(3,147)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9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tcPr>
          <w:p>
            <w:pPr>
              <w:ind w:left="80"/>
              <w:spacing w:after="0" w:line="189"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15"/>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980" w:type="dxa"/>
            <w:vAlign w:val="bottom"/>
            <w:gridSpan w:val="2"/>
          </w:tcPr>
          <w:p>
            <w:pPr>
              <w:ind w:left="60"/>
              <w:spacing w:after="0"/>
              <w:rPr>
                <w:sz w:val="20"/>
                <w:szCs w:val="20"/>
                <w:color w:val="auto"/>
              </w:rPr>
            </w:pPr>
            <w:r>
              <w:rPr>
                <w:rFonts w:ascii="Arial" w:cs="Arial" w:eastAsia="Arial" w:hAnsi="Arial"/>
                <w:sz w:val="14"/>
                <w:szCs w:val="14"/>
                <w:color w:val="auto"/>
              </w:rPr>
              <w:t>Receivable under reverse repurchase agreements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9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4"/>
          </w:tcPr>
          <w:p>
            <w:pPr>
              <w:jc w:val="right"/>
              <w:spacing w:after="0"/>
              <w:rPr>
                <w:sz w:val="20"/>
                <w:szCs w:val="20"/>
                <w:color w:val="auto"/>
              </w:rPr>
            </w:pPr>
            <w:r>
              <w:rPr>
                <w:rFonts w:ascii="Arial" w:cs="Arial" w:eastAsia="Arial" w:hAnsi="Arial"/>
                <w:sz w:val="14"/>
                <w:szCs w:val="14"/>
                <w:b w:val="1"/>
                <w:bCs w:val="1"/>
                <w:color w:val="auto"/>
              </w:rPr>
              <w:t>Offsetting of Financial and Derivative Liabilities</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Gross Amounts Not Offset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ind w:right="8"/>
              <w:spacing w:after="0" w:line="135" w:lineRule="exact"/>
              <w:rPr>
                <w:sz w:val="20"/>
                <w:szCs w:val="20"/>
                <w:color w:val="auto"/>
              </w:rPr>
            </w:pPr>
            <w:r>
              <w:rPr>
                <w:rFonts w:ascii="Arial" w:cs="Arial" w:eastAsia="Arial" w:hAnsi="Arial"/>
                <w:sz w:val="14"/>
                <w:szCs w:val="14"/>
                <w:b w:val="1"/>
                <w:bCs w:val="1"/>
                <w:color w:val="auto"/>
              </w:rPr>
              <w:t>in the</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Net Amounts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w:t>
            </w:r>
          </w:p>
        </w:tc>
        <w:tc>
          <w:tcPr>
            <w:tcW w:w="80" w:type="dxa"/>
            <w:vAlign w:val="bottom"/>
          </w:tcPr>
          <w:p>
            <w:pPr>
              <w:spacing w:after="0"/>
              <w:rPr>
                <w:sz w:val="10"/>
                <w:szCs w:val="10"/>
                <w:color w:val="auto"/>
              </w:rPr>
            </w:pPr>
          </w:p>
        </w:tc>
        <w:tc>
          <w:tcPr>
            <w:tcW w:w="1140" w:type="dxa"/>
            <w:vAlign w:val="bottom"/>
            <w:gridSpan w:val="3"/>
          </w:tcPr>
          <w:p>
            <w:pPr>
              <w:jc w:val="center"/>
              <w:ind w:right="140"/>
              <w:spacing w:after="0" w:line="115" w:lineRule="exact"/>
              <w:rPr>
                <w:sz w:val="20"/>
                <w:szCs w:val="20"/>
                <w:color w:val="auto"/>
              </w:rPr>
            </w:pPr>
            <w:r>
              <w:rPr>
                <w:rFonts w:ascii="Arial" w:cs="Arial" w:eastAsia="Arial" w:hAnsi="Arial"/>
                <w:sz w:val="13"/>
                <w:szCs w:val="13"/>
                <w:b w:val="1"/>
                <w:bCs w:val="1"/>
                <w:color w:val="auto"/>
                <w:w w:val="98"/>
              </w:rPr>
              <w:t>Gross Amounts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120"/>
              <w:spacing w:after="0" w:line="115" w:lineRule="exact"/>
              <w:rPr>
                <w:sz w:val="20"/>
                <w:szCs w:val="20"/>
                <w:color w:val="auto"/>
              </w:rPr>
            </w:pPr>
            <w:r>
              <w:rPr>
                <w:rFonts w:ascii="Arial" w:cs="Arial" w:eastAsia="Arial" w:hAnsi="Arial"/>
                <w:sz w:val="13"/>
                <w:szCs w:val="13"/>
                <w:b w:val="1"/>
                <w:bCs w:val="1"/>
                <w:color w:val="auto"/>
                <w:w w:val="99"/>
              </w:rPr>
              <w:t>Liabilities</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1"/>
                <w:szCs w:val="11"/>
                <w:color w:val="auto"/>
              </w:rPr>
            </w:pPr>
          </w:p>
        </w:tc>
        <w:tc>
          <w:tcPr>
            <w:tcW w:w="116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Financial</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Collateral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of Recognized</w:t>
            </w:r>
          </w:p>
        </w:tc>
        <w:tc>
          <w:tcPr>
            <w:tcW w:w="80" w:type="dxa"/>
            <w:vAlign w:val="bottom"/>
          </w:tcPr>
          <w:p>
            <w:pPr>
              <w:spacing w:after="0"/>
              <w:rPr>
                <w:sz w:val="11"/>
                <w:szCs w:val="11"/>
                <w:color w:val="auto"/>
              </w:rPr>
            </w:pPr>
          </w:p>
        </w:tc>
        <w:tc>
          <w:tcPr>
            <w:tcW w:w="11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Net Amount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Liabilities</w:t>
            </w:r>
          </w:p>
        </w:tc>
        <w:tc>
          <w:tcPr>
            <w:tcW w:w="8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Balance Sheets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Instruments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right"/>
              <w:ind w:right="360"/>
              <w:spacing w:after="0" w:line="189" w:lineRule="exact"/>
              <w:rPr>
                <w:sz w:val="20"/>
                <w:szCs w:val="20"/>
                <w:color w:val="auto"/>
              </w:rPr>
            </w:pPr>
            <w:r>
              <w:rPr>
                <w:rFonts w:ascii="Arial" w:cs="Arial" w:eastAsia="Arial" w:hAnsi="Arial"/>
                <w:sz w:val="14"/>
                <w:szCs w:val="14"/>
                <w:b w:val="1"/>
                <w:bCs w:val="1"/>
                <w:color w:val="auto"/>
                <w:w w:val="95"/>
              </w:rPr>
              <w:t xml:space="preserve">Pledged </w:t>
            </w:r>
            <w:r>
              <w:rPr>
                <w:rFonts w:ascii="Arial" w:cs="Arial" w:eastAsia="Arial" w:hAnsi="Arial"/>
                <w:sz w:val="18"/>
                <w:szCs w:val="18"/>
                <w:b w:val="1"/>
                <w:bCs w:val="1"/>
                <w:color w:val="auto"/>
                <w:w w:val="95"/>
                <w:vertAlign w:val="superscript"/>
              </w:rPr>
              <w:t>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18"/>
                <w:szCs w:val="18"/>
                <w:color w:val="auto"/>
                <w:vertAlign w:val="superscript"/>
              </w:rPr>
              <w:t>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Repurchase agreements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54,566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54,566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(5,463)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(49,103)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7"/>
                <w:szCs w:val="17"/>
                <w:color w:val="auto"/>
              </w:rPr>
            </w:pPr>
          </w:p>
        </w:tc>
        <w:tc>
          <w:tcPr>
            <w:tcW w:w="39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54,574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(49,103)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18"/>
                <w:szCs w:val="18"/>
                <w:color w:val="auto"/>
                <w:vertAlign w:val="superscript"/>
              </w:rPr>
              <w:t>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Repurchase agreements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89,182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89,182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(79,330)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7"/>
                <w:szCs w:val="17"/>
                <w:color w:val="auto"/>
              </w:rPr>
            </w:pPr>
          </w:p>
        </w:tc>
        <w:tc>
          <w:tcPr>
            <w:tcW w:w="39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89,188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(79,330)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spacing w:after="0"/>
        <w:rPr>
          <w:sz w:val="20"/>
          <w:szCs w:val="20"/>
          <w:color w:val="auto"/>
        </w:rPr>
      </w:pPr>
      <w:r>
        <w:rPr>
          <w:rFonts w:ascii="Arial" w:cs="Arial" w:eastAsia="Arial" w:hAnsi="Arial"/>
          <w:sz w:val="11"/>
          <w:szCs w:val="11"/>
          <w:color w:val="auto"/>
        </w:rPr>
        <w:t>________________________________</w:t>
      </w:r>
    </w:p>
    <w:p>
      <w:pPr>
        <w:ind w:left="660" w:right="160" w:hanging="328"/>
        <w:spacing w:after="0" w:line="241"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400" w:hanging="328"/>
        <w:spacing w:after="0" w:line="255"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typically obtain price estimates from multiple third-party pricing services and dealers or, if applicable, the registered clearing exchange. The following is a description of the valuation methodologies used for instruments carried at fair value on a recurring basis.</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U.S. Treasury securities and futures prices </w:t>
      </w:r>
      <w:r>
        <w:rPr>
          <w:rFonts w:ascii="Arial" w:cs="Arial" w:eastAsia="Arial" w:hAnsi="Arial"/>
          <w:sz w:val="18"/>
          <w:szCs w:val="18"/>
          <w:color w:val="auto"/>
        </w:rPr>
        <w:t>- are valued based on quoted prices for identical instruments in active markets and are classified as Level</w:t>
      </w:r>
      <w:r>
        <w:rPr>
          <w:rFonts w:ascii="Arial" w:cs="Arial" w:eastAsia="Arial" w:hAnsi="Arial"/>
          <w:sz w:val="18"/>
          <w:szCs w:val="18"/>
          <w:i w:val="1"/>
          <w:iCs w:val="1"/>
          <w:color w:val="auto"/>
        </w:rPr>
        <w:t xml:space="preserve"> </w:t>
      </w:r>
      <w:r>
        <w:rPr>
          <w:rFonts w:ascii="Arial" w:cs="Arial" w:eastAsia="Arial" w:hAnsi="Arial"/>
          <w:sz w:val="18"/>
          <w:szCs w:val="18"/>
          <w:color w:val="auto"/>
        </w:rPr>
        <w:t>1 assets.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8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are valued using the daily settlement price, or fair value, determined by the clearing exchange based on a pricing model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observable market inputs, including current benchmark rates and the forward yield curve.</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Interest rate swaptions </w:t>
      </w:r>
      <w:r>
        <w:rPr>
          <w:rFonts w:ascii="Arial" w:cs="Arial" w:eastAsia="Arial" w:hAnsi="Arial"/>
          <w:sz w:val="18"/>
          <w:szCs w:val="18"/>
          <w:color w:val="auto"/>
        </w:rPr>
        <w:t>- are valued using prices obtained from the counterparty and other third-party pricing models. The pricing models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30"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i w:val="1"/>
          <w:iCs w:val="1"/>
          <w:color w:val="auto"/>
        </w:rPr>
        <w:t xml:space="preserve">Investment securities </w:t>
      </w:r>
      <w:r>
        <w:rPr>
          <w:rFonts w:ascii="Arial" w:cs="Arial" w:eastAsia="Arial" w:hAnsi="Arial"/>
          <w:sz w:val="17"/>
          <w:szCs w:val="17"/>
          <w:color w:val="auto"/>
        </w:rPr>
        <w:t>- are valued based on prices obtained from multiple third-party pricing sources. The pricing sources utilize various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2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availability of observable inputs can be affected by a wide variety of factors, including the type of instrument, whether the instrument is new and not yet established in the marketplace and other characteristics particular to the instrument.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markets for interest rate swap, swaption and TBA derivatives and for the investment securities that we invest in are considered to be active markets such that participants transact with sufficient frequency and volume to provide transparent pricing information on an ongoing basis. The liquidity of these markets and the similarity of our securities and derivative instruments to those actively traded enable our pricing sources and us to observe quoted prices in the market and utilize those prices as a basis for formulating fair value measurements. Consequently, we classify these instruments as Level 2 inputs in the fair value hierarchy.</w:t>
      </w:r>
    </w:p>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provides a summary of our assets and liabilities that are measured at fair value on a recurring basis, as of September 30, 2020 and December 31, 2019, based on their categorization within the valuation hierarchy (in millions). There were no transfers between valuation hierarchy levels during the periods presented.</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Agency securities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66,556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98,516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securities transferred to consolidated VIEs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Credit risk transfer securities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Non-Agency securities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U.S. Treasury securities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Swaptions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securities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Debt of consolidated VIEs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4640" w:type="dxa"/>
            <w:vAlign w:val="bottom"/>
          </w:tcPr>
          <w:p>
            <w:pPr>
              <w:ind w:left="160"/>
              <w:spacing w:after="0" w:line="135" w:lineRule="exact"/>
              <w:rPr>
                <w:sz w:val="20"/>
                <w:szCs w:val="20"/>
                <w:color w:val="auto"/>
              </w:rPr>
            </w:pPr>
            <w:r>
              <w:rPr>
                <w:rFonts w:ascii="Arial" w:cs="Arial" w:eastAsia="Arial" w:hAnsi="Arial"/>
                <w:sz w:val="14"/>
                <w:szCs w:val="14"/>
                <w:color w:val="auto"/>
              </w:rPr>
              <w:t>Obligation to return U.S. Treasury securities borrowed under reverse</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8,372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9,543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60"/>
              <w:spacing w:after="0"/>
              <w:rPr>
                <w:sz w:val="20"/>
                <w:szCs w:val="20"/>
                <w:color w:val="auto"/>
              </w:rPr>
            </w:pPr>
            <w:r>
              <w:rPr>
                <w:rFonts w:ascii="Arial" w:cs="Arial" w:eastAsia="Arial" w:hAnsi="Arial"/>
                <w:sz w:val="14"/>
                <w:szCs w:val="14"/>
                <w:color w:val="auto"/>
              </w:rPr>
              <w:t>repurchase agreements</w:t>
            </w: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TBA securities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8,377</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9,543</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Excluded from the table above are financial instruments presented in our consolidated financial statements at cost. The fair value of our repurchase agreements approximated cost as of September 30, 2020 and December 31, 2019, as the rates on our outstanding repurchase agreements largely corresponded to prevailing rates observed in the repo market. The fair value of cash and cash equivalents, restricted cash, receivables and other payables were determined to approximate cost as of September 30, 2020 and December 31, 2019 due to their short duration. We estimate the fair value of these instruments carried at cost using "Level 1" or "Level 2"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Income (Loss) Per Common Share</w:t>
      </w:r>
    </w:p>
    <w:p>
      <w:pPr>
        <w:spacing w:after="0" w:line="25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tbl>
      <w:tblPr>
        <w:tblLayout w:type="fixed"/>
        <w:tblInd w:w="5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2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1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r>
      <w:tr>
        <w:trPr>
          <w:trHeight w:val="184"/>
        </w:trPr>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common shares issued and outstanding</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546.0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539.9</w:t>
            </w:r>
          </w:p>
        </w:tc>
      </w:tr>
      <w:tr>
        <w:trPr>
          <w:trHeight w:val="186"/>
        </w:trPr>
        <w:tc>
          <w:tcPr>
            <w:tcW w:w="61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Weighted average number of fully vested restricted stock units outstanding</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186"/>
        </w:trPr>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common shares outstanding - basic</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546.4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540.3</w:t>
            </w:r>
          </w:p>
        </w:tc>
      </w:tr>
      <w:tr>
        <w:trPr>
          <w:trHeight w:val="186"/>
        </w:trPr>
        <w:tc>
          <w:tcPr>
            <w:tcW w:w="6180" w:type="dxa"/>
            <w:vAlign w:val="bottom"/>
          </w:tcPr>
          <w:p>
            <w:pPr>
              <w:spacing w:after="0"/>
              <w:rPr>
                <w:sz w:val="20"/>
                <w:szCs w:val="20"/>
                <w:color w:val="auto"/>
              </w:rPr>
            </w:pPr>
            <w:r>
              <w:rPr>
                <w:rFonts w:ascii="Arial" w:cs="Arial" w:eastAsia="Arial" w:hAnsi="Arial"/>
                <w:sz w:val="14"/>
                <w:szCs w:val="14"/>
                <w:color w:val="auto"/>
              </w:rPr>
              <w:t>Weighted average number of dilutive unvested restricted stock units outstanding</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number of common shares outstanding - diluted</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180" w:type="dxa"/>
            <w:vAlign w:val="bottom"/>
          </w:tcPr>
          <w:p>
            <w:pPr>
              <w:spacing w:after="0"/>
              <w:rPr>
                <w:sz w:val="20"/>
                <w:szCs w:val="20"/>
                <w:color w:val="auto"/>
              </w:rPr>
            </w:pPr>
            <w:r>
              <w:rPr>
                <w:rFonts w:ascii="Arial" w:cs="Arial" w:eastAsia="Arial" w:hAnsi="Arial"/>
                <w:sz w:val="14"/>
                <w:szCs w:val="14"/>
                <w:color w:val="auto"/>
              </w:rPr>
              <w:t>Net income (loss) available (attributable) to common stockholders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8"/>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 per common share - basic</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(0.41)</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180" w:type="dxa"/>
            <w:vAlign w:val="bottom"/>
          </w:tcPr>
          <w:p>
            <w:pPr>
              <w:spacing w:after="0"/>
              <w:rPr>
                <w:sz w:val="20"/>
                <w:szCs w:val="20"/>
                <w:color w:val="auto"/>
              </w:rPr>
            </w:pPr>
            <w:r>
              <w:rPr>
                <w:rFonts w:ascii="Arial" w:cs="Arial" w:eastAsia="Arial" w:hAnsi="Arial"/>
                <w:sz w:val="14"/>
                <w:szCs w:val="14"/>
                <w:color w:val="auto"/>
              </w:rPr>
              <w:t>Net income (loss) per common share - diluted</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nine months ended September 30, 2020 and for the three and nine months ended September 30, 2019, 1.0 million, 0.7 million and 0.6 million, respectively, of potentially dilutive unvested time and performance based RSUs outstanding were excluded from the computation of diluted net income (loss) per common share because to do so would have been anti-dilutive for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authorized to designate and issue up to 10.0 million shares of preferred stock in one or more classes or series. As of September 30, 2020, 13,800, 10,350, 16,100 and 23,000 shares of preferred stock were designated as 7.00% Series C Fixed-to-Floating Rate Cumulative Redeemable Preferred Stock, 6.875% Series D Fixed-to-Floating Rate Cumulative Redeemable Preferred Stock, 6.50% Series E Fixed-to-Floating Rate Cumulative Redeemable Preferred Stock and 6.125% Series F Fixed-to-Floating Rate Cumulative Redeemable Preferred Stock, respectively, (referred to as "Series C, D, E and F Preferred Stock", respectively). During February 2020, we issued $575 million, or 23,000 shares, of 6.125% Series F Preferred Stock, for net proceeds of $557 million. As of September 30, 2020, 13,000, 9,400, 16,100 and 23,000 shares of Series C, D, E and F Preferred Stock, respectively, were issued and outstanding, with an aggregate carrying value of $1,489 million and aggregate liquidation preference of $1,538 million. Each share of preferred stock is represented by 1,000 depositary shares.</w:t>
      </w:r>
    </w:p>
    <w:p>
      <w:pPr>
        <w:spacing w:after="0" w:line="12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includes a summary of preferred stock depositary shares issued and outstanding as of September 30, 2020 (dollars and shares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Depositary</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Fixed-to-Floating</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Fixed-to-Floating Rate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30"/>
              <w:spacing w:after="0"/>
              <w:rPr>
                <w:sz w:val="20"/>
                <w:szCs w:val="20"/>
                <w:color w:val="auto"/>
              </w:rPr>
            </w:pPr>
            <w:r>
              <w:rPr>
                <w:rFonts w:ascii="Arial" w:cs="Arial" w:eastAsia="Arial" w:hAnsi="Arial"/>
                <w:sz w:val="14"/>
                <w:szCs w:val="14"/>
                <w:b w:val="1"/>
                <w:bCs w:val="1"/>
                <w:color w:val="auto"/>
                <w:w w:val="89"/>
              </w:rPr>
              <w:t>Aggregate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Optional</w:t>
            </w:r>
          </w:p>
        </w:tc>
        <w:tc>
          <w:tcPr>
            <w:tcW w:w="122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3"/>
              </w:rPr>
              <w:t>Issuance</w:t>
            </w: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Fixed</w:t>
            </w:r>
          </w:p>
        </w:tc>
        <w:tc>
          <w:tcPr>
            <w:tcW w:w="116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Rate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Floating</w:t>
            </w:r>
          </w:p>
        </w:tc>
        <w:tc>
          <w:tcPr>
            <w:tcW w:w="0" w:type="dxa"/>
            <w:vAlign w:val="bottom"/>
          </w:tcPr>
          <w:p>
            <w:pPr>
              <w:spacing w:after="0"/>
              <w:rPr>
                <w:sz w:val="1"/>
                <w:szCs w:val="1"/>
                <w:color w:val="auto"/>
              </w:rPr>
            </w:pPr>
          </w:p>
        </w:tc>
      </w:tr>
      <w:tr>
        <w:trPr>
          <w:trHeight w:val="135"/>
        </w:trPr>
        <w:tc>
          <w:tcPr>
            <w:tcW w:w="20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Cumulative Redeemable</w:t>
            </w:r>
          </w:p>
        </w:tc>
        <w:tc>
          <w:tcPr>
            <w:tcW w:w="118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0"/>
              <w:spacing w:after="0" w:line="135" w:lineRule="exact"/>
              <w:rPr>
                <w:sz w:val="20"/>
                <w:szCs w:val="20"/>
                <w:color w:val="auto"/>
              </w:rPr>
            </w:pPr>
            <w:r>
              <w:rPr>
                <w:rFonts w:ascii="Arial" w:cs="Arial" w:eastAsia="Arial" w:hAnsi="Arial"/>
                <w:sz w:val="14"/>
                <w:szCs w:val="14"/>
                <w:b w:val="1"/>
                <w:bCs w:val="1"/>
                <w:color w:val="auto"/>
                <w:w w:val="92"/>
              </w:rPr>
              <w:t>Liquidation</w:t>
            </w:r>
          </w:p>
        </w:tc>
        <w:tc>
          <w:tcPr>
            <w:tcW w:w="1120" w:type="dxa"/>
            <w:vAlign w:val="bottom"/>
            <w:gridSpan w:val="2"/>
            <w:vMerge w:val="continue"/>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Redemption</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Conversion</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8"/>
              </w:rPr>
              <w:t>Preference</w:t>
            </w:r>
          </w:p>
        </w:tc>
        <w:tc>
          <w:tcPr>
            <w:tcW w:w="102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 xml:space="preserve">Date </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Annual Rate</w:t>
            </w:r>
          </w:p>
        </w:tc>
        <w:tc>
          <w:tcPr>
            <w:tcW w:w="0" w:type="dxa"/>
            <w:vAlign w:val="bottom"/>
          </w:tcPr>
          <w:p>
            <w:pPr>
              <w:spacing w:after="0"/>
              <w:rPr>
                <w:sz w:val="1"/>
                <w:szCs w:val="1"/>
                <w:color w:val="auto"/>
              </w:rPr>
            </w:pPr>
          </w:p>
        </w:tc>
      </w:tr>
      <w:tr>
        <w:trPr>
          <w:trHeight w:val="128"/>
        </w:trPr>
        <w:tc>
          <w:tcPr>
            <w:tcW w:w="20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Series C</w:t>
            </w: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August 22, 2017</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7.000%</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2022</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2022</w:t>
            </w:r>
          </w:p>
        </w:tc>
        <w:tc>
          <w:tcPr>
            <w:tcW w:w="122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5.111%</w:t>
            </w:r>
          </w:p>
        </w:tc>
        <w:tc>
          <w:tcPr>
            <w:tcW w:w="0" w:type="dxa"/>
            <w:vAlign w:val="bottom"/>
          </w:tcPr>
          <w:p>
            <w:pPr>
              <w:spacing w:after="0"/>
              <w:rPr>
                <w:sz w:val="1"/>
                <w:szCs w:val="1"/>
                <w:color w:val="auto"/>
              </w:rPr>
            </w:pPr>
          </w:p>
        </w:tc>
      </w:tr>
      <w:tr>
        <w:trPr>
          <w:trHeight w:val="80"/>
        </w:trPr>
        <w:tc>
          <w:tcPr>
            <w:tcW w:w="1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20"/>
              <w:spacing w:after="0"/>
              <w:rPr>
                <w:sz w:val="20"/>
                <w:szCs w:val="20"/>
                <w:color w:val="auto"/>
              </w:rPr>
            </w:pPr>
            <w:r>
              <w:rPr>
                <w:rFonts w:ascii="Arial" w:cs="Arial" w:eastAsia="Arial" w:hAnsi="Arial"/>
                <w:sz w:val="14"/>
                <w:szCs w:val="14"/>
                <w:color w:val="auto"/>
              </w:rPr>
              <w:t>Series D</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March 6, 2019</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6.875%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2024</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2024</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4.332%</w:t>
            </w:r>
          </w:p>
        </w:tc>
        <w:tc>
          <w:tcPr>
            <w:tcW w:w="0" w:type="dxa"/>
            <w:vAlign w:val="bottom"/>
          </w:tcPr>
          <w:p>
            <w:pPr>
              <w:spacing w:after="0"/>
              <w:rPr>
                <w:sz w:val="1"/>
                <w:szCs w:val="1"/>
                <w:color w:val="auto"/>
              </w:rPr>
            </w:pPr>
          </w:p>
        </w:tc>
      </w:tr>
      <w:tr>
        <w:trPr>
          <w:trHeight w:val="74"/>
        </w:trPr>
        <w:tc>
          <w:tcPr>
            <w:tcW w:w="1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Series E</w:t>
            </w:r>
          </w:p>
        </w:tc>
        <w:tc>
          <w:tcPr>
            <w:tcW w:w="11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9"/>
              </w:rPr>
              <w:t>October 3, 2019</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6.500%</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2024</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2024</w:t>
            </w:r>
          </w:p>
        </w:tc>
        <w:tc>
          <w:tcPr>
            <w:tcW w:w="12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4.993%</w:t>
            </w:r>
          </w:p>
        </w:tc>
        <w:tc>
          <w:tcPr>
            <w:tcW w:w="0" w:type="dxa"/>
            <w:vAlign w:val="bottom"/>
          </w:tcPr>
          <w:p>
            <w:pPr>
              <w:spacing w:after="0"/>
              <w:rPr>
                <w:sz w:val="1"/>
                <w:szCs w:val="1"/>
                <w:color w:val="auto"/>
              </w:rPr>
            </w:pPr>
          </w:p>
        </w:tc>
      </w:tr>
      <w:tr>
        <w:trPr>
          <w:trHeight w:val="80"/>
        </w:trPr>
        <w:tc>
          <w:tcPr>
            <w:tcW w:w="1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20"/>
              <w:spacing w:after="0"/>
              <w:rPr>
                <w:sz w:val="20"/>
                <w:szCs w:val="20"/>
                <w:color w:val="auto"/>
              </w:rPr>
            </w:pPr>
            <w:r>
              <w:rPr>
                <w:rFonts w:ascii="Arial" w:cs="Arial" w:eastAsia="Arial" w:hAnsi="Arial"/>
                <w:sz w:val="14"/>
                <w:szCs w:val="14"/>
                <w:color w:val="auto"/>
              </w:rPr>
              <w:t>Series F</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February 11, 2020</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575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6.125%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2025</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2025</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4.697%</w:t>
            </w:r>
          </w:p>
        </w:tc>
        <w:tc>
          <w:tcPr>
            <w:tcW w:w="0" w:type="dxa"/>
            <w:vAlign w:val="bottom"/>
          </w:tcPr>
          <w:p>
            <w:pPr>
              <w:spacing w:after="0"/>
              <w:rPr>
                <w:sz w:val="1"/>
                <w:szCs w:val="1"/>
                <w:color w:val="auto"/>
              </w:rPr>
            </w:pPr>
          </w:p>
        </w:tc>
      </w:tr>
      <w:tr>
        <w:trPr>
          <w:trHeight w:val="74"/>
        </w:trPr>
        <w:tc>
          <w:tcPr>
            <w:tcW w:w="19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During the nine months ended September 30, 2020, we sold 26.7 million shares of our common stock under the sales agreements for proceeds of $439 million, or $16.46 per common share, net of offering costs. As of September 30, 2020, shares of our common stock with an aggregate offering price of $26 million remained authorized for issuance under this program through June 14,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From time-to-time we are authorized by our Board of Directors to repurchase shares of our common stock under certain conditions. In July 2019, our Board of Directors authorized the repurchase of up to $1 billion of our outstanding shares of common stock through December 31, 2020. During the three and nine months ended September 30, 2020, we repurchased 11.0 million and 23.3 million shares, or $154 million and $301 million, respectively, of our common stock for an average repurchase price of $13.95 and $12.92 per common share, respectively, including 0.7 million shares, or $10 million, of share repurchases settling in October 2020 and inclusive of transaction costs. As of September 30, 2020, we had $597 million of common stock remaining available for repurchase. See also Note 11.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 additional information pertaining to our common stock repurchase program.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changes to accumulated OCI for the three and nine months ended September 30, 2020 and 2019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7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4"/>
        </w:trPr>
        <w:tc>
          <w:tcPr>
            <w:tcW w:w="7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90"/>
        </w:trPr>
        <w:tc>
          <w:tcPr>
            <w:tcW w:w="7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35"/>
        </w:trPr>
        <w:tc>
          <w:tcPr>
            <w:tcW w:w="7340" w:type="dxa"/>
            <w:vAlign w:val="bottom"/>
            <w:gridSpan w:val="2"/>
          </w:tcPr>
          <w:p>
            <w:pPr>
              <w:ind w:left="180"/>
              <w:spacing w:after="0" w:line="135" w:lineRule="exact"/>
              <w:rPr>
                <w:sz w:val="20"/>
                <w:szCs w:val="20"/>
                <w:color w:val="auto"/>
              </w:rPr>
            </w:pPr>
            <w:r>
              <w:rPr>
                <w:rFonts w:ascii="Arial" w:cs="Arial" w:eastAsia="Arial" w:hAnsi="Arial"/>
                <w:sz w:val="14"/>
                <w:szCs w:val="14"/>
                <w:color w:val="auto"/>
                <w:w w:val="98"/>
              </w:rPr>
              <w:t>Net loss amounts for available-for-sale securities reclassified from accumulated OCI to realized gain (loss) on sale of</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7340" w:type="dxa"/>
            <w:vAlign w:val="bottom"/>
            <w:gridSpan w:val="2"/>
          </w:tcPr>
          <w:p>
            <w:pPr>
              <w:ind w:left="180"/>
              <w:spacing w:after="0"/>
              <w:rPr>
                <w:sz w:val="20"/>
                <w:szCs w:val="20"/>
                <w:color w:val="auto"/>
              </w:rPr>
            </w:pPr>
            <w:r>
              <w:rPr>
                <w:rFonts w:ascii="Arial" w:cs="Arial" w:eastAsia="Arial" w:hAnsi="Arial"/>
                <w:sz w:val="14"/>
                <w:szCs w:val="14"/>
                <w:color w:val="auto"/>
              </w:rPr>
              <w:t>investment securities, net</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Dividend Declaration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8, 2020, our Board of Directors declared a monthly dividend of $0.12 per common share payable on November 11, 2020 to common stockholders of record as of October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22, 2020 our Board of Directors terminated our existing stock repurchase plan (see Note 10) that was due to expire on December 31, 2020 and replaced it with a new plan authorizing us to repurchase up to $1 billion of common stock through December 31, 2021. Under the new plan, we may repurchase shares in the open market or through privately negotiated transactions or pursuant to a trading plan that may be adopted in accordance with Rule 10b5-1 of the Securities Exchange Act of 1934, as amended. Our stock repurchase program may be limited or terminated at any time without prior notice. We intend to repurchase shares under the stock repurchase program only when the repurchase price is less than our then-current estimate of tangible net book value per common share.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September 30, 2020. Our MD&amp;A is presented in six sections:</w:t>
      </w:r>
    </w:p>
    <w:p>
      <w:pPr>
        <w:spacing w:after="0" w:line="6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an internally managed Real Estate Investment Trust ("REIT"). We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a REIT, we are required to distribute annually 90% of our taxable income, and we will generally not be subject to U.S. federal or state corporate income tax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also invest in other types of mortgage and mortgage-related residential and commercial mortgage-backed securities where repayment of principal and interest is not guaranteed by a GSE or U.S. Government agency and in other investments in, or related to, the housing, mortgage or real estate markets.</w:t>
      </w:r>
    </w:p>
    <w:p>
      <w:pPr>
        <w:spacing w:after="0" w:line="14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9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Despite continued uncertainty regarding the COVID-19 virus and the broader macroeconomic outlook, financial markets posted significant gains for the second quarter in a row since the peak of the financial dislocations in March, driven in large part by the monetary support provided by global central banks.</w:t>
      </w:r>
    </w:p>
    <w:p>
      <w:pPr>
        <w:spacing w:after="0" w:line="13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third quarter, stable interest rates and incremental purchases of Agency RMBS by the Federal Reserve (the "Fed") of approximately $40 billion per month, supplementing its reinvestment of paydowns on its existing portfolio, were supportive of the Agency mortgage market. As mortgage rates maintain historically low levels, the prepayment risk for mortgage investors remains elevated but appears to have plateaued for several cohorts. The size of our investment portfolio, including TBA securities, for the third quarter was largely unchanged at $97.6 billion as of September 30, 2020, compared to $97.7 billion as of the end of the second quarter. We continued to shift the composition of our portfolio to lower coupon 30- and 15-year TBA securities with our higher coupon holdings concentrated in high quality, specified Agency RMBS pools, which have slower prepayment characteristics than similar coupon generic securities. Inclusive of TBA securities, the weighted average coupon on our fixed rate securities declined to 3.08% as of September 30, 2020 from 3.40% as of June 30, 2020.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jc w:val="both"/>
        <w:ind w:firstLine="405"/>
        <w:spacing w:after="0" w:line="257" w:lineRule="auto"/>
        <w:rPr>
          <w:sz w:val="20"/>
          <w:szCs w:val="20"/>
          <w:color w:val="auto"/>
        </w:rPr>
      </w:pPr>
      <w:r>
        <w:rPr>
          <w:rFonts w:ascii="Arial" w:cs="Arial" w:eastAsia="Arial" w:hAnsi="Arial"/>
          <w:sz w:val="18"/>
          <w:szCs w:val="18"/>
          <w:color w:val="auto"/>
        </w:rPr>
        <w:t>Our investment portfolio outperformed relative to our interest rate hedges during the third quarter. As a result, our tangible net book value per common share increased to $15.88 per share as of September 30, 2020 from $14.92 per share as of June 30, 2020, an increase of 6.4%. The increase in book value was the primary driver of a decline in our “at risk” leverage to 8.8x from 9.2x tangible common equity as of September 30 and June 30, 2020, respectively. Our economic return on tangible common equity was 8.8% for the quarter, which includes both the increase in our tangible net asset value and dividends declared of $0.36 per common share.</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TBA dollar roll market benefited in the third quarter from the combination of heavy origination volume and ongoing Fed purchases. As such, implied financing rates in the dollar roll market were well below comparable repo levels for most coupons. Given these favorable financing terms, we increased our average TBA position to $27.8 billion for the quarter from $15.7 billion for the second quarter. As of September 30, 2020, our TBA position totaled $29.5 billion, or approximately 30% of our investment portfolio.</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Our weighted average repo rate for the third quarter declined to 0.40% from 0.76% for the second quarter. Our aggregate cost of funds, which includes the implied funding cost associated with our TBA position and interest rate swap costs, declined to 0.15% for the third quarter, compared to 0.88% for the second quarter. The combination of strong TBA dollar roll performance and very low funding rates more than offset lower asset yields on our portfolio for the quarter and drove a significant increase in our net spread and dollar roll income, excluding "catch-up" premium amortization cost, a non-GAAP measure, to $0.81 per common share for the third quarter from $0.58 per common share for the second quarter. (Refer to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below for further information regarding non-GAAP measures.)</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net interest margin, including TBA securities and interest rate swaps and excluding "catch-up" premium amortization, increased to 2.15% for the third quarter from 1.68% for the second quarter. Looking ahead, the Fed's recently announced policy shift to average inflation targeting should cause the current low cost funding environment to persist for a prolonged period and continue to benefit our net interest margin. Notwithstanding this, our net interest margin is likely biased marginally lower, as we expect the implied funding advantage of TBA dollar rolls to contract over time to more modest levels and our average asset yield to decline as portfolio turnover is reinvested at lower prevailing asset yields.</w:t>
      </w:r>
    </w:p>
    <w:p>
      <w:pPr>
        <w:spacing w:after="0" w:line="12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investment portfolio, excluding TBA holdings, prepaid at an annualized rate of 24.3% during the third quarter, compared to 19.9% during the second quarter. Our weighted average projected CPR for the remaining life of our securities decreased to 15.9% as of September 30, 2020 from 16.6% as of June 30, 2020 largely due to changes in asset composition. Our liquidity position, consisting of unencumbered Agency RMBS and cash, totaled $5.2 billion at the end of the third quarter, which excludes unencumbered CRT securities, non-Agency securities and assets held at our broker-dealer subsidiary.</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interest rate hedge position increased to 71% of our funding liabilities, inclusive of our net TBA position (at cost), as of September 30, 2020, compared to 66% as of June 30, 2020. Our duration gap, which is a measure of the difference between the interest rate sensitivity of our assets and liabilities, inclusive of all of our interest rate hedges, was largely unchanged during the third quarter at 0.0 years as of September 30, 2020 compared to -0.1 year as of June 30, 2020.</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interest rate swap portfolio totaled $43.0 billion as of September 30, 2020, largely unchanged from $42.1 billion as of June 30, 2020. We continued to alter the composition of our swap portfolio during the third quarter, shifting to SOFR-indexed swaps and extending the maturity profile to 5.3 years as of September 30, 2020 from 5.1 years as of June 30, 2020. SOFR-indexed swaps are expected to highly correlate to changes in repo funding levels. As of September 30, 2020, 69% of our interest rate swaps were indexed to SOFR and the remainder to OIS. As of June 30, 2020, 16%, 79% and 5% of our interest rate swaps were indexed to SOFR, OIS and 3M LIBOR, respectively. Our interest rate swap repositioning in recent quarters also led to a decline in our average swap cost, as the majority of our interest swaps now reflect prevailing market rates. For the third quarter, the average pay rate on our interest rates swaps decreased to 0.15% as of September 30, 2020 from 0.39% as of June 30, 2020.</w:t>
      </w:r>
    </w:p>
    <w:p>
      <w:pPr>
        <w:spacing w:after="0" w:line="123"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Although the ongoing economic uncertainties associated with the COVID-19 pandemic and U.S. fiscal policy continue as risks to the financial markets and prepayments will likely remain elevated, our earnings profile should continue to benefit from the broad availability of repo funding at rates near zero, muted interest rate volatility and continued Fed acquisitions of Agency RMBS. As such, in the current environment, we remain optimistic about our ability to generate positive risk-adjusted returns for our stockholders through a combination of dividends and book value growth over the near term.</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Sept. 30, 2020</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Sept. 30, 2020</w:t>
            </w: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8"/>
                <w:szCs w:val="18"/>
                <w:b w:val="1"/>
                <w:bCs w:val="1"/>
                <w:color w:val="auto"/>
                <w:vertAlign w:val="superscript"/>
              </w:rPr>
              <w:t>1</w:t>
            </w:r>
          </w:p>
        </w:tc>
        <w:tc>
          <w:tcPr>
            <w:tcW w:w="9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76"/>
              </w:rPr>
              <w:t>vs</w:t>
            </w:r>
          </w:p>
        </w:tc>
        <w:tc>
          <w:tcPr>
            <w:tcW w:w="520" w:type="dxa"/>
            <w:vAlign w:val="bottom"/>
          </w:tcPr>
          <w:p>
            <w:pPr>
              <w:spacing w:after="0"/>
              <w:rPr>
                <w:sz w:val="11"/>
                <w:szCs w:val="11"/>
                <w:color w:val="auto"/>
              </w:rPr>
            </w:pPr>
          </w:p>
        </w:tc>
        <w:tc>
          <w:tcPr>
            <w:tcW w:w="64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89"/>
        </w:trPr>
        <w:tc>
          <w:tcPr>
            <w:tcW w:w="4100" w:type="dxa"/>
            <w:vAlign w:val="bottom"/>
            <w:gridSpan w:val="2"/>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6"/>
                <w:szCs w:val="16"/>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June 30, 2020</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2019</w:t>
            </w:r>
          </w:p>
        </w:tc>
        <w:tc>
          <w:tcPr>
            <w:tcW w:w="0" w:type="dxa"/>
            <w:vAlign w:val="bottom"/>
          </w:tcPr>
          <w:p>
            <w:pPr>
              <w:spacing w:after="0"/>
              <w:rPr>
                <w:sz w:val="1"/>
                <w:szCs w:val="1"/>
                <w:color w:val="auto"/>
              </w:rPr>
            </w:pPr>
          </w:p>
        </w:tc>
      </w:tr>
      <w:tr>
        <w:trPr>
          <w:trHeight w:val="183"/>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Target Federal Funds Rate - Upper Band</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2.00%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1.75%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-150</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LIBOR:</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1-Month</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2.02%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1.76%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0.99%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0.16%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0.15%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-161</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3-Month</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0.23%</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8"/>
        </w:trPr>
        <w:tc>
          <w:tcPr>
            <w:tcW w:w="410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Security Rate: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0.13%</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5-Year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1.54%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1.69%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0.38%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0.28%</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-141</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0.67%</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0.66%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0.69%</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30-Year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2.11%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1.32%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1.41%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1.46%</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-93</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Interest Rate Swap Rate:</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2-Year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1.63%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1.70%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0.49%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0.22%</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-148</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5-Year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0.52%</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0.35%</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10-Year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1.90%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0.72%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0.64%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0.71%</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-119</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0.88%</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0.92%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1.12%</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8"/>
        </w:trPr>
        <w:tc>
          <w:tcPr>
            <w:tcW w:w="4100" w:type="dxa"/>
            <w:vAlign w:val="bottom"/>
            <w:gridSpan w:val="2"/>
          </w:tcPr>
          <w:p>
            <w:pPr>
              <w:ind w:left="20"/>
              <w:spacing w:after="0"/>
              <w:rPr>
                <w:sz w:val="20"/>
                <w:szCs w:val="20"/>
                <w:color w:val="auto"/>
              </w:rPr>
            </w:pPr>
            <w:r>
              <w:rPr>
                <w:rFonts w:ascii="Arial" w:cs="Arial" w:eastAsia="Arial" w:hAnsi="Arial"/>
                <w:sz w:val="14"/>
                <w:szCs w:val="14"/>
                <w:b w:val="1"/>
                <w:bCs w:val="1"/>
                <w:color w:val="auto"/>
              </w:rPr>
              <w:t>30-Year Fixed Rate Agency Price: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$95.49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$94.89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$100.91</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$102.33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$103.39</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+$1.06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+$8.50</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$99.55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$98.89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$103.59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$104.26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$104.90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+$0.64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+$6.01</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$101.51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$101.42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$104.83</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$105.33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$104.75</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-$0.58</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+$3.33</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$102.58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$105.70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$105.18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$105.40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+$0.22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+$2.54</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$103.77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$104.01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$106.67</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$105.98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$106.64</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+$0.66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+$2.63</w:t>
            </w:r>
          </w:p>
        </w:tc>
        <w:tc>
          <w:tcPr>
            <w:tcW w:w="0" w:type="dxa"/>
            <w:vAlign w:val="bottom"/>
          </w:tcPr>
          <w:p>
            <w:pPr>
              <w:spacing w:after="0"/>
              <w:rPr>
                <w:sz w:val="1"/>
                <w:szCs w:val="1"/>
                <w:color w:val="auto"/>
              </w:rPr>
            </w:pPr>
          </w:p>
        </w:tc>
      </w:tr>
      <w:tr>
        <w:trPr>
          <w:trHeight w:val="188"/>
        </w:trPr>
        <w:tc>
          <w:tcPr>
            <w:tcW w:w="4100" w:type="dxa"/>
            <w:vAlign w:val="bottom"/>
            <w:gridSpan w:val="2"/>
          </w:tcPr>
          <w:p>
            <w:pPr>
              <w:ind w:left="20"/>
              <w:spacing w:after="0"/>
              <w:rPr>
                <w:sz w:val="20"/>
                <w:szCs w:val="20"/>
                <w:color w:val="auto"/>
              </w:rPr>
            </w:pPr>
            <w:r>
              <w:rPr>
                <w:rFonts w:ascii="Arial" w:cs="Arial" w:eastAsia="Arial" w:hAnsi="Arial"/>
                <w:sz w:val="14"/>
                <w:szCs w:val="14"/>
                <w:b w:val="1"/>
                <w:bCs w:val="1"/>
                <w:color w:val="auto"/>
              </w:rPr>
              <w:t>15-Year Fixed Rate Agency Price: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$99.11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$98.68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$102.66</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$103.46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$103.95</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+$0.49</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+$5.27</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$100.85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$100.91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$103.72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$104.70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$104.44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-$0.26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+$3.53</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$102.21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$102.50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$104.61</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$105.09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$104.94</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-$0.15</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+$2.44</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$103.42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$103.69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$105.19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$105.06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$105.81</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+$0.75</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+$2.12</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$104.08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$104.28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$105.56</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$105.75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$106.15</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+$0.40</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+$1.87</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35" w:lineRule="exact"/>
        <w:rPr>
          <w:sz w:val="20"/>
          <w:szCs w:val="20"/>
          <w:color w:val="auto"/>
        </w:rPr>
      </w:pPr>
    </w:p>
    <w:p>
      <w:pPr>
        <w:ind w:left="660" w:hanging="328"/>
        <w:spacing w:after="0" w:line="273"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September 30, 2020 and December 31, 2019, our investment portfolio consisted of $68.0 billion and $100.4 billion of investment securities, at fair value, respectively, and $29.5 billion and $7.4 billion of TBA securities, at fair value, respectively. The following table is a summary of our investment portfolio as of September 30, 2020 and December 31, 2019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September 30, 2020</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2019</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Portfolio (Includes TBAs)</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0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3.12 %</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CCEEFF"/>
            </w:tcBorders>
            <w:gridSpan w:val="2"/>
          </w:tcPr>
          <w:p>
            <w:pPr>
              <w:ind w:left="260"/>
              <w:spacing w:after="0" w:line="189" w:lineRule="exact"/>
              <w:rPr>
                <w:sz w:val="20"/>
                <w:szCs w:val="20"/>
                <w:color w:val="auto"/>
              </w:rPr>
            </w:pPr>
            <w:r>
              <w:rPr>
                <w:rFonts w:ascii="Arial" w:cs="Arial" w:eastAsia="Arial" w:hAnsi="Arial"/>
                <w:sz w:val="14"/>
                <w:szCs w:val="14"/>
                <w:color w:val="auto"/>
              </w:rPr>
              <w:t xml:space="preserve">15-year TBA securities, net </w:t>
            </w:r>
            <w:r>
              <w:rPr>
                <w:rFonts w:ascii="Arial" w:cs="Arial" w:eastAsia="Arial" w:hAnsi="Arial"/>
                <w:sz w:val="18"/>
                <w:szCs w:val="18"/>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11,456</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1.86 %</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3"/>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2.23 %</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86"/>
        </w:trPr>
        <w:tc>
          <w:tcPr>
            <w:tcW w:w="350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2,445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2.67 %</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3 %</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gridSpan w:val="2"/>
          </w:tcPr>
          <w:p>
            <w:pPr>
              <w:ind w:left="260"/>
              <w:spacing w:after="0"/>
              <w:rPr>
                <w:sz w:val="20"/>
                <w:szCs w:val="20"/>
                <w:color w:val="auto"/>
              </w:rPr>
            </w:pPr>
            <w:r>
              <w:rPr>
                <w:rFonts w:ascii="Arial" w:cs="Arial" w:eastAsia="Arial" w:hAnsi="Arial"/>
                <w:sz w:val="14"/>
                <w:szCs w:val="14"/>
                <w:color w:val="auto"/>
              </w:rPr>
              <w:t>30-year RMBS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56,140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58,863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3.63 %</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60 %</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89,483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91,062</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84 %</w:t>
            </w: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260"/>
              <w:spacing w:after="0" w:line="193" w:lineRule="exact"/>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18,080</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2.19 %</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5,203</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79"/>
        </w:trPr>
        <w:tc>
          <w:tcPr>
            <w:tcW w:w="35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30-year</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74,179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76,943</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3.28 %</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79 %</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94,665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96,265</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8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92,767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95,814</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3.08 %</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103,779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105,503</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179"/>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2.54 %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3.04 %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Multifamily</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CMO Agency RMBS: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CMO</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3.35 %</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3500" w:type="dxa"/>
            <w:vAlign w:val="bottom"/>
            <w:gridSpan w:val="2"/>
          </w:tcPr>
          <w:p>
            <w:pPr>
              <w:ind w:left="260"/>
              <w:spacing w:after="0"/>
              <w:rPr>
                <w:sz w:val="20"/>
                <w:szCs w:val="20"/>
                <w:color w:val="auto"/>
              </w:rPr>
            </w:pPr>
            <w:r>
              <w:rPr>
                <w:rFonts w:ascii="Arial" w:cs="Arial" w:eastAsia="Arial" w:hAnsi="Arial"/>
                <w:sz w:val="14"/>
                <w:szCs w:val="14"/>
                <w:color w:val="auto"/>
              </w:rPr>
              <w:t>Interest-only strips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5.58 %</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Principal-only strips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CMO Agency RMBS</w:t>
            </w: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4.11 %</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3.48 %</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 and TBA securities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93,324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96,415</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3.09 %</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104,563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106,316</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179"/>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4.20 %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4.05 %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4.13 %</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3.31 %</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1"/>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portfolio</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97,580</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3.09 %</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106,074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107,871</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TBA securities are presented net of long and short positions. For further details of our TBA securities refer to Note 6 of the accompanying consolidated financial statements.</w:t>
      </w:r>
    </w:p>
    <w:p>
      <w:pPr>
        <w:spacing w:after="0" w:line="1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September 30, 2020 and December 31, 2019, our TBA positions had a net carrying value of $76 million and $25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2020 and December 31, 2019, the weighted average yield on our investment securities (excluding TBA securities) was 2.56% and 3.07%,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ind w:left="460"/>
        <w:spacing w:after="0"/>
        <w:rPr>
          <w:sz w:val="20"/>
          <w:szCs w:val="20"/>
          <w:color w:val="auto"/>
        </w:rPr>
      </w:pPr>
      <w:r>
        <w:rPr>
          <w:rFonts w:ascii="Arial" w:cs="Arial" w:eastAsia="Arial" w:hAnsi="Arial"/>
          <w:sz w:val="16"/>
          <w:szCs w:val="16"/>
          <w:color w:val="auto"/>
        </w:rPr>
        <w:t>The following tables summarize certain characteristics of our fixed rate Agency RMBS portfolio, inclusive of TBAs, as of September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Excludes Net TBA Position</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 Rate Agency RMBS and TBA</w:t>
            </w:r>
          </w:p>
        </w:tc>
        <w:tc>
          <w:tcPr>
            <w:tcW w:w="80" w:type="dxa"/>
            <w:vAlign w:val="bottom"/>
          </w:tcPr>
          <w:p>
            <w:pPr>
              <w:spacing w:after="0"/>
              <w:rPr>
                <w:sz w:val="15"/>
                <w:szCs w:val="15"/>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WAC </w:t>
            </w:r>
            <w:r>
              <w:rPr>
                <w:rFonts w:ascii="Arial" w:cs="Arial" w:eastAsia="Arial" w:hAnsi="Arial"/>
                <w:sz w:val="18"/>
                <w:szCs w:val="18"/>
                <w:b w:val="1"/>
                <w:bCs w:val="1"/>
                <w:color w:val="auto"/>
                <w:w w:val="95"/>
                <w:vertAlign w:val="superscript"/>
              </w:rPr>
              <w:t>2</w:t>
            </w:r>
          </w:p>
        </w:tc>
        <w:tc>
          <w:tcPr>
            <w:tcW w:w="140" w:type="dxa"/>
            <w:vAlign w:val="bottom"/>
          </w:tcPr>
          <w:p>
            <w:pPr>
              <w:spacing w:after="0"/>
              <w:rPr>
                <w:sz w:val="15"/>
                <w:szCs w:val="15"/>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Projected</w:t>
            </w:r>
          </w:p>
        </w:tc>
        <w:tc>
          <w:tcPr>
            <w:tcW w:w="0" w:type="dxa"/>
            <w:vAlign w:val="bottom"/>
          </w:tcPr>
          <w:p>
            <w:pPr>
              <w:spacing w:after="0"/>
              <w:rPr>
                <w:sz w:val="1"/>
                <w:szCs w:val="1"/>
                <w:color w:val="auto"/>
              </w:rPr>
            </w:pPr>
          </w:p>
        </w:tc>
      </w:tr>
      <w:tr>
        <w:trPr>
          <w:trHeight w:val="189"/>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continue"/>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8"/>
                <w:szCs w:val="18"/>
                <w:b w:val="1"/>
                <w:bCs w:val="1"/>
                <w:color w:val="auto"/>
                <w:w w:val="95"/>
                <w:vertAlign w:val="superscript"/>
              </w:rPr>
              <w:t>1</w:t>
            </w:r>
          </w:p>
        </w:tc>
        <w:tc>
          <w:tcPr>
            <w:tcW w:w="2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Cost Basis</w:t>
            </w: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0" w:type="dxa"/>
            <w:vAlign w:val="bottom"/>
          </w:tcPr>
          <w:p>
            <w:pPr>
              <w:ind w:left="260"/>
              <w:spacing w:after="0"/>
              <w:rPr>
                <w:sz w:val="20"/>
                <w:szCs w:val="20"/>
                <w:color w:val="auto"/>
              </w:rPr>
            </w:pPr>
            <w:r>
              <w:rPr>
                <w:rFonts w:ascii="Arial" w:cs="Arial" w:eastAsia="Arial" w:hAnsi="Arial"/>
                <w:sz w:val="14"/>
                <w:szCs w:val="14"/>
                <w:b w:val="1"/>
                <w:bCs w:val="1"/>
                <w:color w:val="auto"/>
              </w:rPr>
              <w:t>CPR</w:t>
            </w:r>
          </w:p>
        </w:tc>
        <w:tc>
          <w:tcPr>
            <w:tcW w:w="300" w:type="dxa"/>
            <w:vAlign w:val="bottom"/>
          </w:tcPr>
          <w:p>
            <w:pPr>
              <w:jc w:val="right"/>
              <w:ind w:right="237"/>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24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2.62%</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4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1,164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104.0%</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3.08%</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4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1,474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4.03%</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91%</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4.60%</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40"/>
              <w:spacing w:after="0"/>
              <w:rPr>
                <w:sz w:val="20"/>
                <w:szCs w:val="20"/>
                <w:color w:val="auto"/>
              </w:rPr>
            </w:pPr>
            <w:r>
              <w:rPr>
                <w:rFonts w:ascii="Arial" w:cs="Arial" w:eastAsia="Arial" w:hAnsi="Arial"/>
                <w:sz w:val="14"/>
                <w:szCs w:val="14"/>
                <w:color w:val="auto"/>
              </w:rPr>
              <w:t>≥ 4.5%</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4.89%</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121</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16,426</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102.6%</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3.69%</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2.33%</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20-year: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2.5%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4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3.78%</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4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103.1%</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4.45%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4.5%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5.01%</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20-year: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2,395</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2,445</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25%</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103.4%</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3.42%</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30-year: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4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13,801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2.92%</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88"/>
              </w:rPr>
              <w:t>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3.40%</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4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4,368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3.74%</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84%</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4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17,784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18,841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93%</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104.5%</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4.51%</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4.5%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5.01%</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30-year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71,222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74,179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76,943</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56%</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104.4%</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4.23%</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2.58%</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89,284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92,767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95,814</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49%</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104.2%</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jc w:val="both"/>
        <w:ind w:left="660" w:hanging="328"/>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September 30, 2020, lower balance specified pools had a weighted average original loan balance of $115,000 and $117,000 for 15-year and 30-year securities, respectively, and HARP pools had a weighted average original LTV of 126% and 137%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Excludes Net TBA Position</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36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Fixed Rate Agency RMBS and</w:t>
            </w:r>
          </w:p>
        </w:tc>
        <w:tc>
          <w:tcPr>
            <w:tcW w:w="8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0"/>
                <w:szCs w:val="10"/>
                <w:color w:val="auto"/>
              </w:rPr>
            </w:pPr>
          </w:p>
        </w:tc>
        <w:tc>
          <w:tcPr>
            <w:tcW w:w="940" w:type="dxa"/>
            <w:vAlign w:val="bottom"/>
            <w:gridSpan w:val="2"/>
          </w:tcPr>
          <w:p>
            <w:pPr>
              <w:ind w:left="40"/>
              <w:spacing w:after="0" w:line="122" w:lineRule="exact"/>
              <w:rPr>
                <w:sz w:val="20"/>
                <w:szCs w:val="20"/>
                <w:color w:val="auto"/>
              </w:rPr>
            </w:pPr>
            <w:r>
              <w:rPr>
                <w:rFonts w:ascii="Arial" w:cs="Arial" w:eastAsia="Arial" w:hAnsi="Arial"/>
                <w:sz w:val="14"/>
                <w:szCs w:val="14"/>
                <w:b w:val="1"/>
                <w:bCs w:val="1"/>
                <w:color w:val="auto"/>
              </w:rPr>
              <w:t>Amortized</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ind w:left="20"/>
              <w:spacing w:after="0" w:line="122" w:lineRule="exact"/>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0"/>
                <w:szCs w:val="10"/>
                <w:color w:val="auto"/>
              </w:rPr>
            </w:pPr>
          </w:p>
        </w:tc>
        <w:tc>
          <w:tcPr>
            <w:tcW w:w="1160" w:type="dxa"/>
            <w:vAlign w:val="bottom"/>
            <w:gridSpan w:val="2"/>
          </w:tcPr>
          <w:p>
            <w:pPr>
              <w:jc w:val="center"/>
              <w:ind w:right="140"/>
              <w:spacing w:after="0" w:line="122" w:lineRule="exact"/>
              <w:rPr>
                <w:sz w:val="20"/>
                <w:szCs w:val="20"/>
                <w:color w:val="auto"/>
              </w:rPr>
            </w:pPr>
            <w:r>
              <w:rPr>
                <w:rFonts w:ascii="Arial" w:cs="Arial" w:eastAsia="Arial" w:hAnsi="Arial"/>
                <w:sz w:val="14"/>
                <w:szCs w:val="14"/>
                <w:b w:val="1"/>
                <w:bCs w:val="1"/>
                <w:color w:val="auto"/>
                <w:w w:val="96"/>
              </w:rPr>
              <w:t>Amortized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WAC </w:t>
            </w:r>
            <w:r>
              <w:rPr>
                <w:rFonts w:ascii="Arial" w:cs="Arial" w:eastAsia="Arial" w:hAnsi="Arial"/>
                <w:sz w:val="18"/>
                <w:szCs w:val="18"/>
                <w:b w:val="1"/>
                <w:bCs w:val="1"/>
                <w:color w:val="auto"/>
                <w:w w:val="95"/>
                <w:vertAlign w:val="superscript"/>
              </w:rPr>
              <w:t>2</w:t>
            </w:r>
          </w:p>
        </w:tc>
        <w:tc>
          <w:tcPr>
            <w:tcW w:w="14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gridSpan w:val="2"/>
          </w:tcPr>
          <w:p>
            <w:pPr>
              <w:jc w:val="right"/>
              <w:ind w:right="137"/>
              <w:spacing w:after="0" w:line="122" w:lineRule="exact"/>
              <w:rPr>
                <w:sz w:val="20"/>
                <w:szCs w:val="20"/>
                <w:color w:val="auto"/>
              </w:rPr>
            </w:pPr>
            <w:r>
              <w:rPr>
                <w:rFonts w:ascii="Arial" w:cs="Arial" w:eastAsia="Arial" w:hAnsi="Arial"/>
                <w:sz w:val="14"/>
                <w:szCs w:val="14"/>
                <w:b w:val="1"/>
                <w:bCs w:val="1"/>
                <w:color w:val="auto"/>
              </w:rPr>
              <w:t>Projected</w:t>
            </w:r>
          </w:p>
        </w:tc>
        <w:tc>
          <w:tcPr>
            <w:tcW w:w="0" w:type="dxa"/>
            <w:vAlign w:val="bottom"/>
          </w:tcPr>
          <w:p>
            <w:pPr>
              <w:spacing w:after="0"/>
              <w:rPr>
                <w:sz w:val="1"/>
                <w:szCs w:val="1"/>
                <w:color w:val="auto"/>
              </w:rPr>
            </w:pPr>
          </w:p>
        </w:tc>
      </w:tr>
      <w:tr>
        <w:trPr>
          <w:trHeight w:val="189"/>
        </w:trPr>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auto"/>
              </w:rPr>
              <w:t>TBA Securities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920" w:type="dxa"/>
            <w:vAlign w:val="bottom"/>
            <w:gridSpan w:val="3"/>
            <w:vMerge w:val="continue"/>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 xml:space="preserve"> 1</w:t>
            </w:r>
          </w:p>
        </w:tc>
        <w:tc>
          <w:tcPr>
            <w:tcW w:w="2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Cost Basis</w:t>
            </w: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0" w:type="dxa"/>
            <w:vAlign w:val="bottom"/>
          </w:tcPr>
          <w:p>
            <w:pPr>
              <w:ind w:left="260"/>
              <w:spacing w:after="0"/>
              <w:rPr>
                <w:sz w:val="20"/>
                <w:szCs w:val="20"/>
                <w:color w:val="auto"/>
              </w:rPr>
            </w:pPr>
            <w:r>
              <w:rPr>
                <w:rFonts w:ascii="Arial" w:cs="Arial" w:eastAsia="Arial" w:hAnsi="Arial"/>
                <w:sz w:val="14"/>
                <w:szCs w:val="14"/>
                <w:b w:val="1"/>
                <w:bCs w:val="1"/>
                <w:color w:val="auto"/>
              </w:rPr>
              <w:t>CPR</w:t>
            </w:r>
          </w:p>
        </w:tc>
        <w:tc>
          <w:tcPr>
            <w:tcW w:w="300" w:type="dxa"/>
            <w:vAlign w:val="bottom"/>
          </w:tcPr>
          <w:p>
            <w:pPr>
              <w:jc w:val="right"/>
              <w:ind w:right="237"/>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83"/>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60" w:type="dxa"/>
            <w:vAlign w:val="bottom"/>
            <w:gridSpan w:val="2"/>
          </w:tcPr>
          <w:p>
            <w:pPr>
              <w:ind w:left="22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2.5%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34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3,067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59%</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101.7%</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3.52%</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4.04%</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34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84%</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103.1%</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4.60%</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4.87%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111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gridSpan w:val="2"/>
          </w:tcPr>
          <w:p>
            <w:pPr>
              <w:ind w:left="340"/>
              <w:spacing w:after="0"/>
              <w:rPr>
                <w:sz w:val="20"/>
                <w:szCs w:val="20"/>
                <w:color w:val="auto"/>
              </w:rPr>
            </w:pPr>
            <w:r>
              <w:rPr>
                <w:rFonts w:ascii="Arial" w:cs="Arial" w:eastAsia="Arial" w:hAnsi="Arial"/>
                <w:sz w:val="14"/>
                <w:szCs w:val="14"/>
                <w:color w:val="auto"/>
              </w:rPr>
              <w:t>≥ 5.0%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6.55%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146</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8,465</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63%</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102.0%</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3.82%</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2.65%</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60" w:type="dxa"/>
            <w:vAlign w:val="bottom"/>
            <w:gridSpan w:val="2"/>
          </w:tcPr>
          <w:p>
            <w:pPr>
              <w:ind w:left="180"/>
              <w:spacing w:after="0"/>
              <w:rPr>
                <w:sz w:val="20"/>
                <w:szCs w:val="20"/>
                <w:color w:val="auto"/>
              </w:rPr>
            </w:pPr>
            <w:r>
              <w:rPr>
                <w:rFonts w:ascii="Arial" w:cs="Arial" w:eastAsia="Arial" w:hAnsi="Arial"/>
                <w:sz w:val="14"/>
                <w:szCs w:val="14"/>
                <w:color w:val="auto"/>
              </w:rPr>
              <w:t>20-year:</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34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103.3%</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4.45%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5.00%</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gridSpan w:val="2"/>
          </w:tcPr>
          <w:p>
            <w:pPr>
              <w:ind w:left="340"/>
              <w:spacing w:after="0"/>
              <w:rPr>
                <w:sz w:val="20"/>
                <w:szCs w:val="20"/>
                <w:color w:val="auto"/>
              </w:rPr>
            </w:pPr>
            <w:r>
              <w:rPr>
                <w:rFonts w:ascii="Arial" w:cs="Arial" w:eastAsia="Arial" w:hAnsi="Arial"/>
                <w:sz w:val="14"/>
                <w:szCs w:val="14"/>
                <w:color w:val="auto"/>
              </w:rPr>
              <w:t>≥ 5.0%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105.1%</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5.95%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141</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20-year: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90%</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103.2%</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4.40%</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3.05%</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60" w:type="dxa"/>
            <w:vAlign w:val="bottom"/>
            <w:gridSpan w:val="2"/>
          </w:tcPr>
          <w:p>
            <w:pPr>
              <w:ind w:left="180"/>
              <w:spacing w:after="0"/>
              <w:rPr>
                <w:sz w:val="20"/>
                <w:szCs w:val="20"/>
                <w:color w:val="auto"/>
              </w:rPr>
            </w:pPr>
            <w:r>
              <w:rPr>
                <w:rFonts w:ascii="Arial" w:cs="Arial" w:eastAsia="Arial" w:hAnsi="Arial"/>
                <w:sz w:val="14"/>
                <w:szCs w:val="14"/>
                <w:color w:val="auto"/>
              </w:rPr>
              <w:t>30-year:</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3.0%</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34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24,902</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60%</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103.3%</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84%</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4.51%</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34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13,831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93%</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105.1%</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4.98%</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23</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108.0%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5.50%</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gridSpan w:val="2"/>
          </w:tcPr>
          <w:p>
            <w:pPr>
              <w:ind w:left="340"/>
              <w:spacing w:after="0"/>
              <w:rPr>
                <w:sz w:val="20"/>
                <w:szCs w:val="20"/>
                <w:color w:val="auto"/>
              </w:rPr>
            </w:pPr>
            <w:r>
              <w:rPr>
                <w:rFonts w:ascii="Arial" w:cs="Arial" w:eastAsia="Arial" w:hAnsi="Arial"/>
                <w:sz w:val="14"/>
                <w:szCs w:val="14"/>
                <w:color w:val="auto"/>
              </w:rPr>
              <w:t>≥ 5.5%</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109.6%</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6.18%</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158</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30-year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91,731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94,665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96,265</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103.3%</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4.29%</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3.07%</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100,603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103,723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105,447</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56%</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103.3%</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4.26%</w:t>
            </w:r>
          </w:p>
        </w:tc>
        <w:tc>
          <w:tcPr>
            <w:tcW w:w="140" w:type="dxa"/>
            <w:vAlign w:val="bottom"/>
          </w:tcPr>
          <w:p>
            <w:pPr>
              <w:spacing w:after="0"/>
              <w:rPr>
                <w:sz w:val="15"/>
                <w:szCs w:val="15"/>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60" w:lineRule="auto"/>
        <w:tabs>
          <w:tab w:leader="none" w:pos="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2019, lower balance specified pools had a weighted average original loan balance of $115,000 and $118,000 for 15-year and 30-year securities, respectively, and HARP pools had a weighted average original LTV of 119% and 136% for 15-year and 30-year securities, respectively.</w:t>
      </w: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2019.</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2020 and December 31, 2019, our investments in CRT and non-Agency securities had the following credit ratings: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9"/>
        </w:trPr>
        <w:tc>
          <w:tcPr>
            <w:tcW w:w="404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18"/>
                <w:szCs w:val="18"/>
                <w:b w:val="1"/>
                <w:bCs w:val="1"/>
                <w:color w:val="auto"/>
                <w:vertAlign w:val="superscript"/>
              </w:rPr>
              <w:t>1</w:t>
            </w:r>
          </w:p>
        </w:tc>
        <w:tc>
          <w:tcPr>
            <w:tcW w:w="220" w:type="dxa"/>
            <w:vAlign w:val="bottom"/>
          </w:tcPr>
          <w:p>
            <w:pPr>
              <w:spacing w:after="0"/>
              <w:rPr>
                <w:sz w:val="16"/>
                <w:szCs w:val="16"/>
                <w:color w:val="auto"/>
              </w:rPr>
            </w:pPr>
          </w:p>
        </w:tc>
        <w:tc>
          <w:tcPr>
            <w:tcW w:w="880" w:type="dxa"/>
            <w:vAlign w:val="bottom"/>
          </w:tcPr>
          <w:p>
            <w:pPr>
              <w:jc w:val="right"/>
              <w:ind w:right="288"/>
              <w:spacing w:after="0" w:line="189" w:lineRule="exact"/>
              <w:rPr>
                <w:sz w:val="20"/>
                <w:szCs w:val="20"/>
                <w:color w:val="auto"/>
              </w:rPr>
            </w:pPr>
            <w:r>
              <w:rPr>
                <w:rFonts w:ascii="Arial" w:cs="Arial" w:eastAsia="Arial" w:hAnsi="Arial"/>
                <w:sz w:val="14"/>
                <w:szCs w:val="14"/>
                <w:b w:val="1"/>
                <w:bCs w:val="1"/>
                <w:color w:val="auto"/>
              </w:rPr>
              <w:t xml:space="preserve">CRT </w:t>
            </w:r>
            <w:r>
              <w:rPr>
                <w:rFonts w:ascii="Arial" w:cs="Arial" w:eastAsia="Arial" w:hAnsi="Arial"/>
                <w:sz w:val="18"/>
                <w:szCs w:val="18"/>
                <w:b w:val="1"/>
                <w:bCs w:val="1"/>
                <w:color w:val="auto"/>
                <w:vertAlign w:val="superscript"/>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RMBS</w:t>
            </w:r>
          </w:p>
        </w:tc>
        <w:tc>
          <w:tcPr>
            <w:tcW w:w="22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88"/>
              <w:spacing w:after="0" w:line="189" w:lineRule="exact"/>
              <w:rPr>
                <w:sz w:val="20"/>
                <w:szCs w:val="20"/>
                <w:color w:val="auto"/>
              </w:rPr>
            </w:pPr>
            <w:r>
              <w:rPr>
                <w:rFonts w:ascii="Arial" w:cs="Arial" w:eastAsia="Arial" w:hAnsi="Arial"/>
                <w:sz w:val="14"/>
                <w:szCs w:val="14"/>
                <w:b w:val="1"/>
                <w:bCs w:val="1"/>
                <w:color w:val="auto"/>
              </w:rPr>
              <w:t xml:space="preserve">CRT </w:t>
            </w:r>
            <w:r>
              <w:rPr>
                <w:rFonts w:ascii="Arial" w:cs="Arial" w:eastAsia="Arial" w:hAnsi="Arial"/>
                <w:sz w:val="18"/>
                <w:szCs w:val="18"/>
                <w:b w:val="1"/>
                <w:bCs w:val="1"/>
                <w:color w:val="auto"/>
                <w:vertAlign w:val="superscript"/>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RMBS</w:t>
            </w:r>
          </w:p>
        </w:tc>
        <w:tc>
          <w:tcPr>
            <w:tcW w:w="22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r>
      <w:tr>
        <w:trPr>
          <w:trHeight w:val="183"/>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6"/>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92"/>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86"/>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92"/>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6"/>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2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w:t>
            </w:r>
          </w:p>
        </w:tc>
      </w:tr>
      <w:tr>
        <w:trPr>
          <w:trHeight w:val="20"/>
        </w:trPr>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ind w:left="660" w:hanging="328"/>
        <w:spacing w:after="0" w:line="255"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CRT securities reference the performance of loans underlying Agency RMBS issued by Fannie Mae or Freddie Mac, each of which were subject to Fannie Mae and Freddie Mac's underwriting standards.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 and interest rate swap periodic income/(cost).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w:t>
      </w:r>
    </w:p>
    <w:p>
      <w:pPr>
        <w:spacing w:after="0" w:line="10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we are required to distribute to maintain our REIT qualification status.</w:t>
      </w:r>
    </w:p>
    <w:p>
      <w:pPr>
        <w:spacing w:after="0" w:line="13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52"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following selected financial data is derived from our interim consolidated financial statements and the notes thereto. The tables below present our condensed consolidated balance sheets as of September 30, 2020 and December 31, 2019 and our condensed consolidated statements of comprehensive income and key statistics for the three and nine months ended September 30, 2020 and 2019 (in millions, except per share amounts):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Data</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right"/>
              <w:ind w:right="100"/>
              <w:spacing w:after="0" w:line="147"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vMerge w:val="restart"/>
          </w:tcPr>
          <w:p>
            <w:pPr>
              <w:jc w:val="right"/>
              <w:ind w:right="39"/>
              <w:spacing w:after="0"/>
              <w:rPr>
                <w:sz w:val="20"/>
                <w:szCs w:val="20"/>
                <w:color w:val="auto"/>
              </w:rPr>
            </w:pPr>
            <w:r>
              <w:rPr>
                <w:rFonts w:ascii="Arial" w:cs="Arial" w:eastAsia="Arial" w:hAnsi="Arial"/>
                <w:sz w:val="14"/>
                <w:szCs w:val="14"/>
                <w:b w:val="1"/>
                <w:bCs w:val="1"/>
                <w:color w:val="auto"/>
                <w:w w:val="99"/>
              </w:rPr>
              <w:t>December 31, 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4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7"/>
          </w:tcPr>
          <w:p>
            <w:pPr>
              <w:ind w:left="100"/>
              <w:spacing w:after="0"/>
              <w:rPr>
                <w:sz w:val="20"/>
                <w:szCs w:val="20"/>
                <w:color w:val="auto"/>
              </w:rPr>
            </w:pPr>
            <w:r>
              <w:rPr>
                <w:rFonts w:ascii="Arial" w:cs="Arial" w:eastAsia="Arial" w:hAnsi="Arial"/>
                <w:sz w:val="16"/>
                <w:szCs w:val="16"/>
                <w:color w:val="auto"/>
              </w:rPr>
              <w:t>(Unaudited)</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at fair value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6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68,044</w:t>
            </w:r>
          </w:p>
        </w:tc>
        <w:tc>
          <w:tcPr>
            <w:tcW w:w="38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ind w:right="26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5"/>
              </w:rPr>
              <w:t>79,968</w:t>
            </w:r>
          </w:p>
        </w:tc>
        <w:tc>
          <w:tcPr>
            <w:tcW w:w="380" w:type="dxa"/>
            <w:vAlign w:val="bottom"/>
            <w:gridSpan w:val="3"/>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and other debt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6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54,758</w:t>
            </w:r>
          </w:p>
        </w:tc>
        <w:tc>
          <w:tcPr>
            <w:tcW w:w="38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ind w:right="26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5"/>
              </w:rPr>
              <w:t>69,248</w:t>
            </w:r>
          </w:p>
        </w:tc>
        <w:tc>
          <w:tcPr>
            <w:tcW w:w="380" w:type="dxa"/>
            <w:vAlign w:val="bottom"/>
            <w:gridSpan w:val="3"/>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6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10,720</w:t>
            </w:r>
          </w:p>
        </w:tc>
        <w:tc>
          <w:tcPr>
            <w:tcW w:w="38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ind w:right="26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16.84</w:t>
            </w:r>
          </w:p>
        </w:tc>
        <w:tc>
          <w:tcPr>
            <w:tcW w:w="380" w:type="dxa"/>
            <w:vAlign w:val="bottom"/>
            <w:gridSpan w:val="3"/>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38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gridSpan w:val="6"/>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gridSpan w:val="7"/>
          </w:tcPr>
          <w:p>
            <w:pPr>
              <w:jc w:val="right"/>
              <w:ind w:right="359"/>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Statement of Comprehensive Income Data (Unaudited)</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jc w:val="right"/>
              <w:ind w:right="8"/>
              <w:spacing w:after="0"/>
              <w:rPr>
                <w:sz w:val="20"/>
                <w:szCs w:val="20"/>
                <w:color w:val="auto"/>
              </w:rPr>
            </w:pPr>
            <w:r>
              <w:rPr>
                <w:rFonts w:ascii="Arial" w:cs="Arial" w:eastAsia="Arial" w:hAnsi="Arial"/>
                <w:sz w:val="16"/>
                <w:szCs w:val="16"/>
                <w:color w:val="auto"/>
              </w:rPr>
              <w:t>1,284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Other gain (loss), net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net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Comprehensive income (loss)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color w:val="auto"/>
                <w:w w:val="85"/>
              </w:rPr>
              <w:t>(304)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229</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color w:val="auto"/>
                <w:w w:val="85"/>
              </w:rPr>
              <w:t>(375)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546.4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6"/>
                <w:szCs w:val="16"/>
                <w:color w:val="auto"/>
              </w:rPr>
              <w:t>553.8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4"/>
            <w:shd w:val="clear" w:color="auto" w:fill="CCEEFF"/>
          </w:tcPr>
          <w:p>
            <w:pPr>
              <w:jc w:val="right"/>
              <w:ind w:right="8"/>
              <w:spacing w:after="0"/>
              <w:rPr>
                <w:sz w:val="20"/>
                <w:szCs w:val="20"/>
                <w:color w:val="auto"/>
              </w:rPr>
            </w:pPr>
            <w:r>
              <w:rPr>
                <w:rFonts w:ascii="Arial" w:cs="Arial" w:eastAsia="Arial" w:hAnsi="Arial"/>
                <w:sz w:val="16"/>
                <w:szCs w:val="16"/>
                <w:color w:val="auto"/>
              </w:rPr>
              <w:t>553.8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6"/>
                <w:szCs w:val="16"/>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(0.03)</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Comprehensive income (loss) per common share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6"/>
                <w:szCs w:val="16"/>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0.42</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Comprehensive income (loss) per common share -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Dividends declared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6"/>
                <w:szCs w:val="16"/>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0.48</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380" w:type="dxa"/>
            <w:vAlign w:val="bottom"/>
            <w:gridSpan w:val="3"/>
          </w:tcPr>
          <w:p>
            <w:pPr>
              <w:jc w:val="right"/>
              <w:ind w:right="8"/>
              <w:spacing w:after="0"/>
              <w:rPr>
                <w:sz w:val="20"/>
                <w:szCs w:val="20"/>
                <w:color w:val="auto"/>
              </w:rPr>
            </w:pPr>
            <w:r>
              <w:rPr>
                <w:rFonts w:ascii="Arial" w:cs="Arial" w:eastAsia="Arial" w:hAnsi="Arial"/>
                <w:sz w:val="16"/>
                <w:szCs w:val="16"/>
                <w:color w:val="auto"/>
                <w:w w:val="89"/>
              </w:rPr>
              <w:t>1.20</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32" w:name="page33"/>
    <w:bookmarkEnd w:id="32"/>
    <w:tbl>
      <w:tblPr>
        <w:tblLayout w:type="fixed"/>
        <w:tblInd w:w="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September 30,</w:t>
            </w:r>
          </w:p>
        </w:tc>
      </w:tr>
      <w:tr>
        <w:trPr>
          <w:trHeight w:val="184"/>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Data (Unaudited) *</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1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investment securities - at par</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61,398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89,741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75,108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88,783</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Average investment securities - at cost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63,893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92,764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77,783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91,736</w:t>
            </w: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net TBA portfolio - at cost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27,785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10,146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17,017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10,012</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Average total assets -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80,058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w w:val="93"/>
              </w:rPr>
              <w:t>104,819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93,541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111,059</w:t>
            </w: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repurchase agreements and other debt outstanding </w:t>
            </w:r>
            <w:r>
              <w:rPr>
                <w:rFonts w:ascii="Arial" w:cs="Arial" w:eastAsia="Arial" w:hAnsi="Arial"/>
                <w:sz w:val="18"/>
                <w:szCs w:val="18"/>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61,008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87,938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74,649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85,406</w:t>
            </w: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18"/>
                <w:szCs w:val="18"/>
                <w:color w:val="auto"/>
                <w:vertAlign w:val="superscript"/>
              </w:rPr>
              <w:t>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10,527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10,347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10,595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10,277</w:t>
            </w:r>
          </w:p>
        </w:tc>
      </w:tr>
    </w:tbl>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18"/>
                <w:szCs w:val="18"/>
                <w:color w:val="auto"/>
                <w:vertAlign w:val="superscript"/>
              </w:rPr>
              <w:t>5</w:t>
            </w:r>
          </w:p>
        </w:tc>
        <w:tc>
          <w:tcPr>
            <w:tcW w:w="2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8.9:1</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10.0:1</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9.1:1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r>
      <w:tr>
        <w:trPr>
          <w:trHeight w:val="216"/>
        </w:trPr>
        <w:tc>
          <w:tcPr>
            <w:tcW w:w="5320" w:type="dxa"/>
            <w:vAlign w:val="bottom"/>
          </w:tcPr>
          <w:p>
            <w:pPr>
              <w:ind w:left="2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18"/>
                <w:szCs w:val="18"/>
                <w:color w:val="auto"/>
                <w:vertAlign w:val="superscript"/>
              </w:rPr>
              <w:t>6</w:t>
            </w:r>
          </w:p>
        </w:tc>
        <w:tc>
          <w:tcPr>
            <w:tcW w:w="2340" w:type="dxa"/>
            <w:vAlign w:val="bottom"/>
          </w:tcPr>
          <w:p>
            <w:pPr>
              <w:jc w:val="right"/>
              <w:ind w:right="339"/>
              <w:spacing w:after="0"/>
              <w:rPr>
                <w:sz w:val="20"/>
                <w:szCs w:val="20"/>
                <w:color w:val="auto"/>
              </w:rPr>
            </w:pPr>
            <w:r>
              <w:rPr>
                <w:rFonts w:ascii="Arial" w:cs="Arial" w:eastAsia="Arial" w:hAnsi="Arial"/>
                <w:sz w:val="16"/>
                <w:szCs w:val="16"/>
                <w:color w:val="auto"/>
              </w:rPr>
              <w:t>8.8:1</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9.8:1</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8.8:1</w:t>
            </w:r>
          </w:p>
        </w:tc>
        <w:tc>
          <w:tcPr>
            <w:tcW w:w="920" w:type="dxa"/>
            <w:vAlign w:val="bottom"/>
          </w:tcPr>
          <w:p>
            <w:pPr>
              <w:jc w:val="right"/>
              <w:spacing w:after="0"/>
              <w:rPr>
                <w:sz w:val="20"/>
                <w:szCs w:val="20"/>
                <w:color w:val="auto"/>
              </w:rPr>
            </w:pPr>
            <w:r>
              <w:rPr>
                <w:rFonts w:ascii="Arial" w:cs="Arial" w:eastAsia="Arial" w:hAnsi="Arial"/>
                <w:sz w:val="16"/>
                <w:szCs w:val="16"/>
                <w:color w:val="auto"/>
              </w:rPr>
              <w:t>9.8:1</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Economic return on tangible common equity </w:t>
            </w:r>
            <w:r>
              <w:rPr>
                <w:rFonts w:ascii="Arial" w:cs="Arial" w:eastAsia="Arial" w:hAnsi="Arial"/>
                <w:sz w:val="18"/>
                <w:szCs w:val="18"/>
                <w:color w:val="auto"/>
                <w:vertAlign w:val="superscript"/>
              </w:rPr>
              <w:t>7</w:t>
            </w:r>
          </w:p>
        </w:tc>
        <w:tc>
          <w:tcPr>
            <w:tcW w:w="2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8.8 %</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2.7 %</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3"/>
        </w:trPr>
        <w:tc>
          <w:tcPr>
            <w:tcW w:w="5320" w:type="dxa"/>
            <w:vAlign w:val="bottom"/>
          </w:tcPr>
          <w:p>
            <w:pPr>
              <w:ind w:left="20"/>
              <w:spacing w:after="0"/>
              <w:rPr>
                <w:sz w:val="20"/>
                <w:szCs w:val="20"/>
                <w:color w:val="auto"/>
              </w:rPr>
            </w:pPr>
            <w:r>
              <w:rPr>
                <w:rFonts w:ascii="Arial" w:cs="Arial" w:eastAsia="Arial" w:hAnsi="Arial"/>
                <w:sz w:val="14"/>
                <w:szCs w:val="14"/>
                <w:color w:val="auto"/>
              </w:rPr>
              <w:t>Expenses % of average total assets</w:t>
            </w:r>
          </w:p>
        </w:tc>
        <w:tc>
          <w:tcPr>
            <w:tcW w:w="2340" w:type="dxa"/>
            <w:vAlign w:val="bottom"/>
          </w:tcPr>
          <w:p>
            <w:pPr>
              <w:jc w:val="right"/>
              <w:ind w:right="339"/>
              <w:spacing w:after="0"/>
              <w:rPr>
                <w:sz w:val="20"/>
                <w:szCs w:val="20"/>
                <w:color w:val="auto"/>
              </w:rPr>
            </w:pPr>
            <w:r>
              <w:rPr>
                <w:rFonts w:ascii="Arial" w:cs="Arial" w:eastAsia="Arial" w:hAnsi="Arial"/>
                <w:sz w:val="16"/>
                <w:szCs w:val="16"/>
                <w:color w:val="auto"/>
              </w:rPr>
              <w:t>0.10 %</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0.07 %</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0.10 %</w:t>
            </w:r>
          </w:p>
        </w:tc>
        <w:tc>
          <w:tcPr>
            <w:tcW w:w="920" w:type="dxa"/>
            <w:vAlign w:val="bottom"/>
          </w:tcPr>
          <w:p>
            <w:pPr>
              <w:jc w:val="right"/>
              <w:spacing w:after="0"/>
              <w:rPr>
                <w:sz w:val="20"/>
                <w:szCs w:val="20"/>
                <w:color w:val="auto"/>
              </w:rPr>
            </w:pPr>
            <w:r>
              <w:rPr>
                <w:rFonts w:ascii="Arial" w:cs="Arial" w:eastAsia="Arial" w:hAnsi="Arial"/>
                <w:sz w:val="16"/>
                <w:szCs w:val="16"/>
                <w:color w:val="auto"/>
              </w:rPr>
              <w:t>0.07 %</w:t>
            </w: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 % of average assets, including average net TBA position</w:t>
            </w:r>
          </w:p>
        </w:tc>
        <w:tc>
          <w:tcPr>
            <w:tcW w:w="2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0.08 %</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0.07 %</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0.08 %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0.06 %</w:t>
            </w:r>
          </w:p>
        </w:tc>
      </w:tr>
      <w:tr>
        <w:trPr>
          <w:trHeight w:val="210"/>
        </w:trPr>
        <w:tc>
          <w:tcPr>
            <w:tcW w:w="5320" w:type="dxa"/>
            <w:vAlign w:val="bottom"/>
          </w:tcPr>
          <w:p>
            <w:pPr>
              <w:ind w:left="20"/>
              <w:spacing w:after="0"/>
              <w:rPr>
                <w:sz w:val="20"/>
                <w:szCs w:val="20"/>
                <w:color w:val="auto"/>
              </w:rPr>
            </w:pPr>
            <w:r>
              <w:rPr>
                <w:rFonts w:ascii="Arial" w:cs="Arial" w:eastAsia="Arial" w:hAnsi="Arial"/>
                <w:sz w:val="14"/>
                <w:szCs w:val="14"/>
                <w:color w:val="auto"/>
              </w:rPr>
              <w:t>Expenses % of average stockholders' equity</w:t>
            </w:r>
          </w:p>
        </w:tc>
        <w:tc>
          <w:tcPr>
            <w:tcW w:w="2340" w:type="dxa"/>
            <w:vAlign w:val="bottom"/>
          </w:tcPr>
          <w:p>
            <w:pPr>
              <w:jc w:val="right"/>
              <w:ind w:right="339"/>
              <w:spacing w:after="0"/>
              <w:rPr>
                <w:sz w:val="20"/>
                <w:szCs w:val="20"/>
                <w:color w:val="auto"/>
              </w:rPr>
            </w:pPr>
            <w:r>
              <w:rPr>
                <w:rFonts w:ascii="Arial" w:cs="Arial" w:eastAsia="Arial" w:hAnsi="Arial"/>
                <w:sz w:val="16"/>
                <w:szCs w:val="16"/>
                <w:color w:val="auto"/>
              </w:rPr>
              <w:t>0.80 %</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0.73 %</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0.86 %</w:t>
            </w:r>
          </w:p>
        </w:tc>
        <w:tc>
          <w:tcPr>
            <w:tcW w:w="920" w:type="dxa"/>
            <w:vAlign w:val="bottom"/>
          </w:tcPr>
          <w:p>
            <w:pPr>
              <w:jc w:val="right"/>
              <w:spacing w:after="0"/>
              <w:rPr>
                <w:sz w:val="20"/>
                <w:szCs w:val="20"/>
                <w:color w:val="auto"/>
              </w:rPr>
            </w:pPr>
            <w:r>
              <w:rPr>
                <w:rFonts w:ascii="Arial" w:cs="Arial" w:eastAsia="Arial" w:hAnsi="Arial"/>
                <w:sz w:val="16"/>
                <w:szCs w:val="16"/>
                <w:color w:val="auto"/>
              </w:rPr>
              <w:t>0.75 %</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 excludes U.S. Treasury repurchase agreements and TBA contracts. Other debt includes debt of consolidated VIEs.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mortgage borrowings outstanding (Agency and non-Agency MBS repurchase agreements, other debt and TBA securities (at cost)) for the period by the sum of average stockholders' equity adjusted to exclude goodwill for the period. Leverage excludes U.S. Treasury repurchase agreements.</w:t>
      </w:r>
    </w:p>
    <w:p>
      <w:pPr>
        <w:spacing w:after="0" w:line="1" w:lineRule="exact"/>
        <w:rPr>
          <w:rFonts w:ascii="Arial" w:cs="Arial" w:eastAsia="Arial" w:hAnsi="Arial"/>
          <w:sz w:val="14"/>
          <w:szCs w:val="14"/>
          <w:color w:val="auto"/>
        </w:rPr>
      </w:pPr>
    </w:p>
    <w:p>
      <w:pPr>
        <w:ind w:left="660" w:right="2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mortgage borrowings outstanding and receivable/payable for unsettled investment securities as of period end (at cost) by the sum of total stockholders' equity adjusted to exclude goodwill as of period end. Leverage excludes U.S. Treasury repurchase agreements.</w:t>
      </w:r>
    </w:p>
    <w:p>
      <w:pPr>
        <w:ind w:left="660" w:right="20" w:hanging="328"/>
        <w:spacing w:after="0" w:line="255"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and nine months ended September 30, 2020 and 2019, which includes the combination of interest income (a GAAP measure) on our holdings reported as investment securities on our consolidated balance sheets, adjusted to exclude estimated "catch-up" premium amortization adjustments for the cumulative effect from prior reporting periods of changes in our CPR forecast, and implied interest income on our TBA securities (dollars in millions):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auto"/>
                <w:w w:val="95"/>
              </w:rPr>
              <w:t>Nine Months Ended 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Pr>
          <w:p>
            <w:pPr>
              <w:jc w:val="right"/>
              <w:ind w:right="16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67"/>
        </w:trPr>
        <w:tc>
          <w:tcPr>
            <w:tcW w:w="39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2,591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3.87 %</w:t>
            </w:r>
          </w:p>
        </w:tc>
        <w:tc>
          <w:tcPr>
            <w:tcW w:w="0" w:type="dxa"/>
            <w:vAlign w:val="bottom"/>
          </w:tcPr>
          <w:p>
            <w:pPr>
              <w:spacing w:after="0"/>
              <w:rPr>
                <w:sz w:val="1"/>
                <w:szCs w:val="1"/>
                <w:color w:val="auto"/>
              </w:rPr>
            </w:pPr>
          </w:p>
        </w:tc>
      </w:tr>
      <w:tr>
        <w:trPr>
          <w:trHeight w:val="186"/>
        </w:trPr>
        <w:tc>
          <w:tcPr>
            <w:tcW w:w="39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186"/>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3.01 %</w:t>
            </w:r>
          </w:p>
        </w:tc>
        <w:tc>
          <w:tcPr>
            <w:tcW w:w="0" w:type="dxa"/>
            <w:vAlign w:val="bottom"/>
          </w:tcPr>
          <w:p>
            <w:pPr>
              <w:spacing w:after="0"/>
              <w:rPr>
                <w:sz w:val="1"/>
                <w:szCs w:val="1"/>
                <w:color w:val="auto"/>
              </w:rPr>
            </w:pPr>
          </w:p>
        </w:tc>
      </w:tr>
      <w:tr>
        <w:trPr>
          <w:trHeight w:val="135"/>
        </w:trPr>
        <w:tc>
          <w:tcPr>
            <w:tcW w:w="3940" w:type="dxa"/>
            <w:vAlign w:val="bottom"/>
          </w:tcPr>
          <w:p>
            <w:pPr>
              <w:ind w:left="80"/>
              <w:spacing w:after="0" w:line="135" w:lineRule="exact"/>
              <w:rPr>
                <w:sz w:val="20"/>
                <w:szCs w:val="20"/>
                <w:color w:val="auto"/>
              </w:rPr>
            </w:pPr>
            <w:r>
              <w:rPr>
                <w:rFonts w:ascii="Arial" w:cs="Arial" w:eastAsia="Arial" w:hAnsi="Arial"/>
                <w:sz w:val="14"/>
                <w:szCs w:val="14"/>
                <w:color w:val="auto"/>
                <w:w w:val="96"/>
              </w:rPr>
              <w:t>Estimated "catch-up" premium amortization cost (benefit) due to</w:t>
            </w:r>
          </w:p>
        </w:tc>
        <w:tc>
          <w:tcPr>
            <w:tcW w:w="140" w:type="dxa"/>
            <w:vAlign w:val="bottom"/>
          </w:tcPr>
          <w:p>
            <w:pPr>
              <w:spacing w:after="0"/>
              <w:rPr>
                <w:sz w:val="11"/>
                <w:szCs w:val="11"/>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0.31 %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0.24 %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0.60 %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0.23 %</w:t>
            </w:r>
          </w:p>
        </w:tc>
        <w:tc>
          <w:tcPr>
            <w:tcW w:w="0" w:type="dxa"/>
            <w:vAlign w:val="bottom"/>
          </w:tcPr>
          <w:p>
            <w:pPr>
              <w:spacing w:after="0"/>
              <w:rPr>
                <w:sz w:val="1"/>
                <w:szCs w:val="1"/>
                <w:color w:val="auto"/>
              </w:rPr>
            </w:pPr>
          </w:p>
        </w:tc>
      </w:tr>
      <w:tr>
        <w:trPr>
          <w:trHeight w:val="186"/>
        </w:trPr>
        <w:tc>
          <w:tcPr>
            <w:tcW w:w="39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change in CPR forecast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3.24 %</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18"/>
                <w:szCs w:val="18"/>
                <w:color w:val="auto"/>
                <w:vertAlign w:val="superscript"/>
              </w:rPr>
              <w:t>1,2</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3.28 %</w:t>
            </w:r>
          </w:p>
        </w:tc>
        <w:tc>
          <w:tcPr>
            <w:tcW w:w="0" w:type="dxa"/>
            <w:vAlign w:val="bottom"/>
          </w:tcPr>
          <w:p>
            <w:pPr>
              <w:spacing w:after="0"/>
              <w:rPr>
                <w:sz w:val="1"/>
                <w:szCs w:val="1"/>
                <w:color w:val="auto"/>
              </w:rPr>
            </w:pPr>
          </w:p>
        </w:tc>
      </w:tr>
      <w:tr>
        <w:trPr>
          <w:trHeight w:val="115"/>
        </w:trPr>
        <w:tc>
          <w:tcPr>
            <w:tcW w:w="39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Economic interest income, excluding "catch-up" amortization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3.16 %</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1,870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2,474</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3.24 %</w:t>
            </w:r>
          </w:p>
        </w:tc>
        <w:tc>
          <w:tcPr>
            <w:tcW w:w="0" w:type="dxa"/>
            <w:vAlign w:val="bottom"/>
          </w:tcPr>
          <w:p>
            <w:pPr>
              <w:spacing w:after="0"/>
              <w:rPr>
                <w:sz w:val="1"/>
                <w:szCs w:val="1"/>
                <w:color w:val="auto"/>
              </w:rPr>
            </w:pPr>
          </w:p>
        </w:tc>
      </w:tr>
      <w:tr>
        <w:trPr>
          <w:trHeight w:val="182"/>
        </w:trPr>
        <w:tc>
          <w:tcPr>
            <w:tcW w:w="3940" w:type="dxa"/>
            <w:vAlign w:val="bottom"/>
            <w:tcBorders>
              <w:bottom w:val="single" w:sz="8" w:color="CCEEFF"/>
            </w:tcBorders>
            <w:shd w:val="clear" w:color="auto" w:fill="CCEEFF"/>
          </w:tcPr>
          <w:p>
            <w:pPr>
              <w:ind w:left="20"/>
              <w:spacing w:after="0" w:line="162" w:lineRule="exact"/>
              <w:rPr>
                <w:sz w:val="20"/>
                <w:szCs w:val="20"/>
                <w:color w:val="auto"/>
              </w:rPr>
            </w:pPr>
            <w:r>
              <w:rPr>
                <w:rFonts w:ascii="Arial" w:cs="Arial" w:eastAsia="Arial" w:hAnsi="Arial"/>
                <w:sz w:val="14"/>
                <w:szCs w:val="14"/>
                <w:color w:val="auto"/>
              </w:rPr>
              <w:t xml:space="preserve">(non-GAAP measure) </w:t>
            </w:r>
            <w:r>
              <w:rPr>
                <w:rFonts w:ascii="Arial" w:cs="Arial" w:eastAsia="Arial" w:hAnsi="Arial"/>
                <w:sz w:val="18"/>
                <w:szCs w:val="18"/>
                <w:color w:val="auto"/>
                <w:vertAlign w:val="superscript"/>
              </w:rPr>
              <w:t>3</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Weighted average actual portfolio CPR for investment securities</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 during the period</w:t>
            </w: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4"/>
                <w:szCs w:val="14"/>
                <w:color w:val="auto"/>
              </w:rPr>
              <w:t>Weighted average projected CPR for the remaining life of</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15.9 %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13.4 %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15.9 %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13.4 %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investment securities held as of period end</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18"/>
                <w:szCs w:val="18"/>
                <w:color w:val="auto"/>
                <w:vertAlign w:val="superscript"/>
              </w:rPr>
              <w:t>4</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94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3" w:name="page34"/>
    <w:bookmarkEnd w:id="33"/>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the three and nine months ended September 30, 2020 compared to the prior year period (in millions):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Periods ended September 30, 2020 vs. September 30,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31"/>
        </w:trPr>
        <w:tc>
          <w:tcPr>
            <w:tcW w:w="6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2"/>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7"/>
              </w:rPr>
              <w:t>Portfolio</w:t>
            </w:r>
          </w:p>
        </w:tc>
        <w:tc>
          <w:tcPr>
            <w:tcW w:w="320" w:type="dxa"/>
            <w:vAlign w:val="bottom"/>
          </w:tcPr>
          <w:p>
            <w:pPr>
              <w:spacing w:after="0"/>
              <w:rPr>
                <w:sz w:val="11"/>
                <w:szCs w:val="11"/>
                <w:color w:val="auto"/>
              </w:rPr>
            </w:pPr>
          </w:p>
        </w:tc>
        <w:tc>
          <w:tcPr>
            <w:tcW w:w="1120" w:type="dxa"/>
            <w:vAlign w:val="bottom"/>
          </w:tcPr>
          <w:p>
            <w:pPr>
              <w:jc w:val="right"/>
              <w:ind w:right="488"/>
              <w:spacing w:after="0" w:line="131"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80"/>
        </w:trPr>
        <w:tc>
          <w:tcPr>
            <w:tcW w:w="6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5"/>
                <w:szCs w:val="15"/>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92"/>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11"/>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8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11"/>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average investment portfolio, inclusive of TBAs (at cost), decreased -11% and -7% for the three and nine months ended September 30, 2020, respectively, compared to the prior year periods primarily due to lower operating leverage. The decrease in our average asset yield for the three and nine months ended September 30, 2020 was due to the combination of changes in asset composition and higher premium amortization cost resulting from faster prepayment expectations.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position (at cost) (together referred to as "mortgage borrowings") and our net receivable/payable for unsettled investment securities, divided by our total stockholders' equity adjusted to exclude goodwill and other intangible assets.</w:t>
      </w:r>
    </w:p>
    <w:p>
      <w:pPr>
        <w:spacing w:after="0" w:line="9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for further discussion of TBA securities and dollar roll transactions). Repurchase agreements used to fund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6"/>
          </w:tcPr>
          <w:p>
            <w:pPr>
              <w:jc w:val="center"/>
              <w:ind w:left="470"/>
              <w:spacing w:after="0"/>
              <w:rPr>
                <w:sz w:val="20"/>
                <w:szCs w:val="20"/>
                <w:color w:val="auto"/>
              </w:rPr>
            </w:pPr>
            <w:r>
              <w:rPr>
                <w:rFonts w:ascii="Arial" w:cs="Arial" w:eastAsia="Arial" w:hAnsi="Arial"/>
                <w:sz w:val="13"/>
                <w:szCs w:val="13"/>
                <w:b w:val="1"/>
                <w:bCs w:val="1"/>
                <w:color w:val="auto"/>
                <w:w w:val="84"/>
              </w:rPr>
              <w:t>Repurchase Agreements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jc w:val="right"/>
              <w:ind w:right="390"/>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Tangible Net Book</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rPr>
              <w:t xml:space="preserve">and Other Debt </w:t>
            </w:r>
            <w:r>
              <w:rPr>
                <w:rFonts w:ascii="Arial" w:cs="Arial" w:eastAsia="Arial" w:hAnsi="Arial"/>
                <w:sz w:val="14"/>
                <w:szCs w:val="14"/>
                <w:b w:val="1"/>
                <w:bCs w:val="1"/>
                <w:color w:val="auto"/>
                <w:vertAlign w:val="superscript"/>
              </w:rPr>
              <w:t>1</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70"/>
              <w:spacing w:after="0" w:line="122" w:lineRule="exact"/>
              <w:rPr>
                <w:sz w:val="20"/>
                <w:szCs w:val="20"/>
                <w:color w:val="auto"/>
              </w:rPr>
            </w:pPr>
            <w:r>
              <w:rPr>
                <w:rFonts w:ascii="Arial" w:cs="Arial" w:eastAsia="Arial" w:hAnsi="Arial"/>
                <w:sz w:val="11"/>
                <w:szCs w:val="11"/>
                <w:b w:val="1"/>
                <w:bCs w:val="1"/>
                <w:color w:val="auto"/>
              </w:rPr>
              <w:t xml:space="preserve">Long/(Short) </w:t>
            </w:r>
            <w:r>
              <w:rPr>
                <w:rFonts w:ascii="Arial" w:cs="Arial" w:eastAsia="Arial" w:hAnsi="Arial"/>
                <w:sz w:val="14"/>
                <w:szCs w:val="14"/>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w w:val="94"/>
              </w:rPr>
              <w:t>Average Tangible Net</w:t>
            </w:r>
          </w:p>
        </w:tc>
        <w:tc>
          <w:tcPr>
            <w:tcW w:w="13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9"/>
              </w:rPr>
              <w:t>Value "At Risk"</w:t>
            </w:r>
          </w:p>
        </w:tc>
        <w:tc>
          <w:tcPr>
            <w:tcW w:w="0" w:type="dxa"/>
            <w:vAlign w:val="bottom"/>
          </w:tcPr>
          <w:p>
            <w:pPr>
              <w:spacing w:after="0"/>
              <w:rPr>
                <w:sz w:val="1"/>
                <w:szCs w:val="1"/>
                <w:color w:val="auto"/>
              </w:rPr>
            </w:pPr>
          </w:p>
        </w:tc>
      </w:tr>
      <w:tr>
        <w:trPr>
          <w:trHeight w:val="34"/>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Average Daily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6"/>
              </w:rPr>
              <w:t>Ending</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w w:val="99"/>
              </w:rPr>
              <w:t>Ending</w:t>
            </w: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Book Value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21"/>
        </w:trPr>
        <w:tc>
          <w:tcPr>
            <w:tcW w:w="3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"At Risk" Leverage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176"/>
        </w:trPr>
        <w:tc>
          <w:tcPr>
            <w:tcW w:w="3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3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Daily Amount</w:t>
            </w:r>
          </w:p>
        </w:tc>
        <w:tc>
          <w:tcPr>
            <w:tcW w:w="16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5"/>
                <w:szCs w:val="15"/>
                <w:color w:val="auto"/>
              </w:rPr>
            </w:pPr>
          </w:p>
        </w:tc>
        <w:tc>
          <w:tcPr>
            <w:tcW w:w="1400" w:type="dxa"/>
            <w:vAlign w:val="bottom"/>
            <w:gridSpan w:val="2"/>
          </w:tcPr>
          <w:p>
            <w:pPr>
              <w:jc w:val="center"/>
              <w:ind w:right="120"/>
              <w:spacing w:after="0" w:line="175" w:lineRule="exact"/>
              <w:rPr>
                <w:sz w:val="20"/>
                <w:szCs w:val="20"/>
                <w:color w:val="auto"/>
              </w:rPr>
            </w:pPr>
            <w:r>
              <w:rPr>
                <w:rFonts w:ascii="Arial" w:cs="Arial" w:eastAsia="Arial" w:hAnsi="Arial"/>
                <w:sz w:val="13"/>
                <w:szCs w:val="13"/>
                <w:b w:val="1"/>
                <w:bCs w:val="1"/>
                <w:color w:val="auto"/>
                <w:w w:val="88"/>
              </w:rPr>
              <w:t xml:space="preserve">during the Period </w:t>
            </w:r>
            <w:r>
              <w:rPr>
                <w:rFonts w:ascii="Arial" w:cs="Arial" w:eastAsia="Arial" w:hAnsi="Arial"/>
                <w:sz w:val="16"/>
                <w:szCs w:val="16"/>
                <w:b w:val="1"/>
                <w:bCs w:val="1"/>
                <w:color w:val="auto"/>
                <w:w w:val="88"/>
                <w:vertAlign w:val="superscript"/>
              </w:rPr>
              <w:t>3</w:t>
            </w:r>
          </w:p>
        </w:tc>
        <w:tc>
          <w:tcPr>
            <w:tcW w:w="130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6"/>
              </w:rPr>
              <w:t xml:space="preserve">Period End </w:t>
            </w:r>
            <w:r>
              <w:rPr>
                <w:rFonts w:ascii="Arial" w:cs="Arial" w:eastAsia="Arial" w:hAnsi="Arial"/>
                <w:sz w:val="16"/>
                <w:szCs w:val="16"/>
                <w:b w:val="1"/>
                <w:bCs w:val="1"/>
                <w:color w:val="auto"/>
                <w:w w:val="86"/>
                <w:vertAlign w:val="superscript"/>
              </w:rPr>
              <w:t>4</w:t>
            </w:r>
          </w:p>
        </w:tc>
        <w:tc>
          <w:tcPr>
            <w:tcW w:w="0" w:type="dxa"/>
            <w:vAlign w:val="bottom"/>
          </w:tcPr>
          <w:p>
            <w:pPr>
              <w:spacing w:after="0"/>
              <w:rPr>
                <w:sz w:val="1"/>
                <w:szCs w:val="1"/>
                <w:color w:val="auto"/>
              </w:rPr>
            </w:pPr>
          </w:p>
        </w:tc>
      </w:tr>
      <w:tr>
        <w:trPr>
          <w:trHeight w:val="183"/>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September 30, 2020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61,008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69,628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54,558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27,785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29,460</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8.9:1</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8.8:1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June 30, 2020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69,552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72,399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69,370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15,662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20,413</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8.8:1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9.2:1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2020</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104,773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7,487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20,648</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9.9:1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December 31, 2019</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88,677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92,672</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89,313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7,038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7,404</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9.5:1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2019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92,420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90,462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10,146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1,820</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2"/>
              </w:rPr>
              <w:t>10.0:1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9.8:1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June 30, 2019</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86,147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86,969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85,367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11,864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11,086</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10.0:1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9.8:1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2019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87,877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8,002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6,885</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9.3:1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tangible net book value "at risk" leverage during the period represents the sum of our daily weighted average repurchase agreements and other debt used to fund acquisitions of investment securities and net TBA position outstanding divided by the sum of our average month-ended stockholders' equity, adjusted to exclude goodwill.</w:t>
      </w:r>
    </w:p>
    <w:p>
      <w:pPr>
        <w:jc w:val="both"/>
        <w:ind w:left="660" w:hanging="328"/>
        <w:spacing w:after="0" w:line="248"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position (at cost) and net receivable/payable for unsettled investment securities outstanding as of period end divided by total stockholders' equity, adjusted to exclude goodwill as of period end.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71"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color w:val="auto"/>
        </w:rPr>
        <w:t>The following table summarizes our economic interest expense and aggregate cost of funds (non-GAAP measures) for the three and nine months ended September 30, 2020 and 2019 (dollars in millions), which includes the combination of interest expense on Agency repurchase agreements and other debt (GAAP measure), implied financing cost (benefit) of our TBA securities and interest rate swap periodic interest cost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11"/>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00" w:type="dxa"/>
            <w:vAlign w:val="bottom"/>
            <w:gridSpan w:val="9"/>
          </w:tcPr>
          <w:p>
            <w:pPr>
              <w:ind w:left="620"/>
              <w:spacing w:after="0"/>
              <w:rPr>
                <w:sz w:val="20"/>
                <w:szCs w:val="20"/>
                <w:color w:val="auto"/>
              </w:rPr>
            </w:pPr>
            <w:r>
              <w:rPr>
                <w:rFonts w:ascii="Arial" w:cs="Arial" w:eastAsia="Arial" w:hAnsi="Arial"/>
                <w:sz w:val="14"/>
                <w:szCs w:val="14"/>
                <w:b w:val="1"/>
                <w:bCs w:val="1"/>
                <w:color w:val="auto"/>
                <w:w w:val="93"/>
              </w:rPr>
              <w:t>Nine Months Ended September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2020</w:t>
            </w:r>
          </w:p>
        </w:tc>
        <w:tc>
          <w:tcPr>
            <w:tcW w:w="7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18"/>
                <w:szCs w:val="18"/>
                <w:b w:val="1"/>
                <w:bCs w:val="1"/>
                <w:color w:val="auto"/>
                <w:vertAlign w:val="superscript"/>
              </w:rPr>
              <w:t>1</w:t>
            </w:r>
          </w:p>
        </w:tc>
        <w:tc>
          <w:tcPr>
            <w:tcW w:w="100" w:type="dxa"/>
            <w:vAlign w:val="bottom"/>
          </w:tcPr>
          <w:p>
            <w:pPr>
              <w:spacing w:after="0"/>
              <w:rPr>
                <w:sz w:val="11"/>
                <w:szCs w:val="11"/>
                <w:color w:val="auto"/>
              </w:rPr>
            </w:pPr>
          </w:p>
        </w:tc>
        <w:tc>
          <w:tcPr>
            <w:tcW w:w="9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jc w:val="center"/>
              <w:ind w:right="108"/>
              <w:spacing w:after="0" w:line="130" w:lineRule="exact"/>
              <w:rPr>
                <w:sz w:val="20"/>
                <w:szCs w:val="20"/>
                <w:color w:val="auto"/>
              </w:rPr>
            </w:pPr>
            <w:r>
              <w:rPr>
                <w:rFonts w:ascii="Arial" w:cs="Arial" w:eastAsia="Arial" w:hAnsi="Arial"/>
                <w:sz w:val="14"/>
                <w:szCs w:val="14"/>
                <w:b w:val="1"/>
                <w:bCs w:val="1"/>
                <w:color w:val="auto"/>
                <w:w w:val="91"/>
              </w:rPr>
              <w:t>Cost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jc w:val="center"/>
              <w:ind w:right="108"/>
              <w:spacing w:after="0" w:line="130" w:lineRule="exact"/>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ind w:right="108"/>
              <w:spacing w:after="0" w:line="130" w:lineRule="exact"/>
              <w:rPr>
                <w:sz w:val="20"/>
                <w:szCs w:val="20"/>
                <w:color w:val="auto"/>
              </w:rPr>
            </w:pPr>
            <w:r>
              <w:rPr>
                <w:rFonts w:ascii="Arial" w:cs="Arial" w:eastAsia="Arial" w:hAnsi="Arial"/>
                <w:sz w:val="14"/>
                <w:szCs w:val="14"/>
                <w:b w:val="1"/>
                <w:bCs w:val="1"/>
                <w:color w:val="auto"/>
                <w:w w:val="91"/>
              </w:rPr>
              <w:t>Cost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Pr>
          <w:p>
            <w:pPr>
              <w:jc w:val="right"/>
              <w:ind w:right="148"/>
              <w:spacing w:after="0" w:line="130" w:lineRule="exact"/>
              <w:rPr>
                <w:sz w:val="20"/>
                <w:szCs w:val="20"/>
                <w:color w:val="auto"/>
              </w:rPr>
            </w:pPr>
            <w:r>
              <w:rPr>
                <w:rFonts w:ascii="Arial" w:cs="Arial" w:eastAsia="Arial" w:hAnsi="Arial"/>
                <w:sz w:val="14"/>
                <w:szCs w:val="14"/>
                <w:b w:val="1"/>
                <w:bCs w:val="1"/>
                <w:color w:val="auto"/>
                <w:w w:val="91"/>
              </w:rPr>
              <w:t>Cost of</w:t>
            </w:r>
          </w:p>
        </w:tc>
        <w:tc>
          <w:tcPr>
            <w:tcW w:w="0" w:type="dxa"/>
            <w:vAlign w:val="bottom"/>
          </w:tcPr>
          <w:p>
            <w:pPr>
              <w:spacing w:after="0"/>
              <w:rPr>
                <w:sz w:val="1"/>
                <w:szCs w:val="1"/>
                <w:color w:val="auto"/>
              </w:rPr>
            </w:pPr>
          </w:p>
        </w:tc>
      </w:tr>
      <w:tr>
        <w:trPr>
          <w:trHeight w:val="189"/>
        </w:trPr>
        <w:tc>
          <w:tcPr>
            <w:tcW w:w="4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Funds</w:t>
            </w: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Funds</w:t>
            </w: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Funds</w:t>
            </w:r>
          </w:p>
        </w:tc>
        <w:tc>
          <w:tcPr>
            <w:tcW w:w="12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w w:val="99"/>
              </w:rPr>
              <w:t>Funds</w:t>
            </w:r>
          </w:p>
        </w:tc>
        <w:tc>
          <w:tcPr>
            <w:tcW w:w="0" w:type="dxa"/>
            <w:vAlign w:val="bottom"/>
          </w:tcPr>
          <w:p>
            <w:pPr>
              <w:spacing w:after="0"/>
              <w:rPr>
                <w:sz w:val="1"/>
                <w:szCs w:val="1"/>
                <w:color w:val="auto"/>
              </w:rPr>
            </w:pPr>
          </w:p>
        </w:tc>
      </w:tr>
      <w:tr>
        <w:trPr>
          <w:trHeight w:val="129"/>
        </w:trPr>
        <w:tc>
          <w:tcPr>
            <w:tcW w:w="39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w w:val="96"/>
              </w:rPr>
              <w:t>Repurchase agreement and other debt - interest expense (GAAP</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center"/>
              <w:ind w:left="308"/>
              <w:spacing w:after="0"/>
              <w:rPr>
                <w:sz w:val="20"/>
                <w:szCs w:val="20"/>
                <w:color w:val="auto"/>
              </w:rPr>
            </w:pPr>
            <w:r>
              <w:rPr>
                <w:rFonts w:ascii="Arial" w:cs="Arial" w:eastAsia="Arial" w:hAnsi="Arial"/>
                <w:sz w:val="14"/>
                <w:szCs w:val="14"/>
                <w:color w:val="auto"/>
                <w:w w:val="89"/>
              </w:rPr>
              <w:t>62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0.40 %</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2.48 %</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1,668</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2.58 %</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measure)</w:t>
            </w: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 xml:space="preserve">TBA dollar roll income - implied interest expense (benefit) </w:t>
            </w:r>
            <w:r>
              <w:rPr>
                <w:rFonts w:ascii="Arial" w:cs="Arial" w:eastAsia="Arial" w:hAnsi="Arial"/>
                <w:sz w:val="18"/>
                <w:szCs w:val="18"/>
                <w:color w:val="auto"/>
                <w:vertAlign w:val="superscript"/>
              </w:rPr>
              <w:t>2,3</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w w:val="96"/>
              </w:rPr>
              <w:t>(41)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2.32 %</w:t>
            </w:r>
          </w:p>
        </w:tc>
        <w:tc>
          <w:tcPr>
            <w:tcW w:w="0" w:type="dxa"/>
            <w:vAlign w:val="bottom"/>
          </w:tcPr>
          <w:p>
            <w:pPr>
              <w:spacing w:after="0"/>
              <w:rPr>
                <w:sz w:val="1"/>
                <w:szCs w:val="1"/>
                <w:color w:val="auto"/>
              </w:rPr>
            </w:pPr>
          </w:p>
        </w:tc>
      </w:tr>
      <w:tr>
        <w:trPr>
          <w:trHeight w:val="115"/>
        </w:trPr>
        <w:tc>
          <w:tcPr>
            <w:tcW w:w="4060" w:type="dxa"/>
            <w:vAlign w:val="bottom"/>
            <w:gridSpan w:val="2"/>
            <w:shd w:val="clear" w:color="auto" w:fill="CCEEFF"/>
          </w:tcPr>
          <w:p>
            <w:pPr>
              <w:ind w:left="180"/>
              <w:spacing w:after="0" w:line="115" w:lineRule="exact"/>
              <w:rPr>
                <w:sz w:val="20"/>
                <w:szCs w:val="20"/>
                <w:color w:val="auto"/>
              </w:rPr>
            </w:pPr>
            <w:r>
              <w:rPr>
                <w:rFonts w:ascii="Arial" w:cs="Arial" w:eastAsia="Arial" w:hAnsi="Arial"/>
                <w:sz w:val="13"/>
                <w:szCs w:val="13"/>
                <w:color w:val="auto"/>
              </w:rPr>
              <w:t>Economic interest expense - before interest rate swap periodic</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ind w:left="308"/>
              <w:spacing w:after="0"/>
              <w:rPr>
                <w:sz w:val="20"/>
                <w:szCs w:val="20"/>
                <w:color w:val="auto"/>
              </w:rPr>
            </w:pPr>
            <w:r>
              <w:rPr>
                <w:rFonts w:ascii="Arial" w:cs="Arial" w:eastAsia="Arial" w:hAnsi="Arial"/>
                <w:sz w:val="14"/>
                <w:szCs w:val="14"/>
                <w:color w:val="auto"/>
                <w:w w:val="89"/>
              </w:rPr>
              <w:t>21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2.43 %</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0.87 %</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2.55 %</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4"/>
                <w:szCs w:val="14"/>
                <w:color w:val="auto"/>
              </w:rPr>
              <w:t xml:space="preserve">cost (income), net </w:t>
            </w:r>
            <w:r>
              <w:rPr>
                <w:rFonts w:ascii="Arial" w:cs="Arial" w:eastAsia="Arial" w:hAnsi="Arial"/>
                <w:sz w:val="18"/>
                <w:szCs w:val="18"/>
                <w:color w:val="auto"/>
                <w:vertAlign w:val="superscript"/>
              </w:rPr>
              <w:t>4</w:t>
            </w: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 xml:space="preserve">Interest rate swap periodic interest cost (income), net </w:t>
            </w:r>
            <w:r>
              <w:rPr>
                <w:rFonts w:ascii="Arial" w:cs="Arial" w:eastAsia="Arial" w:hAnsi="Arial"/>
                <w:sz w:val="18"/>
                <w:szCs w:val="18"/>
                <w:color w:val="auto"/>
                <w:vertAlign w:val="superscript"/>
              </w:rPr>
              <w:t>2,5</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89"/>
              </w:rPr>
              <w:t>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0.06 %</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0.06 %</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08"/>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economic interest expense (non-GAAP measure)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center"/>
              <w:ind w:left="308"/>
              <w:spacing w:after="0"/>
              <w:rPr>
                <w:sz w:val="20"/>
                <w:szCs w:val="20"/>
                <w:color w:val="auto"/>
              </w:rPr>
            </w:pPr>
            <w:r>
              <w:rPr>
                <w:rFonts w:ascii="Arial" w:cs="Arial" w:eastAsia="Arial" w:hAnsi="Arial"/>
                <w:sz w:val="14"/>
                <w:szCs w:val="14"/>
                <w:color w:val="auto"/>
                <w:w w:val="89"/>
              </w:rPr>
              <w:t>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0.15 %</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0.93 %</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Interest rate swap periodic interest (income) cost is measured as a percent of average mortgage borrowings outstanding for the period.</w:t>
      </w:r>
    </w:p>
    <w:p>
      <w:pPr>
        <w:spacing w:after="0" w:line="23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 summary of the estimated impact of these elements on our economic interest expense for the three and nine months ended September 30, 2020 compared to the prior year period (in millions):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67036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September 30, 2020 vs. September 30, 2019</w:t>
      </w: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740" w:type="dxa"/>
            <w:vAlign w:val="bottom"/>
            <w:tcBorders>
              <w:top w:val="single" w:sz="8" w:color="auto"/>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Due to Change in Average</w:t>
            </w:r>
          </w:p>
        </w:tc>
      </w:tr>
      <w:tr>
        <w:trPr>
          <w:trHeight w:val="131"/>
        </w:trPr>
        <w:tc>
          <w:tcPr>
            <w:tcW w:w="6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2"/>
              </w:rPr>
              <w:t>Borrowing / Swap</w:t>
            </w:r>
          </w:p>
        </w:tc>
        <w:tc>
          <w:tcPr>
            <w:tcW w:w="120" w:type="dxa"/>
            <w:vAlign w:val="bottom"/>
          </w:tcPr>
          <w:p>
            <w:pPr>
              <w:spacing w:after="0"/>
              <w:rPr>
                <w:sz w:val="11"/>
                <w:szCs w:val="11"/>
                <w:color w:val="auto"/>
              </w:rPr>
            </w:pPr>
          </w:p>
        </w:tc>
        <w:tc>
          <w:tcPr>
            <w:tcW w:w="1260" w:type="dxa"/>
            <w:vAlign w:val="bottom"/>
          </w:tcPr>
          <w:p>
            <w:pPr>
              <w:jc w:val="right"/>
              <w:ind w:right="68"/>
              <w:spacing w:after="0" w:line="131" w:lineRule="exact"/>
              <w:rPr>
                <w:sz w:val="20"/>
                <w:szCs w:val="20"/>
                <w:color w:val="auto"/>
              </w:rPr>
            </w:pPr>
            <w:r>
              <w:rPr>
                <w:rFonts w:ascii="Arial" w:cs="Arial" w:eastAsia="Arial" w:hAnsi="Arial"/>
                <w:sz w:val="14"/>
                <w:szCs w:val="14"/>
                <w:b w:val="1"/>
                <w:bCs w:val="1"/>
                <w:color w:val="auto"/>
                <w:w w:val="92"/>
              </w:rPr>
              <w:t>Borrowing / Swap</w:t>
            </w:r>
          </w:p>
        </w:tc>
      </w:tr>
      <w:tr>
        <w:trPr>
          <w:trHeight w:val="188"/>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r>
      <w:tr>
        <w:trPr>
          <w:trHeight w:val="17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6"/>
        </w:trPr>
        <w:tc>
          <w:tcPr>
            <w:tcW w:w="622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192"/>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86"/>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211"/>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622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(836)</w:t>
            </w:r>
          </w:p>
        </w:tc>
      </w:tr>
      <w:tr>
        <w:trPr>
          <w:trHeight w:val="192"/>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r>
      <w:tr>
        <w:trPr>
          <w:trHeight w:val="186"/>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r>
      <w:tr>
        <w:trPr>
          <w:trHeight w:val="211"/>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average mortgage borrowings, inclusive of TBAs, decreased by -9% and -4% for the three and nine months ended September 30, 2020, respectively, largely due to lower operating leverage. The decline in our average interest rate (actual and implied) on our mortgage borrowings these periods was due to lower short-term interest rates.</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Additionally, during the nine months ended September 30, 2020, we terminated $3.7 billion of longer-dated repurchase agreements and replaced them with shorter duration repurchase agreements at lower prevailing market rates. We recognized losses on debt extinguishment totaling $146 million in other gain (loss) during the period associated with the terminated agreements. We did not terminate any repurchase agreements during the three months ended September 30, 2020 or the prior year periods.</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our interest rate swap periodic cost for the three and nine months ended September 30, 2020 was due to declines in the average rate received on our interest rate swaps as the receive leg of our pay-fixed interest rate swaps reset to lower prevailing rates, which were partially offset by a decline in our average pay-rate. The following table presents a summary of the ratio of our average interest rates swaps outstanding, excluding forward starting swaps, to our average mortgage borrowings and the weighted average pay-fixed / receive-floating rates on our interest rate swaps for the three and nine months ended September 30, 2020 and 2019 (dollars in millions):</w:t>
      </w:r>
    </w:p>
    <w:tbl>
      <w:tblPr>
        <w:tblLayout w:type="fixed"/>
        <w:tblInd w:w="0" w:type="dxa"/>
        <w:tblCellMar>
          <w:top w:w="0" w:type="dxa"/>
          <w:left w:w="0" w:type="dxa"/>
          <w:bottom w:w="0" w:type="dxa"/>
          <w:right w:w="0" w:type="dxa"/>
        </w:tblCellMar>
      </w:tblPr>
      <w:tr>
        <w:trPr>
          <w:trHeight w:val="148"/>
        </w:trPr>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5"/>
          </w:tcPr>
          <w:p>
            <w:pPr>
              <w:ind w:left="240"/>
              <w:spacing w:after="0" w:line="148" w:lineRule="exact"/>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2"/>
                <w:szCs w:val="12"/>
                <w:color w:val="auto"/>
              </w:rPr>
            </w:pPr>
          </w:p>
        </w:tc>
        <w:tc>
          <w:tcPr>
            <w:tcW w:w="2080" w:type="dxa"/>
            <w:vAlign w:val="bottom"/>
            <w:gridSpan w:val="4"/>
          </w:tcPr>
          <w:p>
            <w:pPr>
              <w:jc w:val="right"/>
              <w:ind w:right="388"/>
              <w:spacing w:after="0" w:line="148"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18"/>
        </w:trPr>
        <w:tc>
          <w:tcPr>
            <w:tcW w:w="650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Average Ratio of Interest Rate Swaps (Excluding Forward Starting Swaps) to Mortgage Borrowings</w:t>
            </w:r>
          </w:p>
        </w:tc>
        <w:tc>
          <w:tcPr>
            <w:tcW w:w="260" w:type="dxa"/>
            <w:vAlign w:val="bottom"/>
          </w:tcPr>
          <w:p>
            <w:pPr>
              <w:spacing w:after="0"/>
              <w:rPr>
                <w:sz w:val="10"/>
                <w:szCs w:val="10"/>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650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61,008</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87,938</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74,649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85,406</w:t>
            </w:r>
          </w:p>
        </w:tc>
        <w:tc>
          <w:tcPr>
            <w:tcW w:w="0" w:type="dxa"/>
            <w:vAlign w:val="bottom"/>
          </w:tcPr>
          <w:p>
            <w:pPr>
              <w:spacing w:after="0"/>
              <w:rPr>
                <w:sz w:val="1"/>
                <w:szCs w:val="1"/>
                <w:color w:val="auto"/>
              </w:rPr>
            </w:pPr>
          </w:p>
        </w:tc>
      </w:tr>
      <w:tr>
        <w:trPr>
          <w:trHeight w:val="186"/>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portfolio outstanding - at cost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27,785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10,146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10,012</w:t>
            </w:r>
          </w:p>
        </w:tc>
        <w:tc>
          <w:tcPr>
            <w:tcW w:w="0" w:type="dxa"/>
            <w:vAlign w:val="bottom"/>
          </w:tcPr>
          <w:p>
            <w:pPr>
              <w:spacing w:after="0"/>
              <w:rPr>
                <w:sz w:val="1"/>
                <w:szCs w:val="1"/>
                <w:color w:val="auto"/>
              </w:rPr>
            </w:pPr>
          </w:p>
        </w:tc>
      </w:tr>
      <w:tr>
        <w:trPr>
          <w:trHeight w:val="186"/>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88,793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98,084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91,666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95,418</w:t>
            </w:r>
          </w:p>
        </w:tc>
        <w:tc>
          <w:tcPr>
            <w:tcW w:w="0" w:type="dxa"/>
            <w:vAlign w:val="bottom"/>
          </w:tcPr>
          <w:p>
            <w:pPr>
              <w:spacing w:after="0"/>
              <w:rPr>
                <w:sz w:val="1"/>
                <w:szCs w:val="1"/>
                <w:color w:val="auto"/>
              </w:rPr>
            </w:pPr>
          </w:p>
        </w:tc>
      </w:tr>
      <w:tr>
        <w:trPr>
          <w:trHeight w:val="182"/>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41,094</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77,824</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52,268</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58,459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0.80 %</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1.75 %</w:t>
            </w:r>
          </w:p>
        </w:tc>
      </w:tr>
      <w:tr>
        <w:trPr>
          <w:trHeight w:val="18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Average interest rate swap receive-floating rate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r>
      <w:tr>
        <w:trPr>
          <w:trHeight w:val="211"/>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interest rate swap net pay/(receive) rate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0.13 %</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0.10 %</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For the three and nine months ended September 30, 2020, we had an average forward starting swap balance of $0.7 billion and $1.0 billion, respectively. For the three and nine months ended September 30, 2019, we had an average forward starting swap balance of $2.4 billion and $3.7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and nine months ended September 30, 2020 was 47% and 58%, respectively, and 82% and 65%, respectively, for the corresponding prior year periods.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and nine months ended September 30, 2020 and 2019:</w:t>
      </w:r>
    </w:p>
    <w:p>
      <w:pPr>
        <w:spacing w:after="0" w:line="132"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 September</w:t>
            </w:r>
          </w:p>
        </w:tc>
        <w:tc>
          <w:tcPr>
            <w:tcW w:w="212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September 30,</w:t>
            </w:r>
          </w:p>
        </w:tc>
      </w:tr>
      <w:tr>
        <w:trPr>
          <w:trHeight w:val="184"/>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r>
      <w:tr>
        <w:trPr>
          <w:trHeight w:val="184"/>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3.24 %</w:t>
            </w:r>
          </w:p>
        </w:tc>
      </w:tr>
      <w:tr>
        <w:trPr>
          <w:trHeight w:val="186"/>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(0.93)%</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r>
      <w:tr>
        <w:trPr>
          <w:trHeight w:val="211"/>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and nine months ended September 30, 2020 and 2019 (dollars in millions):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4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7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line="189" w:lineRule="exact"/>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18"/>
                <w:szCs w:val="18"/>
                <w:color w:val="auto"/>
                <w:vertAlign w:val="superscript"/>
              </w:rPr>
              <w:t>1</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Interest rate swap periodic interest (cost) income, net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line="189" w:lineRule="exact"/>
              <w:rPr>
                <w:sz w:val="20"/>
                <w:szCs w:val="20"/>
                <w:color w:val="auto"/>
              </w:rPr>
            </w:pPr>
            <w:r>
              <w:rPr>
                <w:rFonts w:ascii="Arial" w:cs="Arial" w:eastAsia="Arial" w:hAnsi="Arial"/>
                <w:sz w:val="14"/>
                <w:szCs w:val="14"/>
                <w:color w:val="auto"/>
              </w:rPr>
              <w:t xml:space="preserve">Other interest and dividend income </w:t>
            </w:r>
            <w:r>
              <w:rPr>
                <w:rFonts w:ascii="Arial" w:cs="Arial" w:eastAsia="Arial" w:hAnsi="Arial"/>
                <w:sz w:val="18"/>
                <w:szCs w:val="18"/>
                <w:color w:val="auto"/>
                <w:vertAlign w:val="superscript"/>
              </w:rPr>
              <w:t>1</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186"/>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Operating expense</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6"/>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186"/>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Dividend on preferred stock</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86"/>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18"/>
        </w:trPr>
        <w:tc>
          <w:tcPr>
            <w:tcW w:w="72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spread and dollar roll income, excluding "catch-up" premium amortization, available to common stockholders (non-</w:t>
            </w: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4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82"/>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GAAP measure)</w:t>
            </w: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554.3</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554.8</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basic</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diluted</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is a summary of our net gain (loss) on investment securities for the three and nine months ended September 30, 2020 and 2019 (in millions):</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7160" w:type="dxa"/>
            <w:vAlign w:val="bottom"/>
            <w:gridSpan w:val="2"/>
          </w:tcPr>
          <w:p>
            <w:pPr>
              <w:ind w:left="20"/>
              <w:spacing w:after="0" w:line="185" w:lineRule="exact"/>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18"/>
                <w:szCs w:val="18"/>
                <w:b w:val="1"/>
                <w:bCs w:val="1"/>
                <w:color w:val="auto"/>
                <w:vertAlign w:val="superscript"/>
              </w:rPr>
              <w:t>1</w:t>
            </w: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183"/>
        </w:trPr>
        <w:tc>
          <w:tcPr>
            <w:tcW w:w="7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Gain on sale of investment securities, net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r>
      <w:tr>
        <w:trPr>
          <w:trHeight w:val="189"/>
        </w:trPr>
        <w:tc>
          <w:tcPr>
            <w:tcW w:w="71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18"/>
                <w:szCs w:val="18"/>
                <w:color w:val="auto"/>
                <w:vertAlign w:val="superscript"/>
              </w:rPr>
              <w:t>2</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355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2,174</w:t>
            </w:r>
          </w:p>
        </w:tc>
      </w:tr>
      <w:tr>
        <w:trPr>
          <w:trHeight w:val="186"/>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246</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1,025</w:t>
            </w:r>
          </w:p>
        </w:tc>
      </w:tr>
      <w:tr>
        <w:trPr>
          <w:trHeight w:val="186"/>
        </w:trPr>
        <w:tc>
          <w:tcPr>
            <w:tcW w:w="7160" w:type="dxa"/>
            <w:vAlign w:val="bottom"/>
            <w:gridSpan w:val="2"/>
          </w:tcPr>
          <w:p>
            <w:pPr>
              <w:ind w:left="20"/>
              <w:spacing w:after="0"/>
              <w:rPr>
                <w:sz w:val="20"/>
                <w:szCs w:val="20"/>
                <w:color w:val="auto"/>
              </w:rPr>
            </w:pPr>
            <w:r>
              <w:rPr>
                <w:rFonts w:ascii="Arial" w:cs="Arial" w:eastAsia="Arial" w:hAnsi="Arial"/>
                <w:sz w:val="14"/>
                <w:szCs w:val="14"/>
                <w:color w:val="auto"/>
              </w:rPr>
              <w:t>Total gain (loss) on investment securities, net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690</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2,241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3,480</w:t>
            </w:r>
          </w:p>
        </w:tc>
      </w:tr>
      <w:tr>
        <w:trPr>
          <w:trHeight w:val="20"/>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ind w:left="660" w:hanging="328"/>
        <w:spacing w:after="0" w:line="250"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3 of our Consolidated Financial Statements in this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is a summary of our gain (loss) on derivative instruments and other securities, net for the three and nine months ended September 30, 2020 and 2019 (in millions):</w:t>
      </w:r>
    </w:p>
    <w:p>
      <w:pPr>
        <w:spacing w:after="0" w:line="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4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7040" w:type="dxa"/>
            <w:vAlign w:val="bottom"/>
          </w:tcPr>
          <w:p>
            <w:pPr>
              <w:spacing w:after="0"/>
              <w:rPr>
                <w:sz w:val="16"/>
                <w:szCs w:val="16"/>
                <w:color w:val="auto"/>
              </w:rPr>
            </w:pPr>
          </w:p>
        </w:tc>
        <w:tc>
          <w:tcPr>
            <w:tcW w:w="2040" w:type="dxa"/>
            <w:vAlign w:val="bottom"/>
            <w:gridSpan w:val="6"/>
          </w:tcPr>
          <w:p>
            <w:pPr>
              <w:ind w:left="5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8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704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r>
      <w:tr>
        <w:trPr>
          <w:trHeight w:val="184"/>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 periodic interest income (cost), net</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166"/>
        </w:trPr>
        <w:tc>
          <w:tcPr>
            <w:tcW w:w="704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7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securities - dollar roll income, net</w:t>
            </w: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86"/>
        </w:trPr>
        <w:tc>
          <w:tcPr>
            <w:tcW w:w="7040" w:type="dxa"/>
            <w:vAlign w:val="bottom"/>
          </w:tcPr>
          <w:p>
            <w:pPr>
              <w:ind w:left="180"/>
              <w:spacing w:after="0"/>
              <w:rPr>
                <w:sz w:val="20"/>
                <w:szCs w:val="20"/>
                <w:color w:val="auto"/>
              </w:rPr>
            </w:pPr>
            <w:r>
              <w:rPr>
                <w:rFonts w:ascii="Arial" w:cs="Arial" w:eastAsia="Arial" w:hAnsi="Arial"/>
                <w:sz w:val="14"/>
                <w:szCs w:val="14"/>
                <w:color w:val="auto"/>
              </w:rPr>
              <w:t>TBA securities - mark-to-market net gain (loss)</w:t>
            </w:r>
          </w:p>
        </w:tc>
        <w:tc>
          <w:tcPr>
            <w:tcW w:w="6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183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342</w:t>
            </w:r>
          </w:p>
        </w:tc>
      </w:tr>
      <w:tr>
        <w:trPr>
          <w:trHeight w:val="192"/>
        </w:trPr>
        <w:tc>
          <w:tcPr>
            <w:tcW w:w="7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Payer swaptions</w:t>
            </w: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6"/>
        </w:trPr>
        <w:tc>
          <w:tcPr>
            <w:tcW w:w="7040" w:type="dxa"/>
            <w:vAlign w:val="bottom"/>
          </w:tcPr>
          <w:p>
            <w:pPr>
              <w:ind w:left="180"/>
              <w:spacing w:after="0"/>
              <w:rPr>
                <w:sz w:val="20"/>
                <w:szCs w:val="20"/>
                <w:color w:val="auto"/>
              </w:rPr>
            </w:pPr>
            <w:r>
              <w:rPr>
                <w:rFonts w:ascii="Arial" w:cs="Arial" w:eastAsia="Arial" w:hAnsi="Arial"/>
                <w:sz w:val="14"/>
                <w:szCs w:val="14"/>
                <w:color w:val="auto"/>
              </w:rPr>
              <w:t>U.S. Treasury securities - long position</w:t>
            </w:r>
          </w:p>
        </w:tc>
        <w:tc>
          <w:tcPr>
            <w:tcW w:w="6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2"/>
        </w:trPr>
        <w:tc>
          <w:tcPr>
            <w:tcW w:w="7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securities - short position</w:t>
            </w: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r>
      <w:tr>
        <w:trPr>
          <w:trHeight w:val="186"/>
        </w:trPr>
        <w:tc>
          <w:tcPr>
            <w:tcW w:w="7040" w:type="dxa"/>
            <w:vAlign w:val="bottom"/>
          </w:tcPr>
          <w:p>
            <w:pPr>
              <w:ind w:left="180"/>
              <w:spacing w:after="0"/>
              <w:rPr>
                <w:sz w:val="20"/>
                <w:szCs w:val="20"/>
                <w:color w:val="auto"/>
              </w:rPr>
            </w:pPr>
            <w:r>
              <w:rPr>
                <w:rFonts w:ascii="Arial" w:cs="Arial" w:eastAsia="Arial" w:hAnsi="Arial"/>
                <w:sz w:val="14"/>
                <w:szCs w:val="14"/>
                <w:color w:val="auto"/>
              </w:rPr>
              <w:t>U.S. Treasury futures - short position</w:t>
            </w:r>
          </w:p>
        </w:tc>
        <w:tc>
          <w:tcPr>
            <w:tcW w:w="6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192"/>
        </w:trPr>
        <w:tc>
          <w:tcPr>
            <w:tcW w:w="7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w:t>
            </w:r>
          </w:p>
        </w:tc>
      </w:tr>
      <w:tr>
        <w:trPr>
          <w:trHeight w:val="186"/>
        </w:trPr>
        <w:tc>
          <w:tcPr>
            <w:tcW w:w="7040" w:type="dxa"/>
            <w:vAlign w:val="bottom"/>
          </w:tcPr>
          <w:p>
            <w:pPr>
              <w:ind w:left="180"/>
              <w:spacing w:after="0"/>
              <w:rPr>
                <w:sz w:val="20"/>
                <w:szCs w:val="20"/>
                <w:color w:val="auto"/>
              </w:rPr>
            </w:pPr>
            <w:r>
              <w:rPr>
                <w:rFonts w:ascii="Arial" w:cs="Arial" w:eastAsia="Arial" w:hAnsi="Arial"/>
                <w:sz w:val="14"/>
                <w:szCs w:val="14"/>
                <w:color w:val="auto"/>
              </w:rPr>
              <w:t>Losses on debt extinguishment</w:t>
            </w:r>
          </w:p>
        </w:tc>
        <w:tc>
          <w:tcPr>
            <w:tcW w:w="6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6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79"/>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6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402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(2,787)</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(2,920)</w:t>
            </w:r>
          </w:p>
        </w:tc>
      </w:tr>
      <w:tr>
        <w:trPr>
          <w:trHeight w:val="172"/>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6"/>
        </w:trPr>
        <w:tc>
          <w:tcPr>
            <w:tcW w:w="7040" w:type="dxa"/>
            <w:vAlign w:val="bottom"/>
          </w:tcPr>
          <w:p>
            <w:pPr>
              <w:ind w:left="180"/>
              <w:spacing w:after="0"/>
              <w:rPr>
                <w:sz w:val="20"/>
                <w:szCs w:val="20"/>
                <w:color w:val="auto"/>
              </w:rPr>
            </w:pPr>
            <w:r>
              <w:rPr>
                <w:rFonts w:ascii="Arial" w:cs="Arial" w:eastAsia="Arial" w:hAnsi="Arial"/>
                <w:sz w:val="14"/>
                <w:szCs w:val="14"/>
                <w:color w:val="auto"/>
              </w:rPr>
              <w:t>TBA securities - mark-to-market net gain (loss)</w:t>
            </w:r>
          </w:p>
        </w:tc>
        <w:tc>
          <w:tcPr>
            <w:tcW w:w="6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6"/>
              </w:rPr>
              <w:t>(55)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2"/>
        </w:trPr>
        <w:tc>
          <w:tcPr>
            <w:tcW w:w="7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w:t>
            </w: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186"/>
        </w:trPr>
        <w:tc>
          <w:tcPr>
            <w:tcW w:w="7040" w:type="dxa"/>
            <w:vAlign w:val="bottom"/>
          </w:tcPr>
          <w:p>
            <w:pPr>
              <w:ind w:left="180"/>
              <w:spacing w:after="0"/>
              <w:rPr>
                <w:sz w:val="20"/>
                <w:szCs w:val="20"/>
                <w:color w:val="auto"/>
              </w:rPr>
            </w:pPr>
            <w:r>
              <w:rPr>
                <w:rFonts w:ascii="Arial" w:cs="Arial" w:eastAsia="Arial" w:hAnsi="Arial"/>
                <w:sz w:val="14"/>
                <w:szCs w:val="14"/>
                <w:color w:val="auto"/>
              </w:rPr>
              <w:t>Payer swaptions</w:t>
            </w:r>
          </w:p>
        </w:tc>
        <w:tc>
          <w:tcPr>
            <w:tcW w:w="6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92"/>
        </w:trPr>
        <w:tc>
          <w:tcPr>
            <w:tcW w:w="7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securities - long position</w:t>
            </w: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6"/>
        </w:trPr>
        <w:tc>
          <w:tcPr>
            <w:tcW w:w="7040" w:type="dxa"/>
            <w:vAlign w:val="bottom"/>
          </w:tcPr>
          <w:p>
            <w:pPr>
              <w:ind w:left="180"/>
              <w:spacing w:after="0"/>
              <w:rPr>
                <w:sz w:val="20"/>
                <w:szCs w:val="20"/>
                <w:color w:val="auto"/>
              </w:rPr>
            </w:pPr>
            <w:r>
              <w:rPr>
                <w:rFonts w:ascii="Arial" w:cs="Arial" w:eastAsia="Arial" w:hAnsi="Arial"/>
                <w:sz w:val="14"/>
                <w:szCs w:val="14"/>
                <w:color w:val="auto"/>
              </w:rPr>
              <w:t>U.S. Treasury securities - short position</w:t>
            </w:r>
          </w:p>
        </w:tc>
        <w:tc>
          <w:tcPr>
            <w:tcW w:w="6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192"/>
        </w:trPr>
        <w:tc>
          <w:tcPr>
            <w:tcW w:w="7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futures - short position</w:t>
            </w: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86"/>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6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r>
      <w:tr>
        <w:trPr>
          <w:trHeight w:val="186"/>
        </w:trPr>
        <w:tc>
          <w:tcPr>
            <w:tcW w:w="7040" w:type="dxa"/>
            <w:vAlign w:val="bottom"/>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400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(2,986)</w:t>
            </w:r>
          </w:p>
        </w:tc>
      </w:tr>
      <w:tr>
        <w:trPr>
          <w:trHeight w:val="20"/>
        </w:trPr>
        <w:tc>
          <w:tcPr>
            <w:tcW w:w="7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71"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For the three months ended September 30, 2020 and 2019, we had estimated taxable income (loss) available (attributable) to common stockholders of $508 million and $156 million, or $0.92 and $0.29 per diluted common share, respectively. For the nine months ended September 30, 2020 and 2019, we had estimated taxable income available to common stockholders of $615 million and $523 million, or $1.11 and $0.97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w:t>
      </w:r>
    </w:p>
    <w:p>
      <w:pPr>
        <w:spacing w:after="0" w:line="2" w:lineRule="exact"/>
        <w:rPr>
          <w:sz w:val="20"/>
          <w:szCs w:val="20"/>
          <w:color w:val="auto"/>
        </w:rPr>
      </w:pPr>
    </w:p>
    <w:p>
      <w:pPr>
        <w:jc w:val="both"/>
        <w:ind w:firstLine="8"/>
        <w:spacing w:after="0" w:line="253"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and nine months ended September 30, 2020 and 2019 (dollars in millions, except per share amounts):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4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184"/>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86"/>
        </w:trPr>
        <w:tc>
          <w:tcPr>
            <w:tcW w:w="644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2"/>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Premium amortization, net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86"/>
        </w:trPr>
        <w:tc>
          <w:tcPr>
            <w:tcW w:w="6440" w:type="dxa"/>
            <w:vAlign w:val="bottom"/>
          </w:tcPr>
          <w:p>
            <w:pPr>
              <w:ind w:left="120"/>
              <w:spacing w:after="0"/>
              <w:rPr>
                <w:sz w:val="20"/>
                <w:szCs w:val="20"/>
                <w:color w:val="auto"/>
              </w:rPr>
            </w:pPr>
            <w:r>
              <w:rPr>
                <w:rFonts w:ascii="Arial" w:cs="Arial" w:eastAsia="Arial" w:hAnsi="Arial"/>
                <w:sz w:val="14"/>
                <w:szCs w:val="14"/>
                <w:color w:val="auto"/>
              </w:rPr>
              <w:t>Realized gain/loss,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2,034</w:t>
            </w:r>
          </w:p>
        </w:tc>
      </w:tr>
      <w:tr>
        <w:trPr>
          <w:trHeight w:val="192"/>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capital loss/(utilization of net capital loss carryforward)</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r>
      <w:tr>
        <w:trPr>
          <w:trHeight w:val="186"/>
        </w:trPr>
        <w:tc>
          <w:tcPr>
            <w:tcW w:w="6440" w:type="dxa"/>
            <w:vAlign w:val="bottom"/>
          </w:tcPr>
          <w:p>
            <w:pPr>
              <w:ind w:left="120"/>
              <w:spacing w:after="0"/>
              <w:rPr>
                <w:sz w:val="20"/>
                <w:szCs w:val="20"/>
                <w:color w:val="auto"/>
              </w:rPr>
            </w:pPr>
            <w:r>
              <w:rPr>
                <w:rFonts w:ascii="Arial" w:cs="Arial" w:eastAsia="Arial" w:hAnsi="Arial"/>
                <w:sz w:val="14"/>
                <w:szCs w:val="14"/>
                <w:color w:val="auto"/>
              </w:rPr>
              <w:t>Unrealized (gain)/loss, net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(1,791)</w:t>
            </w:r>
          </w:p>
        </w:tc>
      </w:tr>
      <w:tr>
        <w:trPr>
          <w:trHeight w:val="192"/>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9"/>
        </w:trPr>
        <w:tc>
          <w:tcPr>
            <w:tcW w:w="64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book to tax differences</w:t>
            </w: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1,727</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w:t>
            </w:r>
          </w:p>
        </w:tc>
      </w:tr>
      <w:tr>
        <w:trPr>
          <w:trHeight w:val="186"/>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r>
      <w:tr>
        <w:trPr>
          <w:trHeight w:val="186"/>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Dividends on preferred stock</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1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(loss) available (attributable) to common stockholders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553.2</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546.4</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553.8</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540.3</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554.3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ind w:left="20"/>
              <w:spacing w:after="0"/>
              <w:rPr>
                <w:sz w:val="20"/>
                <w:szCs w:val="20"/>
                <w:color w:val="auto"/>
              </w:rPr>
            </w:pPr>
            <w:r>
              <w:rPr>
                <w:rFonts w:ascii="Arial" w:cs="Arial" w:eastAsia="Arial" w:hAnsi="Arial"/>
                <w:sz w:val="14"/>
                <w:szCs w:val="14"/>
                <w:color w:val="auto"/>
              </w:rPr>
              <w:t>Estimated REIT taxable income (loss) per common share - basic</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0.29</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(loss) per common share - diluted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186"/>
        </w:trPr>
        <w:tc>
          <w:tcPr>
            <w:tcW w:w="6440" w:type="dxa"/>
            <w:vAlign w:val="bottom"/>
          </w:tcPr>
          <w:p>
            <w:pPr>
              <w:ind w:left="20"/>
              <w:spacing w:after="0"/>
              <w:rPr>
                <w:sz w:val="20"/>
                <w:szCs w:val="20"/>
                <w:color w:val="auto"/>
              </w:rPr>
            </w:pPr>
            <w:r>
              <w:rPr>
                <w:rFonts w:ascii="Arial" w:cs="Arial" w:eastAsia="Arial" w:hAnsi="Arial"/>
                <w:sz w:val="14"/>
                <w:szCs w:val="14"/>
                <w:color w:val="auto"/>
              </w:rPr>
              <w:t>Increase (decrease) in net capital loss carryforward</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342</w:t>
            </w:r>
          </w:p>
        </w:tc>
      </w:tr>
      <w:tr>
        <w:trPr>
          <w:trHeight w:val="18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183"/>
        </w:trPr>
        <w:tc>
          <w:tcPr>
            <w:tcW w:w="644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common share</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r>
      <w:tr>
        <w:trPr>
          <w:trHeight w:val="21"/>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740" w:top="1005" w:right="7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w:t>
      </w:r>
    </w:p>
    <w:p>
      <w:pPr>
        <w:spacing w:after="0" w:line="107"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We believe that we have sufficient liquidity and capital resources available to meet our obligations and execute our business strategy. In assessing our liquidity, we consider a number of factors, including our current leverage, haircut and minimum collateral levels, access to capital markets, overall market conditions, and the sensitivity of our tangible net book value over a range of scenarios. However, these and other factors impacting our liquidity are subject to numerous risks and uncertainties, including as described in the </w:t>
      </w:r>
      <w:r>
        <w:rPr>
          <w:rFonts w:ascii="Arial" w:cs="Arial" w:eastAsia="Arial" w:hAnsi="Arial"/>
          <w:sz w:val="16"/>
          <w:szCs w:val="16"/>
          <w:i w:val="1"/>
          <w:iCs w:val="1"/>
          <w:color w:val="auto"/>
        </w:rPr>
        <w:t>Quantitative and Qualitative Disclosures of Market Risks</w:t>
      </w:r>
      <w:r>
        <w:rPr>
          <w:rFonts w:ascii="Arial" w:cs="Arial" w:eastAsia="Arial" w:hAnsi="Arial"/>
          <w:sz w:val="16"/>
          <w:szCs w:val="16"/>
          <w:color w:val="auto"/>
        </w:rPr>
        <w:t xml:space="preserve"> and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sections of our Annual Report on Form 10-K for the year ended December 31, 2019, as amended (our "2019 Form 10-K") and this Form 10-Q.</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leverage will vary depending on market conditions and our assessment of relative risks and returns, but we generally would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8.8x and 9.4x as of September 30, 2020 and December 31, 2019, respectively. The following table includes a summary of our mortgage borrowings outstanding as of September 30, 2020 and December 31, 2019 (dollars in millions). For additional details of our mortgage borrowings refer to Notes 3, 5 and 6 to our Consolidated Financial Statements in this Form 10-Q.</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 2020</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0"/>
              </w:rPr>
              <w:t>December 31, 2019</w:t>
            </w:r>
          </w:p>
        </w:tc>
        <w:tc>
          <w:tcPr>
            <w:tcW w:w="720" w:type="dxa"/>
            <w:vAlign w:val="bottom"/>
            <w:tcBorders>
              <w:bottom w:val="single" w:sz="8" w:color="auto"/>
            </w:tcBorders>
          </w:tcPr>
          <w:p>
            <w:pPr>
              <w:spacing w:after="0"/>
              <w:rPr>
                <w:sz w:val="16"/>
                <w:szCs w:val="16"/>
                <w:color w:val="auto"/>
              </w:rPr>
            </w:pPr>
          </w:p>
        </w:tc>
      </w:tr>
      <w:tr>
        <w:trPr>
          <w:trHeight w:val="188"/>
        </w:trPr>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Mortgage Borrowings</w:t>
            </w: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r>
      <w:tr>
        <w:trPr>
          <w:trHeight w:val="184"/>
        </w:trPr>
        <w:tc>
          <w:tcPr>
            <w:tcW w:w="568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18"/>
                <w:szCs w:val="18"/>
                <w:color w:val="auto"/>
                <w:vertAlign w:val="superscript"/>
              </w:rPr>
              <w:t>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54,366</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89,085</w:t>
            </w: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92 %</w:t>
            </w:r>
          </w:p>
        </w:tc>
      </w:tr>
      <w:tr>
        <w:trPr>
          <w:trHeight w:val="186"/>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Debt of consolidated variable interest entities, at fair value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54,558</w:t>
            </w: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89,313</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92 %</w:t>
            </w:r>
          </w:p>
        </w:tc>
      </w:tr>
      <w:tr>
        <w:trPr>
          <w:trHeight w:val="186"/>
        </w:trPr>
        <w:tc>
          <w:tcPr>
            <w:tcW w:w="5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TBA position, at cost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29,460</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8 %</w:t>
            </w:r>
          </w:p>
        </w:tc>
      </w:tr>
      <w:tr>
        <w:trPr>
          <w:trHeight w:val="211"/>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mortgage borrowings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84,018</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96,717</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 excludes $200 million and $97 million of repurchase agreements used to fund purchases of U.S. Treasury securities as of September 30, 2020 and December 31, 2019, respectively.</w:t>
      </w:r>
    </w:p>
    <w:p>
      <w:pPr>
        <w:spacing w:after="0" w:line="136"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Repurchase arrangements involve the sale and a simultaneous agreement to repurchase the transferred assets at a future date and are accounted for as collateralized financing transactions. We maintain a beneficial interest in the specific securities pledged during the term of each repurchase arrangement and we receive the related principal and interest payments.</w:t>
      </w:r>
    </w:p>
    <w:p>
      <w:pPr>
        <w:spacing w:after="0" w:line="130"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The terms and conditions of secured borrowings are negotiated on a transaction-by-transaction basis when each such borrowing is initiated or renewed. The amount borrowed is generally equal to the fair value of the securities pledged, as determined by the lending counterparty, less an agreed-upon discount, referred to as a "haircut." This haircut reflects the underlying risk of the specific collateral and protects our counterparty against a change in its value, but conversely subjects us to counterparty credit risk and limits the amount we can borrow against our investment securities. Interest rates are generally fixed based on prevailing rates corresponding to the terms of the borrowings. Interest may be paid monthly or at the termination of a borrowing at which time we may enter into a new borrowing at prevailing haircuts and rates with the same lending counterparty or repay that counterparty and negotiate financing with a different lending counterparty. None of our repo counterparties are obligated to renew or otherwise enter into new borrowings at the conclusion of our existing borrowings.</w:t>
      </w:r>
    </w:p>
    <w:p>
      <w:pPr>
        <w:spacing w:after="0" w:line="12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use of TBA dollar roll transactions increases our funding diversification, expands our available pool of assets, and increases our overall liquidity position, as TBA contracts have lower implied haircuts relative to Agency RMBS pools held on balance sheet funded with repo financing. However, if it were to become uneconomical to roll our TBA contracts into future months it may be necessary to take physical delivery of the underlying securities and fund those assets with cash or other financing sources, which could reduce our liquidity position. The collateral requirements under our TBA contracts are governed by the Mortgage-Backed Securities Division ("MBSD") of the FICC and by our brokerage agreements, which may establish margin levels in excess of the MBSD.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jc w:val="both"/>
        <w:ind w:firstLine="445"/>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involving the use of derivative financial instruments. In particular, we attempt to mitigate the risk of the cost of our variable rate liabilities increasing at a faster rate than the earnings of our long-term fixed rate assets during a period of rising interest rates.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Requirements and Unencumbered Assets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If the fair value of our collateral declines due to changes in market conditions or the publishing of monthly security pay-down factors, our counterparties will typically require that we post additional collateral to re-establish the agreed-upon collateral requirements, referred to as "margin calls." Similarly, if the estimated fair value of our investment securities increases due to changes in interest rates or other factors, we may request that counterparties release collateral back to us. Our derivative agreements also require that we maintain a minimum collateral balance regardless of the value of the derivative instrument based on our counterparties' assessment of risk specific to the derivative instrument and clearing exchange rules.</w:t>
      </w:r>
    </w:p>
    <w:p>
      <w:pPr>
        <w:spacing w:after="0" w:line="13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Collateral requirements under our repurchase and derivative agreements are dependent on our counterparties' determination of the fair value of securities pledged and the "haircut" levels they apply against the value of our securities. Haircuts under repo agreements are typically determined on an individual transaction basis and reflect our counterparties' assessment of the underlying risk associated with the specific collateral. Haircut levels and minimum margin requirements can change overtime and could be expected to increase during periods of elevated market volatility. We are also subject to daily variation margin requirements based on changes in the value of our collateral and, in the case of derivative agreements, changes in the value of the derivative instrument. Daily variation margin requirements under our interest rate derivative agreements also entitle us to receive collateral if the value of amounts owed to us under the derivative instrument exceeds a minimum margin requirement. Our agreements may provide that the valuations of securities securing our obligations under the agreement are to be obtained from a generally recognized source agreed to by both parties to the agreement. Other agreements provide that our counterparty has the sole discretion to determine the value of pledged collateral, but is required to act in good faith in making determinations of value. Our agreements generally provide that in the event of a margin call, collateral must be posted on the same business day, subject to notice requirements. As of September 30, 2020, we had met all our margin requirements.</w:t>
      </w:r>
    </w:p>
    <w:p>
      <w:pPr>
        <w:spacing w:after="0" w:line="128"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The value of Agency RMBS is reduced by principal pay-downs on the mortgage pools underlying them. Fannie Mae and Freddie Mac publish monthly security pay-down factors for their mortgage pools on the fifth day after month-end and remit payment based on these factors generally on the 25th day after month-end. Counterparties to our bi-lateral repurchase agreements typically assess margin to account for these principal pay-downs prior to our receipt of the principal repayment when pool level principal payment data becomes available. The FICC assesses margin based on its internally projected pay-down rates on the last day of each month (referred to as the "blackout period exposure adjustment" or "blackout margin"). On the fifth day of the month, the blackout margin is released and collateralization requirements are adjusted to the actual published factor data. Consequently, our liquidity is temporarily reduced each month until we receive payment of the pay-down amounts. We attempt to manage the liquidity risk associated with principal pay-downs by monitoring conditions impacting prepayment rates and through asset selection. As of September 30, 2020, given the current market conditions and elevated prepayment risk associated with historically low interest rates, our portfolio largely consisted of higher coupon specified pool securities, which have a lower risk of prepayment compared to generic Agency RMBS, and TBA securities, which do not expose us to margin calls due to prepayments.</w:t>
      </w:r>
    </w:p>
    <w:p>
      <w:pPr>
        <w:spacing w:after="0" w:line="13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Haircut levels and minimum margin requirements imposed by counterparties reduce the amount of our unencumbered assets and limit the amount we can borrow against our investment securities. For the nine months ended September 30, 2020, haircuts on Agency RMBS collateral remained stable. Haircuts and funding levels for our less liquid, credit-oriented securities, however, were adversely impacted by the dislocation in the financial markets in the first quarter, but have since improved to more normal levels. As of September 30, 2020, the weighted average haircut on our repurchase agreements was approximately 4.4% of the value of our collateral, inclusive of collateral funded through BES, largely unchanged from December 31, 2019.</w:t>
      </w:r>
    </w:p>
    <w:p>
      <w:pPr>
        <w:spacing w:after="0" w:line="10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As of September 30, 2020, our unencumbered assets totaled 60% of our tangible net equity, compared to 54% as of December 31, 2019. The majority of our liquidity is held at AGNC, but we also maintain capital and excess liquidity at BES for regulatory standards, risk management purposes, and to meet expectations of its counterparties, clearing banks and clearing organizations. As of September 30, 2020, we had cash and unencumbered Agency RMBS totaling $5.2 billion, which excludes unencumbered CRT securities, non-Agency securities and assets held at BES.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jc w:val="both"/>
        <w:ind w:firstLine="445"/>
        <w:spacing w:after="0" w:line="255" w:lineRule="auto"/>
        <w:rPr>
          <w:sz w:val="20"/>
          <w:szCs w:val="20"/>
          <w:color w:val="auto"/>
        </w:rPr>
      </w:pPr>
      <w:r>
        <w:rPr>
          <w:rFonts w:ascii="Arial" w:cs="Arial" w:eastAsia="Arial" w:hAnsi="Arial"/>
          <w:sz w:val="18"/>
          <w:szCs w:val="18"/>
          <w:color w:val="auto"/>
        </w:rPr>
        <w:t>Collateral haircuts and minimum margin requirements imposed by counterparties subject us to counterparty credit risk. We attempt to manage this risk by monitoring our collateral positions and limiting our counterparties to registered clearinghouses and major financial institutions with acceptable credit ratings. We also diversify our funding across multiple counterparties and by region. Additionally, BES' direct access to the General Collateral Finance Repo service offered by the FICC and other triparty and bi-lateral repo funding provides us greater depth and diversity of funding at favorable terms relative to traditional bilateral repurchase agreement funding. As of September 30, 2020, $26.2 billion of our repurchase agreement funding was sourced through BES.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As of September 30, 2020, our maximum amount at risk (or the excess value of collateral pledged over our repurchase liabilities) with any of our repurchase agreement counterparties, excluding the FICC, was less than 2% of our tangible stockholders' equity, with our top five repo counterparties, excluding the FICC, representing less than 6% of our tangible stockholders' equity. As of September 30, 2020, approximately 10% of our tangible stockholder's equity was at risk with the FICC. Excluding central clearing exchanges, as of September 30, 2020, our amount at risk with any counterparty to our derivative agreements was less than 1% of our stockholders'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Agency RMBS securities are among the most liquid fixed income securities, and the TBA market is the second most liquid market (after the U.S. Treasury market). The vitality of these markets enables us to sell assets under most market conditions to generate liquidity through direct sales or delivery into TBA contracts, subject to "good delivery" provisions promulgated by the Securities Industry and Financial Markets Association ("SIFMA"). Under certain market conditions, however, we may be unable to realize the full "pay-up" value, or premium relative to generic Agency RMBS, of our specified pool securities; consequently, we seek to operate with a minimum level of securities that trade at or near TBA values that in our estimation enhances our portfolio liquidity across a wide range of market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when the price of our common stock trades below our tangible net book value or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Notes 10 and 11 of our Consolidated Financial Statements in this Form 10-Q for further details regarding our recent equity capital transactions and our stock repurchase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September 30, 2020,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September 30, 2020,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3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Forward 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95" w:lineRule="exact"/>
        <w:rPr>
          <w:sz w:val="20"/>
          <w:szCs w:val="20"/>
          <w:color w:val="auto"/>
        </w:rPr>
      </w:pPr>
    </w:p>
    <w:p>
      <w:pPr>
        <w:ind w:left="660" w:hanging="247"/>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COVID-19 pandemic and of measures taken in response to the COVID-19 pandemic by various governmental authorities, businesses and other third parties;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actions by the federal, state, or local governments to stabilize the economy, the housing sector or financial markets;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U.S. monetary policy or interest rates;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yield curve;</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mortgage prepayment rates on the loans underlying our Agency RMBS;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and terms of financing;</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market value of our assets, including from changes in net interest spreads, and changes in market liquidity or depth;</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risk mitigation strategies;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conditions in the market for Agency RMBS and other mortgage securities;</w:t>
      </w:r>
    </w:p>
    <w:p>
      <w:pPr>
        <w:spacing w:after="0" w:line="6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legislative or regulatory changes that affect our status as a REIT, our exemption from the Investment Company Act of 1940 or the mortgage markets in which we participate; and</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risks discussed under the heading “Risk Factors” herein and in our Annual Report on Form 10-K.</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We caution readers not to place undue reliance on our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2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estimate the duration and convexity of our assets using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September 30, 2020 and December 31, 2019 should interest rates go up or down by 50, 75 and 100 basis points, assuming instantaneous parallel shifts in the yield curve and including the impact of both duration and convexity. All values in the table below are measured 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percentage changes from the base interest rate scenario. The base interest rate scenario assumes interest rates and prepayment projections as of September 30, 2020 and December 31, 2019.</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1,2</w:t>
      </w:r>
    </w:p>
    <w:tbl>
      <w:tblPr>
        <w:tblLayout w:type="fixed"/>
        <w:tblInd w:w="1240" w:type="dxa"/>
        <w:tblCellMar>
          <w:top w:w="0" w:type="dxa"/>
          <w:left w:w="0" w:type="dxa"/>
          <w:bottom w:w="0" w:type="dxa"/>
          <w:right w:w="0" w:type="dxa"/>
        </w:tblCellMar>
      </w:tblPr>
      <w:tr>
        <w:trPr>
          <w:trHeight w:val="183"/>
        </w:trPr>
        <w:tc>
          <w:tcPr>
            <w:tcW w:w="29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September 30, 2020</w:t>
            </w:r>
          </w:p>
        </w:tc>
        <w:tc>
          <w:tcPr>
            <w:tcW w:w="2780" w:type="dxa"/>
            <w:vAlign w:val="bottom"/>
            <w:tcBorders>
              <w:top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Estimated Change in</w:t>
            </w:r>
          </w:p>
        </w:tc>
        <w:tc>
          <w:tcPr>
            <w:tcW w:w="1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1420" w:type="dxa"/>
            <w:vAlign w:val="bottom"/>
            <w:gridSpan w:val="2"/>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35"/>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in Portfolio Market</w:t>
            </w:r>
          </w:p>
        </w:tc>
        <w:tc>
          <w:tcPr>
            <w:tcW w:w="1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Portfolio Market</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88"/>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4"/>
        </w:trPr>
        <w:tc>
          <w:tcPr>
            <w:tcW w:w="2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-0.1%</w:t>
            </w:r>
          </w:p>
        </w:tc>
        <w:tc>
          <w:tcPr>
            <w:tcW w:w="1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-6.0%</w:t>
            </w:r>
          </w:p>
        </w:tc>
        <w:tc>
          <w:tcPr>
            <w:tcW w:w="0" w:type="dxa"/>
            <w:vAlign w:val="bottom"/>
          </w:tcPr>
          <w:p>
            <w:pPr>
              <w:spacing w:after="0"/>
              <w:rPr>
                <w:sz w:val="1"/>
                <w:szCs w:val="1"/>
                <w:color w:val="auto"/>
              </w:rPr>
            </w:pP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0.0%</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+0.6%</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-3.0%</w:t>
            </w:r>
          </w:p>
        </w:tc>
        <w:tc>
          <w:tcPr>
            <w:tcW w:w="0" w:type="dxa"/>
            <w:vAlign w:val="bottom"/>
          </w:tcPr>
          <w:p>
            <w:pPr>
              <w:spacing w:after="0"/>
              <w:rPr>
                <w:sz w:val="1"/>
                <w:szCs w:val="1"/>
                <w:color w:val="auto"/>
              </w:rPr>
            </w:pPr>
          </w:p>
        </w:tc>
      </w:tr>
      <w:tr>
        <w:trPr>
          <w:trHeight w:val="19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+0.8%</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-0.9%</w:t>
            </w:r>
          </w:p>
        </w:tc>
        <w:tc>
          <w:tcPr>
            <w:tcW w:w="0" w:type="dxa"/>
            <w:vAlign w:val="bottom"/>
          </w:tcPr>
          <w:p>
            <w:pPr>
              <w:spacing w:after="0"/>
              <w:rPr>
                <w:sz w:val="1"/>
                <w:szCs w:val="1"/>
                <w:color w:val="auto"/>
              </w:rPr>
            </w:pP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-0.3%</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-4.7%</w:t>
            </w:r>
          </w:p>
        </w:tc>
        <w:tc>
          <w:tcPr>
            <w:tcW w:w="0" w:type="dxa"/>
            <w:vAlign w:val="bottom"/>
          </w:tcPr>
          <w:p>
            <w:pPr>
              <w:spacing w:after="0"/>
              <w:rPr>
                <w:sz w:val="1"/>
                <w:szCs w:val="1"/>
                <w:color w:val="auto"/>
              </w:rPr>
            </w:pPr>
          </w:p>
        </w:tc>
      </w:tr>
      <w:tr>
        <w:trPr>
          <w:trHeight w:val="19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-0.6%</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-7.2%</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-0.8%</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-9.1%</w:t>
            </w:r>
          </w:p>
        </w:tc>
        <w:tc>
          <w:tcPr>
            <w:tcW w:w="0" w:type="dxa"/>
            <w:vAlign w:val="bottom"/>
          </w:tcPr>
          <w:p>
            <w:pPr>
              <w:spacing w:after="0"/>
              <w:rPr>
                <w:sz w:val="1"/>
                <w:szCs w:val="1"/>
                <w:color w:val="auto"/>
              </w:rPr>
            </w:pPr>
          </w:p>
        </w:tc>
      </w:tr>
      <w:tr>
        <w:trPr>
          <w:trHeight w:val="182"/>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-1.1%</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-12.6%</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-1.3%</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-14.8%</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 Interest rates are assumed to be floored at 0% in down rate scenarios.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among.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Extension risk is the risk that our assets will be repaid at a slower rate than anticipated and generally increases when interest rates rise. In which case, we may have to finance our investments at potentially higher costs without the ability to reinvest principal into higher yielding securities because borrowers prepay their mortgages at a slower pace than originally expected, adversely impacting our net interest spread, and thus our net interest income.</w:t>
      </w:r>
    </w:p>
    <w:p>
      <w:pPr>
        <w:spacing w:after="0" w:line="9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As of September 30, 2020 and December 31, 2019, our investment securities (excluding TBAs) had a weighted average projected CPR of 15.9% and 10.8%, respectively, and a weighted average yield of 2.56% and 3.07%, respectively. The table below presents estimated weighted average projected CPRs and yields for our investment securities should interest rates go up or down instantaneously by 50, 75 and 100 basis points. Estimated yields exclude the impact of retroactive "catch-up" premium amortization adjustments from prior periods due to changes in the projected CPR assumption.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w:t>
      </w:r>
    </w:p>
    <w:tbl>
      <w:tblPr>
        <w:tblLayout w:type="fixed"/>
        <w:tblInd w:w="1280" w:type="dxa"/>
        <w:tblCellMar>
          <w:top w:w="0" w:type="dxa"/>
          <w:left w:w="0" w:type="dxa"/>
          <w:bottom w:w="0" w:type="dxa"/>
          <w:right w:w="0" w:type="dxa"/>
        </w:tblCellMar>
      </w:tblPr>
      <w:tr>
        <w:trPr>
          <w:trHeight w:val="183"/>
        </w:trPr>
        <w:tc>
          <w:tcPr>
            <w:tcW w:w="3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September 30, 2020</w:t>
            </w:r>
          </w:p>
        </w:tc>
        <w:tc>
          <w:tcPr>
            <w:tcW w:w="2680" w:type="dxa"/>
            <w:vAlign w:val="bottom"/>
            <w:tcBorders>
              <w:top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28"/>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2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3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9"/>
        </w:trPr>
        <w:tc>
          <w:tcPr>
            <w:tcW w:w="318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Projected CPR</w:t>
            </w:r>
          </w:p>
        </w:tc>
        <w:tc>
          <w:tcPr>
            <w:tcW w:w="1440" w:type="dxa"/>
            <w:vAlign w:val="bottom"/>
            <w:gridSpan w:val="2"/>
          </w:tcPr>
          <w:p>
            <w:pPr>
              <w:jc w:val="center"/>
              <w:ind w:right="160"/>
              <w:spacing w:after="0" w:line="189" w:lineRule="exact"/>
              <w:rPr>
                <w:sz w:val="20"/>
                <w:szCs w:val="20"/>
                <w:color w:val="auto"/>
              </w:rPr>
            </w:pPr>
            <w:r>
              <w:rPr>
                <w:rFonts w:ascii="Arial" w:cs="Arial" w:eastAsia="Arial" w:hAnsi="Arial"/>
                <w:sz w:val="14"/>
                <w:szCs w:val="14"/>
                <w:b w:val="1"/>
                <w:bCs w:val="1"/>
                <w:color w:val="auto"/>
                <w:w w:val="88"/>
              </w:rPr>
              <w:t xml:space="preserve">Asset Yield </w:t>
            </w:r>
            <w:r>
              <w:rPr>
                <w:rFonts w:ascii="Arial" w:cs="Arial" w:eastAsia="Arial" w:hAnsi="Arial"/>
                <w:sz w:val="18"/>
                <w:szCs w:val="18"/>
                <w:b w:val="1"/>
                <w:bCs w:val="1"/>
                <w:color w:val="auto"/>
                <w:w w:val="88"/>
                <w:vertAlign w:val="superscript"/>
              </w:rPr>
              <w:t>2</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Projected CPR</w:t>
            </w:r>
          </w:p>
        </w:tc>
        <w:tc>
          <w:tcPr>
            <w:tcW w:w="13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18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21.8%</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2.26%</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20.3%</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20.9%</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2.30%</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2.82%</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19.4%</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2.37%</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2.90%</w:t>
            </w:r>
          </w:p>
        </w:tc>
        <w:tc>
          <w:tcPr>
            <w:tcW w:w="0" w:type="dxa"/>
            <w:vAlign w:val="bottom"/>
          </w:tcPr>
          <w:p>
            <w:pPr>
              <w:spacing w:after="0"/>
              <w:rPr>
                <w:sz w:val="1"/>
                <w:szCs w:val="1"/>
                <w:color w:val="auto"/>
              </w:rPr>
            </w:pPr>
          </w:p>
        </w:tc>
      </w:tr>
      <w:tr>
        <w:trPr>
          <w:trHeight w:val="186"/>
        </w:trPr>
        <w:tc>
          <w:tcPr>
            <w:tcW w:w="3180" w:type="dxa"/>
            <w:vAlign w:val="bottom"/>
            <w:gridSpan w:val="2"/>
          </w:tcPr>
          <w:p>
            <w:pPr>
              <w:ind w:left="80"/>
              <w:spacing w:after="0"/>
              <w:rPr>
                <w:sz w:val="20"/>
                <w:szCs w:val="20"/>
                <w:color w:val="auto"/>
              </w:rPr>
            </w:pPr>
            <w:r>
              <w:rPr>
                <w:rFonts w:ascii="Arial" w:cs="Arial" w:eastAsia="Arial" w:hAnsi="Arial"/>
                <w:sz w:val="14"/>
                <w:szCs w:val="14"/>
                <w:color w:val="auto"/>
              </w:rPr>
              <w:t>Actual as of Period End</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15.9%</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2.56%</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10.8%</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3.07%</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12.8%</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2.68%</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3.12%</w:t>
            </w:r>
          </w:p>
        </w:tc>
        <w:tc>
          <w:tcPr>
            <w:tcW w:w="0" w:type="dxa"/>
            <w:vAlign w:val="bottom"/>
          </w:tcPr>
          <w:p>
            <w:pPr>
              <w:spacing w:after="0"/>
              <w:rPr>
                <w:sz w:val="1"/>
                <w:szCs w:val="1"/>
                <w:color w:val="auto"/>
              </w:rPr>
            </w:pPr>
          </w:p>
        </w:tc>
      </w:t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11.5%</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2.74%</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7.5%</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10.4%</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2.80%</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6.8%</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3.16%</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and assumes a static portfolio. Actual results could differ materially from these estimates. Table excludes TBA securities.</w:t>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Consequently, although we use hedging instruments to attempt to protect against moves in interest rates, our hedges are generally not designed to protect against spread risk, and our tangible net book value could decline if spreads widen.</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September 30, 2020 and December 31, 2019 should spreads widen or tighten by 10, 25 and 50 basis points. The estimated impact of changes in spreads is in addition to our interest rate shock sensitivity included in the interest rate shock table above. The table below assumes a spread duration of 4.5 and 5.0 years as of September 30, 2020 and December 31, 2019,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18"/>
          <w:szCs w:val="18"/>
          <w:b w:val="1"/>
          <w:bCs w:val="1"/>
          <w:color w:val="auto"/>
          <w:vertAlign w:val="superscript"/>
        </w:rPr>
        <w:t>1,2</w:t>
      </w:r>
    </w:p>
    <w:tbl>
      <w:tblPr>
        <w:tblLayout w:type="fixed"/>
        <w:tblInd w:w="1240" w:type="dxa"/>
        <w:tblCellMar>
          <w:top w:w="0" w:type="dxa"/>
          <w:left w:w="0" w:type="dxa"/>
          <w:bottom w:w="0" w:type="dxa"/>
          <w:right w:w="0" w:type="dxa"/>
        </w:tblCellMar>
      </w:tblPr>
      <w:tr>
        <w:trPr>
          <w:trHeight w:val="183"/>
        </w:trPr>
        <w:tc>
          <w:tcPr>
            <w:tcW w:w="30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September 30, 2020</w:t>
            </w:r>
          </w:p>
        </w:tc>
        <w:tc>
          <w:tcPr>
            <w:tcW w:w="2720" w:type="dxa"/>
            <w:vAlign w:val="bottom"/>
            <w:tcBorders>
              <w:top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1400" w:type="dxa"/>
            <w:vAlign w:val="bottom"/>
            <w:gridSpan w:val="2"/>
            <w:vMerge w:val="continue"/>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35"/>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in Portfolio Market</w:t>
            </w:r>
          </w:p>
        </w:tc>
        <w:tc>
          <w:tcPr>
            <w:tcW w:w="1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in Portfolio Market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88"/>
        </w:trPr>
        <w:tc>
          <w:tcPr>
            <w:tcW w:w="316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4"/>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+2.3%</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+25.4%</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+2.5%</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+28.0%</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+1.1%</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+12.7%</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+1.2%</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+14.0%</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+5.1%</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+5.6%</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-5.1%</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-5.6%</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-12.7%</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-14.0%</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-2.3%</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-25.4%</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-28.0%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Our liquidity risk principally arises from financing long-term fixed rate assets with shorter-term variable rate borrowings. Future borrowings are dependent upon the willingness of lenders to finance our investments, lender collateral requirements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the lenders’ determination of the fair value of the securities pledged as collateral, which fluctuates with changes in interest rates and liquidity conditions within the commercial banking and mortgage finance industries.</w:t>
      </w:r>
    </w:p>
    <w:p>
      <w:pPr>
        <w:spacing w:after="0" w:line="11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 xml:space="preserve">As of September 30, 2020, we believe that we have sufficient liquidity and capital resources available to execute our business strategy (see </w:t>
      </w:r>
      <w:r>
        <w:rPr>
          <w:rFonts w:ascii="Arial" w:cs="Arial" w:eastAsia="Arial" w:hAnsi="Arial"/>
          <w:sz w:val="16"/>
          <w:szCs w:val="16"/>
          <w:i w:val="1"/>
          <w:iCs w:val="1"/>
          <w:color w:val="auto"/>
        </w:rPr>
        <w:t>Liquidity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Capital Resources </w:t>
      </w:r>
      <w:r>
        <w:rPr>
          <w:rFonts w:ascii="Arial" w:cs="Arial" w:eastAsia="Arial" w:hAnsi="Arial"/>
          <w:sz w:val="16"/>
          <w:szCs w:val="16"/>
          <w:color w:val="auto"/>
        </w:rPr>
        <w:t>in this Form 10-Q for additional details). However, should the value of our collateral or the value of our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even force us to sell assets, especially if correlated with asset price declines or faster prepayment rates on our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to be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12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central clearing exchanges, as of September 30, 2020, our maximum amount at risk with any counterparty related to our repurchase agreements was less than 2% of tangible stockholders' equity and related to our derivative agreements was less than 1% of tangible stockholders' equity.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September 30, 2020. Based on the foregoing, our Chief Executive Officer and Chief Financial Officer concluded that our disclosure controls and procedures were effective.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litigation threatened against us or any consolidated subsidiary, in each case, that is expected to have a material adverse effect on our business, financial condition or operations. You may refer to Part I. Item 3 of our 2019 Form 10-K concerning the resolution and dismissal of litigation involving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Except provided below, there have been no material updates to the risk factors previously disclosed in our 2019 Form 10-K. The following supplement should be read in conjunction with the "Risk Factors" identified in Part I, Item 1A of our 2019 Form 10-K.</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risks we face could materially adversely affect our business, results of operations, financial condition, liquidity and tangible net book value, and could cause our actual results to differ materially from our past results or the results contemplated by any forward-looking statements we make. The risks described in this report and our 2019 Form 10-K are not the only risks we face. Additional risks and uncertainties not presently known to us, or not presently deemed material by us, may also impair our operations and performance.</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The economic and financial market turbulence resulting from the COVID-19 pandemic (the "Pandemic") has adversely affected our financial results and financial position and could continue to negatively impact our business.</w:t>
      </w:r>
    </w:p>
    <w:p>
      <w:pPr>
        <w:spacing w:after="0" w:line="6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rapid global outbreak of COVID-19, a respiratory disease caused by a novel coronavirus, has led to substantial financial market volatility and has significantly adversely affected both the U.S. and global economies. On March 11, 2020, the World Health Organization characterized COVID-19 as a pandemic, and on, March 13, 2020, President Trump declared the COVID-19 outbreak in the United States a national emergency. The COVID-19 outbreak in the United States has resulted in stay-at-home orders, school closures and widespread business shutdowns across the country. These shutdowns and other reductions in business activity have resulted in a contraction of U.S. GDP for the first quarter of 2020 and substantially increased current and projected unemployment levels. While the U.S. federal government and the Federal Reserve (the "Fed") have taken actions to reduce the negative economic impact of the Pandemic, the extent to which these actions will mitigate the short-term and long-term negative impacts of the Pandemic on the U.S. economy, financial markets and our business is unclear, and the drop in the level of U.S. economic activity from these events could be sustained. The sudden and dramatic change to U.S. and global economic activity due to the Pandemic has resulted in severe financial market dislocations, varying degrees of illiquidity among fixed income assets, and a significant increase in market volatility, and such events may recur, persist or worsen.</w:t>
      </w:r>
    </w:p>
    <w:p>
      <w:pPr>
        <w:spacing w:after="0" w:line="6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economic and financial market turbulence resulting from the Pandemic negatively impacted our results of operations and our tangible net book value and could continue to negatively impact our business. Each of the "Risk Factors" described in our 2019 Form 10-K could be materially impacted by conditions resulting from the Pandemic. Risks that we believe may be heightened during and following the Pandemic and related developments are described below; however, you should review each of the risk factors described in our 2019 Form 10-K carefully in light of the Pandemic and related developments. Because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the direct and indirect impacts of the Pandemic and related developments are uncertain and depend on future events, they may also affect our operating and financial results in a manner that is not presently known to us or that we currently do not expect to present significant risks.</w:t>
      </w:r>
    </w:p>
    <w:p>
      <w:pPr>
        <w:spacing w:after="0" w:line="6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Model and forecast risks </w:t>
      </w:r>
      <w:r>
        <w:rPr>
          <w:rFonts w:ascii="Arial" w:cs="Arial" w:eastAsia="Arial" w:hAnsi="Arial"/>
          <w:sz w:val="16"/>
          <w:szCs w:val="16"/>
          <w:color w:val="auto"/>
        </w:rPr>
        <w:t>- The Pandemic and its impact on the U.S. and global economies, and the related governmental responses,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unprecedented. It is difficult to assess or predict the impact of unprecedented events on our business, financial results and condition. Our forecasts and expectations relating to these developments are subject to many uncertainties and may change, perhaps substantially, from our current forecasts and expectations. Furthermore, our analytical models were not designed to incorporate the unique circumstances associated with the Pandemic and related developments. We use analytical models (both those supplied by third parties and proprietary models developed by us) and information supplied by our third-party vendors to value assets; forecast prepayment, default and foreclosure rates; and to manage risk. These predictive models are usually constructed based on historical trends, and the success of relying on such models depends heavily on the correlation between the reported historical data and future events or behavior. As such, the unprecedented economic and financial market events associated with the Pandemic reduce the ability of our models to predict future outcomes and could even render them invalid. Consequently, actual results could differ materially from our projections.</w:t>
      </w:r>
    </w:p>
    <w:p>
      <w:pPr>
        <w:spacing w:after="0" w:line="58"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i w:val="1"/>
          <w:iCs w:val="1"/>
          <w:color w:val="auto"/>
        </w:rPr>
        <w:t xml:space="preserve">Spread and credit risks </w:t>
      </w:r>
      <w:r>
        <w:rPr>
          <w:rFonts w:ascii="Arial" w:cs="Arial" w:eastAsia="Arial" w:hAnsi="Arial"/>
          <w:sz w:val="17"/>
          <w:szCs w:val="17"/>
          <w:color w:val="auto"/>
        </w:rPr>
        <w:t>- Spread risk is an inherent component of our business and is increased by the use of leverage. Our hedging strategies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mitigate spread risk, and, thus, wider spreads negatively impact our tangible net book value. Spreads can widen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nearly all of which have been impacted by the Pandemic and related developments and are likely to continue to be impacted over at least the short to intermediate term as markets continue to grapple with their effects. The unprecedented decline in interest rates, extreme market volatility, and illiquidity across the fixed income markets stemming from these developments resulted in historically wide and volatile spread movements during the first quarter of 2020. The Fed's unprecedented purchases of Agency RMBS and U.S. Treasury securities that began in March have eased conditions somewhat, but markets remain fragile. The Fed has committed its continued support of the U.S. Treasury and Agency RMBS markets and to the liquidity of repo funding markets backed by U.S. Treasury and Agency collateral. However, should the Fed fail to maintain an adequate level of support, prematurely reduce its support or stop its support altogether any number of adverse market reactions could occur, including materially wider spread movements. It is also possible that despite substantial Fed support, the funding market for Agency MBS could still deteriorate if primary dealers are unwilling to pass along the liquidity provided by the Fed to broader market participants. Additionally, an unwinding of the Fed's purchases of Agency and U.S. Treasury securities could severely disrupt the fixed income markets, resulting in interest rate volatility and wider spreads. Should any of these events occur, our tangible net book value and our financial position could be materially adversely impacted. In addition to spread risks, our investments in CRT and non-agency RMBS and CMBS are subject to credit risk, and the Pandemic and related developments may adversely impact the credit quality of those investments and result in our experiencing a loss on these investments.</w:t>
      </w:r>
    </w:p>
    <w:p>
      <w:pPr>
        <w:spacing w:after="0" w:line="8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 The Pandemic has led to historically low interest rates. Prepayments on our investment securities typically increase when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fall. An increase in prepayments can negatively impact our net interest margin and tangible net book value, which could be material. Mortgage rates have declined to historic lows and could continue to decline. It is also possible that after the Pandemic induced extended forbearance periods offered by the GSEs, which may extend up to 12 months, borrowers may be unable to resume monthly payments leading to a large scale buyouts of delinquent loans from mortgage pools by the GSE's. Additionally, technological advances throughout origination channels and changes to GSE underwriting requirements, potentially implemented in part or in whole in response to the Pandemic, could increase and/or accelerate the pace of mortgage origination activity. Any one of these factors could lead to materially faster prepayments. Furthermore, since prepayment models were not designed to incorporate the unique circumstances associated with the Pandemic, they may be less predictive of prepayment activity, hindering our ability to accurately forecast prepayment rates.</w:t>
      </w:r>
    </w:p>
    <w:p>
      <w:pPr>
        <w:spacing w:after="0" w:line="8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Extension risk </w:t>
      </w:r>
      <w:r>
        <w:rPr>
          <w:rFonts w:ascii="Arial" w:cs="Arial" w:eastAsia="Arial" w:hAnsi="Arial"/>
          <w:sz w:val="16"/>
          <w:szCs w:val="16"/>
          <w:color w:val="auto"/>
        </w:rPr>
        <w:t>- The social distancing measures instituted to combat the Pandemic have resulted in curtailed or ceased activity in many parts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economy and have raised fears that the U.S. and global economies will enter a deep and protracted recession, or even depression. These fears have led to a historic decline in interest rates; however, should the U.S. economy recover faster than anticipated, interest rates could rise rapidly. Should this occur, the duration of our mortgage portfolio could extend faster than we expect and negatively impact our net book value. Although we expect to hedge against an increase in interest rates and manage our net duration gap, we cannot guarantee that our hedges or other funding and liability management activities will adequately protect us against extension risk and, thus, our tangible net book value could be materially adversely impacted should this occur.</w:t>
      </w:r>
    </w:p>
    <w:p>
      <w:pPr>
        <w:spacing w:after="0" w:line="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Hedging and interest rate risks </w:t>
      </w:r>
      <w:r>
        <w:rPr>
          <w:rFonts w:ascii="Arial" w:cs="Arial" w:eastAsia="Arial" w:hAnsi="Arial"/>
          <w:sz w:val="18"/>
          <w:szCs w:val="18"/>
          <w:color w:val="auto"/>
        </w:rPr>
        <w:t>- Our hedges are intended to limit the adverse effect of changes in interest rates on our assets and cost of funds.</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strategies are complex and we use analytical models to help manage our risk. Since analytical models may be less reliable given the unprecedented events stemming from the Pandemic, there is an increased risk that our hedging strategies may be less effective, or even ineffective, which could materially adversely affect our financial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jc w:val="both"/>
        <w:spacing w:after="0" w:line="275" w:lineRule="auto"/>
        <w:rPr>
          <w:sz w:val="20"/>
          <w:szCs w:val="20"/>
          <w:color w:val="auto"/>
        </w:rPr>
      </w:pPr>
      <w:r>
        <w:rPr>
          <w:rFonts w:ascii="Arial" w:cs="Arial" w:eastAsia="Arial" w:hAnsi="Arial"/>
          <w:sz w:val="17"/>
          <w:szCs w:val="17"/>
          <w:color w:val="auto"/>
        </w:rPr>
        <w:t>position and tangible net book value. There are also many uncertainties associated with the Pandemic and the short and long-term economic and fiscal tolls are difficult to predict. With interest rates at or near their zero-bound range, an actual or anticipated severe economic recession or depression could cause interest rates to fall below zero. Negative rates could result in material losses on our interest rate hedges and negatively impact our net interest margin, adversely affecting our net income and tangible net book value. Although we expect that the Fed would use all its monetary policy tools to prevent negative rates, there is no guarantee that it will do so or that it would be successful at keeping rates above zero.</w:t>
      </w:r>
    </w:p>
    <w:p>
      <w:pPr>
        <w:spacing w:after="0" w:line="6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Liquidity risks - </w:t>
      </w:r>
      <w:r>
        <w:rPr>
          <w:rFonts w:ascii="Arial" w:cs="Arial" w:eastAsia="Arial" w:hAnsi="Arial"/>
          <w:sz w:val="16"/>
          <w:szCs w:val="16"/>
          <w:color w:val="auto"/>
        </w:rPr>
        <w:t>Turbulent market conditions resulting from the Pandemic increase the risk of margin calls under our funding and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If the value of our pledged collateral or if the value of our interest rate hedges declines, we will be required to post additional collateral. Counterparties may also increase haircut levels or overall margin requirements and generally have the right to unilaterally value our collateral. Counterparties to certain agreements, such as TBA clearing agreements, may only post collateral to us up to certain limits, resulting in our inability to receive collateral when it would otherwise have been due. Certain assets, such as credit assets, may not be financeable, or haircuts and pricing for such assets could increase substantially, particularly in periods of market volatility. Lastly, to the extent we are entitled to receive collateral from counterparties, they may be unwilling or unable to return collateral in a timely manner. If conditions result in our inability to meet margin calls, we could default on our obligations and be forced to sell assets under adverse conditions. In addition, if counterparties fail to fulfill their obligations to us, we could experience a loss. We may be unable to raise additional equity capital or procure funding, at all or on favorable terms, to address liquidity or other needs.</w:t>
      </w:r>
    </w:p>
    <w:p>
      <w:pPr>
        <w:spacing w:after="0" w:line="5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Human capital and business resiliency risks </w:t>
      </w:r>
      <w:r>
        <w:rPr>
          <w:rFonts w:ascii="Arial" w:cs="Arial" w:eastAsia="Arial" w:hAnsi="Arial"/>
          <w:sz w:val="18"/>
          <w:szCs w:val="18"/>
          <w:color w:val="auto"/>
        </w:rPr>
        <w:t>- Since mid-March, all of our workforce has been working remotely consistent with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continuity plan. Stay-at-home orders and other Pandemic related restrictions in effect in the states and localities where our workforce is located may be extended in whole or in part for several additional months. The strain on our workforce and our business operations caused by this shift in our operating environment may result in business interruptions, reduced productivity and other adverse impacts on our operations. While our technological systems to date have continued to function with our workforce working remotely, this telework arrangement increases the risk of technological or cybersecurity incidents that could negatively affect our business operations. This telework arrangement, the risk that our employees or their family members could contract COVID-19 and our reliance for some services and functions on third parties, which are largely working under similar conditions, could also adversely affect our ability to maintain effective controls and procedures, which could result in material errors in our reported results or disclosures that are not complete or accurate.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 xml:space="preserve">In July of 2019, our Board of Directors authorized the repurchase of up to $1 billion of our outstanding shares of common stock through December 31, 2020. As of September 30, 2020, the Company has repurchased shares at an aggregate amount of $403 million under the program. As of September 30, 2020, $597 million of common stock remained available for repurchase under the program. See also Note 11.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of our Consolidated Financial Statements in this Form 10-Q for additional information pertaining to our common stock repurchase program. The following table presents information with respect to purchases of our common stock made during the three months ended September 30, 2020 by us or any "affiliated purchaser" of us, as defined in Rule 10b-18(a)(3) under the Exchange Act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Total Number</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Average Net Price</w:t>
            </w:r>
          </w:p>
        </w:tc>
        <w:tc>
          <w:tcPr>
            <w:tcW w:w="1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Publicly</w:t>
            </w:r>
          </w:p>
        </w:tc>
        <w:tc>
          <w:tcPr>
            <w:tcW w:w="0" w:type="dxa"/>
            <w:vAlign w:val="bottom"/>
          </w:tcPr>
          <w:p>
            <w:pPr>
              <w:spacing w:after="0"/>
              <w:rPr>
                <w:sz w:val="1"/>
                <w:szCs w:val="1"/>
                <w:color w:val="auto"/>
              </w:rPr>
            </w:pPr>
          </w:p>
        </w:tc>
      </w:tr>
      <w:tr>
        <w:trPr>
          <w:trHeight w:val="135"/>
        </w:trPr>
        <w:tc>
          <w:tcPr>
            <w:tcW w:w="408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Period</w:t>
            </w:r>
          </w:p>
        </w:tc>
        <w:tc>
          <w:tcPr>
            <w:tcW w:w="1540" w:type="dxa"/>
            <w:vAlign w:val="bottom"/>
            <w:gridSpan w:val="2"/>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9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6"/>
              </w:rPr>
              <w:t>Purchased as Part of Publicly</w:t>
            </w:r>
          </w:p>
        </w:tc>
        <w:tc>
          <w:tcPr>
            <w:tcW w:w="8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8"/>
              </w:rPr>
              <w:t>1</w:t>
            </w: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 Programs</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of Shares Purchased</w:t>
            </w: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Paid Per Share</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Announced Plans or Programs</w:t>
            </w:r>
          </w:p>
        </w:tc>
        <w:tc>
          <w:tcPr>
            <w:tcW w:w="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July 1, 2020 - July 31, 2020</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w:t>
            </w:r>
          </w:p>
        </w:tc>
        <w:tc>
          <w:tcPr>
            <w:tcW w:w="19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$750</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August 1, 2020 - August 31, 2020</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5.9</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$13.92</w:t>
            </w:r>
          </w:p>
        </w:tc>
        <w:tc>
          <w:tcPr>
            <w:tcW w:w="100" w:type="dxa"/>
            <w:vAlign w:val="bottom"/>
          </w:tcPr>
          <w:p>
            <w:pPr>
              <w:spacing w:after="0"/>
              <w:rPr>
                <w:sz w:val="16"/>
                <w:szCs w:val="16"/>
                <w:color w:val="auto"/>
              </w:rPr>
            </w:pPr>
          </w:p>
        </w:tc>
        <w:tc>
          <w:tcPr>
            <w:tcW w:w="1940" w:type="dxa"/>
            <w:vAlign w:val="bottom"/>
          </w:tcPr>
          <w:p>
            <w:pPr>
              <w:jc w:val="center"/>
              <w:ind w:left="8"/>
              <w:spacing w:after="0"/>
              <w:rPr>
                <w:sz w:val="20"/>
                <w:szCs w:val="20"/>
                <w:color w:val="auto"/>
              </w:rPr>
            </w:pPr>
            <w:r>
              <w:rPr>
                <w:rFonts w:ascii="Arial" w:cs="Arial" w:eastAsia="Arial" w:hAnsi="Arial"/>
                <w:sz w:val="14"/>
                <w:szCs w:val="14"/>
                <w:color w:val="auto"/>
                <w:w w:val="92"/>
              </w:rPr>
              <w:t>5.9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4"/>
              </w:rPr>
              <w:t>669</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1, 2020 - September 30, 2020</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00" w:type="dxa"/>
            <w:vAlign w:val="bottom"/>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$13.98</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5.1</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597</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11.0</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$13.95</w:t>
            </w: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5"/>
              </w:rPr>
              <w:t>11.0</w:t>
            </w: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$597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All shares purchased by the Company were pursuant to the stock repurchase program described in Note 10 of our accompanying Consolidated Financial Statements in this Form 10-Q.</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99" w:right="1440" w:bottom="1440" w:gutter="0" w:footer="0" w:header="0"/>
        </w:sectPr>
      </w:pPr>
    </w:p>
    <w:bookmarkStart w:id="50" w:name="page51"/>
    <w:bookmarkEnd w:id="50"/>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1" w:lineRule="exact"/>
        <w:rPr>
          <w:sz w:val="20"/>
          <w:szCs w:val="20"/>
          <w:color w:val="auto"/>
        </w:rPr>
      </w:pPr>
    </w:p>
    <w:p>
      <w:pPr>
        <w:jc w:val="both"/>
        <w:ind w:left="500" w:right="20" w:hanging="1295"/>
        <w:spacing w:after="0" w:line="277" w:lineRule="auto"/>
        <w:tabs>
          <w:tab w:leader="none" w:pos="480" w:val="left"/>
        </w:tabs>
        <w:rPr>
          <w:rFonts w:ascii="Arial" w:cs="Arial" w:eastAsia="Arial" w:hAnsi="Arial"/>
          <w:sz w:val="18"/>
          <w:szCs w:val="18"/>
          <w:color w:val="auto"/>
        </w:rPr>
      </w:pPr>
      <w:hyperlink r:id="rId67">
        <w:r>
          <w:rPr>
            <w:rFonts w:ascii="Arial" w:cs="Arial" w:eastAsia="Arial" w:hAnsi="Arial"/>
            <w:sz w:val="18"/>
            <w:szCs w:val="18"/>
            <w:color w:val="auto"/>
          </w:rPr>
          <w:t>*3.1</w:t>
        </w:r>
      </w:hyperlink>
      <w:r>
        <w:rPr>
          <w:rFonts w:ascii="Arial" w:cs="Arial" w:eastAsia="Arial" w:hAnsi="Arial"/>
          <w:sz w:val="18"/>
          <w:szCs w:val="18"/>
          <w:color w:val="auto"/>
        </w:rPr>
        <w:tab/>
      </w:r>
      <w:hyperlink r:id="rId67">
        <w:r>
          <w:rPr>
            <w:rFonts w:ascii="Arial" w:cs="Arial" w:eastAsia="Arial" w:hAnsi="Arial"/>
            <w:sz w:val="18"/>
            <w:szCs w:val="18"/>
            <w:color w:val="auto"/>
          </w:rPr>
          <w:t>AGNC Investment Corp. Amended and Restated Certificate of Incorporation, as amended, incorporated by reference from Exhibit 3.1 of Form 10-Q</w:t>
        </w:r>
      </w:hyperlink>
      <w:r>
        <w:rPr>
          <w:rFonts w:ascii="Arial" w:cs="Arial" w:eastAsia="Arial" w:hAnsi="Arial"/>
          <w:sz w:val="18"/>
          <w:szCs w:val="18"/>
          <w:color w:val="auto"/>
        </w:rPr>
        <w:t xml:space="preserve"> </w:t>
      </w:r>
      <w:hyperlink r:id="rId67">
        <w:r>
          <w:rPr>
            <w:rFonts w:ascii="Arial" w:cs="Arial" w:eastAsia="Arial" w:hAnsi="Arial"/>
            <w:sz w:val="18"/>
            <w:szCs w:val="18"/>
            <w:color w:val="auto"/>
          </w:rPr>
          <w:t>for the quarter ended March 31, 2020 (File No. 001-34057), filed May 11, 2020.</w:t>
        </w:r>
      </w:hyperlink>
    </w:p>
    <w:p>
      <w:pPr>
        <w:spacing w:after="0" w:line="116" w:lineRule="exact"/>
        <w:rPr>
          <w:rFonts w:ascii="Arial" w:cs="Arial" w:eastAsia="Arial" w:hAnsi="Arial"/>
          <w:sz w:val="18"/>
          <w:szCs w:val="18"/>
          <w:color w:val="auto"/>
        </w:rPr>
      </w:pPr>
    </w:p>
    <w:p>
      <w:pPr>
        <w:jc w:val="both"/>
        <w:ind w:left="520" w:hanging="1295"/>
        <w:spacing w:after="0" w:line="277" w:lineRule="auto"/>
        <w:tabs>
          <w:tab w:leader="none" w:pos="500" w:val="left"/>
        </w:tabs>
        <w:rPr>
          <w:rFonts w:ascii="Arial" w:cs="Arial" w:eastAsia="Arial" w:hAnsi="Arial"/>
          <w:sz w:val="18"/>
          <w:szCs w:val="18"/>
          <w:color w:val="auto"/>
        </w:rPr>
      </w:pPr>
      <w:hyperlink r:id="rId68">
        <w:r>
          <w:rPr>
            <w:rFonts w:ascii="Arial" w:cs="Arial" w:eastAsia="Arial" w:hAnsi="Arial"/>
            <w:sz w:val="18"/>
            <w:szCs w:val="18"/>
            <w:color w:val="auto"/>
          </w:rPr>
          <w:t>*3.2</w:t>
        </w:r>
      </w:hyperlink>
      <w:r>
        <w:rPr>
          <w:rFonts w:ascii="Arial" w:cs="Arial" w:eastAsia="Arial" w:hAnsi="Arial"/>
          <w:sz w:val="18"/>
          <w:szCs w:val="18"/>
          <w:color w:val="auto"/>
        </w:rPr>
        <w:tab/>
      </w:r>
      <w:hyperlink r:id="rId68">
        <w:r>
          <w:rPr>
            <w:rFonts w:ascii="Arial" w:cs="Arial" w:eastAsia="Arial" w:hAnsi="Arial"/>
            <w:sz w:val="18"/>
            <w:szCs w:val="18"/>
            <w:color w:val="auto"/>
          </w:rPr>
          <w:t>AGNC Investment Corp. Third Amended and Restated Bylaws, as amended, incorporated herein by reference to Exhibit 3.2 of Form 10-Q for the</w:t>
        </w:r>
      </w:hyperlink>
      <w:r>
        <w:rPr>
          <w:rFonts w:ascii="Arial" w:cs="Arial" w:eastAsia="Arial" w:hAnsi="Arial"/>
          <w:sz w:val="18"/>
          <w:szCs w:val="18"/>
          <w:color w:val="auto"/>
        </w:rPr>
        <w:t xml:space="preserve"> </w:t>
      </w:r>
      <w:hyperlink r:id="rId68">
        <w:r>
          <w:rPr>
            <w:rFonts w:ascii="Arial" w:cs="Arial" w:eastAsia="Arial" w:hAnsi="Arial"/>
            <w:sz w:val="18"/>
            <w:szCs w:val="18"/>
            <w:color w:val="auto"/>
          </w:rPr>
          <w:t>quarter ended September 30, 2016 (File No. 001-34057), filed November 7, 2016.</w:t>
        </w:r>
      </w:hyperlink>
    </w:p>
    <w:p>
      <w:pPr>
        <w:spacing w:after="0" w:line="116" w:lineRule="exact"/>
        <w:rPr>
          <w:rFonts w:ascii="Arial" w:cs="Arial" w:eastAsia="Arial" w:hAnsi="Arial"/>
          <w:sz w:val="18"/>
          <w:szCs w:val="18"/>
          <w:color w:val="auto"/>
        </w:rPr>
      </w:pPr>
    </w:p>
    <w:p>
      <w:pPr>
        <w:jc w:val="both"/>
        <w:ind w:left="520" w:hanging="1295"/>
        <w:spacing w:after="0" w:line="277" w:lineRule="auto"/>
        <w:tabs>
          <w:tab w:leader="none" w:pos="500" w:val="left"/>
        </w:tabs>
        <w:rPr>
          <w:rFonts w:ascii="Arial" w:cs="Arial" w:eastAsia="Arial" w:hAnsi="Arial"/>
          <w:sz w:val="18"/>
          <w:szCs w:val="18"/>
          <w:color w:val="auto"/>
        </w:rPr>
      </w:pPr>
      <w:hyperlink r:id="rId69">
        <w:r>
          <w:rPr>
            <w:rFonts w:ascii="Arial" w:cs="Arial" w:eastAsia="Arial" w:hAnsi="Arial"/>
            <w:sz w:val="18"/>
            <w:szCs w:val="18"/>
            <w:color w:val="auto"/>
          </w:rPr>
          <w:t>*3.3</w:t>
        </w:r>
      </w:hyperlink>
      <w:r>
        <w:rPr>
          <w:rFonts w:ascii="Arial" w:cs="Arial" w:eastAsia="Arial" w:hAnsi="Arial"/>
          <w:sz w:val="18"/>
          <w:szCs w:val="18"/>
          <w:color w:val="auto"/>
        </w:rPr>
        <w:tab/>
      </w:r>
      <w:hyperlink r:id="rId69">
        <w:r>
          <w:rPr>
            <w:rFonts w:ascii="Arial" w:cs="Arial" w:eastAsia="Arial" w:hAnsi="Arial"/>
            <w:sz w:val="18"/>
            <w:szCs w:val="18"/>
            <w:color w:val="auto"/>
          </w:rPr>
          <w:t>Certificate of Designations of 7.00% Series C Fixed-to-Floating Rate Cumulative Redeemable Preferred Stock, incorporated herein by reference to</w:t>
        </w:r>
      </w:hyperlink>
      <w:r>
        <w:rPr>
          <w:rFonts w:ascii="Arial" w:cs="Arial" w:eastAsia="Arial" w:hAnsi="Arial"/>
          <w:sz w:val="18"/>
          <w:szCs w:val="18"/>
          <w:color w:val="auto"/>
        </w:rPr>
        <w:t xml:space="preserve"> </w:t>
      </w:r>
      <w:hyperlink r:id="rId69">
        <w:r>
          <w:rPr>
            <w:rFonts w:ascii="Arial" w:cs="Arial" w:eastAsia="Arial" w:hAnsi="Arial"/>
            <w:sz w:val="18"/>
            <w:szCs w:val="18"/>
            <w:color w:val="auto"/>
          </w:rPr>
          <w:t>Exhibit 3.5 of Form 8-A (File No. 001-34057), filed August 18, 2017.</w:t>
        </w:r>
      </w:hyperlink>
    </w:p>
    <w:p>
      <w:pPr>
        <w:spacing w:after="0" w:line="116" w:lineRule="exact"/>
        <w:rPr>
          <w:rFonts w:ascii="Arial" w:cs="Arial" w:eastAsia="Arial" w:hAnsi="Arial"/>
          <w:sz w:val="18"/>
          <w:szCs w:val="18"/>
          <w:color w:val="auto"/>
        </w:rPr>
      </w:pPr>
    </w:p>
    <w:p>
      <w:pPr>
        <w:jc w:val="both"/>
        <w:ind w:left="500" w:hanging="1295"/>
        <w:spacing w:after="0" w:line="277" w:lineRule="auto"/>
        <w:tabs>
          <w:tab w:leader="none" w:pos="480" w:val="left"/>
        </w:tabs>
        <w:rPr>
          <w:rFonts w:ascii="Arial" w:cs="Arial" w:eastAsia="Arial" w:hAnsi="Arial"/>
          <w:sz w:val="18"/>
          <w:szCs w:val="18"/>
          <w:color w:val="auto"/>
        </w:rPr>
      </w:pPr>
      <w:hyperlink r:id="rId70">
        <w:r>
          <w:rPr>
            <w:rFonts w:ascii="Arial" w:cs="Arial" w:eastAsia="Arial" w:hAnsi="Arial"/>
            <w:sz w:val="18"/>
            <w:szCs w:val="18"/>
            <w:color w:val="auto"/>
          </w:rPr>
          <w:t>*3.4</w:t>
        </w:r>
      </w:hyperlink>
      <w:r>
        <w:rPr>
          <w:rFonts w:ascii="Arial" w:cs="Arial" w:eastAsia="Arial" w:hAnsi="Arial"/>
          <w:sz w:val="18"/>
          <w:szCs w:val="18"/>
          <w:color w:val="auto"/>
        </w:rPr>
        <w:tab/>
      </w:r>
      <w:hyperlink r:id="rId70">
        <w:r>
          <w:rPr>
            <w:rFonts w:ascii="Arial" w:cs="Arial" w:eastAsia="Arial" w:hAnsi="Arial"/>
            <w:sz w:val="18"/>
            <w:szCs w:val="18"/>
            <w:color w:val="auto"/>
          </w:rPr>
          <w:t>Certificate of Elimination of 8.000% Series A Cumulative Redeemable Preferred Stock, incorporated herein by reference to Exhibit 3.1 of Form 8-K</w:t>
        </w:r>
      </w:hyperlink>
      <w:r>
        <w:rPr>
          <w:rFonts w:ascii="Arial" w:cs="Arial" w:eastAsia="Arial" w:hAnsi="Arial"/>
          <w:sz w:val="18"/>
          <w:szCs w:val="18"/>
          <w:color w:val="auto"/>
        </w:rPr>
        <w:t xml:space="preserve"> </w:t>
      </w:r>
      <w:hyperlink r:id="rId70">
        <w:r>
          <w:rPr>
            <w:rFonts w:ascii="Arial" w:cs="Arial" w:eastAsia="Arial" w:hAnsi="Arial"/>
            <w:sz w:val="18"/>
            <w:szCs w:val="18"/>
            <w:color w:val="auto"/>
          </w:rPr>
          <w:t>(File No 001-34057), filed October 26, 2017.</w:t>
        </w:r>
      </w:hyperlink>
    </w:p>
    <w:p>
      <w:pPr>
        <w:spacing w:after="0" w:line="116" w:lineRule="exact"/>
        <w:rPr>
          <w:rFonts w:ascii="Arial" w:cs="Arial" w:eastAsia="Arial" w:hAnsi="Arial"/>
          <w:sz w:val="18"/>
          <w:szCs w:val="18"/>
          <w:color w:val="auto"/>
        </w:rPr>
      </w:pPr>
    </w:p>
    <w:p>
      <w:pPr>
        <w:jc w:val="both"/>
        <w:ind w:left="500" w:hanging="1295"/>
        <w:spacing w:after="0" w:line="277" w:lineRule="auto"/>
        <w:tabs>
          <w:tab w:leader="none" w:pos="480" w:val="left"/>
        </w:tabs>
        <w:rPr>
          <w:rFonts w:ascii="Arial" w:cs="Arial" w:eastAsia="Arial" w:hAnsi="Arial"/>
          <w:sz w:val="18"/>
          <w:szCs w:val="18"/>
          <w:color w:val="auto"/>
        </w:rPr>
      </w:pPr>
      <w:hyperlink r:id="rId71">
        <w:r>
          <w:rPr>
            <w:rFonts w:ascii="Arial" w:cs="Arial" w:eastAsia="Arial" w:hAnsi="Arial"/>
            <w:sz w:val="18"/>
            <w:szCs w:val="18"/>
            <w:color w:val="auto"/>
          </w:rPr>
          <w:t>*3.5</w:t>
        </w:r>
      </w:hyperlink>
      <w:r>
        <w:rPr>
          <w:rFonts w:ascii="Arial" w:cs="Arial" w:eastAsia="Arial" w:hAnsi="Arial"/>
          <w:sz w:val="18"/>
          <w:szCs w:val="18"/>
          <w:color w:val="auto"/>
        </w:rPr>
        <w:tab/>
      </w:r>
      <w:hyperlink r:id="rId71">
        <w:r>
          <w:rPr>
            <w:rFonts w:ascii="Arial" w:cs="Arial" w:eastAsia="Arial" w:hAnsi="Arial"/>
            <w:sz w:val="18"/>
            <w:szCs w:val="18"/>
            <w:color w:val="auto"/>
          </w:rPr>
          <w:t>Certificate of Designations of 6.875% Series D Fixed-to-Floating Rate Cumulative Redeemable Preferred Stock, incorporated herein by reference to</w:t>
        </w:r>
      </w:hyperlink>
      <w:r>
        <w:rPr>
          <w:rFonts w:ascii="Arial" w:cs="Arial" w:eastAsia="Arial" w:hAnsi="Arial"/>
          <w:sz w:val="18"/>
          <w:szCs w:val="18"/>
          <w:color w:val="auto"/>
        </w:rPr>
        <w:t xml:space="preserve"> </w:t>
      </w:r>
      <w:hyperlink r:id="rId71">
        <w:r>
          <w:rPr>
            <w:rFonts w:ascii="Arial" w:cs="Arial" w:eastAsia="Arial" w:hAnsi="Arial"/>
            <w:sz w:val="18"/>
            <w:szCs w:val="18"/>
            <w:color w:val="auto"/>
          </w:rPr>
          <w:t>Exhibit 3.5 of Form 8-A (File No 001-34057), filed March 6,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72">
        <w:r>
          <w:rPr>
            <w:rFonts w:ascii="Arial" w:cs="Arial" w:eastAsia="Arial" w:hAnsi="Arial"/>
            <w:sz w:val="18"/>
            <w:szCs w:val="18"/>
            <w:color w:val="auto"/>
          </w:rPr>
          <w:t>*3.6</w:t>
        </w:r>
      </w:hyperlink>
      <w:r>
        <w:rPr>
          <w:rFonts w:ascii="Arial" w:cs="Arial" w:eastAsia="Arial" w:hAnsi="Arial"/>
          <w:sz w:val="18"/>
          <w:szCs w:val="18"/>
          <w:color w:val="auto"/>
        </w:rPr>
        <w:tab/>
      </w:r>
      <w:hyperlink r:id="rId72">
        <w:r>
          <w:rPr>
            <w:rFonts w:ascii="Arial" w:cs="Arial" w:eastAsia="Arial" w:hAnsi="Arial"/>
            <w:sz w:val="18"/>
            <w:szCs w:val="18"/>
            <w:color w:val="auto"/>
          </w:rPr>
          <w:t>Certificate of Designations of 6.50% Series E Fixed-to-Floating Rate Cumulative Redeemable Preferred Stock, incorporated herein by reference to</w:t>
        </w:r>
      </w:hyperlink>
      <w:r>
        <w:rPr>
          <w:rFonts w:ascii="Arial" w:cs="Arial" w:eastAsia="Arial" w:hAnsi="Arial"/>
          <w:sz w:val="18"/>
          <w:szCs w:val="18"/>
          <w:color w:val="auto"/>
        </w:rPr>
        <w:t xml:space="preserve"> </w:t>
      </w:r>
      <w:hyperlink r:id="rId72">
        <w:r>
          <w:rPr>
            <w:rFonts w:ascii="Arial" w:cs="Arial" w:eastAsia="Arial" w:hAnsi="Arial"/>
            <w:sz w:val="18"/>
            <w:szCs w:val="18"/>
            <w:color w:val="auto"/>
          </w:rPr>
          <w:t>Exhibit 3.6 of Form 8-A (File No 001-34057), filed October 3, 2019.</w:t>
        </w:r>
      </w:hyperlink>
    </w:p>
    <w:p>
      <w:pPr>
        <w:spacing w:after="0" w:line="116" w:lineRule="exact"/>
        <w:rPr>
          <w:rFonts w:ascii="Arial" w:cs="Arial" w:eastAsia="Arial" w:hAnsi="Arial"/>
          <w:sz w:val="18"/>
          <w:szCs w:val="18"/>
          <w:color w:val="auto"/>
        </w:rPr>
      </w:pPr>
    </w:p>
    <w:p>
      <w:pPr>
        <w:jc w:val="both"/>
        <w:ind w:left="500" w:right="20" w:hanging="1295"/>
        <w:spacing w:after="0" w:line="277" w:lineRule="auto"/>
        <w:tabs>
          <w:tab w:leader="none" w:pos="480" w:val="left"/>
        </w:tabs>
        <w:rPr>
          <w:rFonts w:ascii="Arial" w:cs="Arial" w:eastAsia="Arial" w:hAnsi="Arial"/>
          <w:sz w:val="18"/>
          <w:szCs w:val="18"/>
          <w:color w:val="auto"/>
        </w:rPr>
      </w:pPr>
      <w:hyperlink r:id="rId73">
        <w:r>
          <w:rPr>
            <w:rFonts w:ascii="Arial" w:cs="Arial" w:eastAsia="Arial" w:hAnsi="Arial"/>
            <w:sz w:val="18"/>
            <w:szCs w:val="18"/>
            <w:color w:val="auto"/>
          </w:rPr>
          <w:t>*3.7</w:t>
        </w:r>
      </w:hyperlink>
      <w:r>
        <w:rPr>
          <w:rFonts w:ascii="Arial" w:cs="Arial" w:eastAsia="Arial" w:hAnsi="Arial"/>
          <w:sz w:val="18"/>
          <w:szCs w:val="18"/>
          <w:color w:val="auto"/>
        </w:rPr>
        <w:tab/>
      </w:r>
      <w:hyperlink r:id="rId73">
        <w:r>
          <w:rPr>
            <w:rFonts w:ascii="Arial" w:cs="Arial" w:eastAsia="Arial" w:hAnsi="Arial"/>
            <w:sz w:val="18"/>
            <w:szCs w:val="18"/>
            <w:color w:val="auto"/>
          </w:rPr>
          <w:t>Certificate of Elimination of 7.750% Series B Cumulative Redeemable Preferred Stock, incorporated herein by reference to Exhibit 3.1 of Form 8-K</w:t>
        </w:r>
      </w:hyperlink>
      <w:r>
        <w:rPr>
          <w:rFonts w:ascii="Arial" w:cs="Arial" w:eastAsia="Arial" w:hAnsi="Arial"/>
          <w:sz w:val="18"/>
          <w:szCs w:val="18"/>
          <w:color w:val="auto"/>
        </w:rPr>
        <w:t xml:space="preserve"> </w:t>
      </w:r>
      <w:hyperlink r:id="rId73">
        <w:r>
          <w:rPr>
            <w:rFonts w:ascii="Arial" w:cs="Arial" w:eastAsia="Arial" w:hAnsi="Arial"/>
            <w:sz w:val="18"/>
            <w:szCs w:val="18"/>
            <w:color w:val="auto"/>
          </w:rPr>
          <w:t>(File No 001-34057), filed December 13,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74">
        <w:r>
          <w:rPr>
            <w:rFonts w:ascii="Arial" w:cs="Arial" w:eastAsia="Arial" w:hAnsi="Arial"/>
            <w:sz w:val="18"/>
            <w:szCs w:val="18"/>
            <w:color w:val="auto"/>
          </w:rPr>
          <w:t>*3.8</w:t>
        </w:r>
      </w:hyperlink>
      <w:r>
        <w:rPr>
          <w:rFonts w:ascii="Arial" w:cs="Arial" w:eastAsia="Arial" w:hAnsi="Arial"/>
          <w:sz w:val="18"/>
          <w:szCs w:val="18"/>
          <w:color w:val="auto"/>
        </w:rPr>
        <w:tab/>
      </w:r>
      <w:hyperlink r:id="rId74">
        <w:r>
          <w:rPr>
            <w:rFonts w:ascii="Arial" w:cs="Arial" w:eastAsia="Arial" w:hAnsi="Arial"/>
            <w:sz w:val="18"/>
            <w:szCs w:val="18"/>
            <w:color w:val="auto"/>
          </w:rPr>
          <w:t>Certificate of Designations of 6.125% Series F Fixed-to-Floating Rate Cumulative Redeemable Preferred Stock, incorporated herein by reference to</w:t>
        </w:r>
      </w:hyperlink>
      <w:r>
        <w:rPr>
          <w:rFonts w:ascii="Arial" w:cs="Arial" w:eastAsia="Arial" w:hAnsi="Arial"/>
          <w:sz w:val="18"/>
          <w:szCs w:val="18"/>
          <w:color w:val="auto"/>
        </w:rPr>
        <w:t xml:space="preserve"> </w:t>
      </w:r>
      <w:hyperlink r:id="rId74">
        <w:r>
          <w:rPr>
            <w:rFonts w:ascii="Arial" w:cs="Arial" w:eastAsia="Arial" w:hAnsi="Arial"/>
            <w:sz w:val="18"/>
            <w:szCs w:val="18"/>
            <w:color w:val="auto"/>
          </w:rPr>
          <w:t>Exhibit 3.6 of Form 8-A (File No 001-34057), filed February 11, 2020.</w:t>
        </w:r>
      </w:hyperlink>
    </w:p>
    <w:p>
      <w:pPr>
        <w:spacing w:after="0" w:line="116" w:lineRule="exact"/>
        <w:rPr>
          <w:rFonts w:ascii="Arial" w:cs="Arial" w:eastAsia="Arial" w:hAnsi="Arial"/>
          <w:sz w:val="18"/>
          <w:szCs w:val="18"/>
          <w:color w:val="auto"/>
        </w:rPr>
      </w:pPr>
    </w:p>
    <w:p>
      <w:pPr>
        <w:jc w:val="both"/>
        <w:ind w:left="580" w:hanging="1295"/>
        <w:spacing w:after="0" w:line="263" w:lineRule="auto"/>
        <w:tabs>
          <w:tab w:leader="none" w:pos="560" w:val="left"/>
        </w:tabs>
        <w:rPr>
          <w:rFonts w:ascii="Arial" w:cs="Arial" w:eastAsia="Arial" w:hAnsi="Arial"/>
          <w:sz w:val="18"/>
          <w:szCs w:val="18"/>
          <w:color w:val="auto"/>
        </w:rPr>
      </w:pPr>
      <w:hyperlink r:id="rId75">
        <w:r>
          <w:rPr>
            <w:rFonts w:ascii="Arial" w:cs="Arial" w:eastAsia="Arial" w:hAnsi="Arial"/>
            <w:sz w:val="18"/>
            <w:szCs w:val="18"/>
            <w:color w:val="auto"/>
          </w:rPr>
          <w:t>*4.1</w:t>
        </w:r>
      </w:hyperlink>
      <w:r>
        <w:rPr>
          <w:rFonts w:ascii="Arial" w:cs="Arial" w:eastAsia="Arial" w:hAnsi="Arial"/>
          <w:sz w:val="18"/>
          <w:szCs w:val="18"/>
          <w:color w:val="auto"/>
        </w:rPr>
        <w:tab/>
      </w:r>
      <w:hyperlink r:id="rId75">
        <w:r>
          <w:rPr>
            <w:rFonts w:ascii="Arial" w:cs="Arial" w:eastAsia="Arial" w:hAnsi="Arial"/>
            <w:sz w:val="18"/>
            <w:szCs w:val="18"/>
            <w:color w:val="auto"/>
          </w:rPr>
          <w:t>Instruments defining the rights of holders of securities: See Article IV of our Amended and Restated Certificate of Incorporation, as amended,</w:t>
        </w:r>
      </w:hyperlink>
      <w:r>
        <w:rPr>
          <w:rFonts w:ascii="Arial" w:cs="Arial" w:eastAsia="Arial" w:hAnsi="Arial"/>
          <w:sz w:val="18"/>
          <w:szCs w:val="18"/>
          <w:color w:val="auto"/>
        </w:rPr>
        <w:t xml:space="preserve"> </w:t>
      </w:r>
      <w:hyperlink r:id="rId75">
        <w:r>
          <w:rPr>
            <w:rFonts w:ascii="Arial" w:cs="Arial" w:eastAsia="Arial" w:hAnsi="Arial"/>
            <w:sz w:val="18"/>
            <w:szCs w:val="18"/>
            <w:color w:val="auto"/>
          </w:rPr>
          <w:t>incorporated herein by reference to Exhibit 3.1 of Form 10-Q for the quarter ended March 31, 2018 (File No. 001-34057) filed May 7,</w:t>
        </w:r>
      </w:hyperlink>
      <w:r>
        <w:rPr>
          <w:rFonts w:ascii="Arial" w:cs="Arial" w:eastAsia="Arial" w:hAnsi="Arial"/>
          <w:sz w:val="18"/>
          <w:szCs w:val="18"/>
          <w:color w:val="auto"/>
        </w:rPr>
        <w:t xml:space="preserve"> </w:t>
      </w:r>
      <w:hyperlink r:id="rId75">
        <w:r>
          <w:rPr>
            <w:rFonts w:ascii="Arial" w:cs="Arial" w:eastAsia="Arial" w:hAnsi="Arial"/>
            <w:sz w:val="18"/>
            <w:szCs w:val="18"/>
            <w:color w:val="auto"/>
          </w:rPr>
          <w:t>2018.</w:t>
        </w:r>
      </w:hyperlink>
    </w:p>
    <w:p>
      <w:pPr>
        <w:spacing w:after="0" w:line="130" w:lineRule="exact"/>
        <w:rPr>
          <w:rFonts w:ascii="Arial" w:cs="Arial" w:eastAsia="Arial" w:hAnsi="Arial"/>
          <w:sz w:val="18"/>
          <w:szCs w:val="18"/>
          <w:color w:val="auto"/>
        </w:rPr>
      </w:pPr>
    </w:p>
    <w:p>
      <w:pPr>
        <w:jc w:val="both"/>
        <w:ind w:left="500" w:right="20" w:hanging="1295"/>
        <w:spacing w:after="0" w:line="308" w:lineRule="auto"/>
        <w:tabs>
          <w:tab w:leader="none" w:pos="480" w:val="left"/>
        </w:tabs>
        <w:rPr>
          <w:rFonts w:ascii="Arial" w:cs="Arial" w:eastAsia="Arial" w:hAnsi="Arial"/>
          <w:sz w:val="17"/>
          <w:szCs w:val="17"/>
          <w:color w:val="auto"/>
        </w:rPr>
      </w:pPr>
      <w:hyperlink r:id="rId68">
        <w:r>
          <w:rPr>
            <w:rFonts w:ascii="Arial" w:cs="Arial" w:eastAsia="Arial" w:hAnsi="Arial"/>
            <w:sz w:val="18"/>
            <w:szCs w:val="18"/>
            <w:color w:val="auto"/>
          </w:rPr>
          <w:t>*4.2</w:t>
        </w:r>
      </w:hyperlink>
      <w:r>
        <w:rPr>
          <w:rFonts w:ascii="Arial" w:cs="Arial" w:eastAsia="Arial" w:hAnsi="Arial"/>
          <w:sz w:val="18"/>
          <w:szCs w:val="18"/>
          <w:color w:val="auto"/>
        </w:rPr>
        <w:tab/>
      </w:r>
      <w:hyperlink r:id="rId68">
        <w:r>
          <w:rPr>
            <w:rFonts w:ascii="Arial" w:cs="Arial" w:eastAsia="Arial" w:hAnsi="Arial"/>
            <w:sz w:val="17"/>
            <w:szCs w:val="17"/>
            <w:color w:val="auto"/>
          </w:rPr>
          <w:t>Instruments defining the rights of holders of securities: See Article VI of our Third Amended and Restated Bylaws, as amended, incorporated herein</w:t>
        </w:r>
      </w:hyperlink>
      <w:r>
        <w:rPr>
          <w:rFonts w:ascii="Arial" w:cs="Arial" w:eastAsia="Arial" w:hAnsi="Arial"/>
          <w:sz w:val="17"/>
          <w:szCs w:val="17"/>
          <w:color w:val="auto"/>
        </w:rPr>
        <w:t xml:space="preserve"> </w:t>
      </w:r>
      <w:hyperlink r:id="rId68">
        <w:r>
          <w:rPr>
            <w:rFonts w:ascii="Arial" w:cs="Arial" w:eastAsia="Arial" w:hAnsi="Arial"/>
            <w:sz w:val="17"/>
            <w:szCs w:val="17"/>
            <w:color w:val="auto"/>
          </w:rPr>
          <w:t>by reference to Exhibit 3.2 of Form 10-Q for the quarter ended September 30, 2016 (File No. 001-34057) filed November 7, 2016.</w:t>
        </w:r>
      </w:hyperlink>
    </w:p>
    <w:p>
      <w:pPr>
        <w:spacing w:after="0" w:line="92" w:lineRule="exact"/>
        <w:rPr>
          <w:rFonts w:ascii="Arial" w:cs="Arial" w:eastAsia="Arial" w:hAnsi="Arial"/>
          <w:sz w:val="18"/>
          <w:szCs w:val="18"/>
          <w:color w:val="auto"/>
        </w:rPr>
      </w:pPr>
    </w:p>
    <w:p>
      <w:pPr>
        <w:jc w:val="both"/>
        <w:ind w:left="560" w:hanging="1295"/>
        <w:spacing w:after="0" w:line="277" w:lineRule="auto"/>
        <w:tabs>
          <w:tab w:leader="none" w:pos="540" w:val="left"/>
        </w:tabs>
        <w:rPr>
          <w:rFonts w:ascii="Arial" w:cs="Arial" w:eastAsia="Arial" w:hAnsi="Arial"/>
          <w:sz w:val="18"/>
          <w:szCs w:val="18"/>
          <w:color w:val="auto"/>
        </w:rPr>
      </w:pPr>
      <w:hyperlink r:id="rId76">
        <w:r>
          <w:rPr>
            <w:rFonts w:ascii="Arial" w:cs="Arial" w:eastAsia="Arial" w:hAnsi="Arial"/>
            <w:sz w:val="18"/>
            <w:szCs w:val="18"/>
            <w:color w:val="auto"/>
          </w:rPr>
          <w:t>*4.3</w:t>
        </w:r>
      </w:hyperlink>
      <w:r>
        <w:rPr>
          <w:rFonts w:ascii="Arial" w:cs="Arial" w:eastAsia="Arial" w:hAnsi="Arial"/>
          <w:sz w:val="18"/>
          <w:szCs w:val="18"/>
          <w:color w:val="auto"/>
        </w:rPr>
        <w:tab/>
      </w:r>
      <w:hyperlink r:id="rId76">
        <w:r>
          <w:rPr>
            <w:rFonts w:ascii="Arial" w:cs="Arial" w:eastAsia="Arial" w:hAnsi="Arial"/>
            <w:sz w:val="18"/>
            <w:szCs w:val="18"/>
            <w:color w:val="auto"/>
          </w:rPr>
          <w:t>Form of Certificate for Common Stock, incorporated herein by reference to Exhibit 4.3 of Form 10-Q for the quarter ended September 30, 2016</w:t>
        </w:r>
      </w:hyperlink>
      <w:r>
        <w:rPr>
          <w:rFonts w:ascii="Arial" w:cs="Arial" w:eastAsia="Arial" w:hAnsi="Arial"/>
          <w:sz w:val="18"/>
          <w:szCs w:val="18"/>
          <w:color w:val="auto"/>
        </w:rPr>
        <w:t xml:space="preserve"> </w:t>
      </w:r>
      <w:hyperlink r:id="rId76">
        <w:r>
          <w:rPr>
            <w:rFonts w:ascii="Arial" w:cs="Arial" w:eastAsia="Arial" w:hAnsi="Arial"/>
            <w:sz w:val="18"/>
            <w:szCs w:val="18"/>
            <w:color w:val="auto"/>
          </w:rPr>
          <w:t>(File No. 001-34057), filed November 7, 2016.</w:t>
        </w:r>
      </w:hyperlink>
    </w:p>
    <w:p>
      <w:pPr>
        <w:spacing w:after="0" w:line="116" w:lineRule="exact"/>
        <w:rPr>
          <w:rFonts w:ascii="Arial" w:cs="Arial" w:eastAsia="Arial" w:hAnsi="Arial"/>
          <w:sz w:val="18"/>
          <w:szCs w:val="18"/>
          <w:color w:val="auto"/>
        </w:rPr>
      </w:pPr>
    </w:p>
    <w:p>
      <w:pPr>
        <w:spacing w:after="0"/>
        <w:tabs>
          <w:tab w:leader="none" w:pos="500" w:val="left"/>
        </w:tabs>
        <w:rPr>
          <w:rFonts w:ascii="Arial" w:cs="Arial" w:eastAsia="Arial" w:hAnsi="Arial"/>
          <w:sz w:val="16"/>
          <w:szCs w:val="16"/>
          <w:color w:val="auto"/>
        </w:rPr>
      </w:pPr>
      <w:hyperlink r:id="rId77">
        <w:r>
          <w:rPr>
            <w:rFonts w:ascii="Arial" w:cs="Arial" w:eastAsia="Arial" w:hAnsi="Arial"/>
            <w:sz w:val="18"/>
            <w:szCs w:val="18"/>
            <w:color w:val="auto"/>
          </w:rPr>
          <w:t>*4.4</w:t>
        </w:r>
      </w:hyperlink>
      <w:r>
        <w:rPr>
          <w:rFonts w:ascii="Arial" w:cs="Arial" w:eastAsia="Arial" w:hAnsi="Arial"/>
          <w:sz w:val="18"/>
          <w:szCs w:val="18"/>
          <w:color w:val="auto"/>
        </w:rPr>
        <w:tab/>
      </w:r>
      <w:hyperlink r:id="rId77">
        <w:r>
          <w:rPr>
            <w:rFonts w:ascii="Arial" w:cs="Arial" w:eastAsia="Arial" w:hAnsi="Arial"/>
            <w:sz w:val="16"/>
            <w:szCs w:val="16"/>
            <w:color w:val="auto"/>
          </w:rPr>
          <w:t>Specimen 7.00% Series C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7">
        <w:r>
          <w:rPr>
            <w:rFonts w:ascii="Arial" w:cs="Arial" w:eastAsia="Arial" w:hAnsi="Arial"/>
            <w:sz w:val="18"/>
            <w:szCs w:val="18"/>
            <w:color w:val="auto"/>
          </w:rPr>
          <w:t>4.1 of Form 8-A (File No. 001-34057), filed August 18, 2017.</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78">
        <w:r>
          <w:rPr>
            <w:rFonts w:ascii="Arial" w:cs="Arial" w:eastAsia="Arial" w:hAnsi="Arial"/>
            <w:sz w:val="18"/>
            <w:szCs w:val="18"/>
            <w:color w:val="auto"/>
          </w:rPr>
          <w:t>*4.5</w:t>
        </w:r>
      </w:hyperlink>
      <w:r>
        <w:rPr>
          <w:rFonts w:ascii="Arial" w:cs="Arial" w:eastAsia="Arial" w:hAnsi="Arial"/>
          <w:sz w:val="18"/>
          <w:szCs w:val="18"/>
          <w:color w:val="auto"/>
        </w:rPr>
        <w:tab/>
      </w:r>
      <w:hyperlink r:id="rId78">
        <w:r>
          <w:rPr>
            <w:rFonts w:ascii="Arial" w:cs="Arial" w:eastAsia="Arial" w:hAnsi="Arial"/>
            <w:sz w:val="16"/>
            <w:szCs w:val="16"/>
            <w:color w:val="auto"/>
          </w:rPr>
          <w:t>Specimen 6.875% Series D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8">
        <w:r>
          <w:rPr>
            <w:rFonts w:ascii="Arial" w:cs="Arial" w:eastAsia="Arial" w:hAnsi="Arial"/>
            <w:sz w:val="18"/>
            <w:szCs w:val="18"/>
            <w:color w:val="auto"/>
          </w:rPr>
          <w:t>4.1 of Form 8-A (File No. 001-34057), filed March 6, 2019.</w:t>
        </w:r>
      </w:hyperlink>
    </w:p>
    <w:p>
      <w:pPr>
        <w:spacing w:after="0" w:line="157" w:lineRule="exact"/>
        <w:rPr>
          <w:sz w:val="20"/>
          <w:szCs w:val="20"/>
          <w:color w:val="auto"/>
        </w:rPr>
      </w:pPr>
    </w:p>
    <w:p>
      <w:pPr>
        <w:spacing w:after="0"/>
        <w:tabs>
          <w:tab w:leader="none" w:pos="520" w:val="left"/>
        </w:tabs>
        <w:rPr>
          <w:rFonts w:ascii="Arial" w:cs="Arial" w:eastAsia="Arial" w:hAnsi="Arial"/>
          <w:sz w:val="16"/>
          <w:szCs w:val="16"/>
          <w:color w:val="auto"/>
        </w:rPr>
      </w:pPr>
      <w:hyperlink r:id="rId79">
        <w:r>
          <w:rPr>
            <w:rFonts w:ascii="Arial" w:cs="Arial" w:eastAsia="Arial" w:hAnsi="Arial"/>
            <w:sz w:val="18"/>
            <w:szCs w:val="18"/>
            <w:color w:val="auto"/>
          </w:rPr>
          <w:t>*4.6</w:t>
        </w:r>
      </w:hyperlink>
      <w:r>
        <w:rPr>
          <w:rFonts w:ascii="Arial" w:cs="Arial" w:eastAsia="Arial" w:hAnsi="Arial"/>
          <w:sz w:val="18"/>
          <w:szCs w:val="18"/>
          <w:color w:val="auto"/>
        </w:rPr>
        <w:tab/>
      </w:r>
      <w:hyperlink r:id="rId79">
        <w:r>
          <w:rPr>
            <w:rFonts w:ascii="Arial" w:cs="Arial" w:eastAsia="Arial" w:hAnsi="Arial"/>
            <w:sz w:val="16"/>
            <w:szCs w:val="16"/>
            <w:color w:val="auto"/>
          </w:rPr>
          <w:t>Specimen 6.50% Series E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9">
        <w:r>
          <w:rPr>
            <w:rFonts w:ascii="Arial" w:cs="Arial" w:eastAsia="Arial" w:hAnsi="Arial"/>
            <w:sz w:val="18"/>
            <w:szCs w:val="18"/>
            <w:color w:val="auto"/>
          </w:rPr>
          <w:t>4.1 of Form 8-A (File No. 001-34057), filed October 3, 2019.</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80">
        <w:r>
          <w:rPr>
            <w:rFonts w:ascii="Arial" w:cs="Arial" w:eastAsia="Arial" w:hAnsi="Arial"/>
            <w:sz w:val="18"/>
            <w:szCs w:val="18"/>
            <w:color w:val="auto"/>
          </w:rPr>
          <w:t>*4.7</w:t>
        </w:r>
      </w:hyperlink>
      <w:r>
        <w:rPr>
          <w:rFonts w:ascii="Arial" w:cs="Arial" w:eastAsia="Arial" w:hAnsi="Arial"/>
          <w:sz w:val="18"/>
          <w:szCs w:val="18"/>
          <w:color w:val="auto"/>
        </w:rPr>
        <w:tab/>
      </w:r>
      <w:hyperlink r:id="rId80">
        <w:r>
          <w:rPr>
            <w:rFonts w:ascii="Arial" w:cs="Arial" w:eastAsia="Arial" w:hAnsi="Arial"/>
            <w:sz w:val="16"/>
            <w:szCs w:val="16"/>
            <w:color w:val="auto"/>
          </w:rPr>
          <w:t>Specimen 6.125% Series F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80">
        <w:r>
          <w:rPr>
            <w:rFonts w:ascii="Arial" w:cs="Arial" w:eastAsia="Arial" w:hAnsi="Arial"/>
            <w:sz w:val="18"/>
            <w:szCs w:val="18"/>
            <w:color w:val="auto"/>
          </w:rPr>
          <w:t>4.1 of Form 8-A (File No 001-34057), filed February 11, 2020.</w:t>
        </w:r>
      </w:hyperlink>
    </w:p>
    <w:p>
      <w:pPr>
        <w:spacing w:after="0" w:line="157" w:lineRule="exact"/>
        <w:rPr>
          <w:sz w:val="20"/>
          <w:szCs w:val="20"/>
          <w:color w:val="auto"/>
        </w:rPr>
      </w:pPr>
    </w:p>
    <w:p>
      <w:pPr>
        <w:jc w:val="both"/>
        <w:ind w:left="580" w:hanging="1295"/>
        <w:spacing w:after="0" w:line="263" w:lineRule="auto"/>
        <w:tabs>
          <w:tab w:leader="none" w:pos="560" w:val="left"/>
        </w:tabs>
        <w:rPr>
          <w:rFonts w:ascii="Arial" w:cs="Arial" w:eastAsia="Arial" w:hAnsi="Arial"/>
          <w:sz w:val="18"/>
          <w:szCs w:val="18"/>
          <w:color w:val="auto"/>
        </w:rPr>
      </w:pPr>
      <w:hyperlink r:id="rId81">
        <w:r>
          <w:rPr>
            <w:rFonts w:ascii="Arial" w:cs="Arial" w:eastAsia="Arial" w:hAnsi="Arial"/>
            <w:sz w:val="18"/>
            <w:szCs w:val="18"/>
            <w:color w:val="auto"/>
          </w:rPr>
          <w:t>*4.8</w:t>
        </w:r>
      </w:hyperlink>
      <w:r>
        <w:rPr>
          <w:rFonts w:ascii="Arial" w:cs="Arial" w:eastAsia="Arial" w:hAnsi="Arial"/>
          <w:sz w:val="18"/>
          <w:szCs w:val="18"/>
          <w:color w:val="auto"/>
        </w:rPr>
        <w:tab/>
      </w:r>
      <w:hyperlink r:id="rId81">
        <w:r>
          <w:rPr>
            <w:rFonts w:ascii="Arial" w:cs="Arial" w:eastAsia="Arial" w:hAnsi="Arial"/>
            <w:sz w:val="18"/>
            <w:szCs w:val="18"/>
            <w:color w:val="auto"/>
          </w:rPr>
          <w:t>Deposit Agreement relating to 7.00% Series C Fixed-to-Floating Rate Cumulative Redeemable Preferred Stock, dated August 22, 2017, among</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reference to Exhibit 4.2 of Form 8-K (File No. 001-34057) filed August 22, 2017.</w:t>
        </w:r>
      </w:hyperlink>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jc w:val="both"/>
        <w:ind w:left="540" w:hanging="1295"/>
        <w:spacing w:after="0" w:line="263" w:lineRule="auto"/>
        <w:tabs>
          <w:tab w:leader="none" w:pos="520" w:val="left"/>
        </w:tabs>
        <w:rPr>
          <w:rFonts w:ascii="Arial" w:cs="Arial" w:eastAsia="Arial" w:hAnsi="Arial"/>
          <w:sz w:val="18"/>
          <w:szCs w:val="18"/>
          <w:color w:val="auto"/>
        </w:rPr>
      </w:pPr>
      <w:hyperlink r:id="rId81">
        <w:r>
          <w:rPr>
            <w:rFonts w:ascii="Arial" w:cs="Arial" w:eastAsia="Arial" w:hAnsi="Arial"/>
            <w:sz w:val="18"/>
            <w:szCs w:val="18"/>
            <w:color w:val="auto"/>
          </w:rPr>
          <w:t>*4.9</w:t>
        </w:r>
      </w:hyperlink>
      <w:r>
        <w:rPr>
          <w:rFonts w:ascii="Arial" w:cs="Arial" w:eastAsia="Arial" w:hAnsi="Arial"/>
          <w:sz w:val="18"/>
          <w:szCs w:val="18"/>
          <w:color w:val="auto"/>
        </w:rPr>
        <w:tab/>
      </w:r>
      <w:hyperlink r:id="rId81">
        <w:r>
          <w:rPr>
            <w:rFonts w:ascii="Arial" w:cs="Arial" w:eastAsia="Arial" w:hAnsi="Arial"/>
            <w:sz w:val="18"/>
            <w:szCs w:val="18"/>
            <w:color w:val="auto"/>
          </w:rPr>
          <w:t>Form of Depositary Receipt representing 1/1,000th of a share of 7.00% Series C Fixed-to-Floating Rate Cumulative Redeemable Preferred Stock</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(included as part of Exhibit 4.8), incorporated herein by reference to Exhibit A of Exhibit 4.2 of Form 8-K (File No. 001-34057) filed</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August 22, 2017.</w:t>
        </w:r>
      </w:hyperlink>
    </w:p>
    <w:p>
      <w:pPr>
        <w:spacing w:after="0" w:line="130" w:lineRule="exact"/>
        <w:rPr>
          <w:rFonts w:ascii="Arial" w:cs="Arial" w:eastAsia="Arial" w:hAnsi="Arial"/>
          <w:sz w:val="18"/>
          <w:szCs w:val="18"/>
          <w:color w:val="auto"/>
        </w:rPr>
      </w:pPr>
    </w:p>
    <w:p>
      <w:pPr>
        <w:jc w:val="both"/>
        <w:ind w:left="660" w:hanging="1295"/>
        <w:spacing w:after="0" w:line="263" w:lineRule="auto"/>
        <w:tabs>
          <w:tab w:leader="none" w:pos="640" w:val="left"/>
        </w:tabs>
        <w:rPr>
          <w:rFonts w:ascii="Arial" w:cs="Arial" w:eastAsia="Arial" w:hAnsi="Arial"/>
          <w:sz w:val="18"/>
          <w:szCs w:val="18"/>
          <w:color w:val="auto"/>
        </w:rPr>
      </w:pPr>
      <w:hyperlink r:id="rId83">
        <w:r>
          <w:rPr>
            <w:rFonts w:ascii="Arial" w:cs="Arial" w:eastAsia="Arial" w:hAnsi="Arial"/>
            <w:sz w:val="18"/>
            <w:szCs w:val="18"/>
            <w:color w:val="auto"/>
          </w:rPr>
          <w:t>*4.10</w:t>
        </w:r>
      </w:hyperlink>
      <w:r>
        <w:rPr>
          <w:rFonts w:ascii="Arial" w:cs="Arial" w:eastAsia="Arial" w:hAnsi="Arial"/>
          <w:sz w:val="18"/>
          <w:szCs w:val="18"/>
          <w:color w:val="auto"/>
        </w:rPr>
        <w:tab/>
      </w:r>
      <w:hyperlink r:id="rId83">
        <w:r>
          <w:rPr>
            <w:rFonts w:ascii="Arial" w:cs="Arial" w:eastAsia="Arial" w:hAnsi="Arial"/>
            <w:sz w:val="18"/>
            <w:szCs w:val="18"/>
            <w:color w:val="auto"/>
          </w:rPr>
          <w:t>Deposit Agreement relating to 6.875% Series D Fixed-to-Floating Rate Cumulative Redeemable Preferred Stock, dated March 6, 2019, among</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reference to Exhibit 4.2 of Form 8-K (File No. 001-34057) filed March 6, 2019.</w:t>
        </w:r>
      </w:hyperlink>
    </w:p>
    <w:p>
      <w:pPr>
        <w:spacing w:after="0" w:line="130" w:lineRule="exact"/>
        <w:rPr>
          <w:rFonts w:ascii="Arial" w:cs="Arial" w:eastAsia="Arial" w:hAnsi="Arial"/>
          <w:sz w:val="18"/>
          <w:szCs w:val="18"/>
          <w:color w:val="auto"/>
        </w:rPr>
      </w:pPr>
    </w:p>
    <w:p>
      <w:pPr>
        <w:jc w:val="both"/>
        <w:ind w:left="600" w:hanging="1295"/>
        <w:spacing w:after="0" w:line="263" w:lineRule="auto"/>
        <w:tabs>
          <w:tab w:leader="none" w:pos="580" w:val="left"/>
        </w:tabs>
        <w:rPr>
          <w:rFonts w:ascii="Arial" w:cs="Arial" w:eastAsia="Arial" w:hAnsi="Arial"/>
          <w:sz w:val="18"/>
          <w:szCs w:val="18"/>
          <w:color w:val="auto"/>
        </w:rPr>
      </w:pPr>
      <w:hyperlink r:id="rId83">
        <w:r>
          <w:rPr>
            <w:rFonts w:ascii="Arial" w:cs="Arial" w:eastAsia="Arial" w:hAnsi="Arial"/>
            <w:sz w:val="18"/>
            <w:szCs w:val="18"/>
            <w:color w:val="auto"/>
          </w:rPr>
          <w:t>*4.11</w:t>
        </w:r>
      </w:hyperlink>
      <w:r>
        <w:rPr>
          <w:rFonts w:ascii="Arial" w:cs="Arial" w:eastAsia="Arial" w:hAnsi="Arial"/>
          <w:sz w:val="18"/>
          <w:szCs w:val="18"/>
          <w:color w:val="auto"/>
        </w:rPr>
        <w:tab/>
      </w:r>
      <w:hyperlink r:id="rId83">
        <w:r>
          <w:rPr>
            <w:rFonts w:ascii="Arial" w:cs="Arial" w:eastAsia="Arial" w:hAnsi="Arial"/>
            <w:sz w:val="18"/>
            <w:szCs w:val="18"/>
            <w:color w:val="auto"/>
          </w:rPr>
          <w:t>Form of Depositary Receipt representing 1/1,000th of a share of 6.875% Series D Fixed-to-Floating Rate Cumulative Redeemable Preferred Stock</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(included as part of Exhibit 4.10), incorporated herein by reference to Exhibit A of Exhibit 4.2 of Form 8-K (File No. 001-34057) filed</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March 6, 2019.</w:t>
        </w:r>
      </w:hyperlink>
    </w:p>
    <w:p>
      <w:pPr>
        <w:spacing w:after="0" w:line="130" w:lineRule="exact"/>
        <w:rPr>
          <w:rFonts w:ascii="Arial" w:cs="Arial" w:eastAsia="Arial" w:hAnsi="Arial"/>
          <w:sz w:val="18"/>
          <w:szCs w:val="18"/>
          <w:color w:val="auto"/>
        </w:rPr>
      </w:pPr>
    </w:p>
    <w:p>
      <w:pPr>
        <w:jc w:val="both"/>
        <w:ind w:left="600" w:right="320" w:hanging="1295"/>
        <w:spacing w:after="0" w:line="263" w:lineRule="auto"/>
        <w:tabs>
          <w:tab w:leader="none" w:pos="580" w:val="left"/>
        </w:tabs>
        <w:rPr>
          <w:rFonts w:ascii="Arial" w:cs="Arial" w:eastAsia="Arial" w:hAnsi="Arial"/>
          <w:sz w:val="18"/>
          <w:szCs w:val="18"/>
          <w:color w:val="auto"/>
        </w:rPr>
      </w:pPr>
      <w:hyperlink r:id="rId84">
        <w:r>
          <w:rPr>
            <w:rFonts w:ascii="Arial" w:cs="Arial" w:eastAsia="Arial" w:hAnsi="Arial"/>
            <w:sz w:val="18"/>
            <w:szCs w:val="18"/>
            <w:color w:val="auto"/>
          </w:rPr>
          <w:t>*4.12</w:t>
        </w:r>
      </w:hyperlink>
      <w:r>
        <w:rPr>
          <w:rFonts w:ascii="Arial" w:cs="Arial" w:eastAsia="Arial" w:hAnsi="Arial"/>
          <w:sz w:val="18"/>
          <w:szCs w:val="18"/>
          <w:color w:val="auto"/>
        </w:rPr>
        <w:tab/>
      </w:r>
      <w:hyperlink r:id="rId84">
        <w:r>
          <w:rPr>
            <w:rFonts w:ascii="Arial" w:cs="Arial" w:eastAsia="Arial" w:hAnsi="Arial"/>
            <w:sz w:val="18"/>
            <w:szCs w:val="18"/>
            <w:color w:val="auto"/>
          </w:rPr>
          <w:t>Deposit Agreement relating to 6.50% Series E Fixed-to-Floating Rate Cumulative Redeemable Preferred Stock, dated October 3, 2019, among</w:t>
        </w:r>
      </w:hyperlink>
      <w:r>
        <w:rPr>
          <w:rFonts w:ascii="Arial" w:cs="Arial" w:eastAsia="Arial" w:hAnsi="Arial"/>
          <w:sz w:val="18"/>
          <w:szCs w:val="18"/>
          <w:color w:val="auto"/>
        </w:rPr>
        <w:t xml:space="preserve"> </w:t>
      </w:r>
      <w:hyperlink r:id="rId84">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4">
        <w:r>
          <w:rPr>
            <w:rFonts w:ascii="Arial" w:cs="Arial" w:eastAsia="Arial" w:hAnsi="Arial"/>
            <w:sz w:val="18"/>
            <w:szCs w:val="18"/>
            <w:color w:val="auto"/>
          </w:rPr>
          <w:t>reference to Exhibit 4.2 of Form 8-K (File No. 001-34057) filed October 3, 2019.</w:t>
        </w:r>
      </w:hyperlink>
    </w:p>
    <w:p>
      <w:pPr>
        <w:spacing w:after="0" w:line="130" w:lineRule="exact"/>
        <w:rPr>
          <w:rFonts w:ascii="Arial" w:cs="Arial" w:eastAsia="Arial" w:hAnsi="Arial"/>
          <w:sz w:val="18"/>
          <w:szCs w:val="18"/>
          <w:color w:val="auto"/>
        </w:rPr>
      </w:pPr>
    </w:p>
    <w:p>
      <w:pPr>
        <w:jc w:val="both"/>
        <w:ind w:left="600" w:right="200" w:hanging="1295"/>
        <w:spacing w:after="0" w:line="263" w:lineRule="auto"/>
        <w:tabs>
          <w:tab w:leader="none" w:pos="580" w:val="left"/>
        </w:tabs>
        <w:rPr>
          <w:rFonts w:ascii="Arial" w:cs="Arial" w:eastAsia="Arial" w:hAnsi="Arial"/>
          <w:sz w:val="18"/>
          <w:szCs w:val="18"/>
          <w:color w:val="auto"/>
        </w:rPr>
      </w:pPr>
      <w:hyperlink r:id="rId84">
        <w:r>
          <w:rPr>
            <w:rFonts w:ascii="Arial" w:cs="Arial" w:eastAsia="Arial" w:hAnsi="Arial"/>
            <w:sz w:val="18"/>
            <w:szCs w:val="18"/>
            <w:color w:val="auto"/>
          </w:rPr>
          <w:t>*4.13</w:t>
        </w:r>
      </w:hyperlink>
      <w:r>
        <w:rPr>
          <w:rFonts w:ascii="Arial" w:cs="Arial" w:eastAsia="Arial" w:hAnsi="Arial"/>
          <w:sz w:val="18"/>
          <w:szCs w:val="18"/>
          <w:color w:val="auto"/>
        </w:rPr>
        <w:tab/>
      </w:r>
      <w:hyperlink r:id="rId84">
        <w:r>
          <w:rPr>
            <w:rFonts w:ascii="Arial" w:cs="Arial" w:eastAsia="Arial" w:hAnsi="Arial"/>
            <w:sz w:val="18"/>
            <w:szCs w:val="18"/>
            <w:color w:val="auto"/>
          </w:rPr>
          <w:t>Form of Depositary Receipt representing 1/1,000th of a share of 6.50% Series E Fixed-to-Floating Rate Cumulative Redeemable Preferred Stock</w:t>
        </w:r>
      </w:hyperlink>
      <w:r>
        <w:rPr>
          <w:rFonts w:ascii="Arial" w:cs="Arial" w:eastAsia="Arial" w:hAnsi="Arial"/>
          <w:sz w:val="18"/>
          <w:szCs w:val="18"/>
          <w:color w:val="auto"/>
        </w:rPr>
        <w:t xml:space="preserve"> </w:t>
      </w:r>
      <w:hyperlink r:id="rId84">
        <w:r>
          <w:rPr>
            <w:rFonts w:ascii="Arial" w:cs="Arial" w:eastAsia="Arial" w:hAnsi="Arial"/>
            <w:sz w:val="18"/>
            <w:szCs w:val="18"/>
            <w:color w:val="auto"/>
          </w:rPr>
          <w:t>(included as part of Exhibit 4.12), incorporated herein by reference to Exhibit A of Exhibit 4.2 of Form 8-K (File No. 001-34057) filed</w:t>
        </w:r>
      </w:hyperlink>
      <w:r>
        <w:rPr>
          <w:rFonts w:ascii="Arial" w:cs="Arial" w:eastAsia="Arial" w:hAnsi="Arial"/>
          <w:sz w:val="18"/>
          <w:szCs w:val="18"/>
          <w:color w:val="auto"/>
        </w:rPr>
        <w:t xml:space="preserve"> </w:t>
      </w:r>
      <w:hyperlink r:id="rId84">
        <w:r>
          <w:rPr>
            <w:rFonts w:ascii="Arial" w:cs="Arial" w:eastAsia="Arial" w:hAnsi="Arial"/>
            <w:sz w:val="18"/>
            <w:szCs w:val="18"/>
            <w:color w:val="auto"/>
          </w:rPr>
          <w:t>October 3, 2019.</w:t>
        </w:r>
      </w:hyperlink>
    </w:p>
    <w:p>
      <w:pPr>
        <w:spacing w:after="0" w:line="130" w:lineRule="exact"/>
        <w:rPr>
          <w:rFonts w:ascii="Arial" w:cs="Arial" w:eastAsia="Arial" w:hAnsi="Arial"/>
          <w:sz w:val="18"/>
          <w:szCs w:val="18"/>
          <w:color w:val="auto"/>
        </w:rPr>
      </w:pPr>
    </w:p>
    <w:p>
      <w:pPr>
        <w:ind w:left="600" w:right="140" w:hanging="1295"/>
        <w:spacing w:after="0" w:line="263" w:lineRule="auto"/>
        <w:tabs>
          <w:tab w:leader="none" w:pos="580" w:val="left"/>
        </w:tabs>
        <w:rPr>
          <w:rFonts w:ascii="Arial" w:cs="Arial" w:eastAsia="Arial" w:hAnsi="Arial"/>
          <w:sz w:val="18"/>
          <w:szCs w:val="18"/>
          <w:color w:val="auto"/>
        </w:rPr>
      </w:pPr>
      <w:hyperlink r:id="rId85">
        <w:r>
          <w:rPr>
            <w:rFonts w:ascii="Arial" w:cs="Arial" w:eastAsia="Arial" w:hAnsi="Arial"/>
            <w:sz w:val="18"/>
            <w:szCs w:val="18"/>
            <w:color w:val="auto"/>
          </w:rPr>
          <w:t>*4.14</w:t>
        </w:r>
      </w:hyperlink>
      <w:r>
        <w:rPr>
          <w:rFonts w:ascii="Arial" w:cs="Arial" w:eastAsia="Arial" w:hAnsi="Arial"/>
          <w:sz w:val="18"/>
          <w:szCs w:val="18"/>
          <w:color w:val="auto"/>
        </w:rPr>
        <w:tab/>
      </w:r>
      <w:hyperlink r:id="rId85">
        <w:r>
          <w:rPr>
            <w:rFonts w:ascii="Arial" w:cs="Arial" w:eastAsia="Arial" w:hAnsi="Arial"/>
            <w:sz w:val="18"/>
            <w:szCs w:val="18"/>
            <w:color w:val="auto"/>
          </w:rPr>
          <w:t>Deposit Agreement relating to 6.125% Series F Fixed-to-Floating Rate Cumulative Redeemable Preferred Stock, dated February 11, 2020, among</w:t>
        </w:r>
      </w:hyperlink>
      <w:r>
        <w:rPr>
          <w:rFonts w:ascii="Arial" w:cs="Arial" w:eastAsia="Arial" w:hAnsi="Arial"/>
          <w:sz w:val="18"/>
          <w:szCs w:val="18"/>
          <w:color w:val="auto"/>
        </w:rPr>
        <w:t xml:space="preserve"> </w:t>
      </w:r>
      <w:hyperlink r:id="rId85">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5">
        <w:r>
          <w:rPr>
            <w:rFonts w:ascii="Arial" w:cs="Arial" w:eastAsia="Arial" w:hAnsi="Arial"/>
            <w:sz w:val="18"/>
            <w:szCs w:val="18"/>
            <w:color w:val="auto"/>
          </w:rPr>
          <w:t>reference to Exhibit 4.1 of Form 8-K (File No. 001-34057) filed February 11, 2020.</w:t>
        </w:r>
      </w:hyperlink>
    </w:p>
    <w:p>
      <w:pPr>
        <w:spacing w:after="0" w:line="130" w:lineRule="exact"/>
        <w:rPr>
          <w:rFonts w:ascii="Arial" w:cs="Arial" w:eastAsia="Arial" w:hAnsi="Arial"/>
          <w:sz w:val="18"/>
          <w:szCs w:val="18"/>
          <w:color w:val="auto"/>
        </w:rPr>
      </w:pPr>
    </w:p>
    <w:p>
      <w:pPr>
        <w:ind w:left="600" w:right="120" w:hanging="1295"/>
        <w:spacing w:after="0" w:line="263" w:lineRule="auto"/>
        <w:tabs>
          <w:tab w:leader="none" w:pos="580" w:val="left"/>
        </w:tabs>
        <w:rPr>
          <w:rFonts w:ascii="Arial" w:cs="Arial" w:eastAsia="Arial" w:hAnsi="Arial"/>
          <w:sz w:val="18"/>
          <w:szCs w:val="18"/>
          <w:color w:val="auto"/>
        </w:rPr>
      </w:pPr>
      <w:hyperlink r:id="rId85">
        <w:r>
          <w:rPr>
            <w:rFonts w:ascii="Arial" w:cs="Arial" w:eastAsia="Arial" w:hAnsi="Arial"/>
            <w:sz w:val="18"/>
            <w:szCs w:val="18"/>
            <w:color w:val="auto"/>
          </w:rPr>
          <w:t>*4.15</w:t>
        </w:r>
      </w:hyperlink>
      <w:r>
        <w:rPr>
          <w:rFonts w:ascii="Arial" w:cs="Arial" w:eastAsia="Arial" w:hAnsi="Arial"/>
          <w:sz w:val="18"/>
          <w:szCs w:val="18"/>
          <w:color w:val="auto"/>
        </w:rPr>
        <w:tab/>
      </w:r>
      <w:hyperlink r:id="rId85">
        <w:r>
          <w:rPr>
            <w:rFonts w:ascii="Arial" w:cs="Arial" w:eastAsia="Arial" w:hAnsi="Arial"/>
            <w:sz w:val="18"/>
            <w:szCs w:val="18"/>
            <w:color w:val="auto"/>
          </w:rPr>
          <w:t>Form of Depositary Receipt representing 1/1,000th of a share of 6.125% Series F Fixed-to-Floating Rate Cumulative Redeemable Preferred Stock</w:t>
        </w:r>
      </w:hyperlink>
      <w:r>
        <w:rPr>
          <w:rFonts w:ascii="Arial" w:cs="Arial" w:eastAsia="Arial" w:hAnsi="Arial"/>
          <w:sz w:val="18"/>
          <w:szCs w:val="18"/>
          <w:color w:val="auto"/>
        </w:rPr>
        <w:t xml:space="preserve"> </w:t>
      </w:r>
      <w:hyperlink r:id="rId85">
        <w:r>
          <w:rPr>
            <w:rFonts w:ascii="Arial" w:cs="Arial" w:eastAsia="Arial" w:hAnsi="Arial"/>
            <w:sz w:val="18"/>
            <w:szCs w:val="18"/>
            <w:color w:val="auto"/>
          </w:rPr>
          <w:t>(included as part of Exhibit 4.14), incorporated herein by reference to Exhibit A of Exhibit 4.1 of Form 8-K (File No. 001-34057) filed</w:t>
        </w:r>
      </w:hyperlink>
      <w:r>
        <w:rPr>
          <w:rFonts w:ascii="Arial" w:cs="Arial" w:eastAsia="Arial" w:hAnsi="Arial"/>
          <w:sz w:val="18"/>
          <w:szCs w:val="18"/>
          <w:color w:val="auto"/>
        </w:rPr>
        <w:t xml:space="preserve"> </w:t>
      </w:r>
      <w:hyperlink r:id="rId85">
        <w:r>
          <w:rPr>
            <w:rFonts w:ascii="Arial" w:cs="Arial" w:eastAsia="Arial" w:hAnsi="Arial"/>
            <w:sz w:val="18"/>
            <w:szCs w:val="18"/>
            <w:color w:val="auto"/>
          </w:rPr>
          <w:t>February 11, 2020.</w:t>
        </w:r>
      </w:hyperlink>
    </w:p>
    <w:p>
      <w:pPr>
        <w:spacing w:after="0" w:line="130" w:lineRule="exact"/>
        <w:rPr>
          <w:rFonts w:ascii="Arial" w:cs="Arial" w:eastAsia="Arial" w:hAnsi="Arial"/>
          <w:sz w:val="18"/>
          <w:szCs w:val="18"/>
          <w:color w:val="auto"/>
        </w:rPr>
      </w:pPr>
    </w:p>
    <w:p>
      <w:pPr>
        <w:spacing w:after="0"/>
        <w:tabs>
          <w:tab w:leader="none" w:pos="480" w:val="left"/>
        </w:tabs>
        <w:rPr>
          <w:rFonts w:ascii="Arial" w:cs="Arial" w:eastAsia="Arial" w:hAnsi="Arial"/>
          <w:sz w:val="16"/>
          <w:szCs w:val="16"/>
          <w:color w:val="auto"/>
        </w:rPr>
      </w:pPr>
      <w:hyperlink w:anchor="page54">
        <w:r>
          <w:rPr>
            <w:rFonts w:ascii="Arial" w:cs="Arial" w:eastAsia="Arial" w:hAnsi="Arial"/>
            <w:sz w:val="18"/>
            <w:szCs w:val="18"/>
            <w:color w:val="auto"/>
          </w:rPr>
          <w:t>31.1</w:t>
        </w:r>
      </w:hyperlink>
      <w:r>
        <w:rPr>
          <w:rFonts w:ascii="Arial" w:cs="Arial" w:eastAsia="Arial" w:hAnsi="Arial"/>
          <w:sz w:val="18"/>
          <w:szCs w:val="18"/>
          <w:color w:val="auto"/>
        </w:rPr>
        <w:tab/>
      </w:r>
      <w:hyperlink w:anchor="page54">
        <w:r>
          <w:rPr>
            <w:rFonts w:ascii="Arial" w:cs="Arial" w:eastAsia="Arial" w:hAnsi="Arial"/>
            <w:sz w:val="16"/>
            <w:szCs w:val="16"/>
            <w:color w:val="auto"/>
          </w:rPr>
          <w:t>Certification of CEO Pursuant to Section 302(a) of the Sarbanes-Oxley Act of 2002.</w:t>
        </w:r>
      </w:hyperlink>
    </w:p>
    <w:p>
      <w:pPr>
        <w:spacing w:after="0" w:line="171" w:lineRule="exact"/>
        <w:rPr>
          <w:sz w:val="20"/>
          <w:szCs w:val="20"/>
          <w:color w:val="auto"/>
        </w:rPr>
      </w:pPr>
    </w:p>
    <w:p>
      <w:pPr>
        <w:spacing w:after="0"/>
        <w:tabs>
          <w:tab w:leader="none" w:pos="480" w:val="left"/>
        </w:tabs>
        <w:rPr>
          <w:rFonts w:ascii="Arial" w:cs="Arial" w:eastAsia="Arial" w:hAnsi="Arial"/>
          <w:sz w:val="16"/>
          <w:szCs w:val="16"/>
          <w:color w:val="auto"/>
        </w:rPr>
      </w:pPr>
      <w:hyperlink w:anchor="page55">
        <w:r>
          <w:rPr>
            <w:rFonts w:ascii="Arial" w:cs="Arial" w:eastAsia="Arial" w:hAnsi="Arial"/>
            <w:sz w:val="18"/>
            <w:szCs w:val="18"/>
            <w:color w:val="auto"/>
          </w:rPr>
          <w:t>31.2</w:t>
        </w:r>
      </w:hyperlink>
      <w:r>
        <w:rPr>
          <w:rFonts w:ascii="Arial" w:cs="Arial" w:eastAsia="Arial" w:hAnsi="Arial"/>
          <w:sz w:val="18"/>
          <w:szCs w:val="18"/>
          <w:color w:val="auto"/>
        </w:rPr>
        <w:tab/>
      </w:r>
      <w:hyperlink w:anchor="page55">
        <w:r>
          <w:rPr>
            <w:rFonts w:ascii="Arial" w:cs="Arial" w:eastAsia="Arial" w:hAnsi="Arial"/>
            <w:sz w:val="16"/>
            <w:szCs w:val="16"/>
            <w:color w:val="auto"/>
          </w:rPr>
          <w:t>Certification of CFO Pursuant to Section 302(a) of the Sarbanes-Oxley Act of 2002.</w:t>
        </w:r>
      </w:hyperlink>
    </w:p>
    <w:p>
      <w:pPr>
        <w:spacing w:after="0" w:line="171" w:lineRule="exact"/>
        <w:rPr>
          <w:sz w:val="20"/>
          <w:szCs w:val="20"/>
          <w:color w:val="auto"/>
        </w:rPr>
      </w:pPr>
    </w:p>
    <w:p>
      <w:pPr>
        <w:spacing w:after="0"/>
        <w:tabs>
          <w:tab w:leader="none" w:pos="340" w:val="left"/>
        </w:tabs>
        <w:rPr>
          <w:rFonts w:ascii="Arial" w:cs="Arial" w:eastAsia="Arial" w:hAnsi="Arial"/>
          <w:sz w:val="16"/>
          <w:szCs w:val="16"/>
          <w:color w:val="auto"/>
        </w:rPr>
      </w:pPr>
      <w:r>
        <w:rPr>
          <w:rFonts w:ascii="Arial" w:cs="Arial" w:eastAsia="Arial" w:hAnsi="Arial"/>
          <w:sz w:val="18"/>
          <w:szCs w:val="18"/>
          <w:color w:val="auto"/>
        </w:rPr>
        <w:t>32</w:t>
      </w:r>
      <w:r>
        <w:rPr>
          <w:sz w:val="20"/>
          <w:szCs w:val="20"/>
          <w:color w:val="auto"/>
        </w:rPr>
        <w:tab/>
      </w:r>
      <w:hyperlink w:anchor="page56">
        <w:r>
          <w:rPr>
            <w:rFonts w:ascii="Arial" w:cs="Arial" w:eastAsia="Arial" w:hAnsi="Arial"/>
            <w:sz w:val="16"/>
            <w:szCs w:val="16"/>
            <w:color w:val="auto"/>
          </w:rPr>
          <w:t>Certification of CEO and CFO Pursuant to Section 906 of the Sarbanes-Oxley Act of 2002.</w:t>
        </w:r>
      </w:hyperlink>
    </w:p>
    <w:p>
      <w:pPr>
        <w:sectPr>
          <w:pgSz w:w="11900" w:h="16838" w:orient="portrait"/>
          <w:cols w:equalWidth="0" w:num="1">
            <w:col w:w="11240"/>
          </w:cols>
          <w:pgMar w:left="320" w:top="1057"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193" w:lineRule="exact"/>
        <w:rPr>
          <w:sz w:val="20"/>
          <w:szCs w:val="20"/>
          <w:color w:val="auto"/>
        </w:rPr>
      </w:pPr>
    </w:p>
    <w:p>
      <w:pPr>
        <w:sectPr>
          <w:pgSz w:w="11900" w:h="16838" w:orient="portrait"/>
          <w:cols w:equalWidth="0" w:num="2">
            <w:col w:w="800" w:space="160"/>
            <w:col w:w="10280"/>
          </w:cols>
          <w:pgMar w:left="320" w:top="1057"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94" w:lineRule="exact"/>
        <w:rPr>
          <w:sz w:val="20"/>
          <w:szCs w:val="20"/>
          <w:color w:val="auto"/>
        </w:rPr>
      </w:pPr>
    </w:p>
    <w:p>
      <w:pPr>
        <w:sectPr>
          <w:pgSz w:w="11900" w:h="16838" w:orient="portrait"/>
          <w:cols w:equalWidth="0" w:num="2">
            <w:col w:w="860" w:space="180"/>
            <w:col w:w="10200"/>
          </w:cols>
          <w:pgMar w:left="320" w:top="1057"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93" w:lineRule="exact"/>
        <w:rPr>
          <w:sz w:val="20"/>
          <w:szCs w:val="20"/>
          <w:color w:val="auto"/>
        </w:rPr>
      </w:pPr>
    </w:p>
    <w:p>
      <w:pPr>
        <w:sectPr>
          <w:pgSz w:w="11900" w:h="16838" w:orient="portrait"/>
          <w:cols w:equalWidth="0" w:num="2">
            <w:col w:w="860" w:space="180"/>
            <w:col w:w="10200"/>
          </w:cols>
          <w:pgMar w:left="320" w:top="1057"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193" w:lineRule="exact"/>
        <w:rPr>
          <w:sz w:val="20"/>
          <w:szCs w:val="20"/>
          <w:color w:val="auto"/>
        </w:rPr>
      </w:pPr>
    </w:p>
    <w:p>
      <w:pPr>
        <w:sectPr>
          <w:pgSz w:w="11900" w:h="16838" w:orient="portrait"/>
          <w:cols w:equalWidth="0" w:num="2">
            <w:col w:w="860" w:space="180"/>
            <w:col w:w="10200"/>
          </w:cols>
          <w:pgMar w:left="320" w:top="1057"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94" w:lineRule="exact"/>
        <w:rPr>
          <w:sz w:val="20"/>
          <w:szCs w:val="20"/>
          <w:color w:val="auto"/>
        </w:rPr>
      </w:pPr>
    </w:p>
    <w:p>
      <w:pPr>
        <w:sectPr>
          <w:pgSz w:w="11900" w:h="16838" w:orient="portrait"/>
          <w:cols w:equalWidth="0" w:num="2">
            <w:col w:w="840" w:space="180"/>
            <w:col w:w="10220"/>
          </w:cols>
          <w:pgMar w:left="320" w:top="1057"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43" w:lineRule="exact"/>
        <w:rPr>
          <w:sz w:val="20"/>
          <w:szCs w:val="20"/>
          <w:color w:val="auto"/>
        </w:rPr>
      </w:pPr>
    </w:p>
    <w:p>
      <w:pPr>
        <w:sectPr>
          <w:pgSz w:w="11900" w:h="16838" w:orient="portrait"/>
          <w:cols w:equalWidth="0" w:num="2">
            <w:col w:w="840" w:space="180"/>
            <w:col w:w="10220"/>
          </w:cols>
          <w:pgMar w:left="320" w:top="1057" w:right="33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7" w:lineRule="exact"/>
        <w:rPr>
          <w:sz w:val="20"/>
          <w:szCs w:val="20"/>
          <w:color w:val="auto"/>
        </w:rPr>
      </w:pPr>
    </w:p>
    <w:p>
      <w:pPr>
        <w:ind w:left="660" w:right="360" w:hanging="652"/>
        <w:spacing w:after="0" w:line="260" w:lineRule="auto"/>
        <w:tabs>
          <w:tab w:leader="none" w:pos="3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212"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the exhibits filed herewith.</w:t>
      </w:r>
    </w:p>
    <w:p>
      <w:pPr>
        <w:spacing w:after="0" w:line="211" w:lineRule="exact"/>
        <w:rPr>
          <w:sz w:val="20"/>
          <w:szCs w:val="20"/>
          <w:color w:val="auto"/>
        </w:rPr>
      </w:pPr>
    </w:p>
    <w:p>
      <w:pPr>
        <w:ind w:left="680" w:right="7500" w:hanging="227"/>
        <w:spacing w:after="0" w:line="277" w:lineRule="auto"/>
        <w:tabs>
          <w:tab w:leader="none" w:pos="8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77" w:lineRule="exact"/>
        <w:rPr>
          <w:sz w:val="20"/>
          <w:szCs w:val="20"/>
          <w:color w:val="auto"/>
        </w:rPr>
      </w:pPr>
    </w:p>
    <w:p>
      <w:pPr>
        <w:ind w:left="5540"/>
        <w:spacing w:after="0"/>
        <w:tabs>
          <w:tab w:leader="none" w:pos="7900" w:val="left"/>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4"/>
          <w:szCs w:val="14"/>
          <w:b w:val="1"/>
          <w:bCs w:val="1"/>
          <w:color w:val="auto"/>
        </w:rPr>
        <w:t>Gary D. Kain</w:t>
      </w:r>
    </w:p>
    <w:p>
      <w:pPr>
        <w:jc w:val="center"/>
        <w:ind w:left="5980"/>
        <w:spacing w:after="0" w:line="201" w:lineRule="auto"/>
        <w:rPr>
          <w:sz w:val="20"/>
          <w:szCs w:val="20"/>
          <w:color w:val="auto"/>
        </w:rPr>
      </w:pPr>
      <w:r>
        <w:rPr>
          <w:rFonts w:ascii="Arial" w:cs="Arial" w:eastAsia="Arial" w:hAnsi="Arial"/>
          <w:sz w:val="14"/>
          <w:szCs w:val="14"/>
          <w:b w:val="1"/>
          <w:bCs w:val="1"/>
          <w:color w:val="auto"/>
        </w:rPr>
        <w:t>Chief Executive Officer and</w:t>
      </w:r>
    </w:p>
    <w:p>
      <w:pPr>
        <w:jc w:val="center"/>
        <w:ind w:left="602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20"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November 5, 2020</w:t>
      </w:r>
    </w:p>
    <w:p>
      <w:pPr>
        <w:spacing w:after="0" w:line="293" w:lineRule="exact"/>
        <w:rPr>
          <w:sz w:val="20"/>
          <w:szCs w:val="20"/>
          <w:color w:val="auto"/>
        </w:rPr>
      </w:pPr>
    </w:p>
    <w:p>
      <w:pPr>
        <w:ind w:left="5540"/>
        <w:spacing w:after="0"/>
        <w:tabs>
          <w:tab w:leader="none" w:pos="7820" w:val="left"/>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4"/>
          <w:szCs w:val="14"/>
          <w:b w:val="1"/>
          <w:bCs w:val="1"/>
          <w:color w:val="auto"/>
        </w:rPr>
        <w:t>Bernice E. Bell</w:t>
      </w:r>
    </w:p>
    <w:p>
      <w:pPr>
        <w:ind w:left="7840"/>
        <w:spacing w:after="0" w:line="201" w:lineRule="auto"/>
        <w:rPr>
          <w:sz w:val="20"/>
          <w:szCs w:val="20"/>
          <w:color w:val="auto"/>
        </w:rPr>
      </w:pPr>
      <w:r>
        <w:rPr>
          <w:rFonts w:ascii="Arial" w:cs="Arial" w:eastAsia="Arial" w:hAnsi="Arial"/>
          <w:sz w:val="14"/>
          <w:szCs w:val="14"/>
          <w:b w:val="1"/>
          <w:bCs w:val="1"/>
          <w:color w:val="auto"/>
        </w:rPr>
        <w:t>Senior Vice President and</w:t>
      </w:r>
    </w:p>
    <w:p>
      <w:pPr>
        <w:ind w:left="6260"/>
        <w:spacing w:after="0" w:line="217" w:lineRule="auto"/>
        <w:rPr>
          <w:sz w:val="20"/>
          <w:szCs w:val="20"/>
          <w:color w:val="auto"/>
        </w:rPr>
      </w:pPr>
      <w:r>
        <w:rPr>
          <w:rFonts w:ascii="Arial" w:cs="Arial" w:eastAsia="Arial" w:hAnsi="Arial"/>
          <w:sz w:val="13"/>
          <w:szCs w:val="13"/>
          <w:b w:val="1"/>
          <w:bCs w:val="1"/>
          <w:color w:val="auto"/>
        </w:rPr>
        <w:t>Chief Financial Officer (Principal Financial Officer and Principal Accounting</w:t>
      </w:r>
    </w:p>
    <w:p>
      <w:pPr>
        <w:ind w:left="8400"/>
        <w:spacing w:after="0"/>
        <w:rPr>
          <w:sz w:val="20"/>
          <w:szCs w:val="20"/>
          <w:color w:val="auto"/>
        </w:rPr>
      </w:pPr>
      <w:r>
        <w:rPr>
          <w:rFonts w:ascii="Arial" w:cs="Arial" w:eastAsia="Arial" w:hAnsi="Arial"/>
          <w:sz w:val="14"/>
          <w:szCs w:val="14"/>
          <w:b w:val="1"/>
          <w:bCs w:val="1"/>
          <w:color w:val="auto"/>
        </w:rPr>
        <w:t>Officer)</w:t>
      </w:r>
    </w:p>
    <w:p>
      <w:pPr>
        <w:spacing w:after="0" w:line="20"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November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320" w:top="891" w:right="3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760" w:hanging="307"/>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5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November 5, 2020</w:t>
      </w:r>
    </w:p>
    <w:p>
      <w:pPr>
        <w:spacing w:after="0" w:line="212"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Gary D. Kain</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Chief Executive Officer and Chief Investment</w:t>
      </w:r>
    </w:p>
    <w:p>
      <w:pPr>
        <w:ind w:left="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240"/>
          </w:cols>
          <w:pgMar w:left="320" w:top="89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760" w:hanging="307"/>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78"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November 5, 2020</w:t>
      </w:r>
    </w:p>
    <w:p>
      <w:pPr>
        <w:spacing w:after="0" w:line="212"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Bernice E. Bell</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Vice President and Chief Financial Officer</w:t>
      </w:r>
    </w:p>
    <w:p>
      <w:pPr>
        <w:ind w:left="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9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2020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22"/>
        </w:trPr>
        <w:tc>
          <w:tcPr>
            <w:tcW w:w="700" w:type="dxa"/>
            <w:vAlign w:val="bottom"/>
            <w:vMerge w:val="continue"/>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Gary D. Kain</w:t>
            </w:r>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November 5, 2020</w:t>
            </w:r>
          </w:p>
        </w:tc>
        <w:tc>
          <w:tcPr>
            <w:tcW w:w="0" w:type="dxa"/>
            <w:vAlign w:val="bottom"/>
          </w:tcPr>
          <w:p>
            <w:pPr>
              <w:spacing w:after="0"/>
              <w:rPr>
                <w:sz w:val="1"/>
                <w:szCs w:val="1"/>
                <w:color w:val="auto"/>
              </w:rPr>
            </w:pPr>
          </w:p>
        </w:tc>
      </w:tr>
      <w:tr>
        <w:trPr>
          <w:trHeight w:val="486"/>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22"/>
        </w:trPr>
        <w:tc>
          <w:tcPr>
            <w:tcW w:w="700" w:type="dxa"/>
            <w:vAlign w:val="bottom"/>
            <w:vMerge w:val="continue"/>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November 5, 2020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lowerRoman"/>
      <w:start w:val="3"/>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lowerLetter"/>
      <w:start w:val="3"/>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2"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67" Type="http://schemas.openxmlformats.org/officeDocument/2006/relationships/hyperlink" Target="http://www.sec.gov/Archives/edgar/data/1423689/000142368920000042/agncexhibit313312010-q.htm" TargetMode="External"/><Relationship Id="rId68" Type="http://schemas.openxmlformats.org/officeDocument/2006/relationships/hyperlink" Target="http://www.sec.gov/Archives/edgar/data/1423689/000142368916000104/agncexhibit329301610-qbyla.htm" TargetMode="External"/><Relationship Id="rId69" Type="http://schemas.openxmlformats.org/officeDocument/2006/relationships/hyperlink" Target="http://www.sec.gov/Archives/edgar/data/1423689/000142368917000044/ex35certificateofdesignati.htm" TargetMode="External"/><Relationship Id="rId70" Type="http://schemas.openxmlformats.org/officeDocument/2006/relationships/hyperlink" Target="http://www.sec.gov/Archives/edgar/data/1423689/000142368917000065/certificateofelimination.htm" TargetMode="External"/><Relationship Id="rId71" Type="http://schemas.openxmlformats.org/officeDocument/2006/relationships/hyperlink" Target="http://www.sec.gov/Archives/edgar/data/1423689/000142368919000019/certificateofdesignations.htm" TargetMode="External"/><Relationship Id="rId72" Type="http://schemas.openxmlformats.org/officeDocument/2006/relationships/hyperlink" Target="http://www.sec.gov/Archives/edgar/data/1423689/000142368919000064/certofdesignations.htm" TargetMode="External"/><Relationship Id="rId73" Type="http://schemas.openxmlformats.org/officeDocument/2006/relationships/hyperlink" Target="http://www.sec.gov/Archives/edgar/data/1423689/000142368919000078/certificateofeliminati.htm" TargetMode="External"/><Relationship Id="rId74" Type="http://schemas.openxmlformats.org/officeDocument/2006/relationships/hyperlink" Target="http://www.sec.gov/Archives/edgar/data/1423689/000142368920000012/certificateofdesignations-.htm" TargetMode="External"/><Relationship Id="rId75" Type="http://schemas.openxmlformats.org/officeDocument/2006/relationships/hyperlink" Target="http://www.sec.gov/Archives/edgar/data/1423689/000142368918000016/agncexhibit313311810-q.htm" TargetMode="External"/><Relationship Id="rId76" Type="http://schemas.openxmlformats.org/officeDocument/2006/relationships/hyperlink" Target="http://www.sec.gov/Archives/edgar/data/1423689/000142368916000104/agncexhibit43.htm" TargetMode="External"/><Relationship Id="rId77" Type="http://schemas.openxmlformats.org/officeDocument/2006/relationships/hyperlink" Target="http://www.sec.gov/Archives/edgar/data/1423689/000142368917000044/exhibit41.htm" TargetMode="External"/><Relationship Id="rId78" Type="http://schemas.openxmlformats.org/officeDocument/2006/relationships/hyperlink" Target="http://www.sec.gov/Archives/edgar/data/1423689/000142368919000019/stockcertificateb98.htm" TargetMode="External"/><Relationship Id="rId79" Type="http://schemas.openxmlformats.org/officeDocument/2006/relationships/hyperlink" Target="http://www.sec.gov/Archives/edgar/data/1423689/000142368919000064/stockcertificate.htm" TargetMode="External"/><Relationship Id="rId80" Type="http://schemas.openxmlformats.org/officeDocument/2006/relationships/hyperlink" Target="http://www.sec.gov/Archives/edgar/data/1423689/000142368920000012/stockcertificate.htm" TargetMode="External"/><Relationship Id="rId81" Type="http://schemas.openxmlformats.org/officeDocument/2006/relationships/hyperlink" Target="http://www.sec.gov/Archives/edgar/data/1423689/000142368917000049/depositagreement.htm" TargetMode="External"/><Relationship Id="rId83" Type="http://schemas.openxmlformats.org/officeDocument/2006/relationships/hyperlink" Target="http://www.sec.gov/Archives/edgar/data/1423689/000142368919000021/prefddepositagmt.htm" TargetMode="External"/><Relationship Id="rId84" Type="http://schemas.openxmlformats.org/officeDocument/2006/relationships/hyperlink" Target="http://www.sec.gov/Archives/edgar/data/1423689/000142368919000068/depositagmt-prefe.htm" TargetMode="External"/><Relationship Id="rId85" Type="http://schemas.openxmlformats.org/officeDocument/2006/relationships/hyperlink" Target="http://www.sec.gov/Archives/edgar/data/1423689/000142368920000014/depositaryagmt-series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2020-11-05T17:24:24Z</dcterms:created>
  <dcterms:modified xsi:type="dcterms:W3CDTF">2020-11-05T17:24:24Z</dcterms:modified>
</cp:coreProperties>
</file>