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230"/>
        </w:trPr>
        <w:tc>
          <w:tcPr>
            <w:tcW w:w="1060" w:type="dxa"/>
            <w:vAlign w:val="bottom"/>
          </w:tcPr>
          <w:p>
            <w:pPr>
              <w:spacing w:after="0"/>
              <w:rPr>
                <w:sz w:val="19"/>
                <w:szCs w:val="19"/>
                <w:color w:val="auto"/>
              </w:rPr>
            </w:pPr>
          </w:p>
        </w:tc>
        <w:tc>
          <w:tcPr>
            <w:tcW w:w="8300" w:type="dxa"/>
            <w:vAlign w:val="bottom"/>
          </w:tcPr>
          <w:p>
            <w:pPr>
              <w:jc w:val="center"/>
              <w:ind w:left="219"/>
              <w:spacing w:after="0"/>
              <w:rPr>
                <w:sz w:val="20"/>
                <w:szCs w:val="20"/>
                <w:color w:val="auto"/>
              </w:rPr>
            </w:pPr>
            <w:r>
              <w:rPr>
                <w:rFonts w:ascii="Arial" w:cs="Arial" w:eastAsia="Arial" w:hAnsi="Arial"/>
                <w:sz w:val="20"/>
                <w:szCs w:val="20"/>
                <w:b w:val="1"/>
                <w:bCs w:val="1"/>
                <w:color w:val="auto"/>
                <w:w w:val="98"/>
              </w:rPr>
              <w:t>UNITED STATES</w:t>
            </w:r>
          </w:p>
        </w:tc>
        <w:tc>
          <w:tcPr>
            <w:tcW w:w="0" w:type="dxa"/>
            <w:vAlign w:val="bottom"/>
          </w:tcPr>
          <w:p>
            <w:pPr>
              <w:spacing w:after="0"/>
              <w:rPr>
                <w:sz w:val="1"/>
                <w:szCs w:val="1"/>
                <w:color w:val="auto"/>
              </w:rPr>
            </w:pPr>
          </w:p>
        </w:tc>
      </w:tr>
      <w:tr>
        <w:trPr>
          <w:trHeight w:val="230"/>
        </w:trPr>
        <w:tc>
          <w:tcPr>
            <w:tcW w:w="1060" w:type="dxa"/>
            <w:vAlign w:val="bottom"/>
          </w:tcPr>
          <w:p>
            <w:pPr>
              <w:spacing w:after="0"/>
              <w:rPr>
                <w:sz w:val="19"/>
                <w:szCs w:val="19"/>
                <w:color w:val="auto"/>
              </w:rPr>
            </w:pPr>
          </w:p>
        </w:tc>
        <w:tc>
          <w:tcPr>
            <w:tcW w:w="8300" w:type="dxa"/>
            <w:vAlign w:val="bottom"/>
          </w:tcPr>
          <w:p>
            <w:pPr>
              <w:jc w:val="center"/>
              <w:ind w:left="239"/>
              <w:spacing w:after="0"/>
              <w:rPr>
                <w:sz w:val="20"/>
                <w:szCs w:val="20"/>
                <w:color w:val="auto"/>
              </w:rPr>
            </w:pPr>
            <w:r>
              <w:rPr>
                <w:rFonts w:ascii="Arial" w:cs="Arial" w:eastAsia="Arial" w:hAnsi="Arial"/>
                <w:sz w:val="20"/>
                <w:szCs w:val="20"/>
                <w:b w:val="1"/>
                <w:bCs w:val="1"/>
                <w:color w:val="auto"/>
              </w:rPr>
              <w:t>SECURITIES AND EXCHANGE COMMISSION</w:t>
            </w:r>
          </w:p>
        </w:tc>
        <w:tc>
          <w:tcPr>
            <w:tcW w:w="0" w:type="dxa"/>
            <w:vAlign w:val="bottom"/>
          </w:tcPr>
          <w:p>
            <w:pPr>
              <w:spacing w:after="0"/>
              <w:rPr>
                <w:sz w:val="1"/>
                <w:szCs w:val="1"/>
                <w:color w:val="auto"/>
              </w:rPr>
            </w:pPr>
          </w:p>
        </w:tc>
      </w:tr>
      <w:tr>
        <w:trPr>
          <w:trHeight w:val="162"/>
        </w:trPr>
        <w:tc>
          <w:tcPr>
            <w:tcW w:w="1060" w:type="dxa"/>
            <w:vAlign w:val="bottom"/>
          </w:tcPr>
          <w:p>
            <w:pPr>
              <w:spacing w:after="0"/>
              <w:rPr>
                <w:sz w:val="14"/>
                <w:szCs w:val="14"/>
                <w:color w:val="auto"/>
              </w:rPr>
            </w:pPr>
          </w:p>
        </w:tc>
        <w:tc>
          <w:tcPr>
            <w:tcW w:w="8300" w:type="dxa"/>
            <w:vAlign w:val="bottom"/>
          </w:tcPr>
          <w:p>
            <w:pPr>
              <w:jc w:val="center"/>
              <w:ind w:left="219"/>
              <w:spacing w:after="0"/>
              <w:rPr>
                <w:sz w:val="20"/>
                <w:szCs w:val="20"/>
                <w:color w:val="auto"/>
              </w:rPr>
            </w:pPr>
            <w:r>
              <w:rPr>
                <w:rFonts w:ascii="Arial" w:cs="Arial" w:eastAsia="Arial" w:hAnsi="Arial"/>
                <w:sz w:val="14"/>
                <w:szCs w:val="14"/>
                <w:b w:val="1"/>
                <w:bCs w:val="1"/>
                <w:color w:val="auto"/>
                <w:w w:val="93"/>
              </w:rPr>
              <w:t>Washington, D.C. 20549</w:t>
            </w:r>
          </w:p>
        </w:tc>
        <w:tc>
          <w:tcPr>
            <w:tcW w:w="0" w:type="dxa"/>
            <w:vAlign w:val="bottom"/>
          </w:tcPr>
          <w:p>
            <w:pPr>
              <w:spacing w:after="0"/>
              <w:rPr>
                <w:sz w:val="1"/>
                <w:szCs w:val="1"/>
                <w:color w:val="auto"/>
              </w:rPr>
            </w:pPr>
          </w:p>
        </w:tc>
      </w:tr>
      <w:tr>
        <w:trPr>
          <w:trHeight w:val="256"/>
        </w:trPr>
        <w:tc>
          <w:tcPr>
            <w:tcW w:w="106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jc w:val="center"/>
              <w:ind w:left="219"/>
              <w:spacing w:after="0"/>
              <w:rPr>
                <w:sz w:val="20"/>
                <w:szCs w:val="20"/>
                <w:color w:val="auto"/>
              </w:rPr>
            </w:pPr>
            <w:r>
              <w:rPr>
                <w:rFonts w:ascii="Arial" w:cs="Arial" w:eastAsia="Arial" w:hAnsi="Arial"/>
                <w:sz w:val="20"/>
                <w:szCs w:val="20"/>
                <w:b w:val="1"/>
                <w:bCs w:val="1"/>
                <w:color w:val="auto"/>
                <w:w w:val="99"/>
              </w:rPr>
              <w:t>FORM 10-Q</w:t>
            </w:r>
          </w:p>
        </w:tc>
        <w:tc>
          <w:tcPr>
            <w:tcW w:w="0" w:type="dxa"/>
            <w:vAlign w:val="bottom"/>
          </w:tcPr>
          <w:p>
            <w:pPr>
              <w:spacing w:after="0"/>
              <w:rPr>
                <w:sz w:val="1"/>
                <w:szCs w:val="1"/>
                <w:color w:val="auto"/>
              </w:rPr>
            </w:pPr>
          </w:p>
        </w:tc>
      </w:tr>
      <w:tr>
        <w:trPr>
          <w:trHeight w:val="216"/>
        </w:trPr>
        <w:tc>
          <w:tcPr>
            <w:tcW w:w="1060" w:type="dxa"/>
            <w:vAlign w:val="bottom"/>
            <w:vMerge w:val="continue"/>
          </w:tcPr>
          <w:p>
            <w:pPr>
              <w:spacing w:after="0"/>
              <w:rPr>
                <w:sz w:val="18"/>
                <w:szCs w:val="18"/>
                <w:color w:val="auto"/>
              </w:rPr>
            </w:pPr>
          </w:p>
        </w:tc>
        <w:tc>
          <w:tcPr>
            <w:tcW w:w="8300" w:type="dxa"/>
            <w:vAlign w:val="bottom"/>
          </w:tcPr>
          <w:p>
            <w:pPr>
              <w:ind w:left="960"/>
              <w:spacing w:after="0"/>
              <w:rPr>
                <w:sz w:val="20"/>
                <w:szCs w:val="20"/>
                <w:color w:val="auto"/>
              </w:rPr>
            </w:pPr>
            <w:r>
              <w:rPr>
                <w:rFonts w:ascii="Arial" w:cs="Arial" w:eastAsia="Arial" w:hAnsi="Arial"/>
                <w:sz w:val="14"/>
                <w:szCs w:val="14"/>
                <w:b w:val="1"/>
                <w:bCs w:val="1"/>
                <w:color w:val="auto"/>
              </w:rPr>
              <w:t>QUARTERLY REPORT PURSUANT TO SECTION 13 OR 15(D) OF THE SECURITIES EXCHANGE ACT OF 1934</w:t>
            </w:r>
          </w:p>
        </w:tc>
        <w:tc>
          <w:tcPr>
            <w:tcW w:w="0" w:type="dxa"/>
            <w:vAlign w:val="bottom"/>
          </w:tcPr>
          <w:p>
            <w:pPr>
              <w:spacing w:after="0"/>
              <w:rPr>
                <w:sz w:val="1"/>
                <w:szCs w:val="1"/>
                <w:color w:val="auto"/>
              </w:rPr>
            </w:pPr>
          </w:p>
        </w:tc>
      </w:tr>
      <w:tr>
        <w:trPr>
          <w:trHeight w:val="243"/>
        </w:trPr>
        <w:tc>
          <w:tcPr>
            <w:tcW w:w="1060" w:type="dxa"/>
            <w:vAlign w:val="bottom"/>
          </w:tcPr>
          <w:p>
            <w:pPr>
              <w:spacing w:after="0"/>
              <w:rPr>
                <w:sz w:val="21"/>
                <w:szCs w:val="21"/>
                <w:color w:val="auto"/>
              </w:rPr>
            </w:pPr>
          </w:p>
        </w:tc>
        <w:tc>
          <w:tcPr>
            <w:tcW w:w="8300" w:type="dxa"/>
            <w:vAlign w:val="bottom"/>
          </w:tcPr>
          <w:p>
            <w:pPr>
              <w:jc w:val="center"/>
              <w:ind w:left="219"/>
              <w:spacing w:after="0"/>
              <w:rPr>
                <w:sz w:val="20"/>
                <w:szCs w:val="20"/>
                <w:color w:val="auto"/>
              </w:rPr>
            </w:pPr>
            <w:r>
              <w:rPr>
                <w:rFonts w:ascii="Arial" w:cs="Arial" w:eastAsia="Arial" w:hAnsi="Arial"/>
                <w:sz w:val="14"/>
                <w:szCs w:val="14"/>
                <w:b w:val="1"/>
                <w:bCs w:val="1"/>
                <w:color w:val="auto"/>
                <w:w w:val="93"/>
              </w:rPr>
              <w:t>For the quarterly period ended September 30, 2020</w:t>
            </w:r>
          </w:p>
        </w:tc>
        <w:tc>
          <w:tcPr>
            <w:tcW w:w="0" w:type="dxa"/>
            <w:vAlign w:val="bottom"/>
          </w:tcPr>
          <w:p>
            <w:pPr>
              <w:spacing w:after="0"/>
              <w:rPr>
                <w:sz w:val="1"/>
                <w:szCs w:val="1"/>
                <w:color w:val="auto"/>
              </w:rPr>
            </w:pPr>
          </w:p>
        </w:tc>
      </w:tr>
      <w:tr>
        <w:trPr>
          <w:trHeight w:val="186"/>
        </w:trPr>
        <w:tc>
          <w:tcPr>
            <w:tcW w:w="106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jc w:val="center"/>
              <w:ind w:left="239"/>
              <w:spacing w:after="0"/>
              <w:rPr>
                <w:sz w:val="20"/>
                <w:szCs w:val="20"/>
                <w:color w:val="auto"/>
              </w:rPr>
            </w:pPr>
            <w:r>
              <w:rPr>
                <w:rFonts w:ascii="Arial" w:cs="Arial" w:eastAsia="Arial" w:hAnsi="Arial"/>
                <w:sz w:val="14"/>
                <w:szCs w:val="14"/>
                <w:b w:val="1"/>
                <w:bCs w:val="1"/>
                <w:color w:val="auto"/>
              </w:rPr>
              <w:t>OR</w:t>
            </w:r>
          </w:p>
        </w:tc>
        <w:tc>
          <w:tcPr>
            <w:tcW w:w="0" w:type="dxa"/>
            <w:vAlign w:val="bottom"/>
          </w:tcPr>
          <w:p>
            <w:pPr>
              <w:spacing w:after="0"/>
              <w:rPr>
                <w:sz w:val="1"/>
                <w:szCs w:val="1"/>
                <w:color w:val="auto"/>
              </w:rPr>
            </w:pPr>
          </w:p>
        </w:tc>
      </w:tr>
      <w:tr>
        <w:trPr>
          <w:trHeight w:val="219"/>
        </w:trPr>
        <w:tc>
          <w:tcPr>
            <w:tcW w:w="1060" w:type="dxa"/>
            <w:vAlign w:val="bottom"/>
            <w:vMerge w:val="continue"/>
          </w:tcPr>
          <w:p>
            <w:pPr>
              <w:spacing w:after="0"/>
              <w:rPr>
                <w:sz w:val="19"/>
                <w:szCs w:val="19"/>
                <w:color w:val="auto"/>
              </w:rPr>
            </w:pPr>
          </w:p>
        </w:tc>
        <w:tc>
          <w:tcPr>
            <w:tcW w:w="8300" w:type="dxa"/>
            <w:vAlign w:val="bottom"/>
          </w:tcPr>
          <w:p>
            <w:pPr>
              <w:ind w:left="940"/>
              <w:spacing w:after="0"/>
              <w:rPr>
                <w:sz w:val="20"/>
                <w:szCs w:val="20"/>
                <w:color w:val="auto"/>
              </w:rPr>
            </w:pPr>
            <w:r>
              <w:rPr>
                <w:rFonts w:ascii="Arial" w:cs="Arial" w:eastAsia="Arial" w:hAnsi="Arial"/>
                <w:sz w:val="14"/>
                <w:szCs w:val="14"/>
                <w:b w:val="1"/>
                <w:bCs w:val="1"/>
                <w:color w:val="auto"/>
              </w:rPr>
              <w:t>TRANSITION REPORT PURSUANT TO SECTION 13 OR 15(D) OF THE SECURITIES EXCHANGE ACT OF 1934</w:t>
            </w:r>
          </w:p>
        </w:tc>
        <w:tc>
          <w:tcPr>
            <w:tcW w:w="0" w:type="dxa"/>
            <w:vAlign w:val="bottom"/>
          </w:tcPr>
          <w:p>
            <w:pPr>
              <w:spacing w:after="0"/>
              <w:rPr>
                <w:sz w:val="1"/>
                <w:szCs w:val="1"/>
                <w:color w:val="auto"/>
              </w:rPr>
            </w:pPr>
          </w:p>
        </w:tc>
      </w:tr>
      <w:tr>
        <w:trPr>
          <w:trHeight w:val="267"/>
        </w:trPr>
        <w:tc>
          <w:tcPr>
            <w:tcW w:w="1060" w:type="dxa"/>
            <w:vAlign w:val="bottom"/>
          </w:tcPr>
          <w:p>
            <w:pPr>
              <w:spacing w:after="0"/>
              <w:rPr>
                <w:sz w:val="23"/>
                <w:szCs w:val="23"/>
                <w:color w:val="auto"/>
              </w:rPr>
            </w:pPr>
          </w:p>
        </w:tc>
        <w:tc>
          <w:tcPr>
            <w:tcW w:w="8300" w:type="dxa"/>
            <w:vAlign w:val="bottom"/>
          </w:tcPr>
          <w:p>
            <w:pPr>
              <w:jc w:val="center"/>
              <w:ind w:left="219"/>
              <w:spacing w:after="0"/>
              <w:rPr>
                <w:sz w:val="20"/>
                <w:szCs w:val="20"/>
                <w:color w:val="auto"/>
              </w:rPr>
            </w:pPr>
            <w:r>
              <w:rPr>
                <w:rFonts w:ascii="Arial" w:cs="Arial" w:eastAsia="Arial" w:hAnsi="Arial"/>
                <w:sz w:val="14"/>
                <w:szCs w:val="14"/>
                <w:b w:val="1"/>
                <w:bCs w:val="1"/>
                <w:color w:val="auto"/>
                <w:w w:val="92"/>
              </w:rPr>
              <w:t>Commission file number 001-34057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276860</wp:posOffset>
            </wp:positionH>
            <wp:positionV relativeFrom="page">
              <wp:posOffset>517525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483235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2550795</wp:posOffset>
            </wp:positionH>
            <wp:positionV relativeFrom="paragraph">
              <wp:posOffset>102235</wp:posOffset>
            </wp:positionV>
            <wp:extent cx="2040255" cy="6172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40255" cy="6172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9" w:lineRule="exact"/>
        <w:rPr>
          <w:sz w:val="24"/>
          <w:szCs w:val="24"/>
          <w:color w:val="auto"/>
        </w:rPr>
      </w:pPr>
    </w:p>
    <w:tbl>
      <w:tblPr>
        <w:tblLayout w:type="fixed"/>
        <w:tblInd w:w="1740" w:type="dxa"/>
        <w:tblCellMar>
          <w:top w:w="0" w:type="dxa"/>
          <w:left w:w="0" w:type="dxa"/>
          <w:bottom w:w="0" w:type="dxa"/>
          <w:right w:w="0" w:type="dxa"/>
        </w:tblCellMar>
      </w:tblPr>
      <w:tr>
        <w:trPr>
          <w:trHeight w:val="230"/>
        </w:trPr>
        <w:tc>
          <w:tcPr>
            <w:tcW w:w="2020" w:type="dxa"/>
            <w:vAlign w:val="bottom"/>
          </w:tcPr>
          <w:p>
            <w:pPr>
              <w:spacing w:after="0"/>
              <w:rPr>
                <w:sz w:val="19"/>
                <w:szCs w:val="19"/>
                <w:color w:val="auto"/>
              </w:rPr>
            </w:pPr>
          </w:p>
        </w:tc>
        <w:tc>
          <w:tcPr>
            <w:tcW w:w="5440" w:type="dxa"/>
            <w:vAlign w:val="bottom"/>
          </w:tcPr>
          <w:p>
            <w:pPr>
              <w:jc w:val="center"/>
              <w:ind w:right="1646"/>
              <w:spacing w:after="0"/>
              <w:rPr>
                <w:sz w:val="20"/>
                <w:szCs w:val="20"/>
                <w:color w:val="auto"/>
              </w:rPr>
            </w:pPr>
            <w:r>
              <w:rPr>
                <w:rFonts w:ascii="Arial" w:cs="Arial" w:eastAsia="Arial" w:hAnsi="Arial"/>
                <w:sz w:val="20"/>
                <w:szCs w:val="20"/>
                <w:b w:val="1"/>
                <w:bCs w:val="1"/>
                <w:color w:val="auto"/>
                <w:w w:val="99"/>
              </w:rPr>
              <w:t>AGNC INVESTMENT CORP.</w:t>
            </w:r>
          </w:p>
        </w:tc>
      </w:tr>
      <w:tr>
        <w:trPr>
          <w:trHeight w:val="166"/>
        </w:trPr>
        <w:tc>
          <w:tcPr>
            <w:tcW w:w="2020" w:type="dxa"/>
            <w:vAlign w:val="bottom"/>
          </w:tcPr>
          <w:p>
            <w:pPr>
              <w:spacing w:after="0"/>
              <w:rPr>
                <w:sz w:val="14"/>
                <w:szCs w:val="14"/>
                <w:color w:val="auto"/>
              </w:rPr>
            </w:pPr>
          </w:p>
        </w:tc>
        <w:tc>
          <w:tcPr>
            <w:tcW w:w="5440" w:type="dxa"/>
            <w:vAlign w:val="bottom"/>
          </w:tcPr>
          <w:p>
            <w:pPr>
              <w:jc w:val="center"/>
              <w:ind w:right="1626"/>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r>
      <w:tr>
        <w:trPr>
          <w:trHeight w:val="182"/>
        </w:trPr>
        <w:tc>
          <w:tcPr>
            <w:tcW w:w="2020" w:type="dxa"/>
            <w:vAlign w:val="bottom"/>
          </w:tcPr>
          <w:p>
            <w:pPr>
              <w:spacing w:after="0"/>
              <w:rPr>
                <w:sz w:val="15"/>
                <w:szCs w:val="15"/>
                <w:color w:val="auto"/>
              </w:rPr>
            </w:pPr>
          </w:p>
        </w:tc>
        <w:tc>
          <w:tcPr>
            <w:tcW w:w="5440" w:type="dxa"/>
            <w:vAlign w:val="bottom"/>
          </w:tcPr>
          <w:p>
            <w:pPr>
              <w:jc w:val="right"/>
              <w:ind w:right="1706"/>
              <w:spacing w:after="0"/>
              <w:rPr>
                <w:sz w:val="20"/>
                <w:szCs w:val="20"/>
                <w:color w:val="auto"/>
              </w:rPr>
            </w:pPr>
            <w:r>
              <w:rPr>
                <w:rFonts w:ascii="Arial" w:cs="Arial" w:eastAsia="Arial" w:hAnsi="Arial"/>
                <w:sz w:val="14"/>
                <w:szCs w:val="14"/>
                <w:color w:val="auto"/>
                <w:w w:val="93"/>
              </w:rPr>
              <w:t>__________________________________________________</w:t>
            </w:r>
          </w:p>
        </w:tc>
      </w:tr>
      <w:tr>
        <w:trPr>
          <w:trHeight w:val="203"/>
        </w:trPr>
        <w:tc>
          <w:tcPr>
            <w:tcW w:w="2020" w:type="dxa"/>
            <w:vAlign w:val="bottom"/>
          </w:tcPr>
          <w:p>
            <w:pPr>
              <w:jc w:val="center"/>
              <w:ind w:right="8"/>
              <w:spacing w:after="0"/>
              <w:rPr>
                <w:sz w:val="20"/>
                <w:szCs w:val="20"/>
                <w:color w:val="auto"/>
              </w:rPr>
            </w:pPr>
            <w:r>
              <w:rPr>
                <w:rFonts w:ascii="Arial" w:cs="Arial" w:eastAsia="Arial" w:hAnsi="Arial"/>
                <w:sz w:val="14"/>
                <w:szCs w:val="14"/>
                <w:b w:val="1"/>
                <w:bCs w:val="1"/>
                <w:color w:val="auto"/>
                <w:w w:val="94"/>
              </w:rPr>
              <w:t>Delaware</w:t>
            </w:r>
          </w:p>
        </w:tc>
        <w:tc>
          <w:tcPr>
            <w:tcW w:w="5440" w:type="dxa"/>
            <w:vAlign w:val="bottom"/>
          </w:tcPr>
          <w:p>
            <w:pPr>
              <w:jc w:val="center"/>
              <w:ind w:left="4246"/>
              <w:spacing w:after="0"/>
              <w:rPr>
                <w:sz w:val="20"/>
                <w:szCs w:val="20"/>
                <w:color w:val="auto"/>
              </w:rPr>
            </w:pPr>
            <w:r>
              <w:rPr>
                <w:rFonts w:ascii="Arial" w:cs="Arial" w:eastAsia="Arial" w:hAnsi="Arial"/>
                <w:sz w:val="14"/>
                <w:szCs w:val="14"/>
                <w:b w:val="1"/>
                <w:bCs w:val="1"/>
                <w:color w:val="auto"/>
                <w:w w:val="90"/>
              </w:rPr>
              <w:t>26-1701984</w:t>
            </w:r>
          </w:p>
        </w:tc>
      </w:tr>
      <w:tr>
        <w:trPr>
          <w:trHeight w:val="147"/>
        </w:trPr>
        <w:tc>
          <w:tcPr>
            <w:tcW w:w="2020" w:type="dxa"/>
            <w:vAlign w:val="bottom"/>
          </w:tcPr>
          <w:p>
            <w:pPr>
              <w:jc w:val="center"/>
              <w:ind w:right="8"/>
              <w:spacing w:after="0" w:line="147" w:lineRule="exact"/>
              <w:rPr>
                <w:sz w:val="20"/>
                <w:szCs w:val="20"/>
                <w:color w:val="auto"/>
              </w:rPr>
            </w:pPr>
            <w:r>
              <w:rPr>
                <w:rFonts w:ascii="Arial" w:cs="Arial" w:eastAsia="Arial" w:hAnsi="Arial"/>
                <w:sz w:val="14"/>
                <w:szCs w:val="14"/>
                <w:b w:val="1"/>
                <w:bCs w:val="1"/>
                <w:color w:val="auto"/>
                <w:w w:val="93"/>
              </w:rPr>
              <w:t>(State or Other Jurisdiction of</w:t>
            </w:r>
          </w:p>
        </w:tc>
        <w:tc>
          <w:tcPr>
            <w:tcW w:w="5440" w:type="dxa"/>
            <w:vAlign w:val="bottom"/>
          </w:tcPr>
          <w:p>
            <w:pPr>
              <w:jc w:val="center"/>
              <w:ind w:left="4246"/>
              <w:spacing w:after="0" w:line="147"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2020" w:type="dxa"/>
            <w:vAlign w:val="bottom"/>
          </w:tcPr>
          <w:p>
            <w:pPr>
              <w:jc w:val="center"/>
              <w:ind w:right="8"/>
              <w:spacing w:after="0"/>
              <w:rPr>
                <w:sz w:val="20"/>
                <w:szCs w:val="20"/>
                <w:color w:val="auto"/>
              </w:rPr>
            </w:pPr>
            <w:r>
              <w:rPr>
                <w:rFonts w:ascii="Arial" w:cs="Arial" w:eastAsia="Arial" w:hAnsi="Arial"/>
                <w:sz w:val="14"/>
                <w:szCs w:val="14"/>
                <w:b w:val="1"/>
                <w:bCs w:val="1"/>
                <w:color w:val="auto"/>
                <w:w w:val="95"/>
              </w:rPr>
              <w:t>Incorporation or Organization)</w:t>
            </w:r>
          </w:p>
        </w:tc>
        <w:tc>
          <w:tcPr>
            <w:tcW w:w="5440" w:type="dxa"/>
            <w:vAlign w:val="bottom"/>
          </w:tcPr>
          <w:p>
            <w:pPr>
              <w:jc w:val="center"/>
              <w:ind w:left="4246"/>
              <w:spacing w:after="0"/>
              <w:rPr>
                <w:sz w:val="20"/>
                <w:szCs w:val="20"/>
                <w:color w:val="auto"/>
              </w:rPr>
            </w:pPr>
            <w:r>
              <w:rPr>
                <w:rFonts w:ascii="Arial" w:cs="Arial" w:eastAsia="Arial" w:hAnsi="Arial"/>
                <w:sz w:val="14"/>
                <w:szCs w:val="14"/>
                <w:b w:val="1"/>
                <w:bCs w:val="1"/>
                <w:color w:val="auto"/>
                <w:w w:val="94"/>
              </w:rPr>
              <w:t>Identification No.)</w:t>
            </w:r>
          </w:p>
        </w:tc>
      </w:tr>
      <w:tr>
        <w:trPr>
          <w:trHeight w:val="250"/>
        </w:trPr>
        <w:tc>
          <w:tcPr>
            <w:tcW w:w="2020" w:type="dxa"/>
            <w:vAlign w:val="bottom"/>
          </w:tcPr>
          <w:p>
            <w:pPr>
              <w:spacing w:after="0"/>
              <w:rPr>
                <w:sz w:val="21"/>
                <w:szCs w:val="21"/>
                <w:color w:val="auto"/>
              </w:rPr>
            </w:pPr>
          </w:p>
        </w:tc>
        <w:tc>
          <w:tcPr>
            <w:tcW w:w="5440" w:type="dxa"/>
            <w:vAlign w:val="bottom"/>
          </w:tcPr>
          <w:p>
            <w:pPr>
              <w:jc w:val="center"/>
              <w:ind w:right="1646"/>
              <w:spacing w:after="0"/>
              <w:rPr>
                <w:sz w:val="20"/>
                <w:szCs w:val="20"/>
                <w:color w:val="auto"/>
              </w:rPr>
            </w:pPr>
            <w:r>
              <w:rPr>
                <w:rFonts w:ascii="Arial" w:cs="Arial" w:eastAsia="Arial" w:hAnsi="Arial"/>
                <w:sz w:val="14"/>
                <w:szCs w:val="14"/>
                <w:b w:val="1"/>
                <w:bCs w:val="1"/>
                <w:color w:val="auto"/>
                <w:w w:val="93"/>
              </w:rPr>
              <w:t>2 Bethesda Metro Center, 12th Floor</w:t>
            </w:r>
          </w:p>
        </w:tc>
      </w:tr>
      <w:tr>
        <w:trPr>
          <w:trHeight w:val="162"/>
        </w:trPr>
        <w:tc>
          <w:tcPr>
            <w:tcW w:w="2020" w:type="dxa"/>
            <w:vAlign w:val="bottom"/>
          </w:tcPr>
          <w:p>
            <w:pPr>
              <w:spacing w:after="0"/>
              <w:rPr>
                <w:sz w:val="14"/>
                <w:szCs w:val="14"/>
                <w:color w:val="auto"/>
              </w:rPr>
            </w:pPr>
          </w:p>
        </w:tc>
        <w:tc>
          <w:tcPr>
            <w:tcW w:w="5440" w:type="dxa"/>
            <w:vAlign w:val="bottom"/>
          </w:tcPr>
          <w:p>
            <w:pPr>
              <w:jc w:val="center"/>
              <w:ind w:right="1646"/>
              <w:spacing w:after="0"/>
              <w:rPr>
                <w:sz w:val="20"/>
                <w:szCs w:val="20"/>
                <w:color w:val="auto"/>
              </w:rPr>
            </w:pPr>
            <w:r>
              <w:rPr>
                <w:rFonts w:ascii="Arial" w:cs="Arial" w:eastAsia="Arial" w:hAnsi="Arial"/>
                <w:sz w:val="14"/>
                <w:szCs w:val="14"/>
                <w:b w:val="1"/>
                <w:bCs w:val="1"/>
                <w:color w:val="auto"/>
                <w:w w:val="93"/>
              </w:rPr>
              <w:t>Bethesda, Maryland 20814</w:t>
            </w:r>
          </w:p>
        </w:tc>
      </w:tr>
      <w:tr>
        <w:trPr>
          <w:trHeight w:val="162"/>
        </w:trPr>
        <w:tc>
          <w:tcPr>
            <w:tcW w:w="2020" w:type="dxa"/>
            <w:vAlign w:val="bottom"/>
          </w:tcPr>
          <w:p>
            <w:pPr>
              <w:spacing w:after="0"/>
              <w:rPr>
                <w:sz w:val="14"/>
                <w:szCs w:val="14"/>
                <w:color w:val="auto"/>
              </w:rPr>
            </w:pPr>
          </w:p>
        </w:tc>
        <w:tc>
          <w:tcPr>
            <w:tcW w:w="5440" w:type="dxa"/>
            <w:vAlign w:val="bottom"/>
          </w:tcPr>
          <w:p>
            <w:pPr>
              <w:jc w:val="center"/>
              <w:ind w:right="1626"/>
              <w:spacing w:after="0"/>
              <w:rPr>
                <w:sz w:val="20"/>
                <w:szCs w:val="20"/>
                <w:color w:val="auto"/>
              </w:rPr>
            </w:pPr>
            <w:r>
              <w:rPr>
                <w:rFonts w:ascii="Arial" w:cs="Arial" w:eastAsia="Arial" w:hAnsi="Arial"/>
                <w:sz w:val="14"/>
                <w:szCs w:val="14"/>
                <w:b w:val="1"/>
                <w:bCs w:val="1"/>
                <w:color w:val="auto"/>
                <w:w w:val="91"/>
              </w:rPr>
              <w:t>(Address of principal executive offices)</w:t>
            </w:r>
          </w:p>
        </w:tc>
      </w:tr>
      <w:tr>
        <w:trPr>
          <w:trHeight w:val="162"/>
        </w:trPr>
        <w:tc>
          <w:tcPr>
            <w:tcW w:w="2020" w:type="dxa"/>
            <w:vAlign w:val="bottom"/>
          </w:tcPr>
          <w:p>
            <w:pPr>
              <w:spacing w:after="0"/>
              <w:rPr>
                <w:sz w:val="14"/>
                <w:szCs w:val="14"/>
                <w:color w:val="auto"/>
              </w:rPr>
            </w:pPr>
          </w:p>
        </w:tc>
        <w:tc>
          <w:tcPr>
            <w:tcW w:w="5440" w:type="dxa"/>
            <w:vAlign w:val="bottom"/>
          </w:tcPr>
          <w:p>
            <w:pPr>
              <w:jc w:val="right"/>
              <w:ind w:right="3046"/>
              <w:spacing w:after="0"/>
              <w:rPr>
                <w:sz w:val="20"/>
                <w:szCs w:val="20"/>
                <w:color w:val="auto"/>
              </w:rPr>
            </w:pPr>
            <w:r>
              <w:rPr>
                <w:rFonts w:ascii="Arial" w:cs="Arial" w:eastAsia="Arial" w:hAnsi="Arial"/>
                <w:sz w:val="14"/>
                <w:szCs w:val="14"/>
                <w:b w:val="1"/>
                <w:bCs w:val="1"/>
                <w:color w:val="auto"/>
              </w:rPr>
              <w:t>(301) 968-9315</w:t>
            </w:r>
          </w:p>
        </w:tc>
      </w:tr>
      <w:tr>
        <w:trPr>
          <w:trHeight w:val="166"/>
        </w:trPr>
        <w:tc>
          <w:tcPr>
            <w:tcW w:w="2020" w:type="dxa"/>
            <w:vAlign w:val="bottom"/>
          </w:tcPr>
          <w:p>
            <w:pPr>
              <w:spacing w:after="0"/>
              <w:rPr>
                <w:sz w:val="14"/>
                <w:szCs w:val="14"/>
                <w:color w:val="auto"/>
              </w:rPr>
            </w:pPr>
          </w:p>
        </w:tc>
        <w:tc>
          <w:tcPr>
            <w:tcW w:w="5440" w:type="dxa"/>
            <w:vAlign w:val="bottom"/>
          </w:tcPr>
          <w:p>
            <w:pPr>
              <w:jc w:val="center"/>
              <w:ind w:right="1646"/>
              <w:spacing w:after="0"/>
              <w:rPr>
                <w:sz w:val="20"/>
                <w:szCs w:val="20"/>
                <w:color w:val="auto"/>
              </w:rPr>
            </w:pPr>
            <w:r>
              <w:rPr>
                <w:rFonts w:ascii="Arial" w:cs="Arial" w:eastAsia="Arial" w:hAnsi="Arial"/>
                <w:sz w:val="14"/>
                <w:szCs w:val="14"/>
                <w:b w:val="1"/>
                <w:bCs w:val="1"/>
                <w:color w:val="auto"/>
                <w:w w:val="91"/>
              </w:rPr>
              <w:t>(Registrant’s telephone number, including area code)</w:t>
            </w:r>
          </w:p>
        </w:tc>
      </w:tr>
      <w:tr>
        <w:trPr>
          <w:trHeight w:val="174"/>
        </w:trPr>
        <w:tc>
          <w:tcPr>
            <w:tcW w:w="2020" w:type="dxa"/>
            <w:vAlign w:val="bottom"/>
          </w:tcPr>
          <w:p>
            <w:pPr>
              <w:spacing w:after="0"/>
              <w:rPr>
                <w:sz w:val="15"/>
                <w:szCs w:val="15"/>
                <w:color w:val="auto"/>
              </w:rPr>
            </w:pPr>
          </w:p>
        </w:tc>
        <w:tc>
          <w:tcPr>
            <w:tcW w:w="5440" w:type="dxa"/>
            <w:vAlign w:val="bottom"/>
          </w:tcPr>
          <w:p>
            <w:pPr>
              <w:jc w:val="center"/>
              <w:ind w:right="1606"/>
              <w:spacing w:after="0"/>
              <w:rPr>
                <w:sz w:val="20"/>
                <w:szCs w:val="20"/>
                <w:color w:val="auto"/>
              </w:rPr>
            </w:pPr>
            <w:r>
              <w:rPr>
                <w:rFonts w:ascii="Arial" w:cs="Arial" w:eastAsia="Arial" w:hAnsi="Arial"/>
                <w:sz w:val="14"/>
                <w:szCs w:val="14"/>
                <w:color w:val="auto"/>
                <w:w w:val="92"/>
              </w:rPr>
              <w:t>__________________________________________________</w:t>
            </w:r>
          </w:p>
        </w:tc>
      </w:tr>
    </w:tbl>
    <w:p>
      <w:pPr>
        <w:ind w:right="100" w:firstLine="324"/>
        <w:spacing w:after="0" w:line="169" w:lineRule="exact"/>
        <w:rPr>
          <w:sz w:val="20"/>
          <w:szCs w:val="20"/>
          <w:color w:val="auto"/>
        </w:rPr>
      </w:pPr>
      <w:r>
        <w:rPr>
          <w:rFonts w:ascii="Arial" w:cs="Arial" w:eastAsia="Arial" w:hAnsi="Arial"/>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4"/>
          <w:szCs w:val="14"/>
          <w:color w:val="auto"/>
        </w:rPr>
        <w:t>☐</w:t>
      </w:r>
    </w:p>
    <w:p>
      <w:pPr>
        <w:spacing w:after="0" w:line="1" w:lineRule="exact"/>
        <w:rPr>
          <w:sz w:val="24"/>
          <w:szCs w:val="24"/>
          <w:color w:val="auto"/>
        </w:rPr>
      </w:pPr>
    </w:p>
    <w:p>
      <w:pPr>
        <w:ind w:firstLine="324"/>
        <w:spacing w:after="0" w:line="169"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x No </w:t>
      </w:r>
      <w:r>
        <w:rPr>
          <w:rFonts w:ascii="MS PGothic" w:cs="MS PGothic" w:eastAsia="MS PGothic" w:hAnsi="MS PGothic"/>
          <w:sz w:val="14"/>
          <w:szCs w:val="14"/>
          <w:color w:val="auto"/>
        </w:rPr>
        <w:t>☐</w:t>
      </w:r>
    </w:p>
    <w:p>
      <w:pPr>
        <w:spacing w:after="0" w:line="1" w:lineRule="exact"/>
        <w:rPr>
          <w:sz w:val="24"/>
          <w:szCs w:val="24"/>
          <w:color w:val="auto"/>
        </w:rPr>
      </w:pPr>
    </w:p>
    <w:p>
      <w:pPr>
        <w:ind w:right="320" w:firstLine="324"/>
        <w:spacing w:after="0" w:line="247"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2300" w:type="dxa"/>
        <w:tblCellMar>
          <w:top w:w="0" w:type="dxa"/>
          <w:left w:w="0" w:type="dxa"/>
          <w:bottom w:w="0" w:type="dxa"/>
          <w:right w:w="0" w:type="dxa"/>
        </w:tblCellMar>
      </w:tblPr>
      <w:tr>
        <w:trPr>
          <w:trHeight w:val="182"/>
        </w:trPr>
        <w:tc>
          <w:tcPr>
            <w:tcW w:w="214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Arial" w:cs="Arial" w:eastAsia="Arial" w:hAnsi="Arial"/>
                <w:sz w:val="14"/>
                <w:szCs w:val="14"/>
                <w:color w:val="auto"/>
              </w:rPr>
              <w:t>Accelerated filer</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03"/>
        </w:trPr>
        <w:tc>
          <w:tcPr>
            <w:tcW w:w="2140" w:type="dxa"/>
            <w:vAlign w:val="bottom"/>
          </w:tcPr>
          <w:p>
            <w:pPr>
              <w:spacing w:after="0"/>
              <w:rPr>
                <w:sz w:val="20"/>
                <w:szCs w:val="20"/>
                <w:color w:val="auto"/>
              </w:rPr>
            </w:pPr>
            <w:r>
              <w:rPr>
                <w:rFonts w:ascii="Arial" w:cs="Arial" w:eastAsia="Arial" w:hAnsi="Arial"/>
                <w:sz w:val="14"/>
                <w:szCs w:val="14"/>
                <w:color w:val="auto"/>
              </w:rPr>
              <w:t>Non-accelerated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Arial" w:cs="Arial" w:eastAsia="Arial" w:hAnsi="Arial"/>
                <w:sz w:val="14"/>
                <w:szCs w:val="14"/>
                <w:color w:val="auto"/>
              </w:rPr>
              <w:t>Smaller Reporting Company</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26"/>
        </w:trPr>
        <w:tc>
          <w:tcPr>
            <w:tcW w:w="214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spacing w:after="0"/>
              <w:rPr>
                <w:sz w:val="19"/>
                <w:szCs w:val="19"/>
                <w:color w:val="auto"/>
              </w:rPr>
            </w:pPr>
          </w:p>
        </w:tc>
        <w:tc>
          <w:tcPr>
            <w:tcW w:w="940" w:type="dxa"/>
            <w:vAlign w:val="bottom"/>
          </w:tcPr>
          <w:p>
            <w:pPr>
              <w:spacing w:after="0"/>
              <w:rPr>
                <w:sz w:val="19"/>
                <w:szCs w:val="19"/>
                <w:color w:val="auto"/>
              </w:rPr>
            </w:pPr>
          </w:p>
        </w:tc>
      </w:tr>
    </w:tbl>
    <w:p>
      <w:pPr>
        <w:spacing w:after="0" w:line="99" w:lineRule="exact"/>
        <w:rPr>
          <w:sz w:val="24"/>
          <w:szCs w:val="24"/>
          <w:color w:val="auto"/>
        </w:rPr>
      </w:pPr>
    </w:p>
    <w:p>
      <w:pPr>
        <w:ind w:left="340"/>
        <w:spacing w:after="0"/>
        <w:rPr>
          <w:sz w:val="20"/>
          <w:szCs w:val="20"/>
          <w:color w:val="auto"/>
        </w:rPr>
      </w:pPr>
      <w:r>
        <w:rPr>
          <w:rFonts w:ascii="Arial" w:cs="Arial" w:eastAsia="Arial" w:hAnsi="Arial"/>
          <w:sz w:val="13"/>
          <w:szCs w:val="13"/>
          <w:color w:val="auto"/>
        </w:rPr>
        <w:t>If an emerging growth company, indicate by check mark if registrant has elected not to use the extended transition period for complying with any new or revised financial accounting</w:t>
      </w:r>
    </w:p>
    <w:p>
      <w:pPr>
        <w:spacing w:after="0" w:line="13"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5740" w:type="dxa"/>
            <w:vAlign w:val="bottom"/>
            <w:gridSpan w:val="2"/>
          </w:tcPr>
          <w:p>
            <w:pPr>
              <w:spacing w:after="0" w:line="161" w:lineRule="exact"/>
              <w:rPr>
                <w:sz w:val="20"/>
                <w:szCs w:val="20"/>
                <w:color w:val="auto"/>
              </w:rPr>
            </w:pPr>
            <w:r>
              <w:rPr>
                <w:rFonts w:ascii="Arial" w:cs="Arial" w:eastAsia="Arial" w:hAnsi="Arial"/>
                <w:sz w:val="14"/>
                <w:szCs w:val="14"/>
                <w:color w:val="auto"/>
              </w:rPr>
              <w:t xml:space="preserve">standards provided pursuant to Section 13(a) of the Exchange Act. </w:t>
            </w:r>
            <w:r>
              <w:rPr>
                <w:rFonts w:ascii="MS PGothic" w:cs="MS PGothic" w:eastAsia="MS PGothic" w:hAnsi="MS PGothic"/>
                <w:sz w:val="14"/>
                <w:szCs w:val="14"/>
                <w:color w:val="auto"/>
              </w:rPr>
              <w:t>☐</w:t>
            </w:r>
          </w:p>
        </w:tc>
        <w:tc>
          <w:tcPr>
            <w:tcW w:w="1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7500" w:type="dxa"/>
            <w:vAlign w:val="bottom"/>
            <w:gridSpan w:val="5"/>
          </w:tcPr>
          <w:p>
            <w:pPr>
              <w:ind w:left="340"/>
              <w:spacing w:after="0" w:line="161" w:lineRule="exact"/>
              <w:rPr>
                <w:sz w:val="20"/>
                <w:szCs w:val="20"/>
                <w:color w:val="auto"/>
              </w:rPr>
            </w:pPr>
            <w:r>
              <w:rPr>
                <w:rFonts w:ascii="Arial" w:cs="Arial" w:eastAsia="Arial" w:hAnsi="Arial"/>
                <w:sz w:val="14"/>
                <w:szCs w:val="14"/>
                <w:color w:val="auto"/>
                <w:w w:val="95"/>
              </w:rPr>
              <w:t xml:space="preserve">Indicate by check mark whether the registrant is a shell company (as defined in Rule 12b-2 of the Exchange Act).  Yes </w:t>
            </w:r>
            <w:r>
              <w:rPr>
                <w:rFonts w:ascii="MS PGothic" w:cs="MS PGothic" w:eastAsia="MS PGothic" w:hAnsi="MS PGothic"/>
                <w:sz w:val="14"/>
                <w:szCs w:val="14"/>
                <w:color w:val="auto"/>
                <w:w w:val="95"/>
              </w:rPr>
              <w:t>☐</w:t>
            </w:r>
          </w:p>
        </w:tc>
        <w:tc>
          <w:tcPr>
            <w:tcW w:w="3740" w:type="dxa"/>
            <w:vAlign w:val="bottom"/>
          </w:tcPr>
          <w:p>
            <w:pPr>
              <w:ind w:left="60"/>
              <w:spacing w:after="0"/>
              <w:rPr>
                <w:sz w:val="20"/>
                <w:szCs w:val="20"/>
                <w:color w:val="auto"/>
              </w:rPr>
            </w:pPr>
            <w:r>
              <w:rPr>
                <w:rFonts w:ascii="Arial" w:cs="Arial" w:eastAsia="Arial" w:hAnsi="Arial"/>
                <w:sz w:val="14"/>
                <w:szCs w:val="14"/>
                <w:color w:val="auto"/>
              </w:rPr>
              <w:t>No x</w:t>
            </w:r>
          </w:p>
        </w:tc>
        <w:tc>
          <w:tcPr>
            <w:tcW w:w="0" w:type="dxa"/>
            <w:vAlign w:val="bottom"/>
          </w:tcPr>
          <w:p>
            <w:pPr>
              <w:spacing w:after="0"/>
              <w:rPr>
                <w:sz w:val="1"/>
                <w:szCs w:val="1"/>
                <w:color w:val="auto"/>
              </w:rPr>
            </w:pPr>
          </w:p>
        </w:tc>
      </w:tr>
      <w:tr>
        <w:trPr>
          <w:trHeight w:val="182"/>
        </w:trPr>
        <w:tc>
          <w:tcPr>
            <w:tcW w:w="5740" w:type="dxa"/>
            <w:vAlign w:val="bottom"/>
            <w:gridSpan w:val="2"/>
          </w:tcPr>
          <w:p>
            <w:pPr>
              <w:spacing w:after="0"/>
              <w:rPr>
                <w:sz w:val="20"/>
                <w:szCs w:val="20"/>
                <w:color w:val="auto"/>
              </w:rPr>
            </w:pPr>
            <w:r>
              <w:rPr>
                <w:rFonts w:ascii="Arial" w:cs="Arial" w:eastAsia="Arial" w:hAnsi="Arial"/>
                <w:sz w:val="14"/>
                <w:szCs w:val="14"/>
                <w:color w:val="auto"/>
              </w:rPr>
              <w:t>Securities registered pursuant to Section 12(b) of the Act:</w:t>
            </w:r>
          </w:p>
        </w:tc>
        <w:tc>
          <w:tcPr>
            <w:tcW w:w="1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57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Title of Each Class</w:t>
            </w:r>
          </w:p>
        </w:tc>
        <w:tc>
          <w:tcPr>
            <w:tcW w:w="17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2"/>
              </w:rPr>
              <w:t>Trading Symbol(s)</w:t>
            </w:r>
          </w:p>
        </w:tc>
        <w:tc>
          <w:tcPr>
            <w:tcW w:w="3740" w:type="dxa"/>
            <w:vAlign w:val="bottom"/>
          </w:tcPr>
          <w:p>
            <w:pPr>
              <w:jc w:val="center"/>
              <w:ind w:right="28"/>
              <w:spacing w:after="0"/>
              <w:rPr>
                <w:sz w:val="20"/>
                <w:szCs w:val="20"/>
                <w:color w:val="auto"/>
              </w:rPr>
            </w:pPr>
            <w:r>
              <w:rPr>
                <w:rFonts w:ascii="Arial" w:cs="Arial" w:eastAsia="Arial" w:hAnsi="Arial"/>
                <w:sz w:val="14"/>
                <w:szCs w:val="14"/>
                <w:b w:val="1"/>
                <w:bCs w:val="1"/>
                <w:color w:val="auto"/>
                <w:w w:val="92"/>
              </w:rPr>
              <w:t>Name of Exchange on Which Registered</w:t>
            </w:r>
          </w:p>
        </w:tc>
        <w:tc>
          <w:tcPr>
            <w:tcW w:w="0" w:type="dxa"/>
            <w:vAlign w:val="bottom"/>
          </w:tcPr>
          <w:p>
            <w:pPr>
              <w:spacing w:after="0"/>
              <w:rPr>
                <w:sz w:val="1"/>
                <w:szCs w:val="1"/>
                <w:color w:val="auto"/>
              </w:rPr>
            </w:pPr>
          </w:p>
        </w:tc>
      </w:tr>
      <w:tr>
        <w:trPr>
          <w:trHeight w:val="182"/>
        </w:trPr>
        <w:tc>
          <w:tcPr>
            <w:tcW w:w="562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1"/>
              </w:rPr>
              <w:t>Common Stock, par value $0.01 per share</w:t>
            </w:r>
          </w:p>
        </w:tc>
        <w:tc>
          <w:tcPr>
            <w:tcW w:w="120" w:type="dxa"/>
            <w:vAlign w:val="bottom"/>
          </w:tcPr>
          <w:p>
            <w:pPr>
              <w:spacing w:after="0"/>
              <w:rPr>
                <w:sz w:val="15"/>
                <w:szCs w:val="15"/>
                <w:color w:val="auto"/>
              </w:rPr>
            </w:pPr>
          </w:p>
        </w:tc>
        <w:tc>
          <w:tcPr>
            <w:tcW w:w="154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rPr>
              <w:t>AGNC</w:t>
            </w:r>
          </w:p>
        </w:tc>
        <w:tc>
          <w:tcPr>
            <w:tcW w:w="12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3740" w:type="dxa"/>
            <w:vAlign w:val="bottom"/>
            <w:tcBorders>
              <w:top w:val="single" w:sz="8" w:color="auto"/>
            </w:tcBorders>
          </w:tcPr>
          <w:p>
            <w:pPr>
              <w:jc w:val="center"/>
              <w:ind w:right="28"/>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42"/>
        </w:trPr>
        <w:tc>
          <w:tcPr>
            <w:tcW w:w="5740" w:type="dxa"/>
            <w:vAlign w:val="bottom"/>
            <w:gridSpan w:val="2"/>
          </w:tcPr>
          <w:p>
            <w:pPr>
              <w:jc w:val="center"/>
              <w:ind w:right="100"/>
              <w:spacing w:after="0" w:line="142" w:lineRule="exact"/>
              <w:rPr>
                <w:sz w:val="20"/>
                <w:szCs w:val="20"/>
                <w:color w:val="auto"/>
              </w:rPr>
            </w:pPr>
            <w:r>
              <w:rPr>
                <w:rFonts w:ascii="Arial" w:cs="Arial" w:eastAsia="Arial" w:hAnsi="Arial"/>
                <w:sz w:val="14"/>
                <w:szCs w:val="14"/>
                <w:color w:val="auto"/>
                <w:w w:val="92"/>
              </w:rPr>
              <w:t>Depositary shares of 7.000% Series C Fixed-to-Floating Rate Cumulative Redeemable Preferred</w:t>
            </w:r>
          </w:p>
        </w:tc>
        <w:tc>
          <w:tcPr>
            <w:tcW w:w="1760" w:type="dxa"/>
            <w:vAlign w:val="bottom"/>
            <w:gridSpan w:val="3"/>
            <w:vMerge w:val="restart"/>
          </w:tcPr>
          <w:p>
            <w:pPr>
              <w:jc w:val="center"/>
              <w:ind w:right="220"/>
              <w:spacing w:after="0"/>
              <w:rPr>
                <w:sz w:val="20"/>
                <w:szCs w:val="20"/>
                <w:color w:val="auto"/>
              </w:rPr>
            </w:pPr>
            <w:r>
              <w:rPr>
                <w:rFonts w:ascii="Arial" w:cs="Arial" w:eastAsia="Arial" w:hAnsi="Arial"/>
                <w:sz w:val="14"/>
                <w:szCs w:val="14"/>
                <w:color w:val="auto"/>
                <w:w w:val="98"/>
              </w:rPr>
              <w:t>AGNCN</w:t>
            </w:r>
          </w:p>
        </w:tc>
        <w:tc>
          <w:tcPr>
            <w:tcW w:w="3740" w:type="dxa"/>
            <w:vAlign w:val="bottom"/>
            <w:vMerge w:val="restart"/>
          </w:tcPr>
          <w:p>
            <w:pPr>
              <w:jc w:val="center"/>
              <w:ind w:right="28"/>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1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760" w:type="dxa"/>
            <w:vAlign w:val="bottom"/>
            <w:gridSpan w:val="3"/>
            <w:vMerge w:val="continue"/>
          </w:tcPr>
          <w:p>
            <w:pPr>
              <w:spacing w:after="0"/>
              <w:rPr>
                <w:sz w:val="9"/>
                <w:szCs w:val="9"/>
                <w:color w:val="auto"/>
              </w:rPr>
            </w:pPr>
          </w:p>
        </w:tc>
        <w:tc>
          <w:tcPr>
            <w:tcW w:w="3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740" w:type="dxa"/>
            <w:vAlign w:val="bottom"/>
            <w:gridSpan w:val="2"/>
            <w:vMerge w:val="continue"/>
          </w:tcPr>
          <w:p>
            <w:pPr>
              <w:spacing w:after="0"/>
              <w:rPr>
                <w:sz w:val="6"/>
                <w:szCs w:val="6"/>
                <w:color w:val="auto"/>
              </w:rPr>
            </w:pPr>
          </w:p>
        </w:tc>
        <w:tc>
          <w:tcPr>
            <w:tcW w:w="1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740" w:type="dxa"/>
            <w:vAlign w:val="bottom"/>
            <w:gridSpan w:val="2"/>
          </w:tcPr>
          <w:p>
            <w:pPr>
              <w:jc w:val="center"/>
              <w:ind w:right="100"/>
              <w:spacing w:after="0" w:line="142" w:lineRule="exact"/>
              <w:rPr>
                <w:sz w:val="20"/>
                <w:szCs w:val="20"/>
                <w:color w:val="auto"/>
              </w:rPr>
            </w:pPr>
            <w:r>
              <w:rPr>
                <w:rFonts w:ascii="Arial" w:cs="Arial" w:eastAsia="Arial" w:hAnsi="Arial"/>
                <w:sz w:val="14"/>
                <w:szCs w:val="14"/>
                <w:color w:val="auto"/>
                <w:w w:val="92"/>
              </w:rPr>
              <w:t>Depositary shares of 6.875% Series D Fixed-to-Floating Rate Cumulative Redeemable Preferred</w:t>
            </w:r>
          </w:p>
        </w:tc>
        <w:tc>
          <w:tcPr>
            <w:tcW w:w="1760" w:type="dxa"/>
            <w:vAlign w:val="bottom"/>
            <w:gridSpan w:val="3"/>
            <w:vMerge w:val="restart"/>
          </w:tcPr>
          <w:p>
            <w:pPr>
              <w:jc w:val="center"/>
              <w:ind w:right="220"/>
              <w:spacing w:after="0"/>
              <w:rPr>
                <w:sz w:val="20"/>
                <w:szCs w:val="20"/>
                <w:color w:val="auto"/>
              </w:rPr>
            </w:pPr>
            <w:r>
              <w:rPr>
                <w:rFonts w:ascii="Arial" w:cs="Arial" w:eastAsia="Arial" w:hAnsi="Arial"/>
                <w:sz w:val="14"/>
                <w:szCs w:val="14"/>
                <w:color w:val="auto"/>
              </w:rPr>
              <w:t>AGNCM</w:t>
            </w:r>
          </w:p>
        </w:tc>
        <w:tc>
          <w:tcPr>
            <w:tcW w:w="3740" w:type="dxa"/>
            <w:vAlign w:val="bottom"/>
            <w:vMerge w:val="restart"/>
          </w:tcPr>
          <w:p>
            <w:pPr>
              <w:jc w:val="center"/>
              <w:ind w:right="28"/>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1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760" w:type="dxa"/>
            <w:vAlign w:val="bottom"/>
            <w:gridSpan w:val="3"/>
            <w:vMerge w:val="continue"/>
          </w:tcPr>
          <w:p>
            <w:pPr>
              <w:spacing w:after="0"/>
              <w:rPr>
                <w:sz w:val="9"/>
                <w:szCs w:val="9"/>
                <w:color w:val="auto"/>
              </w:rPr>
            </w:pPr>
          </w:p>
        </w:tc>
        <w:tc>
          <w:tcPr>
            <w:tcW w:w="3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740" w:type="dxa"/>
            <w:vAlign w:val="bottom"/>
            <w:gridSpan w:val="2"/>
            <w:vMerge w:val="continue"/>
          </w:tcPr>
          <w:p>
            <w:pPr>
              <w:spacing w:after="0"/>
              <w:rPr>
                <w:sz w:val="6"/>
                <w:szCs w:val="6"/>
                <w:color w:val="auto"/>
              </w:rPr>
            </w:pPr>
          </w:p>
        </w:tc>
        <w:tc>
          <w:tcPr>
            <w:tcW w:w="1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740" w:type="dxa"/>
            <w:vAlign w:val="bottom"/>
            <w:gridSpan w:val="2"/>
          </w:tcPr>
          <w:p>
            <w:pPr>
              <w:jc w:val="center"/>
              <w:ind w:right="100"/>
              <w:spacing w:after="0" w:line="142" w:lineRule="exact"/>
              <w:rPr>
                <w:sz w:val="20"/>
                <w:szCs w:val="20"/>
                <w:color w:val="auto"/>
              </w:rPr>
            </w:pPr>
            <w:r>
              <w:rPr>
                <w:rFonts w:ascii="Arial" w:cs="Arial" w:eastAsia="Arial" w:hAnsi="Arial"/>
                <w:sz w:val="14"/>
                <w:szCs w:val="14"/>
                <w:color w:val="auto"/>
                <w:w w:val="92"/>
              </w:rPr>
              <w:t>Depositary shares of 6.50% Series E Fixed-to-Floating Rate Cumulative Redeemable Preferred</w:t>
            </w:r>
          </w:p>
        </w:tc>
        <w:tc>
          <w:tcPr>
            <w:tcW w:w="1760" w:type="dxa"/>
            <w:vAlign w:val="bottom"/>
            <w:gridSpan w:val="3"/>
            <w:vMerge w:val="restart"/>
          </w:tcPr>
          <w:p>
            <w:pPr>
              <w:jc w:val="center"/>
              <w:ind w:right="220"/>
              <w:spacing w:after="0"/>
              <w:rPr>
                <w:sz w:val="20"/>
                <w:szCs w:val="20"/>
                <w:color w:val="auto"/>
              </w:rPr>
            </w:pPr>
            <w:r>
              <w:rPr>
                <w:rFonts w:ascii="Arial" w:cs="Arial" w:eastAsia="Arial" w:hAnsi="Arial"/>
                <w:sz w:val="14"/>
                <w:szCs w:val="14"/>
                <w:color w:val="auto"/>
                <w:w w:val="97"/>
              </w:rPr>
              <w:t>AGNCO</w:t>
            </w:r>
          </w:p>
        </w:tc>
        <w:tc>
          <w:tcPr>
            <w:tcW w:w="3740" w:type="dxa"/>
            <w:vAlign w:val="bottom"/>
            <w:vMerge w:val="restart"/>
          </w:tcPr>
          <w:p>
            <w:pPr>
              <w:jc w:val="center"/>
              <w:ind w:right="28"/>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1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760" w:type="dxa"/>
            <w:vAlign w:val="bottom"/>
            <w:gridSpan w:val="3"/>
            <w:vMerge w:val="continue"/>
          </w:tcPr>
          <w:p>
            <w:pPr>
              <w:spacing w:after="0"/>
              <w:rPr>
                <w:sz w:val="9"/>
                <w:szCs w:val="9"/>
                <w:color w:val="auto"/>
              </w:rPr>
            </w:pPr>
          </w:p>
        </w:tc>
        <w:tc>
          <w:tcPr>
            <w:tcW w:w="3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740" w:type="dxa"/>
            <w:vAlign w:val="bottom"/>
            <w:gridSpan w:val="2"/>
            <w:vMerge w:val="continue"/>
          </w:tcPr>
          <w:p>
            <w:pPr>
              <w:spacing w:after="0"/>
              <w:rPr>
                <w:sz w:val="6"/>
                <w:szCs w:val="6"/>
                <w:color w:val="auto"/>
              </w:rPr>
            </w:pPr>
          </w:p>
        </w:tc>
        <w:tc>
          <w:tcPr>
            <w:tcW w:w="1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5740" w:type="dxa"/>
            <w:vAlign w:val="bottom"/>
            <w:gridSpan w:val="2"/>
          </w:tcPr>
          <w:p>
            <w:pPr>
              <w:jc w:val="center"/>
              <w:ind w:right="120"/>
              <w:spacing w:after="0" w:line="142" w:lineRule="exact"/>
              <w:rPr>
                <w:sz w:val="20"/>
                <w:szCs w:val="20"/>
                <w:color w:val="auto"/>
              </w:rPr>
            </w:pPr>
            <w:r>
              <w:rPr>
                <w:rFonts w:ascii="Arial" w:cs="Arial" w:eastAsia="Arial" w:hAnsi="Arial"/>
                <w:sz w:val="14"/>
                <w:szCs w:val="14"/>
                <w:color w:val="auto"/>
                <w:w w:val="92"/>
              </w:rPr>
              <w:t>Depositary shares of 6.125% Series F Fixed-to-Floating Rate Cumulative Redeemable Preferred</w:t>
            </w:r>
          </w:p>
        </w:tc>
        <w:tc>
          <w:tcPr>
            <w:tcW w:w="1760" w:type="dxa"/>
            <w:vAlign w:val="bottom"/>
            <w:gridSpan w:val="3"/>
            <w:vMerge w:val="restart"/>
          </w:tcPr>
          <w:p>
            <w:pPr>
              <w:jc w:val="center"/>
              <w:ind w:right="220"/>
              <w:spacing w:after="0"/>
              <w:rPr>
                <w:sz w:val="20"/>
                <w:szCs w:val="20"/>
                <w:color w:val="auto"/>
              </w:rPr>
            </w:pPr>
            <w:r>
              <w:rPr>
                <w:rFonts w:ascii="Arial" w:cs="Arial" w:eastAsia="Arial" w:hAnsi="Arial"/>
                <w:sz w:val="14"/>
                <w:szCs w:val="14"/>
                <w:color w:val="auto"/>
              </w:rPr>
              <w:t>AGNCP</w:t>
            </w:r>
          </w:p>
        </w:tc>
        <w:tc>
          <w:tcPr>
            <w:tcW w:w="3740" w:type="dxa"/>
            <w:vAlign w:val="bottom"/>
            <w:vMerge w:val="restart"/>
          </w:tcPr>
          <w:p>
            <w:pPr>
              <w:jc w:val="center"/>
              <w:ind w:right="28"/>
              <w:spacing w:after="0"/>
              <w:rPr>
                <w:sz w:val="20"/>
                <w:szCs w:val="20"/>
                <w:color w:val="auto"/>
              </w:rPr>
            </w:pPr>
            <w:r>
              <w:rPr>
                <w:rFonts w:ascii="Arial" w:cs="Arial" w:eastAsia="Arial" w:hAnsi="Arial"/>
                <w:sz w:val="14"/>
                <w:szCs w:val="14"/>
                <w:color w:val="auto"/>
                <w:w w:val="93"/>
              </w:rPr>
              <w:t>The Nasdaq Global Select Market</w:t>
            </w:r>
          </w:p>
        </w:tc>
        <w:tc>
          <w:tcPr>
            <w:tcW w:w="0" w:type="dxa"/>
            <w:vAlign w:val="bottom"/>
          </w:tcPr>
          <w:p>
            <w:pPr>
              <w:spacing w:after="0"/>
              <w:rPr>
                <w:sz w:val="1"/>
                <w:szCs w:val="1"/>
                <w:color w:val="auto"/>
              </w:rPr>
            </w:pPr>
          </w:p>
        </w:tc>
      </w:tr>
      <w:tr>
        <w:trPr>
          <w:trHeight w:val="11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760" w:type="dxa"/>
            <w:vAlign w:val="bottom"/>
            <w:gridSpan w:val="3"/>
            <w:vMerge w:val="continue"/>
          </w:tcPr>
          <w:p>
            <w:pPr>
              <w:spacing w:after="0"/>
              <w:rPr>
                <w:sz w:val="9"/>
                <w:szCs w:val="9"/>
                <w:color w:val="auto"/>
              </w:rPr>
            </w:pPr>
          </w:p>
        </w:tc>
        <w:tc>
          <w:tcPr>
            <w:tcW w:w="3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740" w:type="dxa"/>
            <w:vAlign w:val="bottom"/>
            <w:gridSpan w:val="2"/>
            <w:vMerge w:val="continue"/>
          </w:tcPr>
          <w:p>
            <w:pPr>
              <w:spacing w:after="0"/>
              <w:rPr>
                <w:sz w:val="6"/>
                <w:szCs w:val="6"/>
                <w:color w:val="auto"/>
              </w:rPr>
            </w:pPr>
          </w:p>
        </w:tc>
        <w:tc>
          <w:tcPr>
            <w:tcW w:w="1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340"/>
        <w:spacing w:after="0"/>
        <w:rPr>
          <w:sz w:val="20"/>
          <w:szCs w:val="20"/>
          <w:color w:val="auto"/>
        </w:rPr>
      </w:pPr>
      <w:r>
        <w:rPr>
          <w:rFonts w:ascii="Arial" w:cs="Arial" w:eastAsia="Arial" w:hAnsi="Arial"/>
          <w:sz w:val="14"/>
          <w:szCs w:val="14"/>
          <w:color w:val="auto"/>
        </w:rPr>
        <w:t>The number of shares of the issuer's common stock, $0.01 par value, outstanding as of October 31, 2020 was 545,211,569.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518160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64135</wp:posOffset>
            </wp:positionV>
            <wp:extent cx="69951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29845</wp:posOffset>
            </wp:positionV>
            <wp:extent cx="69951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240"/>
          </w:cols>
          <w:pgMar w:left="320" w:top="913" w:right="339" w:bottom="1440" w:gutter="0" w:footer="0" w:header="0"/>
        </w:sectPr>
      </w:pPr>
    </w:p>
    <w:bookmarkStart w:id="1" w:name="page2"/>
    <w:bookmarkEnd w:id="1"/>
    <w:p>
      <w:pPr>
        <w:jc w:val="center"/>
        <w:ind w:right="-659"/>
        <w:spacing w:after="0"/>
        <w:rPr>
          <w:sz w:val="20"/>
          <w:szCs w:val="20"/>
          <w:color w:val="auto"/>
        </w:rPr>
      </w:pPr>
      <w:r>
        <w:rPr>
          <w:rFonts w:ascii="Arial" w:cs="Arial" w:eastAsia="Arial" w:hAnsi="Arial"/>
          <w:sz w:val="18"/>
          <w:szCs w:val="18"/>
          <w:b w:val="1"/>
          <w:bCs w:val="1"/>
          <w:color w:val="auto"/>
        </w:rPr>
        <w:t>AGNC INVESTMENT CORP.</w:t>
      </w:r>
    </w:p>
    <w:p>
      <w:pPr>
        <w:spacing w:after="0" w:line="104"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color w:val="auto"/>
        </w:rPr>
        <w:t>TABLE OF CONTENTS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80" w:type="dxa"/>
            <w:vAlign w:val="bottom"/>
          </w:tcPr>
          <w:p>
            <w:pPr>
              <w:spacing w:after="0"/>
              <w:rPr>
                <w:rFonts w:ascii="Arial" w:cs="Arial" w:eastAsia="Arial" w:hAnsi="Arial"/>
                <w:sz w:val="16"/>
                <w:szCs w:val="16"/>
                <w:b w:val="1"/>
                <w:bCs w:val="1"/>
                <w:color w:val="0000FF"/>
              </w:rPr>
            </w:pPr>
            <w:hyperlink w:anchor="page2">
              <w:r>
                <w:rPr>
                  <w:rFonts w:ascii="Arial" w:cs="Arial" w:eastAsia="Arial" w:hAnsi="Arial"/>
                  <w:sz w:val="16"/>
                  <w:szCs w:val="16"/>
                  <w:b w:val="1"/>
                  <w:bCs w:val="1"/>
                  <w:u w:val="single" w:color="auto"/>
                  <w:color w:val="0000FF"/>
                </w:rPr>
                <w:t>PART I</w:t>
              </w:r>
              <w:r>
                <w:rPr>
                  <w:rFonts w:ascii="Arial" w:cs="Arial" w:eastAsia="Arial" w:hAnsi="Arial"/>
                  <w:sz w:val="16"/>
                  <w:szCs w:val="16"/>
                  <w:b w:val="1"/>
                  <w:bCs w:val="1"/>
                  <w:color w:val="0000FF"/>
                </w:rPr>
                <w:t>.</w:t>
              </w:r>
            </w:hyperlink>
          </w:p>
        </w:tc>
        <w:tc>
          <w:tcPr>
            <w:tcW w:w="7900" w:type="dxa"/>
            <w:vAlign w:val="bottom"/>
          </w:tcPr>
          <w:p>
            <w:pPr>
              <w:ind w:left="320"/>
              <w:spacing w:after="0"/>
              <w:rPr>
                <w:rFonts w:ascii="Arial" w:cs="Arial" w:eastAsia="Arial" w:hAnsi="Arial"/>
                <w:sz w:val="16"/>
                <w:szCs w:val="16"/>
                <w:b w:val="1"/>
                <w:bCs w:val="1"/>
                <w:u w:val="single" w:color="auto"/>
                <w:color w:val="0000FF"/>
              </w:rPr>
            </w:pPr>
            <w:hyperlink w:anchor="page2">
              <w:r>
                <w:rPr>
                  <w:rFonts w:ascii="Arial" w:cs="Arial" w:eastAsia="Arial" w:hAnsi="Arial"/>
                  <w:sz w:val="16"/>
                  <w:szCs w:val="16"/>
                  <w:b w:val="1"/>
                  <w:bCs w:val="1"/>
                  <w:u w:val="single" w:color="auto"/>
                  <w:color w:val="0000FF"/>
                </w:rPr>
                <w:t>FINANCIAL INFORMATION</w:t>
              </w:r>
            </w:hyperlink>
          </w:p>
        </w:tc>
        <w:tc>
          <w:tcPr>
            <w:tcW w:w="1960" w:type="dxa"/>
            <w:vAlign w:val="bottom"/>
          </w:tcPr>
          <w:p>
            <w:pPr>
              <w:spacing w:after="0"/>
              <w:rPr>
                <w:sz w:val="18"/>
                <w:szCs w:val="18"/>
                <w:color w:val="auto"/>
              </w:rPr>
            </w:pPr>
          </w:p>
        </w:tc>
      </w:tr>
      <w:tr>
        <w:trPr>
          <w:trHeight w:val="235"/>
        </w:trPr>
        <w:tc>
          <w:tcPr>
            <w:tcW w:w="680" w:type="dxa"/>
            <w:vAlign w:val="bottom"/>
          </w:tcPr>
          <w:p>
            <w:pPr>
              <w:spacing w:after="0"/>
              <w:rPr>
                <w:rFonts w:ascii="Arial" w:cs="Arial" w:eastAsia="Arial" w:hAnsi="Arial"/>
                <w:sz w:val="16"/>
                <w:szCs w:val="16"/>
                <w:color w:val="0000FF"/>
              </w:rPr>
            </w:pPr>
            <w:hyperlink w:anchor="page3">
              <w:r>
                <w:rPr>
                  <w:rFonts w:ascii="Arial" w:cs="Arial" w:eastAsia="Arial" w:hAnsi="Arial"/>
                  <w:sz w:val="16"/>
                  <w:szCs w:val="16"/>
                  <w:u w:val="single" w:color="auto"/>
                  <w:color w:val="0000FF"/>
                </w:rPr>
                <w:t>Item 1</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3">
              <w:r>
                <w:rPr>
                  <w:rFonts w:ascii="Arial" w:cs="Arial" w:eastAsia="Arial" w:hAnsi="Arial"/>
                  <w:sz w:val="16"/>
                  <w:szCs w:val="16"/>
                  <w:u w:val="single" w:color="auto"/>
                  <w:color w:val="0000FF"/>
                </w:rPr>
                <w:t>Financial Statements</w:t>
              </w:r>
            </w:hyperlink>
          </w:p>
        </w:tc>
        <w:tc>
          <w:tcPr>
            <w:tcW w:w="1960" w:type="dxa"/>
            <w:vAlign w:val="bottom"/>
          </w:tcPr>
          <w:p>
            <w:pPr>
              <w:jc w:val="center"/>
              <w:ind w:left="1718"/>
              <w:spacing w:after="0"/>
              <w:rPr>
                <w:rFonts w:ascii="Arial" w:cs="Arial" w:eastAsia="Arial" w:hAnsi="Arial"/>
                <w:sz w:val="18"/>
                <w:szCs w:val="18"/>
                <w:u w:val="single" w:color="auto"/>
                <w:color w:val="0000FF"/>
                <w:w w:val="79"/>
              </w:rPr>
            </w:pPr>
            <w:hyperlink w:anchor="page3">
              <w:r>
                <w:rPr>
                  <w:rFonts w:ascii="Arial" w:cs="Arial" w:eastAsia="Arial" w:hAnsi="Arial"/>
                  <w:sz w:val="18"/>
                  <w:szCs w:val="18"/>
                  <w:u w:val="single" w:color="auto"/>
                  <w:color w:val="0000FF"/>
                  <w:w w:val="79"/>
                </w:rPr>
                <w:t>2</w:t>
              </w:r>
            </w:hyperlink>
          </w:p>
        </w:tc>
      </w:tr>
      <w:tr>
        <w:trPr>
          <w:trHeight w:val="210"/>
        </w:trPr>
        <w:tc>
          <w:tcPr>
            <w:tcW w:w="680" w:type="dxa"/>
            <w:vAlign w:val="bottom"/>
          </w:tcPr>
          <w:p>
            <w:pPr>
              <w:spacing w:after="0"/>
              <w:rPr>
                <w:rFonts w:ascii="Arial" w:cs="Arial" w:eastAsia="Arial" w:hAnsi="Arial"/>
                <w:sz w:val="16"/>
                <w:szCs w:val="16"/>
                <w:color w:val="0000FF"/>
              </w:rPr>
            </w:pPr>
            <w:hyperlink w:anchor="page24">
              <w:r>
                <w:rPr>
                  <w:rFonts w:ascii="Arial" w:cs="Arial" w:eastAsia="Arial" w:hAnsi="Arial"/>
                  <w:sz w:val="16"/>
                  <w:szCs w:val="16"/>
                  <w:u w:val="single" w:color="auto"/>
                  <w:color w:val="0000FF"/>
                </w:rPr>
                <w:t>Item 2</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24">
              <w:r>
                <w:rPr>
                  <w:rFonts w:ascii="Arial" w:cs="Arial" w:eastAsia="Arial" w:hAnsi="Arial"/>
                  <w:sz w:val="16"/>
                  <w:szCs w:val="16"/>
                  <w:u w:val="single" w:color="auto"/>
                  <w:color w:val="0000FF"/>
                </w:rPr>
                <w:t>Management's Discussion and Analysis of Financial Condition and Results of Operations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24">
              <w:r>
                <w:rPr>
                  <w:rFonts w:ascii="Arial" w:cs="Arial" w:eastAsia="Arial" w:hAnsi="Arial"/>
                  <w:sz w:val="16"/>
                  <w:szCs w:val="16"/>
                  <w:u w:val="single" w:color="auto"/>
                  <w:color w:val="0000FF"/>
                  <w:w w:val="89"/>
                </w:rPr>
                <w:t>24</w:t>
              </w:r>
            </w:hyperlink>
          </w:p>
        </w:tc>
      </w:tr>
      <w:tr>
        <w:trPr>
          <w:trHeight w:val="216"/>
        </w:trPr>
        <w:tc>
          <w:tcPr>
            <w:tcW w:w="680" w:type="dxa"/>
            <w:vAlign w:val="bottom"/>
          </w:tcPr>
          <w:p>
            <w:pPr>
              <w:spacing w:after="0"/>
              <w:rPr>
                <w:rFonts w:ascii="Arial" w:cs="Arial" w:eastAsia="Arial" w:hAnsi="Arial"/>
                <w:sz w:val="16"/>
                <w:szCs w:val="16"/>
                <w:color w:val="0000FF"/>
              </w:rPr>
            </w:pPr>
            <w:hyperlink w:anchor="page43">
              <w:r>
                <w:rPr>
                  <w:rFonts w:ascii="Arial" w:cs="Arial" w:eastAsia="Arial" w:hAnsi="Arial"/>
                  <w:sz w:val="16"/>
                  <w:szCs w:val="16"/>
                  <w:u w:val="single" w:color="auto"/>
                  <w:color w:val="0000FF"/>
                </w:rPr>
                <w:t>Item 3</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3">
              <w:r>
                <w:rPr>
                  <w:rFonts w:ascii="Arial" w:cs="Arial" w:eastAsia="Arial" w:hAnsi="Arial"/>
                  <w:sz w:val="16"/>
                  <w:szCs w:val="16"/>
                  <w:u w:val="single" w:color="auto"/>
                  <w:color w:val="0000FF"/>
                </w:rPr>
                <w:t>Quantitative and Qualitative Disclosures About Market Risk</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3">
              <w:r>
                <w:rPr>
                  <w:rFonts w:ascii="Arial" w:cs="Arial" w:eastAsia="Arial" w:hAnsi="Arial"/>
                  <w:sz w:val="16"/>
                  <w:szCs w:val="16"/>
                  <w:u w:val="single" w:color="auto"/>
                  <w:color w:val="0000FF"/>
                  <w:w w:val="89"/>
                </w:rPr>
                <w:t>42</w:t>
              </w:r>
            </w:hyperlink>
          </w:p>
        </w:tc>
      </w:tr>
      <w:tr>
        <w:trPr>
          <w:trHeight w:val="216"/>
        </w:trPr>
        <w:tc>
          <w:tcPr>
            <w:tcW w:w="680" w:type="dxa"/>
            <w:vAlign w:val="bottom"/>
          </w:tcPr>
          <w:p>
            <w:pPr>
              <w:spacing w:after="0"/>
              <w:rPr>
                <w:rFonts w:ascii="Arial" w:cs="Arial" w:eastAsia="Arial" w:hAnsi="Arial"/>
                <w:sz w:val="16"/>
                <w:szCs w:val="16"/>
                <w:color w:val="0000FF"/>
              </w:rPr>
            </w:pPr>
            <w:hyperlink w:anchor="page46">
              <w:r>
                <w:rPr>
                  <w:rFonts w:ascii="Arial" w:cs="Arial" w:eastAsia="Arial" w:hAnsi="Arial"/>
                  <w:sz w:val="16"/>
                  <w:szCs w:val="16"/>
                  <w:u w:val="single" w:color="auto"/>
                  <w:color w:val="0000FF"/>
                </w:rPr>
                <w:t>Item 4</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6">
              <w:r>
                <w:rPr>
                  <w:rFonts w:ascii="Arial" w:cs="Arial" w:eastAsia="Arial" w:hAnsi="Arial"/>
                  <w:sz w:val="16"/>
                  <w:szCs w:val="16"/>
                  <w:u w:val="single" w:color="auto"/>
                  <w:color w:val="0000FF"/>
                </w:rPr>
                <w:t>Controls and Procedures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6">
              <w:r>
                <w:rPr>
                  <w:rFonts w:ascii="Arial" w:cs="Arial" w:eastAsia="Arial" w:hAnsi="Arial"/>
                  <w:sz w:val="16"/>
                  <w:szCs w:val="16"/>
                  <w:u w:val="single" w:color="auto"/>
                  <w:color w:val="0000FF"/>
                  <w:w w:val="89"/>
                </w:rPr>
                <w:t>46</w:t>
              </w:r>
            </w:hyperlink>
          </w:p>
        </w:tc>
      </w:tr>
      <w:tr>
        <w:trPr>
          <w:trHeight w:val="473"/>
        </w:trPr>
        <w:tc>
          <w:tcPr>
            <w:tcW w:w="680" w:type="dxa"/>
            <w:vAlign w:val="bottom"/>
          </w:tcPr>
          <w:p>
            <w:pPr>
              <w:spacing w:after="0"/>
              <w:rPr>
                <w:rFonts w:ascii="Arial" w:cs="Arial" w:eastAsia="Arial" w:hAnsi="Arial"/>
                <w:sz w:val="16"/>
                <w:szCs w:val="16"/>
                <w:b w:val="1"/>
                <w:bCs w:val="1"/>
                <w:u w:val="single" w:color="auto"/>
                <w:color w:val="0000FF"/>
              </w:rPr>
            </w:pPr>
            <w:hyperlink w:anchor="page47">
              <w:r>
                <w:rPr>
                  <w:rFonts w:ascii="Arial" w:cs="Arial" w:eastAsia="Arial" w:hAnsi="Arial"/>
                  <w:sz w:val="16"/>
                  <w:szCs w:val="16"/>
                  <w:b w:val="1"/>
                  <w:bCs w:val="1"/>
                  <w:u w:val="single" w:color="auto"/>
                  <w:color w:val="0000FF"/>
                </w:rPr>
                <w:t>PART II.</w:t>
              </w:r>
            </w:hyperlink>
          </w:p>
        </w:tc>
        <w:tc>
          <w:tcPr>
            <w:tcW w:w="7900" w:type="dxa"/>
            <w:vAlign w:val="bottom"/>
          </w:tcPr>
          <w:p>
            <w:pPr>
              <w:ind w:left="320"/>
              <w:spacing w:after="0"/>
              <w:rPr>
                <w:rFonts w:ascii="Arial" w:cs="Arial" w:eastAsia="Arial" w:hAnsi="Arial"/>
                <w:sz w:val="16"/>
                <w:szCs w:val="16"/>
                <w:b w:val="1"/>
                <w:bCs w:val="1"/>
                <w:u w:val="single" w:color="auto"/>
                <w:color w:val="0000FF"/>
              </w:rPr>
            </w:pPr>
            <w:hyperlink w:anchor="page47">
              <w:r>
                <w:rPr>
                  <w:rFonts w:ascii="Arial" w:cs="Arial" w:eastAsia="Arial" w:hAnsi="Arial"/>
                  <w:sz w:val="16"/>
                  <w:szCs w:val="16"/>
                  <w:b w:val="1"/>
                  <w:bCs w:val="1"/>
                  <w:u w:val="single" w:color="auto"/>
                  <w:color w:val="0000FF"/>
                </w:rPr>
                <w:t>OTHER INFORMATION</w:t>
              </w:r>
            </w:hyperlink>
          </w:p>
        </w:tc>
        <w:tc>
          <w:tcPr>
            <w:tcW w:w="1960" w:type="dxa"/>
            <w:vAlign w:val="bottom"/>
          </w:tcPr>
          <w:p>
            <w:pPr>
              <w:spacing w:after="0"/>
              <w:rPr>
                <w:sz w:val="24"/>
                <w:szCs w:val="24"/>
                <w:color w:val="auto"/>
              </w:rPr>
            </w:pPr>
          </w:p>
        </w:tc>
      </w:tr>
      <w:tr>
        <w:trPr>
          <w:trHeight w:val="216"/>
        </w:trPr>
        <w:tc>
          <w:tcPr>
            <w:tcW w:w="680" w:type="dxa"/>
            <w:vAlign w:val="bottom"/>
          </w:tcPr>
          <w:p>
            <w:pPr>
              <w:spacing w:after="0"/>
              <w:rPr>
                <w:rFonts w:ascii="Arial" w:cs="Arial" w:eastAsia="Arial" w:hAnsi="Arial"/>
                <w:sz w:val="16"/>
                <w:szCs w:val="16"/>
                <w:color w:val="0000FF"/>
              </w:rPr>
            </w:pPr>
            <w:hyperlink w:anchor="page47">
              <w:r>
                <w:rPr>
                  <w:rFonts w:ascii="Arial" w:cs="Arial" w:eastAsia="Arial" w:hAnsi="Arial"/>
                  <w:sz w:val="16"/>
                  <w:szCs w:val="16"/>
                  <w:u w:val="single" w:color="auto"/>
                  <w:color w:val="0000FF"/>
                </w:rPr>
                <w:t>Item 1</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7">
              <w:r>
                <w:rPr>
                  <w:rFonts w:ascii="Arial" w:cs="Arial" w:eastAsia="Arial" w:hAnsi="Arial"/>
                  <w:sz w:val="16"/>
                  <w:szCs w:val="16"/>
                  <w:u w:val="single" w:color="auto"/>
                  <w:color w:val="0000FF"/>
                </w:rPr>
                <w:t>Legal Proceedings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7">
              <w:r>
                <w:rPr>
                  <w:rFonts w:ascii="Arial" w:cs="Arial" w:eastAsia="Arial" w:hAnsi="Arial"/>
                  <w:sz w:val="16"/>
                  <w:szCs w:val="16"/>
                  <w:u w:val="single" w:color="auto"/>
                  <w:color w:val="0000FF"/>
                  <w:w w:val="89"/>
                </w:rPr>
                <w:t>46</w:t>
              </w:r>
            </w:hyperlink>
          </w:p>
        </w:tc>
      </w:tr>
      <w:tr>
        <w:trPr>
          <w:trHeight w:val="216"/>
        </w:trPr>
        <w:tc>
          <w:tcPr>
            <w:tcW w:w="680" w:type="dxa"/>
            <w:vAlign w:val="bottom"/>
          </w:tcPr>
          <w:p>
            <w:pPr>
              <w:spacing w:after="0"/>
              <w:rPr>
                <w:rFonts w:ascii="Arial" w:cs="Arial" w:eastAsia="Arial" w:hAnsi="Arial"/>
                <w:sz w:val="16"/>
                <w:szCs w:val="16"/>
                <w:u w:val="single" w:color="auto"/>
                <w:color w:val="0000FF"/>
              </w:rPr>
            </w:pPr>
            <w:hyperlink w:anchor="page47">
              <w:r>
                <w:rPr>
                  <w:rFonts w:ascii="Arial" w:cs="Arial" w:eastAsia="Arial" w:hAnsi="Arial"/>
                  <w:sz w:val="16"/>
                  <w:szCs w:val="16"/>
                  <w:u w:val="single" w:color="auto"/>
                  <w:color w:val="0000FF"/>
                </w:rPr>
                <w:t>Item 1A.</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7">
              <w:r>
                <w:rPr>
                  <w:rFonts w:ascii="Arial" w:cs="Arial" w:eastAsia="Arial" w:hAnsi="Arial"/>
                  <w:sz w:val="16"/>
                  <w:szCs w:val="16"/>
                  <w:u w:val="single" w:color="auto"/>
                  <w:color w:val="0000FF"/>
                </w:rPr>
                <w:t>Risk Factors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7">
              <w:r>
                <w:rPr>
                  <w:rFonts w:ascii="Arial" w:cs="Arial" w:eastAsia="Arial" w:hAnsi="Arial"/>
                  <w:sz w:val="16"/>
                  <w:szCs w:val="16"/>
                  <w:u w:val="single" w:color="auto"/>
                  <w:color w:val="0000FF"/>
                  <w:w w:val="89"/>
                </w:rPr>
                <w:t>46</w:t>
              </w:r>
            </w:hyperlink>
          </w:p>
        </w:tc>
      </w:tr>
      <w:tr>
        <w:trPr>
          <w:trHeight w:val="216"/>
        </w:trPr>
        <w:tc>
          <w:tcPr>
            <w:tcW w:w="680" w:type="dxa"/>
            <w:vAlign w:val="bottom"/>
          </w:tcPr>
          <w:p>
            <w:pPr>
              <w:spacing w:after="0"/>
              <w:rPr>
                <w:rFonts w:ascii="Arial" w:cs="Arial" w:eastAsia="Arial" w:hAnsi="Arial"/>
                <w:sz w:val="16"/>
                <w:szCs w:val="16"/>
                <w:color w:val="0000FF"/>
              </w:rPr>
            </w:pPr>
            <w:hyperlink w:anchor="page49">
              <w:r>
                <w:rPr>
                  <w:rFonts w:ascii="Arial" w:cs="Arial" w:eastAsia="Arial" w:hAnsi="Arial"/>
                  <w:sz w:val="16"/>
                  <w:szCs w:val="16"/>
                  <w:u w:val="single" w:color="auto"/>
                  <w:color w:val="0000FF"/>
                </w:rPr>
                <w:t>Item 2</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9">
              <w:r>
                <w:rPr>
                  <w:rFonts w:ascii="Arial" w:cs="Arial" w:eastAsia="Arial" w:hAnsi="Arial"/>
                  <w:sz w:val="16"/>
                  <w:szCs w:val="16"/>
                  <w:u w:val="single" w:color="auto"/>
                  <w:color w:val="0000FF"/>
                </w:rPr>
                <w:t>Properties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9">
              <w:r>
                <w:rPr>
                  <w:rFonts w:ascii="Arial" w:cs="Arial" w:eastAsia="Arial" w:hAnsi="Arial"/>
                  <w:sz w:val="16"/>
                  <w:szCs w:val="16"/>
                  <w:u w:val="single" w:color="auto"/>
                  <w:color w:val="0000FF"/>
                  <w:w w:val="89"/>
                </w:rPr>
                <w:t>48</w:t>
              </w:r>
            </w:hyperlink>
          </w:p>
        </w:tc>
      </w:tr>
      <w:tr>
        <w:trPr>
          <w:trHeight w:val="216"/>
        </w:trPr>
        <w:tc>
          <w:tcPr>
            <w:tcW w:w="680" w:type="dxa"/>
            <w:vAlign w:val="bottom"/>
          </w:tcPr>
          <w:p>
            <w:pPr>
              <w:spacing w:after="0"/>
              <w:rPr>
                <w:rFonts w:ascii="Arial" w:cs="Arial" w:eastAsia="Arial" w:hAnsi="Arial"/>
                <w:sz w:val="16"/>
                <w:szCs w:val="16"/>
                <w:color w:val="0000FF"/>
              </w:rPr>
            </w:pPr>
            <w:hyperlink w:anchor="page49">
              <w:r>
                <w:rPr>
                  <w:rFonts w:ascii="Arial" w:cs="Arial" w:eastAsia="Arial" w:hAnsi="Arial"/>
                  <w:sz w:val="16"/>
                  <w:szCs w:val="16"/>
                  <w:u w:val="single" w:color="auto"/>
                  <w:color w:val="0000FF"/>
                </w:rPr>
                <w:t>Item 3</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9">
              <w:r>
                <w:rPr>
                  <w:rFonts w:ascii="Arial" w:cs="Arial" w:eastAsia="Arial" w:hAnsi="Arial"/>
                  <w:sz w:val="16"/>
                  <w:szCs w:val="16"/>
                  <w:u w:val="single" w:color="auto"/>
                  <w:color w:val="0000FF"/>
                </w:rPr>
                <w:t>Defaults upon Senior Securities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9">
              <w:r>
                <w:rPr>
                  <w:rFonts w:ascii="Arial" w:cs="Arial" w:eastAsia="Arial" w:hAnsi="Arial"/>
                  <w:sz w:val="16"/>
                  <w:szCs w:val="16"/>
                  <w:u w:val="single" w:color="auto"/>
                  <w:color w:val="0000FF"/>
                  <w:w w:val="89"/>
                </w:rPr>
                <w:t>48</w:t>
              </w:r>
            </w:hyperlink>
          </w:p>
        </w:tc>
      </w:tr>
      <w:tr>
        <w:trPr>
          <w:trHeight w:val="216"/>
        </w:trPr>
        <w:tc>
          <w:tcPr>
            <w:tcW w:w="680" w:type="dxa"/>
            <w:vAlign w:val="bottom"/>
          </w:tcPr>
          <w:p>
            <w:pPr>
              <w:spacing w:after="0"/>
              <w:rPr>
                <w:rFonts w:ascii="Arial" w:cs="Arial" w:eastAsia="Arial" w:hAnsi="Arial"/>
                <w:sz w:val="16"/>
                <w:szCs w:val="16"/>
                <w:color w:val="0000FF"/>
              </w:rPr>
            </w:pPr>
            <w:hyperlink w:anchor="page49">
              <w:r>
                <w:rPr>
                  <w:rFonts w:ascii="Arial" w:cs="Arial" w:eastAsia="Arial" w:hAnsi="Arial"/>
                  <w:sz w:val="16"/>
                  <w:szCs w:val="16"/>
                  <w:u w:val="single" w:color="auto"/>
                  <w:color w:val="0000FF"/>
                </w:rPr>
                <w:t>Item 4</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9">
              <w:r>
                <w:rPr>
                  <w:rFonts w:ascii="Arial" w:cs="Arial" w:eastAsia="Arial" w:hAnsi="Arial"/>
                  <w:sz w:val="16"/>
                  <w:szCs w:val="16"/>
                  <w:u w:val="single" w:color="auto"/>
                  <w:color w:val="0000FF"/>
                </w:rPr>
                <w:t>Mine Safety Disclosures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9">
              <w:r>
                <w:rPr>
                  <w:rFonts w:ascii="Arial" w:cs="Arial" w:eastAsia="Arial" w:hAnsi="Arial"/>
                  <w:sz w:val="16"/>
                  <w:szCs w:val="16"/>
                  <w:u w:val="single" w:color="auto"/>
                  <w:color w:val="0000FF"/>
                  <w:w w:val="89"/>
                </w:rPr>
                <w:t>48</w:t>
              </w:r>
            </w:hyperlink>
          </w:p>
        </w:tc>
      </w:tr>
      <w:tr>
        <w:trPr>
          <w:trHeight w:val="216"/>
        </w:trPr>
        <w:tc>
          <w:tcPr>
            <w:tcW w:w="680" w:type="dxa"/>
            <w:vAlign w:val="bottom"/>
          </w:tcPr>
          <w:p>
            <w:pPr>
              <w:spacing w:after="0"/>
              <w:rPr>
                <w:rFonts w:ascii="Arial" w:cs="Arial" w:eastAsia="Arial" w:hAnsi="Arial"/>
                <w:sz w:val="16"/>
                <w:szCs w:val="16"/>
                <w:color w:val="0000FF"/>
              </w:rPr>
            </w:pPr>
            <w:hyperlink w:anchor="page49">
              <w:r>
                <w:rPr>
                  <w:rFonts w:ascii="Arial" w:cs="Arial" w:eastAsia="Arial" w:hAnsi="Arial"/>
                  <w:sz w:val="16"/>
                  <w:szCs w:val="16"/>
                  <w:u w:val="single" w:color="auto"/>
                  <w:color w:val="0000FF"/>
                </w:rPr>
                <w:t>Item 5</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49">
              <w:r>
                <w:rPr>
                  <w:rFonts w:ascii="Arial" w:cs="Arial" w:eastAsia="Arial" w:hAnsi="Arial"/>
                  <w:sz w:val="16"/>
                  <w:szCs w:val="16"/>
                  <w:u w:val="single" w:color="auto"/>
                  <w:color w:val="0000FF"/>
                </w:rPr>
                <w:t>Other Information</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49">
              <w:r>
                <w:rPr>
                  <w:rFonts w:ascii="Arial" w:cs="Arial" w:eastAsia="Arial" w:hAnsi="Arial"/>
                  <w:sz w:val="16"/>
                  <w:szCs w:val="16"/>
                  <w:u w:val="single" w:color="auto"/>
                  <w:color w:val="0000FF"/>
                  <w:w w:val="89"/>
                </w:rPr>
                <w:t>49</w:t>
              </w:r>
            </w:hyperlink>
          </w:p>
        </w:tc>
      </w:tr>
      <w:tr>
        <w:trPr>
          <w:trHeight w:val="216"/>
        </w:trPr>
        <w:tc>
          <w:tcPr>
            <w:tcW w:w="680" w:type="dxa"/>
            <w:vAlign w:val="bottom"/>
          </w:tcPr>
          <w:p>
            <w:pPr>
              <w:spacing w:after="0"/>
              <w:rPr>
                <w:rFonts w:ascii="Arial" w:cs="Arial" w:eastAsia="Arial" w:hAnsi="Arial"/>
                <w:sz w:val="16"/>
                <w:szCs w:val="16"/>
                <w:color w:val="0000FF"/>
              </w:rPr>
            </w:pPr>
            <w:hyperlink w:anchor="page50">
              <w:r>
                <w:rPr>
                  <w:rFonts w:ascii="Arial" w:cs="Arial" w:eastAsia="Arial" w:hAnsi="Arial"/>
                  <w:sz w:val="16"/>
                  <w:szCs w:val="16"/>
                  <w:u w:val="single" w:color="auto"/>
                  <w:color w:val="0000FF"/>
                </w:rPr>
                <w:t>Item 6</w:t>
              </w:r>
              <w:r>
                <w:rPr>
                  <w:rFonts w:ascii="Arial" w:cs="Arial" w:eastAsia="Arial" w:hAnsi="Arial"/>
                  <w:sz w:val="16"/>
                  <w:szCs w:val="16"/>
                  <w:color w:val="0000FF"/>
                </w:rPr>
                <w:t>.</w:t>
              </w:r>
            </w:hyperlink>
          </w:p>
        </w:tc>
        <w:tc>
          <w:tcPr>
            <w:tcW w:w="7900" w:type="dxa"/>
            <w:vAlign w:val="bottom"/>
          </w:tcPr>
          <w:p>
            <w:pPr>
              <w:ind w:left="320"/>
              <w:spacing w:after="0"/>
              <w:rPr>
                <w:rFonts w:ascii="Arial" w:cs="Arial" w:eastAsia="Arial" w:hAnsi="Arial"/>
                <w:sz w:val="16"/>
                <w:szCs w:val="16"/>
                <w:u w:val="single" w:color="auto"/>
                <w:color w:val="0000FF"/>
              </w:rPr>
            </w:pPr>
            <w:hyperlink w:anchor="page50">
              <w:r>
                <w:rPr>
                  <w:rFonts w:ascii="Arial" w:cs="Arial" w:eastAsia="Arial" w:hAnsi="Arial"/>
                  <w:sz w:val="16"/>
                  <w:szCs w:val="16"/>
                  <w:u w:val="single" w:color="auto"/>
                  <w:color w:val="0000FF"/>
                </w:rPr>
                <w:t>Exhibits</w:t>
              </w:r>
            </w:hyperlink>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50">
              <w:r>
                <w:rPr>
                  <w:rFonts w:ascii="Arial" w:cs="Arial" w:eastAsia="Arial" w:hAnsi="Arial"/>
                  <w:sz w:val="16"/>
                  <w:szCs w:val="16"/>
                  <w:u w:val="single" w:color="auto"/>
                  <w:color w:val="0000FF"/>
                  <w:w w:val="89"/>
                </w:rPr>
                <w:t>50</w:t>
              </w:r>
            </w:hyperlink>
          </w:p>
        </w:tc>
      </w:tr>
      <w:tr>
        <w:trPr>
          <w:trHeight w:val="438"/>
        </w:trPr>
        <w:tc>
          <w:tcPr>
            <w:tcW w:w="680" w:type="dxa"/>
            <w:vAlign w:val="bottom"/>
            <w:tcBorders>
              <w:bottom w:val="single" w:sz="8" w:color="0000FF"/>
            </w:tcBorders>
          </w:tcPr>
          <w:p>
            <w:pPr>
              <w:spacing w:after="0"/>
              <w:rPr>
                <w:sz w:val="20"/>
                <w:szCs w:val="20"/>
                <w:color w:val="auto"/>
              </w:rPr>
            </w:pPr>
            <w:r>
              <w:rPr>
                <w:rFonts w:ascii="Arial" w:cs="Arial" w:eastAsia="Arial" w:hAnsi="Arial"/>
                <w:sz w:val="16"/>
                <w:szCs w:val="16"/>
                <w:color w:val="0000FF"/>
                <w:w w:val="86"/>
              </w:rPr>
              <w:t>Signatures</w:t>
            </w:r>
          </w:p>
        </w:tc>
        <w:tc>
          <w:tcPr>
            <w:tcW w:w="7900" w:type="dxa"/>
            <w:vAlign w:val="bottom"/>
          </w:tcPr>
          <w:p>
            <w:pPr>
              <w:spacing w:after="0"/>
              <w:rPr>
                <w:sz w:val="24"/>
                <w:szCs w:val="24"/>
                <w:color w:val="auto"/>
              </w:rPr>
            </w:pPr>
          </w:p>
        </w:tc>
        <w:tc>
          <w:tcPr>
            <w:tcW w:w="1960" w:type="dxa"/>
            <w:vAlign w:val="bottom"/>
          </w:tcPr>
          <w:p>
            <w:pPr>
              <w:jc w:val="center"/>
              <w:ind w:left="1718"/>
              <w:spacing w:after="0"/>
              <w:rPr>
                <w:rFonts w:ascii="Arial" w:cs="Arial" w:eastAsia="Arial" w:hAnsi="Arial"/>
                <w:sz w:val="16"/>
                <w:szCs w:val="16"/>
                <w:u w:val="single" w:color="auto"/>
                <w:color w:val="0000FF"/>
                <w:w w:val="89"/>
              </w:rPr>
            </w:pPr>
            <w:hyperlink w:anchor="page52">
              <w:r>
                <w:rPr>
                  <w:rFonts w:ascii="Arial" w:cs="Arial" w:eastAsia="Arial" w:hAnsi="Arial"/>
                  <w:sz w:val="16"/>
                  <w:szCs w:val="16"/>
                  <w:u w:val="single" w:color="auto"/>
                  <w:color w:val="0000FF"/>
                  <w:w w:val="89"/>
                </w:rPr>
                <w:t>52</w:t>
              </w:r>
            </w:hyperlink>
          </w:p>
        </w:tc>
      </w:tr>
    </w:tbl>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56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83185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40"/>
          </w:cols>
          <w:pgMar w:left="340" w:top="891" w:right="101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PART I. FINANCIAL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Financial Statements</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 millions, except per share data)</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 2020</w:t>
            </w:r>
          </w:p>
        </w:tc>
        <w:tc>
          <w:tcPr>
            <w:tcW w:w="160" w:type="dxa"/>
            <w:vAlign w:val="bottom"/>
          </w:tcPr>
          <w:p>
            <w:pPr>
              <w:spacing w:after="0"/>
              <w:rPr>
                <w:sz w:val="16"/>
                <w:szCs w:val="16"/>
                <w:color w:val="auto"/>
              </w:rPr>
            </w:pPr>
          </w:p>
        </w:tc>
        <w:tc>
          <w:tcPr>
            <w:tcW w:w="1440" w:type="dxa"/>
            <w:vAlign w:val="bottom"/>
          </w:tcPr>
          <w:p>
            <w:pPr>
              <w:jc w:val="right"/>
              <w:ind w:right="139"/>
              <w:spacing w:after="0"/>
              <w:rPr>
                <w:sz w:val="20"/>
                <w:szCs w:val="20"/>
                <w:color w:val="auto"/>
              </w:rPr>
            </w:pPr>
            <w:r>
              <w:rPr>
                <w:rFonts w:ascii="Arial" w:cs="Arial" w:eastAsia="Arial" w:hAnsi="Arial"/>
                <w:sz w:val="14"/>
                <w:szCs w:val="14"/>
                <w:b w:val="1"/>
                <w:bCs w:val="1"/>
                <w:color w:val="auto"/>
                <w:w w:val="95"/>
              </w:rPr>
              <w:t>December 31, 2019</w:t>
            </w:r>
          </w:p>
        </w:tc>
        <w:tc>
          <w:tcPr>
            <w:tcW w:w="0" w:type="dxa"/>
            <w:vAlign w:val="bottom"/>
          </w:tcPr>
          <w:p>
            <w:pPr>
              <w:spacing w:after="0"/>
              <w:rPr>
                <w:sz w:val="1"/>
                <w:szCs w:val="1"/>
                <w:color w:val="auto"/>
              </w:rPr>
            </w:pPr>
          </w:p>
        </w:tc>
      </w:tr>
      <w:tr>
        <w:trPr>
          <w:trHeight w:val="187"/>
        </w:trPr>
        <w:tc>
          <w:tcPr>
            <w:tcW w:w="790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79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16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Agency securities, at fair value (including pledged securities of $55,711 and $92,608, respectively)</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66,556</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98,516</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371</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Credit risk transfer securities, at fair value (including pledged securities of $413 and $309, respectively)</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653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976</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Non-Agency securities, at fair value (including pledged securities of $455 and $0, respectively)</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579</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U.S. Treasury securities, at fair value (including pledged securities of $0 and $97, respectively)</w:t>
            </w:r>
          </w:p>
        </w:tc>
        <w:tc>
          <w:tcPr>
            <w:tcW w:w="160" w:type="dxa"/>
            <w:vAlign w:val="bottom"/>
          </w:tcPr>
          <w:p>
            <w:pPr>
              <w:spacing w:after="0"/>
              <w:rPr>
                <w:sz w:val="18"/>
                <w:szCs w:val="18"/>
                <w:color w:val="auto"/>
              </w:rPr>
            </w:pPr>
          </w:p>
        </w:tc>
        <w:tc>
          <w:tcPr>
            <w:tcW w:w="15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Cash and cash equivalents</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831</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Restricted cash</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1,557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451</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Derivative assets, at fair value</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Receivable for investment securities sold (including pledged securities of $10 and $0, respectively)</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10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Receivable under reverse repurchase agreements</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8,625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10,181</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Goodwill</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526</w:t>
            </w:r>
          </w:p>
        </w:tc>
        <w:tc>
          <w:tcPr>
            <w:tcW w:w="0" w:type="dxa"/>
            <w:vAlign w:val="bottom"/>
          </w:tcPr>
          <w:p>
            <w:pPr>
              <w:spacing w:after="0"/>
              <w:rPr>
                <w:sz w:val="1"/>
                <w:szCs w:val="1"/>
                <w:color w:val="auto"/>
              </w:rPr>
            </w:pPr>
          </w:p>
        </w:tc>
      </w:tr>
      <w:tr>
        <w:trPr>
          <w:trHeight w:val="216"/>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assets</w:t>
            </w:r>
          </w:p>
        </w:tc>
        <w:tc>
          <w:tcPr>
            <w:tcW w:w="16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219</w:t>
            </w: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364</w:t>
            </w:r>
          </w:p>
        </w:tc>
        <w:tc>
          <w:tcPr>
            <w:tcW w:w="0" w:type="dxa"/>
            <w:vAlign w:val="bottom"/>
          </w:tcPr>
          <w:p>
            <w:pPr>
              <w:spacing w:after="0"/>
              <w:rPr>
                <w:sz w:val="1"/>
                <w:szCs w:val="1"/>
                <w:color w:val="auto"/>
              </w:rPr>
            </w:pPr>
          </w:p>
        </w:tc>
      </w:tr>
      <w:tr>
        <w:trPr>
          <w:trHeight w:val="213"/>
        </w:trPr>
        <w:tc>
          <w:tcPr>
            <w:tcW w:w="7900" w:type="dxa"/>
            <w:vAlign w:val="bottom"/>
          </w:tcPr>
          <w:p>
            <w:pPr>
              <w:ind w:left="540"/>
              <w:spacing w:after="0"/>
              <w:rPr>
                <w:sz w:val="20"/>
                <w:szCs w:val="20"/>
                <w:color w:val="auto"/>
              </w:rPr>
            </w:pPr>
            <w:r>
              <w:rPr>
                <w:rFonts w:ascii="Arial" w:cs="Arial" w:eastAsia="Arial" w:hAnsi="Arial"/>
                <w:sz w:val="16"/>
                <w:szCs w:val="16"/>
                <w:color w:val="auto"/>
              </w:rPr>
              <w:t>Total assets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79,968</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113,082</w:t>
            </w:r>
          </w:p>
        </w:tc>
        <w:tc>
          <w:tcPr>
            <w:tcW w:w="0" w:type="dxa"/>
            <w:vAlign w:val="bottom"/>
          </w:tcPr>
          <w:p>
            <w:pPr>
              <w:spacing w:after="0"/>
              <w:rPr>
                <w:sz w:val="1"/>
                <w:szCs w:val="1"/>
                <w:color w:val="auto"/>
              </w:rPr>
            </w:pPr>
          </w:p>
        </w:tc>
      </w:tr>
      <w:tr>
        <w:trPr>
          <w:trHeight w:val="20"/>
        </w:trPr>
        <w:tc>
          <w:tcPr>
            <w:tcW w:w="79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9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Liabilities:</w:t>
            </w:r>
          </w:p>
        </w:tc>
        <w:tc>
          <w:tcPr>
            <w:tcW w:w="16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Repurchase agreements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54,566</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Pr>
          <w:p>
            <w:pPr>
              <w:jc w:val="right"/>
              <w:spacing w:after="0"/>
              <w:rPr>
                <w:sz w:val="20"/>
                <w:szCs w:val="20"/>
                <w:color w:val="auto"/>
              </w:rPr>
            </w:pPr>
            <w:r>
              <w:rPr>
                <w:rFonts w:ascii="Arial" w:cs="Arial" w:eastAsia="Arial" w:hAnsi="Arial"/>
                <w:sz w:val="16"/>
                <w:szCs w:val="16"/>
                <w:color w:val="auto"/>
              </w:rPr>
              <w:t>89,182</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Debt of consolidated variable interest entities, at fair value</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228</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Payable for investment securities purchased</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5,887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2,554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Derivative liabilities, at fair value</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Dividends payable</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90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8,372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9,543</w:t>
            </w:r>
          </w:p>
        </w:tc>
        <w:tc>
          <w:tcPr>
            <w:tcW w:w="0" w:type="dxa"/>
            <w:vAlign w:val="bottom"/>
          </w:tcPr>
          <w:p>
            <w:pPr>
              <w:spacing w:after="0"/>
              <w:rPr>
                <w:sz w:val="1"/>
                <w:szCs w:val="1"/>
                <w:color w:val="auto"/>
              </w:rPr>
            </w:pPr>
          </w:p>
        </w:tc>
      </w:tr>
      <w:tr>
        <w:trPr>
          <w:trHeight w:val="213"/>
        </w:trPr>
        <w:tc>
          <w:tcPr>
            <w:tcW w:w="790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Accounts payable and other liabilities</w:t>
            </w:r>
          </w:p>
        </w:tc>
        <w:tc>
          <w:tcPr>
            <w:tcW w:w="1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424</w:t>
            </w:r>
          </w:p>
        </w:tc>
        <w:tc>
          <w:tcPr>
            <w:tcW w:w="0" w:type="dxa"/>
            <w:vAlign w:val="bottom"/>
          </w:tcPr>
          <w:p>
            <w:pPr>
              <w:spacing w:after="0"/>
              <w:rPr>
                <w:sz w:val="1"/>
                <w:szCs w:val="1"/>
                <w:color w:val="auto"/>
              </w:rPr>
            </w:pPr>
          </w:p>
        </w:tc>
      </w:tr>
      <w:tr>
        <w:trPr>
          <w:trHeight w:val="213"/>
        </w:trPr>
        <w:tc>
          <w:tcPr>
            <w:tcW w:w="79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Total liabilities</w:t>
            </w:r>
          </w:p>
        </w:tc>
        <w:tc>
          <w:tcPr>
            <w:tcW w:w="16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69,248</w:t>
            </w: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102,041</w:t>
            </w:r>
          </w:p>
        </w:tc>
        <w:tc>
          <w:tcPr>
            <w:tcW w:w="0" w:type="dxa"/>
            <w:vAlign w:val="bottom"/>
          </w:tcPr>
          <w:p>
            <w:pPr>
              <w:spacing w:after="0"/>
              <w:rPr>
                <w:sz w:val="1"/>
                <w:szCs w:val="1"/>
                <w:color w:val="auto"/>
              </w:rPr>
            </w:pPr>
          </w:p>
        </w:tc>
      </w:tr>
      <w:tr>
        <w:trPr>
          <w:trHeight w:val="193"/>
        </w:trPr>
        <w:tc>
          <w:tcPr>
            <w:tcW w:w="7900" w:type="dxa"/>
            <w:vAlign w:val="bottom"/>
          </w:tcPr>
          <w:p>
            <w:pPr>
              <w:ind w:left="20"/>
              <w:spacing w:after="0"/>
              <w:rPr>
                <w:sz w:val="20"/>
                <w:szCs w:val="20"/>
                <w:color w:val="auto"/>
              </w:rPr>
            </w:pPr>
            <w:r>
              <w:rPr>
                <w:rFonts w:ascii="Arial" w:cs="Arial" w:eastAsia="Arial" w:hAnsi="Arial"/>
                <w:sz w:val="16"/>
                <w:szCs w:val="16"/>
                <w:b w:val="1"/>
                <w:bCs w:val="1"/>
                <w:color w:val="auto"/>
              </w:rPr>
              <w:t>Stockholders' equity:</w:t>
            </w:r>
          </w:p>
        </w:tc>
        <w:tc>
          <w:tcPr>
            <w:tcW w:w="1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Preferred Stock - aggregate liquidation preference of $1,538 and $963, respectively</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932</w:t>
            </w:r>
          </w:p>
        </w:tc>
        <w:tc>
          <w:tcPr>
            <w:tcW w:w="0" w:type="dxa"/>
            <w:vAlign w:val="bottom"/>
          </w:tcPr>
          <w:p>
            <w:pPr>
              <w:spacing w:after="0"/>
              <w:rPr>
                <w:sz w:val="1"/>
                <w:szCs w:val="1"/>
                <w:color w:val="auto"/>
              </w:rPr>
            </w:pPr>
          </w:p>
        </w:tc>
      </w:tr>
      <w:tr>
        <w:trPr>
          <w:trHeight w:val="166"/>
        </w:trPr>
        <w:tc>
          <w:tcPr>
            <w:tcW w:w="7900" w:type="dxa"/>
            <w:vAlign w:val="bottom"/>
          </w:tcPr>
          <w:p>
            <w:pPr>
              <w:ind w:left="220"/>
              <w:spacing w:after="0" w:line="166" w:lineRule="exact"/>
              <w:rPr>
                <w:sz w:val="20"/>
                <w:szCs w:val="20"/>
                <w:color w:val="auto"/>
              </w:rPr>
            </w:pPr>
            <w:r>
              <w:rPr>
                <w:rFonts w:ascii="Arial" w:cs="Arial" w:eastAsia="Arial" w:hAnsi="Arial"/>
                <w:sz w:val="16"/>
                <w:szCs w:val="16"/>
                <w:color w:val="auto"/>
                <w:w w:val="92"/>
              </w:rPr>
              <w:t>Common stock - $0.01 par value; 1,500 and 900 shares authorized, respectively; 545.2 and 540.9 shares issued and</w:t>
            </w:r>
          </w:p>
        </w:tc>
        <w:tc>
          <w:tcPr>
            <w:tcW w:w="160" w:type="dxa"/>
            <w:vAlign w:val="bottom"/>
          </w:tcPr>
          <w:p>
            <w:pPr>
              <w:spacing w:after="0"/>
              <w:rPr>
                <w:sz w:val="14"/>
                <w:szCs w:val="14"/>
                <w:color w:val="auto"/>
              </w:rPr>
            </w:pPr>
          </w:p>
        </w:tc>
        <w:tc>
          <w:tcPr>
            <w:tcW w:w="144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09"/>
        </w:trPr>
        <w:tc>
          <w:tcPr>
            <w:tcW w:w="7900" w:type="dxa"/>
            <w:vAlign w:val="bottom"/>
          </w:tcPr>
          <w:p>
            <w:pPr>
              <w:ind w:left="220"/>
              <w:spacing w:after="0"/>
              <w:rPr>
                <w:sz w:val="20"/>
                <w:szCs w:val="20"/>
                <w:color w:val="auto"/>
              </w:rPr>
            </w:pPr>
            <w:r>
              <w:rPr>
                <w:rFonts w:ascii="Arial" w:cs="Arial" w:eastAsia="Arial" w:hAnsi="Arial"/>
                <w:sz w:val="16"/>
                <w:szCs w:val="16"/>
                <w:color w:val="auto"/>
              </w:rPr>
              <w:t>outstanding, respectively</w:t>
            </w:r>
          </w:p>
        </w:tc>
        <w:tc>
          <w:tcPr>
            <w:tcW w:w="16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Additional paid-in capital</w:t>
            </w: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14,053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13,893</w:t>
            </w:r>
          </w:p>
        </w:tc>
        <w:tc>
          <w:tcPr>
            <w:tcW w:w="0" w:type="dxa"/>
            <w:vAlign w:val="bottom"/>
          </w:tcPr>
          <w:p>
            <w:pPr>
              <w:spacing w:after="0"/>
              <w:rPr>
                <w:sz w:val="1"/>
                <w:szCs w:val="1"/>
                <w:color w:val="auto"/>
              </w:rPr>
            </w:pPr>
          </w:p>
        </w:tc>
      </w:tr>
      <w:tr>
        <w:trPr>
          <w:trHeight w:val="213"/>
        </w:trPr>
        <w:tc>
          <w:tcPr>
            <w:tcW w:w="7900" w:type="dxa"/>
            <w:vAlign w:val="bottom"/>
          </w:tcPr>
          <w:p>
            <w:pPr>
              <w:ind w:left="220"/>
              <w:spacing w:after="0"/>
              <w:rPr>
                <w:sz w:val="20"/>
                <w:szCs w:val="20"/>
                <w:color w:val="auto"/>
              </w:rPr>
            </w:pPr>
            <w:r>
              <w:rPr>
                <w:rFonts w:ascii="Arial" w:cs="Arial" w:eastAsia="Arial" w:hAnsi="Arial"/>
                <w:sz w:val="16"/>
                <w:szCs w:val="16"/>
                <w:color w:val="auto"/>
              </w:rPr>
              <w:t>Retained deficit</w:t>
            </w: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(5,661)</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(3,886)</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Accumulated other comprehensive income</w:t>
            </w:r>
          </w:p>
        </w:tc>
        <w:tc>
          <w:tcPr>
            <w:tcW w:w="16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834</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06"/>
        </w:trPr>
        <w:tc>
          <w:tcPr>
            <w:tcW w:w="7900" w:type="dxa"/>
            <w:vAlign w:val="bottom"/>
            <w:tcBorders>
              <w:bottom w:val="single" w:sz="8" w:color="CCEEFF"/>
            </w:tcBorders>
          </w:tcPr>
          <w:p>
            <w:pPr>
              <w:ind w:left="540"/>
              <w:spacing w:after="0"/>
              <w:rPr>
                <w:sz w:val="20"/>
                <w:szCs w:val="20"/>
                <w:color w:val="auto"/>
              </w:rPr>
            </w:pPr>
            <w:r>
              <w:rPr>
                <w:rFonts w:ascii="Arial" w:cs="Arial" w:eastAsia="Arial" w:hAnsi="Arial"/>
                <w:sz w:val="16"/>
                <w:szCs w:val="16"/>
                <w:color w:val="auto"/>
              </w:rPr>
              <w:t>Total stockholders' equity</w:t>
            </w:r>
          </w:p>
        </w:tc>
        <w:tc>
          <w:tcPr>
            <w:tcW w:w="16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10,720</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11,041</w:t>
            </w:r>
          </w:p>
        </w:tc>
        <w:tc>
          <w:tcPr>
            <w:tcW w:w="0" w:type="dxa"/>
            <w:vAlign w:val="bottom"/>
          </w:tcPr>
          <w:p>
            <w:pPr>
              <w:spacing w:after="0"/>
              <w:rPr>
                <w:sz w:val="1"/>
                <w:szCs w:val="1"/>
                <w:color w:val="auto"/>
              </w:rPr>
            </w:pPr>
          </w:p>
        </w:tc>
      </w:tr>
      <w:tr>
        <w:trPr>
          <w:trHeight w:val="238"/>
        </w:trPr>
        <w:tc>
          <w:tcPr>
            <w:tcW w:w="790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6"/>
                <w:szCs w:val="16"/>
                <w:color w:val="auto"/>
              </w:rPr>
              <w:t>Total liabilities and stockholders' equity</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79,968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113,082</w:t>
            </w: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891" w:right="37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 except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80" w:type="dxa"/>
            <w:vAlign w:val="bottom"/>
            <w:gridSpan w:val="5"/>
          </w:tcPr>
          <w:p>
            <w:pPr>
              <w:jc w:val="center"/>
              <w:ind w:right="280"/>
              <w:spacing w:after="0"/>
              <w:rPr>
                <w:sz w:val="20"/>
                <w:szCs w:val="20"/>
                <w:color w:val="auto"/>
              </w:rPr>
            </w:pPr>
            <w:r>
              <w:rPr>
                <w:rFonts w:ascii="Arial" w:cs="Arial" w:eastAsia="Arial" w:hAnsi="Arial"/>
                <w:sz w:val="16"/>
                <w:szCs w:val="16"/>
                <w:b w:val="1"/>
                <w:bCs w:val="1"/>
                <w:color w:val="auto"/>
                <w:w w:val="93"/>
              </w:rPr>
              <w:t>Three Months Ended</w:t>
            </w:r>
          </w:p>
        </w:tc>
        <w:tc>
          <w:tcPr>
            <w:tcW w:w="180" w:type="dxa"/>
            <w:vAlign w:val="bottom"/>
          </w:tcPr>
          <w:p>
            <w:pPr>
              <w:spacing w:after="0"/>
              <w:rPr>
                <w:sz w:val="16"/>
                <w:szCs w:val="16"/>
                <w:color w:val="auto"/>
              </w:rPr>
            </w:pPr>
          </w:p>
        </w:tc>
        <w:tc>
          <w:tcPr>
            <w:tcW w:w="1760" w:type="dxa"/>
            <w:vAlign w:val="bottom"/>
            <w:gridSpan w:val="4"/>
          </w:tcPr>
          <w:p>
            <w:pPr>
              <w:jc w:val="right"/>
              <w:ind w:right="190"/>
              <w:spacing w:after="0"/>
              <w:rPr>
                <w:sz w:val="20"/>
                <w:szCs w:val="20"/>
                <w:color w:val="auto"/>
              </w:rPr>
            </w:pPr>
            <w:r>
              <w:rPr>
                <w:rFonts w:ascii="Arial" w:cs="Arial" w:eastAsia="Arial" w:hAnsi="Arial"/>
                <w:sz w:val="16"/>
                <w:szCs w:val="16"/>
                <w:b w:val="1"/>
                <w:bCs w:val="1"/>
                <w:color w:val="auto"/>
                <w:w w:val="97"/>
              </w:rPr>
              <w:t>Nine Months Ended</w:t>
            </w:r>
          </w:p>
        </w:tc>
        <w:tc>
          <w:tcPr>
            <w:tcW w:w="0" w:type="dxa"/>
            <w:vAlign w:val="bottom"/>
          </w:tcPr>
          <w:p>
            <w:pPr>
              <w:spacing w:after="0"/>
              <w:rPr>
                <w:sz w:val="1"/>
                <w:szCs w:val="1"/>
                <w:color w:val="auto"/>
              </w:rPr>
            </w:pPr>
          </w:p>
        </w:tc>
      </w:tr>
      <w:tr>
        <w:trPr>
          <w:trHeight w:val="213"/>
        </w:trPr>
        <w:tc>
          <w:tcPr>
            <w:tcW w:w="7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80" w:type="dxa"/>
            <w:vAlign w:val="bottom"/>
            <w:gridSpan w:val="5"/>
          </w:tcPr>
          <w:p>
            <w:pPr>
              <w:jc w:val="center"/>
              <w:ind w:right="280"/>
              <w:spacing w:after="0"/>
              <w:rPr>
                <w:sz w:val="20"/>
                <w:szCs w:val="20"/>
                <w:color w:val="auto"/>
              </w:rPr>
            </w:pPr>
            <w:r>
              <w:rPr>
                <w:rFonts w:ascii="Arial" w:cs="Arial" w:eastAsia="Arial" w:hAnsi="Arial"/>
                <w:sz w:val="16"/>
                <w:szCs w:val="16"/>
                <w:b w:val="1"/>
                <w:bCs w:val="1"/>
                <w:color w:val="auto"/>
                <w:w w:val="91"/>
              </w:rPr>
              <w:t>September 30,</w:t>
            </w:r>
          </w:p>
        </w:tc>
        <w:tc>
          <w:tcPr>
            <w:tcW w:w="180" w:type="dxa"/>
            <w:vAlign w:val="bottom"/>
          </w:tcPr>
          <w:p>
            <w:pPr>
              <w:spacing w:after="0"/>
              <w:rPr>
                <w:sz w:val="18"/>
                <w:szCs w:val="18"/>
                <w:color w:val="auto"/>
              </w:rPr>
            </w:pPr>
          </w:p>
        </w:tc>
        <w:tc>
          <w:tcPr>
            <w:tcW w:w="1760" w:type="dxa"/>
            <w:vAlign w:val="bottom"/>
            <w:gridSpan w:val="4"/>
          </w:tcPr>
          <w:p>
            <w:pPr>
              <w:jc w:val="right"/>
              <w:ind w:right="390"/>
              <w:spacing w:after="0"/>
              <w:rPr>
                <w:sz w:val="20"/>
                <w:szCs w:val="20"/>
                <w:color w:val="auto"/>
              </w:rPr>
            </w:pPr>
            <w:r>
              <w:rPr>
                <w:rFonts w:ascii="Arial" w:cs="Arial" w:eastAsia="Arial" w:hAnsi="Arial"/>
                <w:sz w:val="16"/>
                <w:szCs w:val="16"/>
                <w:b w:val="1"/>
                <w:bCs w:val="1"/>
                <w:color w:val="auto"/>
              </w:rPr>
              <w:t>September 30,</w:t>
            </w:r>
          </w:p>
        </w:tc>
        <w:tc>
          <w:tcPr>
            <w:tcW w:w="0" w:type="dxa"/>
            <w:vAlign w:val="bottom"/>
          </w:tcPr>
          <w:p>
            <w:pPr>
              <w:spacing w:after="0"/>
              <w:rPr>
                <w:sz w:val="1"/>
                <w:szCs w:val="1"/>
                <w:color w:val="auto"/>
              </w:rPr>
            </w:pPr>
          </w:p>
        </w:tc>
      </w:tr>
      <w:tr>
        <w:trPr>
          <w:trHeight w:val="209"/>
        </w:trPr>
        <w:tc>
          <w:tcPr>
            <w:tcW w:w="724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11"/>
              <w:spacing w:after="0"/>
              <w:rPr>
                <w:sz w:val="20"/>
                <w:szCs w:val="20"/>
                <w:color w:val="auto"/>
              </w:rPr>
            </w:pPr>
            <w:r>
              <w:rPr>
                <w:rFonts w:ascii="Arial" w:cs="Arial" w:eastAsia="Arial" w:hAnsi="Arial"/>
                <w:sz w:val="16"/>
                <w:szCs w:val="16"/>
                <w:b w:val="1"/>
                <w:bCs w:val="1"/>
                <w:color w:val="auto"/>
              </w:rPr>
              <w:t>2020</w:t>
            </w:r>
          </w:p>
        </w:tc>
        <w:tc>
          <w:tcPr>
            <w:tcW w:w="10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6"/>
                <w:szCs w:val="16"/>
                <w:b w:val="1"/>
                <w:bCs w:val="1"/>
                <w:color w:val="auto"/>
              </w:rPr>
              <w:t>2019</w:t>
            </w:r>
          </w:p>
        </w:tc>
        <w:tc>
          <w:tcPr>
            <w:tcW w:w="12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11"/>
              <w:spacing w:after="0"/>
              <w:rPr>
                <w:sz w:val="20"/>
                <w:szCs w:val="20"/>
                <w:color w:val="auto"/>
              </w:rPr>
            </w:pPr>
            <w:r>
              <w:rPr>
                <w:rFonts w:ascii="Arial" w:cs="Arial" w:eastAsia="Arial" w:hAnsi="Arial"/>
                <w:sz w:val="16"/>
                <w:szCs w:val="16"/>
                <w:b w:val="1"/>
                <w:bCs w:val="1"/>
                <w:color w:val="auto"/>
              </w:rPr>
              <w:t>2020</w:t>
            </w:r>
          </w:p>
        </w:tc>
        <w:tc>
          <w:tcPr>
            <w:tcW w:w="100" w:type="dxa"/>
            <w:vAlign w:val="bottom"/>
            <w:tcBorders>
              <w:top w:val="single" w:sz="8" w:color="auto"/>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6"/>
                <w:szCs w:val="16"/>
                <w:b w:val="1"/>
                <w:bCs w:val="1"/>
                <w:color w:val="auto"/>
              </w:rPr>
              <w:t>2019</w:t>
            </w:r>
          </w:p>
        </w:tc>
        <w:tc>
          <w:tcPr>
            <w:tcW w:w="0" w:type="dxa"/>
            <w:vAlign w:val="bottom"/>
          </w:tcPr>
          <w:p>
            <w:pPr>
              <w:spacing w:after="0"/>
              <w:rPr>
                <w:sz w:val="1"/>
                <w:szCs w:val="1"/>
                <w:color w:val="auto"/>
              </w:rPr>
            </w:pPr>
          </w:p>
        </w:tc>
      </w:tr>
      <w:tr>
        <w:trPr>
          <w:trHeight w:val="212"/>
        </w:trPr>
        <w:tc>
          <w:tcPr>
            <w:tcW w:w="724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Interest income:</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40" w:type="dxa"/>
            <w:vAlign w:val="bottom"/>
          </w:tcPr>
          <w:p>
            <w:pPr>
              <w:ind w:left="340"/>
              <w:spacing w:after="0"/>
              <w:rPr>
                <w:sz w:val="20"/>
                <w:szCs w:val="20"/>
                <w:color w:val="auto"/>
              </w:rPr>
            </w:pPr>
            <w:r>
              <w:rPr>
                <w:rFonts w:ascii="Arial" w:cs="Arial" w:eastAsia="Arial" w:hAnsi="Arial"/>
                <w:sz w:val="18"/>
                <w:szCs w:val="18"/>
                <w:color w:val="auto"/>
              </w:rPr>
              <w:t>Interest income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364</w:t>
            </w:r>
          </w:p>
        </w:tc>
        <w:tc>
          <w:tcPr>
            <w:tcW w:w="10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676</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1,284</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2,074</w:t>
            </w:r>
          </w:p>
        </w:tc>
        <w:tc>
          <w:tcPr>
            <w:tcW w:w="0" w:type="dxa"/>
            <w:vAlign w:val="bottom"/>
          </w:tcPr>
          <w:p>
            <w:pPr>
              <w:spacing w:after="0"/>
              <w:rPr>
                <w:sz w:val="1"/>
                <w:szCs w:val="1"/>
                <w:color w:val="auto"/>
              </w:rPr>
            </w:pPr>
          </w:p>
        </w:tc>
      </w:tr>
      <w:tr>
        <w:trPr>
          <w:trHeight w:val="230"/>
        </w:trPr>
        <w:tc>
          <w:tcPr>
            <w:tcW w:w="7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Interest expense</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1,668</w:t>
            </w:r>
          </w:p>
        </w:tc>
        <w:tc>
          <w:tcPr>
            <w:tcW w:w="0" w:type="dxa"/>
            <w:vAlign w:val="bottom"/>
          </w:tcPr>
          <w:p>
            <w:pPr>
              <w:spacing w:after="0"/>
              <w:rPr>
                <w:sz w:val="1"/>
                <w:szCs w:val="1"/>
                <w:color w:val="auto"/>
              </w:rPr>
            </w:pPr>
          </w:p>
        </w:tc>
      </w:tr>
      <w:tr>
        <w:trPr>
          <w:trHeight w:val="223"/>
        </w:trPr>
        <w:tc>
          <w:tcPr>
            <w:tcW w:w="7240" w:type="dxa"/>
            <w:vAlign w:val="bottom"/>
            <w:tcBorders>
              <w:bottom w:val="single" w:sz="8" w:color="CCEEFF"/>
            </w:tcBorders>
          </w:tcPr>
          <w:p>
            <w:pPr>
              <w:ind w:left="660"/>
              <w:spacing w:after="0"/>
              <w:rPr>
                <w:sz w:val="20"/>
                <w:szCs w:val="20"/>
                <w:color w:val="auto"/>
              </w:rPr>
            </w:pPr>
            <w:r>
              <w:rPr>
                <w:rFonts w:ascii="Arial" w:cs="Arial" w:eastAsia="Arial" w:hAnsi="Arial"/>
                <w:sz w:val="18"/>
                <w:szCs w:val="18"/>
                <w:color w:val="auto"/>
              </w:rPr>
              <w:t>Net interest income</w:t>
            </w: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302</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662</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10"/>
        </w:trPr>
        <w:tc>
          <w:tcPr>
            <w:tcW w:w="724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Other gain (loss), net:</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40" w:type="dxa"/>
            <w:vAlign w:val="bottom"/>
          </w:tcPr>
          <w:p>
            <w:pPr>
              <w:ind w:left="340"/>
              <w:spacing w:after="0"/>
              <w:rPr>
                <w:sz w:val="20"/>
                <w:szCs w:val="20"/>
                <w:color w:val="auto"/>
              </w:rPr>
            </w:pPr>
            <w:r>
              <w:rPr>
                <w:rFonts w:ascii="Arial" w:cs="Arial" w:eastAsia="Arial" w:hAnsi="Arial"/>
                <w:sz w:val="18"/>
                <w:szCs w:val="18"/>
                <w:color w:val="auto"/>
              </w:rPr>
              <w:t>Gain on sale of investment securities, net</w:t>
            </w: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89</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993</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281</w:t>
            </w:r>
          </w:p>
        </w:tc>
        <w:tc>
          <w:tcPr>
            <w:tcW w:w="0" w:type="dxa"/>
            <w:vAlign w:val="bottom"/>
          </w:tcPr>
          <w:p>
            <w:pPr>
              <w:spacing w:after="0"/>
              <w:rPr>
                <w:sz w:val="1"/>
                <w:szCs w:val="1"/>
                <w:color w:val="auto"/>
              </w:rPr>
            </w:pPr>
          </w:p>
        </w:tc>
      </w:tr>
      <w:tr>
        <w:trPr>
          <w:trHeight w:val="229"/>
        </w:trPr>
        <w:tc>
          <w:tcPr>
            <w:tcW w:w="724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1"/>
              </w:rPr>
              <w:t>Unrealized gain (loss) on investment securities measured at fair value through net income, net</w:t>
            </w: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2,174</w:t>
            </w:r>
          </w:p>
        </w:tc>
        <w:tc>
          <w:tcPr>
            <w:tcW w:w="0" w:type="dxa"/>
            <w:vAlign w:val="bottom"/>
          </w:tcPr>
          <w:p>
            <w:pPr>
              <w:spacing w:after="0"/>
              <w:rPr>
                <w:sz w:val="1"/>
                <w:szCs w:val="1"/>
                <w:color w:val="auto"/>
              </w:rPr>
            </w:pPr>
          </w:p>
        </w:tc>
      </w:tr>
      <w:tr>
        <w:trPr>
          <w:trHeight w:val="230"/>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Gain (loss) on derivative instruments and other securities, net</w:t>
            </w: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(548)</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(3,139)</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(2,986)</w:t>
            </w:r>
          </w:p>
        </w:tc>
        <w:tc>
          <w:tcPr>
            <w:tcW w:w="0" w:type="dxa"/>
            <w:vAlign w:val="bottom"/>
          </w:tcPr>
          <w:p>
            <w:pPr>
              <w:spacing w:after="0"/>
              <w:rPr>
                <w:sz w:val="1"/>
                <w:szCs w:val="1"/>
                <w:color w:val="auto"/>
              </w:rPr>
            </w:pPr>
          </w:p>
        </w:tc>
      </w:tr>
      <w:tr>
        <w:trPr>
          <w:trHeight w:val="223"/>
        </w:trPr>
        <w:tc>
          <w:tcPr>
            <w:tcW w:w="7240" w:type="dxa"/>
            <w:vAlign w:val="bottom"/>
            <w:shd w:val="clear" w:color="auto" w:fill="CCEEFF"/>
          </w:tcPr>
          <w:p>
            <w:pPr>
              <w:ind w:left="660"/>
              <w:spacing w:after="0"/>
              <w:rPr>
                <w:sz w:val="20"/>
                <w:szCs w:val="20"/>
                <w:color w:val="auto"/>
              </w:rPr>
            </w:pPr>
            <w:r>
              <w:rPr>
                <w:rFonts w:ascii="Arial" w:cs="Arial" w:eastAsia="Arial" w:hAnsi="Arial"/>
                <w:sz w:val="18"/>
                <w:szCs w:val="18"/>
                <w:color w:val="auto"/>
              </w:rPr>
              <w:t>Total other gain (loss), net:</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(1,635)</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w:t>
            </w:r>
          </w:p>
        </w:tc>
        <w:tc>
          <w:tcPr>
            <w:tcW w:w="0" w:type="dxa"/>
            <w:vAlign w:val="bottom"/>
          </w:tcPr>
          <w:p>
            <w:pPr>
              <w:spacing w:after="0"/>
              <w:rPr>
                <w:sz w:val="1"/>
                <w:szCs w:val="1"/>
                <w:color w:val="auto"/>
              </w:rPr>
            </w:pPr>
          </w:p>
        </w:tc>
      </w:tr>
      <w:tr>
        <w:trPr>
          <w:trHeight w:val="210"/>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Expenses:</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Compensation and benefits</w:t>
            </w: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30"/>
        </w:trPr>
        <w:tc>
          <w:tcPr>
            <w:tcW w:w="724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Other operating expense</w:t>
            </w: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23"/>
        </w:trPr>
        <w:tc>
          <w:tcPr>
            <w:tcW w:w="7240" w:type="dxa"/>
            <w:vAlign w:val="bottom"/>
            <w:shd w:val="clear" w:color="auto" w:fill="CCEEFF"/>
          </w:tcPr>
          <w:p>
            <w:pPr>
              <w:ind w:left="660"/>
              <w:spacing w:after="0"/>
              <w:rPr>
                <w:sz w:val="20"/>
                <w:szCs w:val="20"/>
                <w:color w:val="auto"/>
              </w:rPr>
            </w:pPr>
            <w:r>
              <w:rPr>
                <w:rFonts w:ascii="Arial" w:cs="Arial" w:eastAsia="Arial" w:hAnsi="Arial"/>
                <w:sz w:val="18"/>
                <w:szCs w:val="18"/>
                <w:color w:val="auto"/>
              </w:rPr>
              <w:t>Total operating expense</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23"/>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Net income (loss)</w:t>
            </w: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662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(1,041)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29"/>
        </w:trPr>
        <w:tc>
          <w:tcPr>
            <w:tcW w:w="7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Dividends on preferred stock</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23"/>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Net income (loss) available (attributable) to common stockholders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637</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1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(1,112)</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2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Net income (loss)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662</w:t>
            </w:r>
          </w:p>
        </w:tc>
        <w:tc>
          <w:tcPr>
            <w:tcW w:w="10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(1,041)</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175"/>
        </w:trPr>
        <w:tc>
          <w:tcPr>
            <w:tcW w:w="7240" w:type="dxa"/>
            <w:vAlign w:val="bottom"/>
            <w:shd w:val="clear" w:color="auto" w:fill="CCEEFF"/>
          </w:tcPr>
          <w:p>
            <w:pPr>
              <w:ind w:left="340"/>
              <w:spacing w:after="0" w:line="176" w:lineRule="exact"/>
              <w:rPr>
                <w:sz w:val="20"/>
                <w:szCs w:val="20"/>
                <w:color w:val="auto"/>
              </w:rPr>
            </w:pPr>
            <w:r>
              <w:rPr>
                <w:rFonts w:ascii="Arial" w:cs="Arial" w:eastAsia="Arial" w:hAnsi="Arial"/>
                <w:sz w:val="18"/>
                <w:szCs w:val="18"/>
                <w:color w:val="auto"/>
                <w:w w:val="92"/>
              </w:rPr>
              <w:t>Unrealized gain on investment securities measured at fair value through other comprehensive</w:t>
            </w:r>
          </w:p>
        </w:tc>
        <w:tc>
          <w:tcPr>
            <w:tcW w:w="180" w:type="dxa"/>
            <w:vAlign w:val="bottom"/>
            <w:shd w:val="clear" w:color="auto" w:fill="CCEEFF"/>
          </w:tcPr>
          <w:p>
            <w:pPr>
              <w:spacing w:after="0"/>
              <w:rPr>
                <w:sz w:val="15"/>
                <w:szCs w:val="15"/>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246</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737</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1,025</w:t>
            </w:r>
          </w:p>
        </w:tc>
        <w:tc>
          <w:tcPr>
            <w:tcW w:w="0" w:type="dxa"/>
            <w:vAlign w:val="bottom"/>
          </w:tcPr>
          <w:p>
            <w:pPr>
              <w:spacing w:after="0"/>
              <w:rPr>
                <w:sz w:val="1"/>
                <w:szCs w:val="1"/>
                <w:color w:val="auto"/>
              </w:rPr>
            </w:pPr>
          </w:p>
        </w:tc>
      </w:tr>
      <w:tr>
        <w:trPr>
          <w:trHeight w:val="230"/>
        </w:trPr>
        <w:tc>
          <w:tcPr>
            <w:tcW w:w="72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income, net</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Comprehensive income (loss)</w:t>
            </w: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732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242</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842</w:t>
            </w:r>
          </w:p>
        </w:tc>
        <w:tc>
          <w:tcPr>
            <w:tcW w:w="0" w:type="dxa"/>
            <w:vAlign w:val="bottom"/>
          </w:tcPr>
          <w:p>
            <w:pPr>
              <w:spacing w:after="0"/>
              <w:rPr>
                <w:sz w:val="1"/>
                <w:szCs w:val="1"/>
                <w:color w:val="auto"/>
              </w:rPr>
            </w:pPr>
          </w:p>
        </w:tc>
      </w:tr>
      <w:tr>
        <w:trPr>
          <w:trHeight w:val="230"/>
        </w:trPr>
        <w:tc>
          <w:tcPr>
            <w:tcW w:w="72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Dividends on preferred stock</w:t>
            </w: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23"/>
        </w:trPr>
        <w:tc>
          <w:tcPr>
            <w:tcW w:w="7240" w:type="dxa"/>
            <w:vAlign w:val="bottom"/>
          </w:tcPr>
          <w:p>
            <w:pPr>
              <w:ind w:left="40"/>
              <w:spacing w:after="0"/>
              <w:rPr>
                <w:sz w:val="20"/>
                <w:szCs w:val="20"/>
                <w:color w:val="auto"/>
              </w:rPr>
            </w:pPr>
            <w:r>
              <w:rPr>
                <w:rFonts w:ascii="Arial" w:cs="Arial" w:eastAsia="Arial" w:hAnsi="Arial"/>
                <w:sz w:val="18"/>
                <w:szCs w:val="18"/>
                <w:b w:val="1"/>
                <w:bCs w:val="1"/>
                <w:color w:val="auto"/>
              </w:rPr>
              <w:t>Comprehensive income (loss) available (attributable) to common stockholders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707</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(375)</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806</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72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basic</w:t>
            </w: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553.2</w:t>
            </w: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546.4</w:t>
            </w:r>
          </w:p>
        </w:tc>
        <w:tc>
          <w:tcPr>
            <w:tcW w:w="1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553.8</w:t>
            </w: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540.3</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Weighted average number of common shares outstanding - diluted</w:t>
            </w:r>
          </w:p>
        </w:tc>
        <w:tc>
          <w:tcPr>
            <w:tcW w:w="18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546.4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540.3</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240" w:type="dxa"/>
            <w:vAlign w:val="bottom"/>
          </w:tcPr>
          <w:p>
            <w:pPr>
              <w:ind w:left="20"/>
              <w:spacing w:after="0" w:line="203" w:lineRule="exact"/>
              <w:rPr>
                <w:sz w:val="20"/>
                <w:szCs w:val="20"/>
                <w:color w:val="auto"/>
              </w:rPr>
            </w:pPr>
            <w:r>
              <w:rPr>
                <w:rFonts w:ascii="Arial" w:cs="Arial" w:eastAsia="Arial" w:hAnsi="Arial"/>
                <w:sz w:val="18"/>
                <w:szCs w:val="18"/>
                <w:b w:val="1"/>
                <w:bCs w:val="1"/>
                <w:color w:val="auto"/>
              </w:rPr>
              <w:t>Net income (loss) per common share - basic</w:t>
            </w:r>
          </w:p>
        </w:tc>
        <w:tc>
          <w:tcPr>
            <w:tcW w:w="1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1.15</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(0.03)</w:t>
            </w:r>
          </w:p>
        </w:tc>
        <w:tc>
          <w:tcPr>
            <w:tcW w:w="120" w:type="dxa"/>
            <w:vAlign w:val="bottom"/>
          </w:tcPr>
          <w:p>
            <w:pPr>
              <w:spacing w:after="0"/>
              <w:rPr>
                <w:sz w:val="17"/>
                <w:szCs w:val="17"/>
                <w:color w:val="auto"/>
              </w:rPr>
            </w:pPr>
          </w:p>
        </w:tc>
        <w:tc>
          <w:tcPr>
            <w:tcW w:w="1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(2.01)</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income (loss) per common share - diluted</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7240" w:type="dxa"/>
            <w:vAlign w:val="bottom"/>
          </w:tcPr>
          <w:p>
            <w:pPr>
              <w:ind w:left="20"/>
              <w:spacing w:after="0" w:line="203" w:lineRule="exact"/>
              <w:rPr>
                <w:sz w:val="20"/>
                <w:szCs w:val="20"/>
                <w:color w:val="auto"/>
              </w:rPr>
            </w:pPr>
            <w:r>
              <w:rPr>
                <w:rFonts w:ascii="Arial" w:cs="Arial" w:eastAsia="Arial" w:hAnsi="Arial"/>
                <w:sz w:val="18"/>
                <w:szCs w:val="18"/>
                <w:b w:val="1"/>
                <w:bCs w:val="1"/>
                <w:color w:val="auto"/>
              </w:rPr>
              <w:t>Dividends declared per common share</w:t>
            </w:r>
          </w:p>
        </w:tc>
        <w:tc>
          <w:tcPr>
            <w:tcW w:w="1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0.36</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10"/>
              <w:spacing w:after="0" w:line="203" w:lineRule="exact"/>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0.48</w:t>
            </w:r>
          </w:p>
        </w:tc>
        <w:tc>
          <w:tcPr>
            <w:tcW w:w="120" w:type="dxa"/>
            <w:vAlign w:val="bottom"/>
          </w:tcPr>
          <w:p>
            <w:pPr>
              <w:spacing w:after="0"/>
              <w:rPr>
                <w:sz w:val="17"/>
                <w:szCs w:val="17"/>
                <w:color w:val="auto"/>
              </w:rPr>
            </w:pPr>
          </w:p>
        </w:tc>
        <w:tc>
          <w:tcPr>
            <w:tcW w:w="1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1.20</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 w:name="page5"/>
    <w:bookmarkEnd w:id="4"/>
    <w:p>
      <w:pPr>
        <w:jc w:val="center"/>
        <w:ind w:right="-39"/>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8"/>
          <w:szCs w:val="18"/>
          <w:b w:val="1"/>
          <w:bCs w:val="1"/>
          <w:color w:val="auto"/>
        </w:rPr>
        <w:t>(in millions)</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6"/>
              </w:rPr>
              <w:t>Additional</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Accumulated</w:t>
            </w: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80" w:type="dxa"/>
            <w:vAlign w:val="bottom"/>
            <w:gridSpan w:val="4"/>
            <w:vMerge w:val="restart"/>
          </w:tcPr>
          <w:p>
            <w:pPr>
              <w:jc w:val="right"/>
              <w:ind w:right="388"/>
              <w:spacing w:after="0"/>
              <w:rPr>
                <w:sz w:val="20"/>
                <w:szCs w:val="20"/>
                <w:color w:val="auto"/>
              </w:rPr>
            </w:pPr>
            <w:r>
              <w:rPr>
                <w:rFonts w:ascii="Arial" w:cs="Arial" w:eastAsia="Arial" w:hAnsi="Arial"/>
                <w:sz w:val="14"/>
                <w:szCs w:val="14"/>
                <w:b w:val="1"/>
                <w:bCs w:val="1"/>
                <w:color w:val="auto"/>
              </w:rPr>
              <w:t>Common Stock</w:t>
            </w:r>
          </w:p>
        </w:tc>
        <w:tc>
          <w:tcPr>
            <w:tcW w:w="100" w:type="dxa"/>
            <w:vAlign w:val="bottom"/>
            <w:vMerge w:val="restart"/>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6"/>
              </w:rPr>
              <w:t>Other</w:t>
            </w: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40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60" w:type="dxa"/>
            <w:vAlign w:val="bottom"/>
            <w:gridSpan w:val="2"/>
          </w:tcPr>
          <w:p>
            <w:pPr>
              <w:jc w:val="center"/>
              <w:ind w:right="220"/>
              <w:spacing w:after="0" w:line="102" w:lineRule="exact"/>
              <w:rPr>
                <w:sz w:val="20"/>
                <w:szCs w:val="20"/>
                <w:color w:val="auto"/>
              </w:rPr>
            </w:pPr>
            <w:r>
              <w:rPr>
                <w:rFonts w:ascii="Arial" w:cs="Arial" w:eastAsia="Arial" w:hAnsi="Arial"/>
                <w:sz w:val="11"/>
                <w:szCs w:val="11"/>
                <w:b w:val="1"/>
                <w:bCs w:val="1"/>
                <w:color w:val="auto"/>
              </w:rPr>
              <w:t>Preferred</w:t>
            </w:r>
          </w:p>
        </w:tc>
        <w:tc>
          <w:tcPr>
            <w:tcW w:w="1880" w:type="dxa"/>
            <w:vAlign w:val="bottom"/>
            <w:tcBorders>
              <w:bottom w:val="single" w:sz="8" w:color="auto"/>
            </w:tcBorders>
            <w:gridSpan w:val="4"/>
            <w:vMerge w:val="continue"/>
          </w:tcPr>
          <w:p>
            <w:pPr>
              <w:spacing w:after="0"/>
              <w:rPr>
                <w:sz w:val="8"/>
                <w:szCs w:val="8"/>
                <w:color w:val="auto"/>
              </w:rPr>
            </w:pPr>
          </w:p>
        </w:tc>
        <w:tc>
          <w:tcPr>
            <w:tcW w:w="10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gridSpan w:val="2"/>
          </w:tcPr>
          <w:p>
            <w:pPr>
              <w:jc w:val="center"/>
              <w:ind w:right="200"/>
              <w:spacing w:after="0" w:line="102" w:lineRule="exact"/>
              <w:rPr>
                <w:sz w:val="20"/>
                <w:szCs w:val="20"/>
                <w:color w:val="auto"/>
              </w:rPr>
            </w:pPr>
            <w:r>
              <w:rPr>
                <w:rFonts w:ascii="Arial" w:cs="Arial" w:eastAsia="Arial" w:hAnsi="Arial"/>
                <w:sz w:val="11"/>
                <w:szCs w:val="11"/>
                <w:b w:val="1"/>
                <w:bCs w:val="1"/>
                <w:color w:val="auto"/>
              </w:rPr>
              <w:t>Paid-in</w:t>
            </w:r>
          </w:p>
        </w:tc>
        <w:tc>
          <w:tcPr>
            <w:tcW w:w="120" w:type="dxa"/>
            <w:vAlign w:val="bottom"/>
          </w:tcPr>
          <w:p>
            <w:pPr>
              <w:spacing w:after="0"/>
              <w:rPr>
                <w:sz w:val="8"/>
                <w:szCs w:val="8"/>
                <w:color w:val="auto"/>
              </w:rPr>
            </w:pPr>
          </w:p>
        </w:tc>
        <w:tc>
          <w:tcPr>
            <w:tcW w:w="880" w:type="dxa"/>
            <w:vAlign w:val="bottom"/>
            <w:gridSpan w:val="2"/>
          </w:tcPr>
          <w:p>
            <w:pPr>
              <w:jc w:val="center"/>
              <w:ind w:right="260"/>
              <w:spacing w:after="0" w:line="102" w:lineRule="exact"/>
              <w:rPr>
                <w:sz w:val="20"/>
                <w:szCs w:val="20"/>
                <w:color w:val="auto"/>
              </w:rPr>
            </w:pPr>
            <w:r>
              <w:rPr>
                <w:rFonts w:ascii="Arial" w:cs="Arial" w:eastAsia="Arial" w:hAnsi="Arial"/>
                <w:sz w:val="11"/>
                <w:szCs w:val="11"/>
                <w:b w:val="1"/>
                <w:bCs w:val="1"/>
                <w:color w:val="auto"/>
              </w:rPr>
              <w:t>Retained</w:t>
            </w:r>
          </w:p>
        </w:tc>
        <w:tc>
          <w:tcPr>
            <w:tcW w:w="100" w:type="dxa"/>
            <w:vAlign w:val="bottom"/>
          </w:tcPr>
          <w:p>
            <w:pPr>
              <w:spacing w:after="0"/>
              <w:rPr>
                <w:sz w:val="8"/>
                <w:szCs w:val="8"/>
                <w:color w:val="auto"/>
              </w:rPr>
            </w:pPr>
          </w:p>
        </w:tc>
        <w:tc>
          <w:tcPr>
            <w:tcW w:w="1240" w:type="dxa"/>
            <w:vAlign w:val="bottom"/>
            <w:gridSpan w:val="2"/>
          </w:tcPr>
          <w:p>
            <w:pPr>
              <w:jc w:val="center"/>
              <w:ind w:right="240"/>
              <w:spacing w:after="0" w:line="102" w:lineRule="exact"/>
              <w:rPr>
                <w:sz w:val="20"/>
                <w:szCs w:val="20"/>
                <w:color w:val="auto"/>
              </w:rPr>
            </w:pPr>
            <w:r>
              <w:rPr>
                <w:rFonts w:ascii="Arial" w:cs="Arial" w:eastAsia="Arial" w:hAnsi="Arial"/>
                <w:sz w:val="11"/>
                <w:szCs w:val="11"/>
                <w:b w:val="1"/>
                <w:bCs w:val="1"/>
                <w:color w:val="auto"/>
              </w:rPr>
              <w:t>Comprehensive</w:t>
            </w:r>
          </w:p>
        </w:tc>
        <w:tc>
          <w:tcPr>
            <w:tcW w:w="180" w:type="dxa"/>
            <w:vAlign w:val="bottom"/>
          </w:tcPr>
          <w:p>
            <w:pPr>
              <w:spacing w:after="0"/>
              <w:rPr>
                <w:sz w:val="8"/>
                <w:szCs w:val="8"/>
                <w:color w:val="auto"/>
              </w:rPr>
            </w:pPr>
          </w:p>
        </w:tc>
        <w:tc>
          <w:tcPr>
            <w:tcW w:w="7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4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Stock</w:t>
            </w:r>
          </w:p>
        </w:tc>
        <w:tc>
          <w:tcPr>
            <w:tcW w:w="1000" w:type="dxa"/>
            <w:vAlign w:val="bottom"/>
            <w:gridSpan w:val="2"/>
          </w:tcPr>
          <w:p>
            <w:pPr>
              <w:ind w:left="240"/>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7"/>
                <w:szCs w:val="17"/>
                <w:color w:val="auto"/>
              </w:rPr>
            </w:pPr>
          </w:p>
        </w:tc>
        <w:tc>
          <w:tcPr>
            <w:tcW w:w="84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7"/>
                <w:szCs w:val="17"/>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8"/>
              </w:rPr>
              <w:t>Capital</w:t>
            </w:r>
          </w:p>
        </w:tc>
        <w:tc>
          <w:tcPr>
            <w:tcW w:w="120" w:type="dxa"/>
            <w:vAlign w:val="bottom"/>
          </w:tcPr>
          <w:p>
            <w:pPr>
              <w:spacing w:after="0"/>
              <w:rPr>
                <w:sz w:val="17"/>
                <w:szCs w:val="17"/>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Deficit</w:t>
            </w:r>
          </w:p>
        </w:tc>
        <w:tc>
          <w:tcPr>
            <w:tcW w:w="100" w:type="dxa"/>
            <w:vAlign w:val="bottom"/>
          </w:tcPr>
          <w:p>
            <w:pPr>
              <w:spacing w:after="0"/>
              <w:rPr>
                <w:sz w:val="17"/>
                <w:szCs w:val="17"/>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Income (Loss)</w:t>
            </w:r>
          </w:p>
        </w:tc>
        <w:tc>
          <w:tcPr>
            <w:tcW w:w="180" w:type="dxa"/>
            <w:vAlign w:val="bottom"/>
          </w:tcPr>
          <w:p>
            <w:pPr>
              <w:spacing w:after="0"/>
              <w:rPr>
                <w:sz w:val="17"/>
                <w:szCs w:val="17"/>
                <w:color w:val="auto"/>
              </w:rPr>
            </w:pPr>
          </w:p>
        </w:tc>
        <w:tc>
          <w:tcPr>
            <w:tcW w:w="720" w:type="dxa"/>
            <w:vAlign w:val="bottom"/>
          </w:tcPr>
          <w:p>
            <w:pPr>
              <w:jc w:val="right"/>
              <w:ind w:right="2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0"/>
        </w:trPr>
        <w:tc>
          <w:tcPr>
            <w:tcW w:w="40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June 30, 2019</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711</w:t>
            </w: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547.8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13,988</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10,346</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00" w:type="dxa"/>
            <w:vAlign w:val="bottom"/>
          </w:tcPr>
          <w:p>
            <w:pPr>
              <w:ind w:left="340"/>
              <w:spacing w:after="0"/>
              <w:rPr>
                <w:sz w:val="20"/>
                <w:szCs w:val="20"/>
                <w:color w:val="auto"/>
              </w:rPr>
            </w:pPr>
            <w:r>
              <w:rPr>
                <w:rFonts w:ascii="Arial" w:cs="Arial" w:eastAsia="Arial" w:hAnsi="Arial"/>
                <w:sz w:val="14"/>
                <w:szCs w:val="14"/>
                <w:color w:val="auto"/>
              </w:rPr>
              <w:t>Unrealized gain on available-for-sale securities, net</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246</w:t>
            </w: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246</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(6.9)</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(103)</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(262)</w:t>
            </w:r>
          </w:p>
        </w:tc>
        <w:tc>
          <w:tcPr>
            <w:tcW w:w="0" w:type="dxa"/>
            <w:vAlign w:val="bottom"/>
          </w:tcPr>
          <w:p>
            <w:pPr>
              <w:spacing w:after="0"/>
              <w:rPr>
                <w:sz w:val="1"/>
                <w:szCs w:val="1"/>
                <w:color w:val="auto"/>
              </w:rPr>
            </w:pPr>
          </w:p>
        </w:tc>
      </w:tr>
      <w:tr>
        <w:trPr>
          <w:trHeight w:val="211"/>
        </w:trPr>
        <w:tc>
          <w:tcPr>
            <w:tcW w:w="40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September 30, 2019</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711</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13,888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10,213</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40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June 30, 2020</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555.5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14,191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(6,100)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764</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10,350</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662</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00" w:type="dxa"/>
            <w:vAlign w:val="bottom"/>
          </w:tcPr>
          <w:p>
            <w:pPr>
              <w:ind w:left="340"/>
              <w:spacing w:after="0"/>
              <w:rPr>
                <w:sz w:val="20"/>
                <w:szCs w:val="20"/>
                <w:color w:val="auto"/>
              </w:rPr>
            </w:pPr>
            <w:r>
              <w:rPr>
                <w:rFonts w:ascii="Arial" w:cs="Arial" w:eastAsia="Arial" w:hAnsi="Arial"/>
                <w:sz w:val="14"/>
                <w:szCs w:val="14"/>
                <w:color w:val="auto"/>
              </w:rPr>
              <w:t>Unrealized gain on available-for-sale securities, net</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70</w:t>
            </w: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(10.3)</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(144)</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(198)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(198)</w:t>
            </w:r>
          </w:p>
        </w:tc>
        <w:tc>
          <w:tcPr>
            <w:tcW w:w="0" w:type="dxa"/>
            <w:vAlign w:val="bottom"/>
          </w:tcPr>
          <w:p>
            <w:pPr>
              <w:spacing w:after="0"/>
              <w:rPr>
                <w:sz w:val="1"/>
                <w:szCs w:val="1"/>
                <w:color w:val="auto"/>
              </w:rPr>
            </w:pPr>
          </w:p>
        </w:tc>
      </w:tr>
      <w:tr>
        <w:trPr>
          <w:trHeight w:val="211"/>
        </w:trPr>
        <w:tc>
          <w:tcPr>
            <w:tcW w:w="40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September 30, 2020</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545.2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14,053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(5,661)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834</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10,720</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40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2018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w:t>
            </w: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13,793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(3,433)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(943)</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9,906</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(183)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(183)</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00" w:type="dxa"/>
            <w:vAlign w:val="bottom"/>
          </w:tcPr>
          <w:p>
            <w:pPr>
              <w:ind w:left="340"/>
              <w:spacing w:after="0"/>
              <w:rPr>
                <w:sz w:val="20"/>
                <w:szCs w:val="20"/>
                <w:color w:val="auto"/>
              </w:rPr>
            </w:pPr>
            <w:r>
              <w:rPr>
                <w:rFonts w:ascii="Arial" w:cs="Arial" w:eastAsia="Arial" w:hAnsi="Arial"/>
                <w:sz w:val="14"/>
                <w:szCs w:val="14"/>
                <w:color w:val="auto"/>
              </w:rPr>
              <w:t>Unrealized gain on available-for-sale securities, net</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1,025</w:t>
            </w: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1,025</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Issuance of common stock, net of offering cost</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11.4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Repurchase of common stock</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Issuance of preferred stock, net of offering cost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227</w:t>
            </w:r>
          </w:p>
        </w:tc>
        <w:tc>
          <w:tcPr>
            <w:tcW w:w="8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227</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(821)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211"/>
        </w:trPr>
        <w:tc>
          <w:tcPr>
            <w:tcW w:w="40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September 30, 2019</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711</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13,888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(4,473)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10,213</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40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2019</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932</w:t>
            </w: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540.9</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13,893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(3,886)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11,041</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(1,041)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(1,041)</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00" w:type="dxa"/>
            <w:vAlign w:val="bottom"/>
          </w:tcPr>
          <w:p>
            <w:pPr>
              <w:ind w:left="340"/>
              <w:spacing w:after="0"/>
              <w:rPr>
                <w:sz w:val="20"/>
                <w:szCs w:val="20"/>
                <w:color w:val="auto"/>
              </w:rPr>
            </w:pPr>
            <w:r>
              <w:rPr>
                <w:rFonts w:ascii="Arial" w:cs="Arial" w:eastAsia="Arial" w:hAnsi="Arial"/>
                <w:sz w:val="14"/>
                <w:szCs w:val="14"/>
                <w:color w:val="auto"/>
              </w:rPr>
              <w:t>Unrealized gain on available-for-sale securities, net</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737</w:t>
            </w: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737</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Stock-based compensation</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Issuance of preferred stock, net of offering cost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557</w:t>
            </w:r>
          </w:p>
        </w:tc>
        <w:tc>
          <w:tcPr>
            <w:tcW w:w="8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557</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Issuance of common stock, net of offering cost</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439</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(22.5)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(291)</w:t>
            </w:r>
          </w:p>
        </w:tc>
        <w:tc>
          <w:tcPr>
            <w:tcW w:w="0" w:type="dxa"/>
            <w:vAlign w:val="bottom"/>
          </w:tcPr>
          <w:p>
            <w:pPr>
              <w:spacing w:after="0"/>
              <w:rPr>
                <w:sz w:val="1"/>
                <w:szCs w:val="1"/>
                <w:color w:val="auto"/>
              </w:rPr>
            </w:pPr>
          </w:p>
        </w:tc>
      </w:tr>
      <w:tr>
        <w:trPr>
          <w:trHeight w:val="192"/>
        </w:trPr>
        <w:tc>
          <w:tcPr>
            <w:tcW w:w="40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186"/>
        </w:trPr>
        <w:tc>
          <w:tcPr>
            <w:tcW w:w="4000" w:type="dxa"/>
            <w:vAlign w:val="bottom"/>
          </w:tcPr>
          <w:p>
            <w:pPr>
              <w:ind w:left="22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(663)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(663)</w:t>
            </w:r>
          </w:p>
        </w:tc>
        <w:tc>
          <w:tcPr>
            <w:tcW w:w="0" w:type="dxa"/>
            <w:vAlign w:val="bottom"/>
          </w:tcPr>
          <w:p>
            <w:pPr>
              <w:spacing w:after="0"/>
              <w:rPr>
                <w:sz w:val="1"/>
                <w:szCs w:val="1"/>
                <w:color w:val="auto"/>
              </w:rPr>
            </w:pPr>
          </w:p>
        </w:tc>
      </w:tr>
      <w:tr>
        <w:trPr>
          <w:trHeight w:val="211"/>
        </w:trPr>
        <w:tc>
          <w:tcPr>
            <w:tcW w:w="40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September 30, 2020</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545.2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14,053</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(5,661)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834</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10,720</w:t>
            </w: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891" w:right="37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4500"/>
        <w:spacing w:after="0"/>
        <w:rPr>
          <w:sz w:val="20"/>
          <w:szCs w:val="20"/>
          <w:color w:val="auto"/>
        </w:rPr>
      </w:pPr>
      <w:r>
        <w:rPr>
          <w:rFonts w:ascii="Arial" w:cs="Arial" w:eastAsia="Arial" w:hAnsi="Arial"/>
          <w:sz w:val="18"/>
          <w:szCs w:val="18"/>
          <w:b w:val="1"/>
          <w:bCs w:val="1"/>
          <w:color w:val="auto"/>
        </w:rPr>
        <w:t>(in millions)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4"/>
          </w:tcPr>
          <w:p>
            <w:pPr>
              <w:jc w:val="right"/>
              <w:ind w:right="79"/>
              <w:spacing w:after="0"/>
              <w:rPr>
                <w:sz w:val="20"/>
                <w:szCs w:val="20"/>
                <w:color w:val="auto"/>
              </w:rPr>
            </w:pPr>
            <w:r>
              <w:rPr>
                <w:rFonts w:ascii="Arial" w:cs="Arial" w:eastAsia="Arial" w:hAnsi="Arial"/>
                <w:sz w:val="14"/>
                <w:szCs w:val="14"/>
                <w:b w:val="1"/>
                <w:bCs w:val="1"/>
                <w:color w:val="auto"/>
                <w:w w:val="93"/>
              </w:rPr>
              <w:t>Nine Months Ended September 30,</w:t>
            </w:r>
          </w:p>
        </w:tc>
      </w:tr>
      <w:tr>
        <w:trPr>
          <w:trHeight w:val="187"/>
        </w:trPr>
        <w:tc>
          <w:tcPr>
            <w:tcW w:w="74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2019</w:t>
            </w:r>
          </w:p>
        </w:tc>
      </w:tr>
      <w:tr>
        <w:trPr>
          <w:trHeight w:val="197"/>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Operating activities:</w:t>
            </w:r>
          </w:p>
        </w:tc>
        <w:tc>
          <w:tcPr>
            <w:tcW w:w="14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213"/>
        </w:trPr>
        <w:tc>
          <w:tcPr>
            <w:tcW w:w="7480" w:type="dxa"/>
            <w:vAlign w:val="bottom"/>
          </w:tcPr>
          <w:p>
            <w:pPr>
              <w:ind w:left="20"/>
              <w:spacing w:after="0"/>
              <w:rPr>
                <w:sz w:val="20"/>
                <w:szCs w:val="20"/>
                <w:color w:val="auto"/>
              </w:rPr>
            </w:pPr>
            <w:r>
              <w:rPr>
                <w:rFonts w:ascii="Arial" w:cs="Arial" w:eastAsia="Arial" w:hAnsi="Arial"/>
                <w:sz w:val="16"/>
                <w:szCs w:val="16"/>
                <w:color w:val="auto"/>
              </w:rPr>
              <w:t>Net loss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(1,041)</w:t>
            </w:r>
          </w:p>
        </w:tc>
        <w:tc>
          <w:tcPr>
            <w:tcW w:w="12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(183)</w:t>
            </w:r>
          </w:p>
        </w:tc>
      </w:tr>
      <w:tr>
        <w:trPr>
          <w:trHeight w:val="219"/>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816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517</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Stock-based compensation</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Gain on sale of investment securities, net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(993)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(281)</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Unrealized gain on investment securities measured at fair value through net income, net</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(511)</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(2,174)</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Loss on derivative instruments and other securities, net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3,139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2,986</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(Increase) decrease in other assets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w:t>
            </w:r>
          </w:p>
        </w:tc>
      </w:tr>
      <w:tr>
        <w:trPr>
          <w:trHeight w:val="213"/>
        </w:trPr>
        <w:tc>
          <w:tcPr>
            <w:tcW w:w="748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Decrease in accounts payable and other accrued liabilities</w:t>
            </w: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(189)</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provided by operating activities</w:t>
            </w: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1,337</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807</w:t>
            </w:r>
          </w:p>
        </w:tc>
      </w:tr>
      <w:tr>
        <w:trPr>
          <w:trHeight w:val="193"/>
        </w:trPr>
        <w:tc>
          <w:tcPr>
            <w:tcW w:w="7480" w:type="dxa"/>
            <w:vAlign w:val="bottom"/>
          </w:tcPr>
          <w:p>
            <w:pPr>
              <w:ind w:left="20"/>
              <w:spacing w:after="0"/>
              <w:rPr>
                <w:sz w:val="20"/>
                <w:szCs w:val="20"/>
                <w:color w:val="auto"/>
              </w:rPr>
            </w:pPr>
            <w:r>
              <w:rPr>
                <w:rFonts w:ascii="Arial" w:cs="Arial" w:eastAsia="Arial" w:hAnsi="Arial"/>
                <w:sz w:val="16"/>
                <w:szCs w:val="16"/>
                <w:b w:val="1"/>
                <w:bCs w:val="1"/>
                <w:color w:val="auto"/>
              </w:rPr>
              <w:t>Investing activities:</w:t>
            </w: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Purchases of Agency mortgage-backed securities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(44,753)</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(37,199)</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Purchases of credit risk transfer and non-Agency securities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(609)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(1,233)</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Proceeds from sale of Agency mortgage-backed securities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68,920</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17,620</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838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1,130</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Principal collections on Agency mortgage-backed securities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12,635</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8,508</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115</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15</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Payments on U.S. Treasury securities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(22,090)</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(26,169)</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Proceeds from U.S. Treasury securities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20,112</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8,313</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proceeds from reverse repurchase agreements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1,590</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16,014</w:t>
            </w:r>
          </w:p>
        </w:tc>
      </w:tr>
      <w:tr>
        <w:trPr>
          <w:trHeight w:val="213"/>
        </w:trPr>
        <w:tc>
          <w:tcPr>
            <w:tcW w:w="748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Net payments on derivative instruments</w:t>
            </w: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(2,260)</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(1,990)</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cash provided by (used in) investing activities</w:t>
            </w: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34,498</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(14,991)</w:t>
            </w:r>
          </w:p>
        </w:tc>
      </w:tr>
      <w:tr>
        <w:trPr>
          <w:trHeight w:val="193"/>
        </w:trPr>
        <w:tc>
          <w:tcPr>
            <w:tcW w:w="7480" w:type="dxa"/>
            <w:vAlign w:val="bottom"/>
          </w:tcPr>
          <w:p>
            <w:pPr>
              <w:ind w:left="20"/>
              <w:spacing w:after="0"/>
              <w:rPr>
                <w:sz w:val="20"/>
                <w:szCs w:val="20"/>
                <w:color w:val="auto"/>
              </w:rPr>
            </w:pPr>
            <w:r>
              <w:rPr>
                <w:rFonts w:ascii="Arial" w:cs="Arial" w:eastAsia="Arial" w:hAnsi="Arial"/>
                <w:sz w:val="16"/>
                <w:szCs w:val="16"/>
                <w:b w:val="1"/>
                <w:bCs w:val="1"/>
                <w:color w:val="auto"/>
              </w:rPr>
              <w:t>Financing activities:</w:t>
            </w: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Proceeds from repurchase arrangements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2,651,280</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3,251,916</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Payments on repurchase agreements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(2,685,896)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(3,237,021)</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Payments on debt of consolidated variable interest entities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Net proceeds from preferred stock issuances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557</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227</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proceeds from common stock issuances</w:t>
            </w:r>
          </w:p>
        </w:tc>
        <w:tc>
          <w:tcPr>
            <w:tcW w:w="14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439</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190</w:t>
            </w:r>
          </w:p>
        </w:tc>
      </w:tr>
      <w:tr>
        <w:trPr>
          <w:trHeight w:val="213"/>
        </w:trPr>
        <w:tc>
          <w:tcPr>
            <w:tcW w:w="7480" w:type="dxa"/>
            <w:vAlign w:val="bottom"/>
          </w:tcPr>
          <w:p>
            <w:pPr>
              <w:ind w:left="320"/>
              <w:spacing w:after="0"/>
              <w:rPr>
                <w:sz w:val="20"/>
                <w:szCs w:val="20"/>
                <w:color w:val="auto"/>
              </w:rPr>
            </w:pPr>
            <w:r>
              <w:rPr>
                <w:rFonts w:ascii="Arial" w:cs="Arial" w:eastAsia="Arial" w:hAnsi="Arial"/>
                <w:sz w:val="16"/>
                <w:szCs w:val="16"/>
                <w:color w:val="auto"/>
              </w:rPr>
              <w:t>Payments for common stock repurchases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(103)</w:t>
            </w:r>
          </w:p>
        </w:tc>
      </w:tr>
      <w:tr>
        <w:trPr>
          <w:trHeight w:val="219"/>
        </w:trPr>
        <w:tc>
          <w:tcPr>
            <w:tcW w:w="7480" w:type="dxa"/>
            <w:vAlign w:val="bottom"/>
            <w:shd w:val="clear" w:color="auto" w:fill="CCEEFF"/>
          </w:tcPr>
          <w:p>
            <w:pPr>
              <w:ind w:left="320"/>
              <w:spacing w:after="0"/>
              <w:rPr>
                <w:sz w:val="20"/>
                <w:szCs w:val="20"/>
                <w:color w:val="auto"/>
              </w:rPr>
            </w:pPr>
            <w:r>
              <w:rPr>
                <w:rFonts w:ascii="Arial" w:cs="Arial" w:eastAsia="Arial" w:hAnsi="Arial"/>
                <w:sz w:val="16"/>
                <w:szCs w:val="16"/>
                <w:color w:val="auto"/>
              </w:rPr>
              <w:t>Cash dividends paid</w:t>
            </w:r>
          </w:p>
        </w:tc>
        <w:tc>
          <w:tcPr>
            <w:tcW w:w="14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(748)</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(863)</w:t>
            </w:r>
          </w:p>
        </w:tc>
      </w:tr>
      <w:tr>
        <w:trPr>
          <w:trHeight w:val="206"/>
        </w:trPr>
        <w:tc>
          <w:tcPr>
            <w:tcW w:w="74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Net cash provided by (used in) financing activities</w:t>
            </w:r>
          </w:p>
        </w:tc>
        <w:tc>
          <w:tcPr>
            <w:tcW w:w="1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(34,703)</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14,304</w:t>
            </w:r>
          </w:p>
        </w:tc>
      </w:tr>
      <w:tr>
        <w:trPr>
          <w:trHeight w:val="213"/>
        </w:trPr>
        <w:tc>
          <w:tcPr>
            <w:tcW w:w="7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change in cash, cash equivalents and restricted cash</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w:t>
            </w:r>
          </w:p>
        </w:tc>
      </w:tr>
      <w:tr>
        <w:trPr>
          <w:trHeight w:val="213"/>
        </w:trPr>
        <w:tc>
          <w:tcPr>
            <w:tcW w:w="748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Cash, cash equivalents and restricted cash at beginning of period</w:t>
            </w: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1,282</w:t>
            </w:r>
          </w:p>
        </w:tc>
        <w:tc>
          <w:tcPr>
            <w:tcW w:w="1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1,520</w:t>
            </w:r>
          </w:p>
        </w:tc>
      </w:tr>
      <w:tr>
        <w:trPr>
          <w:trHeight w:val="238"/>
        </w:trPr>
        <w:tc>
          <w:tcPr>
            <w:tcW w:w="7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cash equivalents and restricted cash at end of period</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2,414</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1,640</w:t>
            </w:r>
          </w:p>
        </w:tc>
      </w:tr>
      <w:tr>
        <w:trPr>
          <w:trHeight w:val="20"/>
        </w:trPr>
        <w:tc>
          <w:tcPr>
            <w:tcW w:w="74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-400685</wp:posOffset>
            </wp:positionH>
            <wp:positionV relativeFrom="paragraph">
              <wp:posOffset>83185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960"/>
          </w:cols>
          <w:pgMar w:left="960" w:top="891" w:right="97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Basis of Presentation</w:t>
      </w:r>
    </w:p>
    <w:p>
      <w:pPr>
        <w:spacing w:after="0" w:line="94" w:lineRule="exact"/>
        <w:rPr>
          <w:sz w:val="20"/>
          <w:szCs w:val="20"/>
          <w:color w:val="auto"/>
        </w:rPr>
      </w:pPr>
    </w:p>
    <w:p>
      <w:pPr>
        <w:jc w:val="both"/>
        <w:ind w:firstLine="445"/>
        <w:spacing w:after="0" w:line="291" w:lineRule="auto"/>
        <w:rPr>
          <w:sz w:val="20"/>
          <w:szCs w:val="20"/>
          <w:color w:val="auto"/>
        </w:rPr>
      </w:pPr>
      <w:r>
        <w:rPr>
          <w:rFonts w:ascii="Arial" w:cs="Arial" w:eastAsia="Arial" w:hAnsi="Arial"/>
          <w:sz w:val="16"/>
          <w:szCs w:val="16"/>
          <w:color w:val="auto"/>
        </w:rPr>
        <w:t>The unaudited interim consolidated financial statements of AGNC Investment Corp. (referred throughout this report as the "Company," "we," "us" and "our") are prepared in accordance with U.S. generally accepted accounting principles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w:t>
      </w:r>
    </w:p>
    <w:p>
      <w:pPr>
        <w:spacing w:after="0" w:line="112"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Our unaudited interim consolidated financial statements include the accounts of all our wholly-owned subsidiaries and variable interest entities for which we are the primary beneficiary. Significant intercompany accounts and transactions have been eliminated.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We are internally managed, and 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w:t>
      </w:r>
    </w:p>
    <w:p>
      <w:pPr>
        <w:spacing w:after="0" w:line="130"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our annual taxable income to our stockholders on a timely basis. It is our intention to distribute 100% of our taxable income, after application of available tax attributes, within the limits prescribed by the Internal Revenue Code, which may extend into the subsequent tax year.</w:t>
      </w:r>
    </w:p>
    <w:p>
      <w:pPr>
        <w:spacing w:after="0" w:line="134"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in other investments in, or related to, the housing, mortgage or real estate markets. We fund our investments primarily through borrowings structured as repurchase agreements.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 Securities</w:t>
      </w:r>
    </w:p>
    <w:p>
      <w:pPr>
        <w:spacing w:after="0" w:line="171"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30"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CRT securities are risk sharing instruments issued by the GSEs, and similarly structured transactions issued by third-party market participants, that synthetically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 w:name="page8"/>
    <w:bookmarkEnd w:id="7"/>
    <w:p>
      <w:pPr>
        <w:jc w:val="both"/>
        <w:spacing w:after="0" w:line="277" w:lineRule="auto"/>
        <w:rPr>
          <w:sz w:val="20"/>
          <w:szCs w:val="20"/>
          <w:color w:val="auto"/>
        </w:rPr>
      </w:pPr>
      <w:r>
        <w:rPr>
          <w:rFonts w:ascii="Arial" w:cs="Arial" w:eastAsia="Arial" w:hAnsi="Arial"/>
          <w:sz w:val="18"/>
          <w:szCs w:val="18"/>
          <w:color w:val="auto"/>
        </w:rPr>
        <w:t>of loans exceed certain thresholds. By reducing the amount that they are obligated to repay to holders of CRT securities, the GSEs and/or other third parties offset credit losses on the related loans.</w:t>
      </w:r>
    </w:p>
    <w:p>
      <w:pPr>
        <w:spacing w:after="0" w:line="116" w:lineRule="exact"/>
        <w:rPr>
          <w:sz w:val="20"/>
          <w:szCs w:val="20"/>
          <w:color w:val="auto"/>
        </w:rPr>
      </w:pPr>
    </w:p>
    <w:p>
      <w:pPr>
        <w:jc w:val="both"/>
        <w:ind w:firstLine="405"/>
        <w:spacing w:after="0" w:line="311" w:lineRule="auto"/>
        <w:rPr>
          <w:sz w:val="20"/>
          <w:szCs w:val="20"/>
          <w:color w:val="auto"/>
        </w:rPr>
      </w:pPr>
      <w:r>
        <w:rPr>
          <w:rFonts w:ascii="Arial" w:cs="Arial" w:eastAsia="Arial" w:hAnsi="Arial"/>
          <w:sz w:val="16"/>
          <w:szCs w:val="16"/>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95" w:lineRule="exact"/>
        <w:rPr>
          <w:sz w:val="20"/>
          <w:szCs w:val="20"/>
          <w:color w:val="auto"/>
        </w:rPr>
      </w:pPr>
    </w:p>
    <w:p>
      <w:pPr>
        <w:jc w:val="both"/>
        <w:ind w:firstLine="445"/>
        <w:spacing w:after="0" w:line="287" w:lineRule="auto"/>
        <w:rPr>
          <w:sz w:val="20"/>
          <w:szCs w:val="20"/>
          <w:color w:val="auto"/>
        </w:rPr>
      </w:pPr>
      <w:r>
        <w:rPr>
          <w:rFonts w:ascii="Arial" w:cs="Arial" w:eastAsia="Arial" w:hAnsi="Arial"/>
          <w:sz w:val="16"/>
          <w:szCs w:val="16"/>
          <w:color w:val="auto"/>
        </w:rPr>
        <w:t xml:space="preserve">All of our securities are reported at fair value on our consolidated balance sheet. Accounting Standards Codification ("ASC") Topic 320, </w:t>
      </w:r>
      <w:r>
        <w:rPr>
          <w:rFonts w:ascii="Arial" w:cs="Arial" w:eastAsia="Arial" w:hAnsi="Arial"/>
          <w:sz w:val="16"/>
          <w:szCs w:val="16"/>
          <w:i w:val="1"/>
          <w:iCs w:val="1"/>
          <w:color w:val="auto"/>
        </w:rPr>
        <w:t>Investments</w:t>
      </w:r>
      <w:r>
        <w:rPr>
          <w:rFonts w:ascii="Arial" w:cs="Arial" w:eastAsia="Arial" w:hAnsi="Arial"/>
          <w:sz w:val="16"/>
          <w:szCs w:val="16"/>
          <w:color w:val="auto"/>
        </w:rPr>
        <w:t xml:space="preserve"> </w:t>
      </w:r>
      <w:r>
        <w:rPr>
          <w:rFonts w:ascii="Arial" w:cs="Arial" w:eastAsia="Arial" w:hAnsi="Arial"/>
          <w:sz w:val="16"/>
          <w:szCs w:val="16"/>
          <w:i w:val="1"/>
          <w:iCs w:val="1"/>
          <w:color w:val="auto"/>
        </w:rPr>
        <w:t>—Debt and Equity Securities</w:t>
      </w:r>
      <w:r>
        <w:rPr>
          <w:rFonts w:ascii="Arial" w:cs="Arial" w:eastAsia="Arial" w:hAnsi="Arial"/>
          <w:sz w:val="16"/>
          <w:szCs w:val="16"/>
          <w:color w:val="auto"/>
        </w:rPr>
        <w:t>, requires that at the time of purchase, we designate a security as held-to-maturity, available-for-sale or trading, depending on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our ability and intent to hold such security to maturity. Alternatively, we may elect the fair value option of accounting for securities pursuant to ASC Topic 825, </w:t>
      </w:r>
      <w:r>
        <w:rPr>
          <w:rFonts w:ascii="Arial" w:cs="Arial" w:eastAsia="Arial" w:hAnsi="Arial"/>
          <w:sz w:val="16"/>
          <w:szCs w:val="16"/>
          <w:i w:val="1"/>
          <w:iCs w:val="1"/>
          <w:color w:val="auto"/>
        </w:rPr>
        <w:t>Financial Instruments</w:t>
      </w:r>
      <w:r>
        <w:rPr>
          <w:rFonts w:ascii="Arial" w:cs="Arial" w:eastAsia="Arial" w:hAnsi="Arial"/>
          <w:sz w:val="16"/>
          <w:szCs w:val="16"/>
          <w:color w:val="auto"/>
        </w:rPr>
        <w:t>. Prior to fiscal year 2017, we primarily designated our investment securities as available-for-sale. On January 1, 2017, we began electing the fair value option of accounting for all investment securities newly acquired after such date. Unrealized gains and losses on securities classified as available-for-sale are reported in accumulated other comprehensive income ("OCI"), whereas unrealized gains and losses on securities for which we elected the fair value option, or are classified as trading, are reported in net income through other gain (loss). Upon the sale of a security designated as available-for-sale, we determine the cost of the security and the amount of unrealized gain or loss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by presenting the fair value changes for these assets in a manner consistent with the presentation and timing of the fair value changes for our derivative instruments.</w:t>
      </w:r>
    </w:p>
    <w:p>
      <w:pPr>
        <w:spacing w:after="0" w:line="118" w:lineRule="exact"/>
        <w:rPr>
          <w:sz w:val="20"/>
          <w:szCs w:val="20"/>
          <w:color w:val="auto"/>
        </w:rPr>
      </w:pPr>
    </w:p>
    <w:p>
      <w:pPr>
        <w:jc w:val="both"/>
        <w:ind w:firstLine="445"/>
        <w:spacing w:after="0" w:line="275" w:lineRule="auto"/>
        <w:rPr>
          <w:sz w:val="20"/>
          <w:szCs w:val="20"/>
          <w:color w:val="auto"/>
        </w:rPr>
      </w:pPr>
      <w:r>
        <w:rPr>
          <w:rFonts w:ascii="Arial" w:cs="Arial" w:eastAsia="Arial" w:hAnsi="Arial"/>
          <w:sz w:val="17"/>
          <w:szCs w:val="17"/>
          <w:color w:val="auto"/>
        </w:rPr>
        <w:t>We generally recognize gains or losses through net income on available-for-sale securities only if the security is sold; however, if the fair value of a security declines below its amortized cost and we determine that it is more likely than not that we will incur a realized loss on the security when we sell the asset, we will recognize the difference between the amortized cost and the fair in net income as a component of other gain (loss). Since all of our available-for-sale designated securities consist of Agency RMBS, we do not have an allowance for credit losses. We have not recognized impairment losses on our available-for-sale securities through net income for the periods presented in our consolidated financial statements.</w:t>
      </w:r>
    </w:p>
    <w:p>
      <w:pPr>
        <w:spacing w:after="0" w:line="1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w:t>
      </w:r>
    </w:p>
    <w:p>
      <w:pPr>
        <w:spacing w:after="0" w:line="133" w:lineRule="exact"/>
        <w:rPr>
          <w:sz w:val="20"/>
          <w:szCs w:val="20"/>
          <w:color w:val="auto"/>
        </w:rPr>
      </w:pPr>
    </w:p>
    <w:p>
      <w:pPr>
        <w:jc w:val="both"/>
        <w:ind w:firstLine="445"/>
        <w:spacing w:after="0" w:line="288" w:lineRule="auto"/>
        <w:rPr>
          <w:sz w:val="20"/>
          <w:szCs w:val="20"/>
          <w:color w:val="auto"/>
        </w:rPr>
      </w:pPr>
      <w:r>
        <w:rPr>
          <w:rFonts w:ascii="Arial" w:cs="Arial" w:eastAsia="Arial" w:hAnsi="Arial"/>
          <w:sz w:val="16"/>
          <w:szCs w:val="16"/>
          <w:color w:val="auto"/>
        </w:rPr>
        <w:t>We estimate long-term prepayment speeds of our mortgage securities using a third-party service and market data. The third-party service provider estimates prepayment speeds using models that incorporate the forward yield curve, primary to secondary mortgage rate spreads, current mortgage rates, mortgage rates of the outstanding loans, age and size of the outstanding loans, loan-to-value ratios, interest rate volatility and other factors. We review the prepayment speeds estimated by the third-party service for reasonableness with consideration given to both historical prepayment speeds and current market conditions. If based on our assessment, we believe that the third-party model does not fully reflect our expectations of the current prepayment landscape, such as during periods of elevated market uncertainty or unique market conditions, we may make adjustments to the models. We review our actual and anticipated prepayment experience on at least a quarterly basis and effective yields are recalculated when differences arise between (i) our previous estimate of future prepayments and (ii) actual prepayments to date and our current estimate of future prepayments. We are required to record an adjustment in the current period to premium amortization / discount accretion for the cumulative effect of the difference in the effective yields as if the recalculated yield had been in place as of the security's acquisition date through the reporting date.</w:t>
      </w:r>
    </w:p>
    <w:p>
      <w:pPr>
        <w:spacing w:after="0" w:line="114" w:lineRule="exact"/>
        <w:rPr>
          <w:sz w:val="20"/>
          <w:szCs w:val="20"/>
          <w:color w:val="auto"/>
        </w:rPr>
      </w:pPr>
    </w:p>
    <w:p>
      <w:pPr>
        <w:jc w:val="both"/>
        <w:ind w:firstLine="445"/>
        <w:spacing w:after="0" w:line="293"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 xml:space="preserve">We finance the acquisition of securities for our investment portfolio primarily through repurchase transactions under master repurchase agreements. Pursuant to ASC Topic 860, </w:t>
      </w:r>
      <w:r>
        <w:rPr>
          <w:rFonts w:ascii="Arial" w:cs="Arial" w:eastAsia="Arial" w:hAnsi="Arial"/>
          <w:sz w:val="18"/>
          <w:szCs w:val="18"/>
          <w:i w:val="1"/>
          <w:iCs w:val="1"/>
          <w:color w:val="auto"/>
        </w:rPr>
        <w:t>Transfers and Servicing</w:t>
      </w:r>
      <w:r>
        <w:rPr>
          <w:rFonts w:ascii="Arial" w:cs="Arial" w:eastAsia="Arial" w:hAnsi="Arial"/>
          <w:sz w:val="18"/>
          <w:szCs w:val="18"/>
          <w:color w:val="auto"/>
        </w:rPr>
        <w:t>, we account for repurchase transactions as collateralized financing transactions, which are carried at their contractual amounts (cost), plus accrued interest. Our repurchase agreements typically have maturities of less than one year but may extend up to five years or more.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 and Obligation to Return Securities Borrowed under Reverse Repurchase Agreements</w:t>
      </w:r>
    </w:p>
    <w:p>
      <w:pPr>
        <w:spacing w:after="0" w:line="171" w:lineRule="exact"/>
        <w:rPr>
          <w:sz w:val="20"/>
          <w:szCs w:val="20"/>
          <w:color w:val="auto"/>
        </w:rPr>
      </w:pPr>
    </w:p>
    <w:p>
      <w:pPr>
        <w:jc w:val="both"/>
        <w:ind w:firstLine="405"/>
        <w:spacing w:after="0" w:line="296" w:lineRule="auto"/>
        <w:rPr>
          <w:sz w:val="20"/>
          <w:szCs w:val="20"/>
          <w:color w:val="auto"/>
        </w:rPr>
      </w:pPr>
      <w:r>
        <w:rPr>
          <w:rFonts w:ascii="Arial" w:cs="Arial" w:eastAsia="Arial" w:hAnsi="Arial"/>
          <w:sz w:val="16"/>
          <w:szCs w:val="16"/>
          <w:color w:val="auto"/>
        </w:rPr>
        <w:t xml:space="preserve">We borrow securities to cover short sales of U.S. Treasury securities through reverse repurchase transactions under our master repurchase agreements (see </w:t>
      </w:r>
      <w:r>
        <w:rPr>
          <w:rFonts w:ascii="Arial" w:cs="Arial" w:eastAsia="Arial" w:hAnsi="Arial"/>
          <w:sz w:val="16"/>
          <w:szCs w:val="16"/>
          <w:i w:val="1"/>
          <w:iCs w:val="1"/>
          <w:color w:val="auto"/>
        </w:rPr>
        <w:t>Derivative Instruments</w:t>
      </w:r>
      <w:r>
        <w:rPr>
          <w:rFonts w:ascii="Arial" w:cs="Arial" w:eastAsia="Arial" w:hAnsi="Arial"/>
          <w:sz w:val="16"/>
          <w:szCs w:val="16"/>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We may also enter into reverse repurchase agreements to earn a yield on excess cash balances. The securities received as collateral in connection with our reverse repurchase agreements mitigate our credit risk exposure to counterparties. Our reverse repurchase agreements typically have maturities of 30 days or less.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38"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34"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4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 agreements</w:t>
      </w:r>
    </w:p>
    <w:p>
      <w:pPr>
        <w:spacing w:after="0" w:line="171" w:lineRule="exact"/>
        <w:rPr>
          <w:sz w:val="20"/>
          <w:szCs w:val="20"/>
          <w:color w:val="auto"/>
        </w:rPr>
      </w:pPr>
    </w:p>
    <w:p>
      <w:pPr>
        <w:jc w:val="both"/>
        <w:ind w:firstLine="445"/>
        <w:spacing w:after="0" w:line="290" w:lineRule="auto"/>
        <w:rPr>
          <w:sz w:val="20"/>
          <w:szCs w:val="20"/>
          <w:color w:val="auto"/>
        </w:rPr>
      </w:pPr>
      <w:r>
        <w:rPr>
          <w:rFonts w:ascii="Arial" w:cs="Arial" w:eastAsia="Arial" w:hAnsi="Arial"/>
          <w:sz w:val="16"/>
          <w:szCs w:val="16"/>
          <w:color w:val="auto"/>
        </w:rPr>
        <w:t>We use interest rate swaps to economically hedge the variable cash flows associated with our borrowings made under repurchase agreements. Under our interest rate swap agreements, we typically pay a fixed rate and receive a floating rate ("payer swaps") based on a short-term benchmark rate, such as the Secured Overnight Financing Rate ("SOFR"), Overnight Index Swap Rate ("OIS") or three-month London Interbank Offered Rate ("LIBOR"). Our interest rate swaps typically have terms from one to 10 years but may extend up to 20 years or more. Our interest rate swaps are centrally cleared through a registered commodities exchange. The clearing exchange requires that we post an "initial margin" amount determined by the exchange, which is generally intended to be set at a level sufficient to protect the exchange from the interest rate swap's maximum estimated single-day price movement.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11"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Interest rate swaptions</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premium paid for interest rate swaptions is reported as an asset in</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9" w:name="page10"/>
    <w:bookmarkEnd w:id="9"/>
    <w:p>
      <w:pPr>
        <w:jc w:val="both"/>
        <w:spacing w:after="0" w:line="259" w:lineRule="auto"/>
        <w:rPr>
          <w:sz w:val="20"/>
          <w:szCs w:val="20"/>
          <w:color w:val="auto"/>
        </w:rPr>
      </w:pPr>
      <w:r>
        <w:rPr>
          <w:rFonts w:ascii="Arial" w:cs="Arial" w:eastAsia="Arial" w:hAnsi="Arial"/>
          <w:sz w:val="18"/>
          <w:szCs w:val="18"/>
          <w:color w:val="auto"/>
        </w:rPr>
        <w:t>our consolidated balance sheets.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133"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TBA securities</w:t>
      </w:r>
    </w:p>
    <w:p>
      <w:pPr>
        <w:spacing w:after="0" w:line="171" w:lineRule="exact"/>
        <w:rPr>
          <w:sz w:val="20"/>
          <w:szCs w:val="20"/>
          <w:color w:val="auto"/>
        </w:rPr>
      </w:pPr>
    </w:p>
    <w:p>
      <w:pPr>
        <w:jc w:val="both"/>
        <w:ind w:firstLine="445"/>
        <w:spacing w:after="0" w:line="271" w:lineRule="auto"/>
        <w:rPr>
          <w:sz w:val="20"/>
          <w:szCs w:val="20"/>
          <w:color w:val="auto"/>
        </w:rPr>
      </w:pPr>
      <w:r>
        <w:rPr>
          <w:rFonts w:ascii="Arial" w:cs="Arial" w:eastAsia="Arial" w:hAnsi="Arial"/>
          <w:sz w:val="17"/>
          <w:szCs w:val="17"/>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24"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w:t>
      </w:r>
    </w:p>
    <w:p>
      <w:pPr>
        <w:spacing w:after="0" w:line="130" w:lineRule="exact"/>
        <w:rPr>
          <w:sz w:val="20"/>
          <w:szCs w:val="20"/>
          <w:color w:val="auto"/>
        </w:rPr>
      </w:pPr>
    </w:p>
    <w:p>
      <w:pPr>
        <w:ind w:left="420"/>
        <w:spacing w:after="0"/>
        <w:rPr>
          <w:sz w:val="20"/>
          <w:szCs w:val="20"/>
          <w:color w:val="auto"/>
        </w:rPr>
      </w:pPr>
      <w:r>
        <w:rPr>
          <w:rFonts w:ascii="Arial" w:cs="Arial" w:eastAsia="Arial" w:hAnsi="Arial"/>
          <w:sz w:val="18"/>
          <w:szCs w:val="18"/>
          <w:i w:val="1"/>
          <w:iCs w:val="1"/>
          <w:color w:val="auto"/>
        </w:rPr>
        <w:t>U.S. Treasury securities</w:t>
      </w:r>
    </w:p>
    <w:p>
      <w:pPr>
        <w:spacing w:after="0" w:line="171"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71"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 xml:space="preserve">In June 2016 the Financial Account Standards Board ("FASB") issued </w:t>
      </w:r>
      <w:r>
        <w:rPr>
          <w:rFonts w:ascii="Arial" w:cs="Arial" w:eastAsia="Arial" w:hAnsi="Arial"/>
          <w:sz w:val="17"/>
          <w:szCs w:val="17"/>
          <w:i w:val="1"/>
          <w:iCs w:val="1"/>
          <w:color w:val="auto"/>
        </w:rPr>
        <w:t>Accounting Standards Update 2016-13, Financial Instruments - Credit Losses</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(Topic 326), </w:t>
      </w:r>
      <w:r>
        <w:rPr>
          <w:rFonts w:ascii="Arial" w:cs="Arial" w:eastAsia="Arial" w:hAnsi="Arial"/>
          <w:sz w:val="17"/>
          <w:szCs w:val="17"/>
          <w:color w:val="auto"/>
        </w:rPr>
        <w:t>which replaces the incurred loss impairment methodology in prior GAAP with a methodology that better reflects expected credit losses. For</w:t>
      </w:r>
      <w:r>
        <w:rPr>
          <w:rFonts w:ascii="Arial" w:cs="Arial" w:eastAsia="Arial" w:hAnsi="Arial"/>
          <w:sz w:val="17"/>
          <w:szCs w:val="17"/>
          <w:i w:val="1"/>
          <w:iCs w:val="1"/>
          <w:color w:val="auto"/>
        </w:rPr>
        <w:t xml:space="preserve"> </w:t>
      </w:r>
      <w:r>
        <w:rPr>
          <w:rFonts w:ascii="Arial" w:cs="Arial" w:eastAsia="Arial" w:hAnsi="Arial"/>
          <w:sz w:val="17"/>
          <w:szCs w:val="17"/>
          <w:color w:val="auto"/>
        </w:rPr>
        <w:t>financial instruments carried at amortized cost, impairment will be measured as a current estimate of expected lifetime credit losses. For available-for-sale investment securities with changes in fair value recorded in accumulated other comprehensive income, the FASB made targeted improvements eliminating the write-down of available-for-sale securities under the "other-than-temporary" impairment model replacing it with an allowance for credit loss model. We adopted ASU 2016-13 effective January 1, 2020, which had no material effect on our financial results.</w:t>
      </w:r>
    </w:p>
    <w:p>
      <w:pPr>
        <w:spacing w:after="0" w:line="124"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consider the applicability and impact of all ASUs issued by the FASB. There are no unadopted ASUs that are expected to have a significant impact on our consolidated financial statements when adopted or other recently adopted ASUs that had a significant impact on our consolidated financial statements upon adoption.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Investment Securities</w:t>
      </w:r>
    </w:p>
    <w:p>
      <w:pPr>
        <w:spacing w:after="0" w:line="175"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As of September 30, 2020 and December 31, 2019, our investment portfolio consisted of $68.0 billion and $100.4 billion of investment securities, at fair value, respectively, and $29.5 billion and $7.4 billion of net TBA securities, at fair value, respectively. Our net TBA position is reported at its net carrying value of $76 million and $25 million as of September 30, 2020 and December 31, 2019, respectively, in derivative assets / (liabilities) on our accompanying consolidated balance sheets. The net carrying value of our TBA position represents the difference between the fair value of the underlying Agency security in the TBA contract and the cost basis or the forward price to be paid or received for the underlying Agency security.</w:t>
      </w:r>
    </w:p>
    <w:p>
      <w:pPr>
        <w:spacing w:after="0" w:line="107"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2020 and December 31, 2019, our investment securities had a net unamortized premium balance of $2.6 billion and $3.1 billion, respectively.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0" w:name="page11"/>
    <w:bookmarkEnd w:id="10"/>
    <w:p>
      <w:pPr>
        <w:ind w:firstLine="405"/>
        <w:spacing w:after="0" w:line="277" w:lineRule="auto"/>
        <w:rPr>
          <w:sz w:val="20"/>
          <w:szCs w:val="20"/>
          <w:color w:val="auto"/>
        </w:rPr>
      </w:pPr>
      <w:r>
        <w:rPr>
          <w:rFonts w:ascii="Arial" w:cs="Arial" w:eastAsia="Arial" w:hAnsi="Arial"/>
          <w:sz w:val="18"/>
          <w:szCs w:val="18"/>
          <w:color w:val="auto"/>
        </w:rPr>
        <w:t>The following tables summarize our investment securities as of September 30, 2020 and December 31, 2019, excluding TBA securities, (dollars in millions). Details of our TBA securities as of each of the respective dates are included in Note 6.</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6"/>
          </w:tcPr>
          <w:p>
            <w:pPr>
              <w:jc w:val="right"/>
              <w:ind w:right="196"/>
              <w:spacing w:after="0"/>
              <w:rPr>
                <w:sz w:val="20"/>
                <w:szCs w:val="20"/>
                <w:color w:val="auto"/>
              </w:rPr>
            </w:pPr>
            <w:r>
              <w:rPr>
                <w:rFonts w:ascii="Arial" w:cs="Arial" w:eastAsia="Arial" w:hAnsi="Arial"/>
                <w:sz w:val="14"/>
                <w:szCs w:val="14"/>
                <w:b w:val="1"/>
                <w:bCs w:val="1"/>
                <w:color w:val="auto"/>
              </w:rPr>
              <w:t>September 30, 2020</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5"/>
              </w:rPr>
              <w:t>December 31, 2019</w:t>
            </w:r>
          </w:p>
        </w:tc>
        <w:tc>
          <w:tcPr>
            <w:tcW w:w="70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3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3"/>
          </w:tcPr>
          <w:p>
            <w:pPr>
              <w:jc w:val="right"/>
              <w:ind w:right="248"/>
              <w:spacing w:after="0" w:line="135" w:lineRule="exact"/>
              <w:rPr>
                <w:sz w:val="20"/>
                <w:szCs w:val="20"/>
                <w:color w:val="auto"/>
              </w:rPr>
            </w:pPr>
            <w:r>
              <w:rPr>
                <w:rFonts w:ascii="Arial" w:cs="Arial" w:eastAsia="Arial" w:hAnsi="Arial"/>
                <w:sz w:val="14"/>
                <w:szCs w:val="14"/>
                <w:b w:val="1"/>
                <w:bCs w:val="1"/>
                <w:color w:val="auto"/>
              </w:rPr>
              <w:t>Amortized</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4"/>
            <w:vMerge w:val="restart"/>
          </w:tcPr>
          <w:p>
            <w:pPr>
              <w:jc w:val="right"/>
              <w:ind w:right="257"/>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1"/>
                <w:szCs w:val="11"/>
                <w:color w:val="auto"/>
              </w:rPr>
            </w:pPr>
          </w:p>
        </w:tc>
        <w:tc>
          <w:tcPr>
            <w:tcW w:w="1240" w:type="dxa"/>
            <w:vAlign w:val="bottom"/>
            <w:gridSpan w:val="4"/>
          </w:tcPr>
          <w:p>
            <w:pPr>
              <w:jc w:val="right"/>
              <w:ind w:right="189"/>
              <w:spacing w:after="0" w:line="135" w:lineRule="exact"/>
              <w:rPr>
                <w:sz w:val="20"/>
                <w:szCs w:val="20"/>
                <w:color w:val="auto"/>
              </w:rPr>
            </w:pPr>
            <w:r>
              <w:rPr>
                <w:rFonts w:ascii="Arial" w:cs="Arial" w:eastAsia="Arial" w:hAnsi="Arial"/>
                <w:sz w:val="14"/>
                <w:szCs w:val="14"/>
                <w:b w:val="1"/>
                <w:bCs w:val="1"/>
                <w:color w:val="auto"/>
              </w:rPr>
              <w:t>Amortized</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374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2"/>
          </w:tcPr>
          <w:p>
            <w:pPr>
              <w:jc w:val="right"/>
              <w:ind w:right="448"/>
              <w:spacing w:after="0"/>
              <w:rPr>
                <w:sz w:val="20"/>
                <w:szCs w:val="20"/>
                <w:color w:val="auto"/>
              </w:rPr>
            </w:pPr>
            <w:r>
              <w:rPr>
                <w:rFonts w:ascii="Arial" w:cs="Arial" w:eastAsia="Arial" w:hAnsi="Arial"/>
                <w:sz w:val="14"/>
                <w:szCs w:val="14"/>
                <w:b w:val="1"/>
                <w:bCs w:val="1"/>
                <w:color w:val="auto"/>
              </w:rPr>
              <w:t>Cost</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4"/>
            <w:vMerge w:val="continue"/>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4"/>
          </w:tcPr>
          <w:p>
            <w:pPr>
              <w:jc w:val="right"/>
              <w:ind w:right="369"/>
              <w:spacing w:after="0"/>
              <w:rPr>
                <w:sz w:val="20"/>
                <w:szCs w:val="20"/>
                <w:color w:val="auto"/>
              </w:rPr>
            </w:pPr>
            <w:r>
              <w:rPr>
                <w:rFonts w:ascii="Arial" w:cs="Arial" w:eastAsia="Arial" w:hAnsi="Arial"/>
                <w:sz w:val="14"/>
                <w:szCs w:val="14"/>
                <w:b w:val="1"/>
                <w:bCs w:val="1"/>
                <w:color w:val="auto"/>
              </w:rPr>
              <w:t>Cost</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Agency RMBS: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120"/>
              <w:spacing w:after="0"/>
              <w:rPr>
                <w:sz w:val="20"/>
                <w:szCs w:val="20"/>
                <w:color w:val="auto"/>
              </w:rPr>
            </w:pPr>
            <w:r>
              <w:rPr>
                <w:rFonts w:ascii="Arial" w:cs="Arial" w:eastAsia="Arial" w:hAnsi="Arial"/>
                <w:sz w:val="14"/>
                <w:szCs w:val="14"/>
                <w:color w:val="auto"/>
              </w:rPr>
              <w:t>Fixed rate</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63,307</w:t>
            </w:r>
          </w:p>
        </w:tc>
        <w:tc>
          <w:tcPr>
            <w:tcW w:w="24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660" w:type="dxa"/>
            <w:vAlign w:val="bottom"/>
          </w:tcPr>
          <w:p>
            <w:pPr>
              <w:spacing w:after="0"/>
              <w:rPr>
                <w:sz w:val="16"/>
                <w:szCs w:val="16"/>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w w:val="93"/>
              </w:rPr>
              <w:t>66,278</w:t>
            </w:r>
          </w:p>
        </w:tc>
        <w:tc>
          <w:tcPr>
            <w:tcW w:w="700" w:type="dxa"/>
            <w:vAlign w:val="bottom"/>
            <w:gridSpan w:val="2"/>
          </w:tcPr>
          <w:p>
            <w:pPr>
              <w:jc w:val="right"/>
              <w:ind w:right="374"/>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96,375</w:t>
            </w:r>
          </w:p>
        </w:tc>
        <w:tc>
          <w:tcPr>
            <w:tcW w:w="360" w:type="dxa"/>
            <w:vAlign w:val="bottom"/>
            <w:gridSpan w:val="3"/>
          </w:tcPr>
          <w:p>
            <w:pPr>
              <w:jc w:val="right"/>
              <w:ind w:right="28"/>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98,074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Adjustable rate</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99</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163</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120"/>
              <w:spacing w:after="0"/>
              <w:rPr>
                <w:sz w:val="20"/>
                <w:szCs w:val="20"/>
                <w:color w:val="auto"/>
              </w:rPr>
            </w:pPr>
            <w:r>
              <w:rPr>
                <w:rFonts w:ascii="Arial" w:cs="Arial" w:eastAsia="Arial" w:hAnsi="Arial"/>
                <w:sz w:val="14"/>
                <w:szCs w:val="14"/>
                <w:color w:val="auto"/>
              </w:rPr>
              <w:t>CMO</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327</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rPr>
              <w:t>341</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441</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447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Interest-only and principal-only strips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142</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tcBorders>
              <w:bottom w:val="single" w:sz="8" w:color="CCEEFF"/>
            </w:tcBorders>
            <w:gridSpan w:val="2"/>
          </w:tcPr>
          <w:p>
            <w:pPr>
              <w:ind w:left="120"/>
              <w:spacing w:after="0"/>
              <w:rPr>
                <w:sz w:val="20"/>
                <w:szCs w:val="20"/>
                <w:color w:val="auto"/>
              </w:rPr>
            </w:pPr>
            <w:r>
              <w:rPr>
                <w:rFonts w:ascii="Arial" w:cs="Arial" w:eastAsia="Arial" w:hAnsi="Arial"/>
                <w:sz w:val="14"/>
                <w:szCs w:val="14"/>
                <w:color w:val="auto"/>
              </w:rPr>
              <w:t>Multifamily</w:t>
            </w:r>
          </w:p>
        </w:tc>
        <w:tc>
          <w:tcPr>
            <w:tcW w:w="100" w:type="dxa"/>
            <w:vAlign w:val="bottom"/>
            <w:tcBorders>
              <w:bottom w:val="single" w:sz="8" w:color="CCEEFF"/>
            </w:tcBorders>
          </w:tcPr>
          <w:p>
            <w:pPr>
              <w:spacing w:after="0"/>
              <w:rPr>
                <w:sz w:val="16"/>
                <w:szCs w:val="16"/>
                <w:color w:val="auto"/>
              </w:rPr>
            </w:pPr>
          </w:p>
        </w:tc>
        <w:tc>
          <w:tcPr>
            <w:tcW w:w="88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58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17</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19</w:t>
            </w:r>
          </w:p>
        </w:tc>
        <w:tc>
          <w:tcPr>
            <w:tcW w:w="16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Agency RMBS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63,864</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w w:val="93"/>
              </w:rPr>
              <w:t>66,879</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97,159</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98,887</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gridSpan w:val="2"/>
          </w:tcPr>
          <w:p>
            <w:pPr>
              <w:ind w:left="20"/>
              <w:spacing w:after="0"/>
              <w:rPr>
                <w:sz w:val="20"/>
                <w:szCs w:val="20"/>
                <w:color w:val="auto"/>
              </w:rPr>
            </w:pPr>
            <w:r>
              <w:rPr>
                <w:rFonts w:ascii="Arial" w:cs="Arial" w:eastAsia="Arial" w:hAnsi="Arial"/>
                <w:sz w:val="14"/>
                <w:szCs w:val="14"/>
                <w:color w:val="auto"/>
              </w:rPr>
              <w:t>Non-Agency RMBS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172</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rPr>
              <w:t>177</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198</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209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3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CMBS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310</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CRT securities</w:t>
            </w:r>
          </w:p>
        </w:tc>
        <w:tc>
          <w:tcPr>
            <w:tcW w:w="100" w:type="dxa"/>
            <w:vAlign w:val="bottom"/>
            <w:tcBorders>
              <w:bottom w:val="single" w:sz="8" w:color="CCEEFF"/>
            </w:tcBorders>
          </w:tcPr>
          <w:p>
            <w:pPr>
              <w:spacing w:after="0"/>
              <w:rPr>
                <w:sz w:val="16"/>
                <w:szCs w:val="16"/>
                <w:color w:val="auto"/>
              </w:rPr>
            </w:pPr>
          </w:p>
        </w:tc>
        <w:tc>
          <w:tcPr>
            <w:tcW w:w="88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58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678</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color w:val="auto"/>
              </w:rPr>
              <w:t>653</w:t>
            </w:r>
          </w:p>
        </w:tc>
        <w:tc>
          <w:tcPr>
            <w:tcW w:w="16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961</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976</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20" w:type="dxa"/>
            <w:vAlign w:val="bottom"/>
          </w:tcPr>
          <w:p>
            <w:pPr>
              <w:spacing w:after="0"/>
              <w:rPr>
                <w:sz w:val="17"/>
                <w:szCs w:val="17"/>
                <w:color w:val="auto"/>
              </w:rPr>
            </w:pPr>
          </w:p>
        </w:tc>
        <w:tc>
          <w:tcPr>
            <w:tcW w:w="3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investment securities</w:t>
            </w:r>
          </w:p>
        </w:tc>
        <w:tc>
          <w:tcPr>
            <w:tcW w:w="10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65,024</w:t>
            </w:r>
          </w:p>
        </w:tc>
        <w:tc>
          <w:tcPr>
            <w:tcW w:w="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4"/>
                <w:szCs w:val="14"/>
                <w:color w:val="auto"/>
                <w:w w:val="93"/>
              </w:rPr>
              <w:t>68,044</w:t>
            </w:r>
          </w:p>
        </w:tc>
        <w:tc>
          <w:tcPr>
            <w:tcW w:w="160" w:type="dxa"/>
            <w:vAlign w:val="bottom"/>
            <w:tcBorders>
              <w:bottom w:val="single" w:sz="8" w:color="CCEEFF"/>
            </w:tcBorders>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jc w:val="right"/>
              <w:ind w:right="374"/>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98,670</w:t>
            </w:r>
          </w:p>
        </w:tc>
        <w:tc>
          <w:tcPr>
            <w:tcW w:w="6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14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100,442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gridSpan w:val="3"/>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8"/>
          </w:tcPr>
          <w:p>
            <w:pPr>
              <w:jc w:val="right"/>
              <w:ind w:right="197"/>
              <w:spacing w:after="0"/>
              <w:rPr>
                <w:sz w:val="20"/>
                <w:szCs w:val="20"/>
                <w:color w:val="auto"/>
              </w:rPr>
            </w:pPr>
            <w:r>
              <w:rPr>
                <w:rFonts w:ascii="Arial" w:cs="Arial" w:eastAsia="Arial" w:hAnsi="Arial"/>
                <w:sz w:val="14"/>
                <w:szCs w:val="14"/>
                <w:b w:val="1"/>
                <w:bCs w:val="1"/>
                <w:color w:val="auto"/>
                <w:w w:val="90"/>
              </w:rPr>
              <w:t>September 30, 2020</w:t>
            </w: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Agency RMBS</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6"/>
          </w:tcPr>
          <w:p>
            <w:pPr>
              <w:jc w:val="right"/>
              <w:ind w:right="574"/>
              <w:spacing w:after="0"/>
              <w:rPr>
                <w:sz w:val="20"/>
                <w:szCs w:val="20"/>
                <w:color w:val="auto"/>
              </w:rPr>
            </w:pPr>
            <w:r>
              <w:rPr>
                <w:rFonts w:ascii="Arial" w:cs="Arial" w:eastAsia="Arial" w:hAnsi="Arial"/>
                <w:sz w:val="14"/>
                <w:szCs w:val="14"/>
                <w:b w:val="1"/>
                <w:bCs w:val="1"/>
                <w:color w:val="auto"/>
              </w:rPr>
              <w:t>Non-Agency</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7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1"/>
                <w:szCs w:val="11"/>
                <w:color w:val="auto"/>
              </w:rPr>
            </w:pPr>
          </w:p>
        </w:tc>
        <w:tc>
          <w:tcPr>
            <w:tcW w:w="10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Fannie Mae</w:t>
            </w:r>
          </w:p>
        </w:tc>
        <w:tc>
          <w:tcPr>
            <w:tcW w:w="80" w:type="dxa"/>
            <w:vAlign w:val="bottom"/>
          </w:tcPr>
          <w:p>
            <w:pPr>
              <w:spacing w:after="0"/>
              <w:rPr>
                <w:sz w:val="11"/>
                <w:szCs w:val="11"/>
                <w:color w:val="auto"/>
              </w:rPr>
            </w:pPr>
          </w:p>
        </w:tc>
        <w:tc>
          <w:tcPr>
            <w:tcW w:w="98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Freddie Mac</w:t>
            </w:r>
          </w:p>
        </w:tc>
        <w:tc>
          <w:tcPr>
            <w:tcW w:w="180" w:type="dxa"/>
            <w:vAlign w:val="bottom"/>
          </w:tcPr>
          <w:p>
            <w:pPr>
              <w:spacing w:after="0"/>
              <w:rPr>
                <w:sz w:val="11"/>
                <w:szCs w:val="11"/>
                <w:color w:val="auto"/>
              </w:rPr>
            </w:pPr>
          </w:p>
        </w:tc>
        <w:tc>
          <w:tcPr>
            <w:tcW w:w="800" w:type="dxa"/>
            <w:vAlign w:val="bottom"/>
          </w:tcPr>
          <w:p>
            <w:pPr>
              <w:jc w:val="right"/>
              <w:ind w:right="213"/>
              <w:spacing w:after="0" w:line="130" w:lineRule="exact"/>
              <w:rPr>
                <w:sz w:val="20"/>
                <w:szCs w:val="20"/>
                <w:color w:val="auto"/>
              </w:rPr>
            </w:pPr>
            <w:r>
              <w:rPr>
                <w:rFonts w:ascii="Arial" w:cs="Arial" w:eastAsia="Arial" w:hAnsi="Arial"/>
                <w:sz w:val="14"/>
                <w:szCs w:val="14"/>
                <w:b w:val="1"/>
                <w:bCs w:val="1"/>
                <w:color w:val="auto"/>
              </w:rPr>
              <w:t>Ginnie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jc w:val="right"/>
              <w:ind w:right="116"/>
              <w:spacing w:after="0"/>
              <w:rPr>
                <w:sz w:val="20"/>
                <w:szCs w:val="20"/>
                <w:color w:val="auto"/>
              </w:rPr>
            </w:pPr>
            <w:r>
              <w:rPr>
                <w:rFonts w:ascii="Arial" w:cs="Arial" w:eastAsia="Arial" w:hAnsi="Arial"/>
                <w:sz w:val="14"/>
                <w:szCs w:val="14"/>
                <w:b w:val="1"/>
                <w:bCs w:val="1"/>
                <w:color w:val="auto"/>
              </w:rPr>
              <w:t>RMBS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CMBS</w:t>
            </w:r>
          </w:p>
        </w:tc>
        <w:tc>
          <w:tcPr>
            <w:tcW w:w="100" w:type="dxa"/>
            <w:vAlign w:val="bottom"/>
          </w:tcPr>
          <w:p>
            <w:pPr>
              <w:spacing w:after="0"/>
              <w:rPr>
                <w:sz w:val="11"/>
                <w:szCs w:val="11"/>
                <w:color w:val="auto"/>
              </w:rPr>
            </w:pPr>
          </w:p>
        </w:tc>
        <w:tc>
          <w:tcPr>
            <w:tcW w:w="980" w:type="dxa"/>
            <w:vAlign w:val="bottom"/>
            <w:gridSpan w:val="5"/>
            <w:vMerge w:val="restart"/>
          </w:tcPr>
          <w:p>
            <w:pPr>
              <w:ind w:left="220"/>
              <w:spacing w:after="0"/>
              <w:rPr>
                <w:sz w:val="20"/>
                <w:szCs w:val="20"/>
                <w:color w:val="auto"/>
              </w:rPr>
            </w:pPr>
            <w:r>
              <w:rPr>
                <w:rFonts w:ascii="Arial" w:cs="Arial" w:eastAsia="Arial" w:hAnsi="Arial"/>
                <w:sz w:val="14"/>
                <w:szCs w:val="14"/>
                <w:b w:val="1"/>
                <w:bCs w:val="1"/>
                <w:color w:val="auto"/>
              </w:rPr>
              <w:t>CRT</w:t>
            </w:r>
          </w:p>
        </w:tc>
        <w:tc>
          <w:tcPr>
            <w:tcW w:w="260" w:type="dxa"/>
            <w:vAlign w:val="bottom"/>
          </w:tcPr>
          <w:p>
            <w:pPr>
              <w:spacing w:after="0"/>
              <w:rPr>
                <w:sz w:val="11"/>
                <w:szCs w:val="11"/>
                <w:color w:val="auto"/>
              </w:rPr>
            </w:pPr>
          </w:p>
        </w:tc>
        <w:tc>
          <w:tcPr>
            <w:tcW w:w="700" w:type="dxa"/>
            <w:vAlign w:val="bottom"/>
            <w:vMerge w:val="restart"/>
          </w:tcPr>
          <w:p>
            <w:pPr>
              <w:jc w:val="right"/>
              <w:ind w:right="253"/>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37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gridSpan w:val="4"/>
            <w:vMerge w:val="continue"/>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368"/>
              <w:spacing w:after="0"/>
              <w:rPr>
                <w:sz w:val="20"/>
                <w:szCs w:val="20"/>
                <w:color w:val="auto"/>
              </w:rPr>
            </w:pPr>
            <w:r>
              <w:rPr>
                <w:rFonts w:ascii="Arial" w:cs="Arial" w:eastAsia="Arial" w:hAnsi="Arial"/>
                <w:sz w:val="14"/>
                <w:szCs w:val="14"/>
                <w:b w:val="1"/>
                <w:bCs w:val="1"/>
                <w:color w:val="auto"/>
              </w:rPr>
              <w:t>Mae</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gridSpan w:val="5"/>
            <w:vMerge w:val="continue"/>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20" w:type="dxa"/>
            <w:vAlign w:val="bottom"/>
            <w:tcBorders>
              <w:top w:val="single" w:sz="8" w:color="auto"/>
            </w:tcBorders>
          </w:tcPr>
          <w:p>
            <w:pPr>
              <w:spacing w:after="0"/>
              <w:rPr>
                <w:sz w:val="14"/>
                <w:szCs w:val="14"/>
                <w:color w:val="auto"/>
              </w:rPr>
            </w:pPr>
          </w:p>
        </w:tc>
        <w:tc>
          <w:tcPr>
            <w:tcW w:w="364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10,703</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4,046</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ind w:right="34"/>
              <w:spacing w:after="0"/>
              <w:rPr>
                <w:sz w:val="20"/>
                <w:szCs w:val="20"/>
                <w:color w:val="auto"/>
              </w:rPr>
            </w:pPr>
            <w:r>
              <w:rPr>
                <w:rFonts w:ascii="Arial" w:cs="Arial" w:eastAsia="Arial" w:hAnsi="Arial"/>
                <w:sz w:val="13"/>
                <w:szCs w:val="13"/>
                <w:color w:val="auto"/>
                <w:w w:val="82"/>
              </w:rPr>
              <w:t>$</w:t>
            </w:r>
          </w:p>
        </w:tc>
        <w:tc>
          <w:tcPr>
            <w:tcW w:w="8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14</w:t>
            </w:r>
          </w:p>
        </w:tc>
        <w:tc>
          <w:tcPr>
            <w:tcW w:w="80" w:type="dxa"/>
            <w:vAlign w:val="bottom"/>
            <w:shd w:val="clear" w:color="auto" w:fill="CCEEFF"/>
          </w:tcPr>
          <w:p>
            <w:pPr>
              <w:spacing w:after="0"/>
              <w:rPr>
                <w:sz w:val="15"/>
                <w:szCs w:val="15"/>
                <w:color w:val="auto"/>
              </w:rPr>
            </w:pPr>
          </w:p>
        </w:tc>
        <w:tc>
          <w:tcPr>
            <w:tcW w:w="240" w:type="dxa"/>
            <w:vAlign w:val="bottom"/>
            <w:gridSpan w:val="3"/>
            <w:shd w:val="clear" w:color="auto" w:fill="CCEEFF"/>
          </w:tcPr>
          <w:p>
            <w:pPr>
              <w:jc w:val="right"/>
              <w:ind w:right="68"/>
              <w:spacing w:after="0"/>
              <w:rPr>
                <w:sz w:val="20"/>
                <w:szCs w:val="20"/>
                <w:color w:val="auto"/>
              </w:rPr>
            </w:pPr>
            <w:r>
              <w:rPr>
                <w:rFonts w:ascii="Arial" w:cs="Arial" w:eastAsia="Arial" w:hAnsi="Arial"/>
                <w:sz w:val="13"/>
                <w:szCs w:val="13"/>
                <w:color w:val="auto"/>
              </w:rPr>
              <w:t>$</w:t>
            </w: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w:t>
            </w:r>
          </w:p>
        </w:tc>
        <w:tc>
          <w:tcPr>
            <w:tcW w:w="480" w:type="dxa"/>
            <w:vAlign w:val="bottom"/>
            <w:gridSpan w:val="3"/>
            <w:shd w:val="clear" w:color="auto" w:fill="CCEEFF"/>
          </w:tcPr>
          <w:p>
            <w:pPr>
              <w:jc w:val="right"/>
              <w:ind w:right="137"/>
              <w:spacing w:after="0"/>
              <w:rPr>
                <w:sz w:val="20"/>
                <w:szCs w:val="20"/>
                <w:color w:val="auto"/>
              </w:rPr>
            </w:pPr>
            <w:r>
              <w:rPr>
                <w:rFonts w:ascii="Arial" w:cs="Arial" w:eastAsia="Arial" w:hAnsi="Arial"/>
                <w:sz w:val="13"/>
                <w:szCs w:val="13"/>
                <w:color w:val="auto"/>
              </w:rPr>
              <w:t>$</w:t>
            </w: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ind w:left="20"/>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14,763</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53"/>
              <w:spacing w:after="0"/>
              <w:rPr>
                <w:sz w:val="20"/>
                <w:szCs w:val="20"/>
                <w:color w:val="auto"/>
              </w:rPr>
            </w:pPr>
            <w:r>
              <w:rPr>
                <w:rFonts w:ascii="Arial" w:cs="Arial" w:eastAsia="Arial" w:hAnsi="Arial"/>
                <w:sz w:val="13"/>
                <w:szCs w:val="13"/>
                <w:color w:val="auto"/>
              </w:rPr>
              <w:t>(7)</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479</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204</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683</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11,176</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Arial" w:cs="Arial" w:eastAsia="Arial" w:hAnsi="Arial"/>
                <w:sz w:val="13"/>
                <w:szCs w:val="13"/>
                <w:color w:val="auto"/>
              </w:rPr>
              <w:t>4,249</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Arial" w:cs="Arial" w:eastAsia="Arial" w:hAnsi="Arial"/>
                <w:sz w:val="13"/>
                <w:szCs w:val="13"/>
                <w:color w:val="auto"/>
              </w:rPr>
              <w:t>14</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jc w:val="right"/>
              <w:ind w:right="94"/>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gridSpan w:val="2"/>
          </w:tcPr>
          <w:p>
            <w:pPr>
              <w:jc w:val="right"/>
              <w:ind w:right="88"/>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15,439</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618</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215</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1</w:t>
            </w: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834</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14"/>
                <w:szCs w:val="14"/>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gridSpan w:val="3"/>
          </w:tcPr>
          <w:p>
            <w:pPr>
              <w:jc w:val="right"/>
              <w:ind w:right="280"/>
              <w:spacing w:after="0"/>
              <w:rPr>
                <w:sz w:val="20"/>
                <w:szCs w:val="20"/>
                <w:color w:val="auto"/>
              </w:rPr>
            </w:pPr>
            <w:r>
              <w:rPr>
                <w:rFonts w:ascii="Arial" w:cs="Arial" w:eastAsia="Arial" w:hAnsi="Arial"/>
                <w:sz w:val="13"/>
                <w:szCs w:val="13"/>
                <w:color w:val="auto"/>
                <w:w w:val="76"/>
              </w:rPr>
              <w:t>—</w:t>
            </w:r>
          </w:p>
        </w:tc>
        <w:tc>
          <w:tcPr>
            <w:tcW w:w="180" w:type="dxa"/>
            <w:vAlign w:val="bottom"/>
          </w:tcPr>
          <w:p>
            <w:pPr>
              <w:spacing w:after="0"/>
              <w:rPr>
                <w:sz w:val="14"/>
                <w:szCs w:val="14"/>
                <w:color w:val="auto"/>
              </w:rPr>
            </w:pPr>
          </w:p>
        </w:tc>
        <w:tc>
          <w:tcPr>
            <w:tcW w:w="880" w:type="dxa"/>
            <w:vAlign w:val="bottom"/>
            <w:gridSpan w:val="2"/>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Arial" w:cs="Arial" w:eastAsia="Arial" w:hAnsi="Arial"/>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available-for-sale securities, at fair value</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11,794</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rPr>
              <w:t>4,464</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15</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66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540" w:type="dxa"/>
            <w:vAlign w:val="bottom"/>
            <w:tcBorders>
              <w:top w:val="single" w:sz="8" w:color="auto"/>
              <w:bottom w:val="single" w:sz="8" w:color="auto"/>
            </w:tcBorders>
            <w:shd w:val="clear" w:color="auto" w:fill="CCEEFF"/>
          </w:tcPr>
          <w:p>
            <w:pPr>
              <w:jc w:val="right"/>
              <w:ind w:right="94"/>
              <w:spacing w:after="0"/>
              <w:rPr>
                <w:sz w:val="20"/>
                <w:szCs w:val="20"/>
                <w:color w:val="auto"/>
              </w:rPr>
            </w:pPr>
            <w:r>
              <w:rPr>
                <w:rFonts w:ascii="Arial" w:cs="Arial" w:eastAsia="Arial" w:hAnsi="Arial"/>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60" w:type="dxa"/>
            <w:vAlign w:val="bottom"/>
            <w:tcBorders>
              <w:top w:val="single" w:sz="8" w:color="auto"/>
              <w:bottom w:val="single" w:sz="8" w:color="auto"/>
            </w:tcBorders>
            <w:shd w:val="clear" w:color="auto" w:fill="CCEEFF"/>
          </w:tcPr>
          <w:p>
            <w:pPr>
              <w:spacing w:after="0"/>
              <w:rPr>
                <w:sz w:val="15"/>
                <w:szCs w:val="15"/>
                <w:color w:val="auto"/>
              </w:rPr>
            </w:pPr>
          </w:p>
        </w:tc>
        <w:tc>
          <w:tcPr>
            <w:tcW w:w="300" w:type="dxa"/>
            <w:vAlign w:val="bottom"/>
            <w:tcBorders>
              <w:top w:val="single" w:sz="8" w:color="auto"/>
              <w:bottom w:val="single" w:sz="8" w:color="auto"/>
            </w:tcBorders>
            <w:gridSpan w:val="2"/>
            <w:shd w:val="clear" w:color="auto" w:fill="CCEEFF"/>
          </w:tcPr>
          <w:p>
            <w:pPr>
              <w:jc w:val="right"/>
              <w:ind w:right="88"/>
              <w:spacing w:after="0"/>
              <w:rPr>
                <w:sz w:val="20"/>
                <w:szCs w:val="20"/>
                <w:color w:val="auto"/>
              </w:rPr>
            </w:pPr>
            <w:r>
              <w:rPr>
                <w:rFonts w:ascii="Arial" w:cs="Arial" w:eastAsia="Arial" w:hAnsi="Arial"/>
                <w:sz w:val="13"/>
                <w:szCs w:val="13"/>
                <w:color w:val="auto"/>
                <w:w w:val="91"/>
              </w:rPr>
              <w:t>—</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16,273</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740" w:type="dxa"/>
            <w:vAlign w:val="bottom"/>
            <w:gridSpan w:val="2"/>
          </w:tcPr>
          <w:p>
            <w:pPr>
              <w:spacing w:after="0" w:line="141" w:lineRule="exact"/>
              <w:rPr>
                <w:sz w:val="20"/>
                <w:szCs w:val="20"/>
                <w:color w:val="auto"/>
              </w:rPr>
            </w:pPr>
            <w:r>
              <w:rPr>
                <w:rFonts w:ascii="Arial" w:cs="Arial" w:eastAsia="Arial" w:hAnsi="Arial"/>
                <w:sz w:val="13"/>
                <w:szCs w:val="13"/>
                <w:color w:val="auto"/>
              </w:rPr>
              <w:t>Securities remeasured at fair value through earnings:</w:t>
            </w: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Par value</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31,624</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14,891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3"/>
              <w:spacing w:after="0"/>
              <w:rPr>
                <w:sz w:val="20"/>
                <w:szCs w:val="20"/>
                <w:color w:val="auto"/>
              </w:rPr>
            </w:pPr>
            <w:r>
              <w:rPr>
                <w:rFonts w:ascii="Arial" w:cs="Arial" w:eastAsia="Arial" w:hAnsi="Arial"/>
                <w:sz w:val="13"/>
                <w:szCs w:val="13"/>
                <w:color w:val="auto"/>
              </w:rPr>
              <w:t>3</w:t>
            </w: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181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309</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w w:val="82"/>
              </w:rPr>
              <w:t>678</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47,686</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(20)</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4"/>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Arial" w:cs="Arial" w:eastAsia="Arial" w:hAnsi="Arial"/>
                <w:sz w:val="13"/>
                <w:szCs w:val="13"/>
                <w:color w:val="auto"/>
                <w:w w:val="86"/>
              </w:rPr>
              <w:t>(12)</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3"/>
              <w:spacing w:after="0"/>
              <w:rPr>
                <w:sz w:val="20"/>
                <w:szCs w:val="20"/>
                <w:color w:val="auto"/>
              </w:rPr>
            </w:pPr>
            <w:r>
              <w:rPr>
                <w:rFonts w:ascii="Arial" w:cs="Arial" w:eastAsia="Arial" w:hAnsi="Arial"/>
                <w:sz w:val="13"/>
                <w:szCs w:val="13"/>
                <w:color w:val="auto"/>
              </w:rPr>
              <w:t>(48)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1,285</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641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rPr>
              <w:t>12</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1,947</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32,889</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Arial" w:cs="Arial" w:eastAsia="Arial" w:hAnsi="Arial"/>
                <w:sz w:val="13"/>
                <w:szCs w:val="13"/>
                <w:color w:val="auto"/>
              </w:rPr>
              <w:t>15,531</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Arial" w:cs="Arial" w:eastAsia="Arial" w:hAnsi="Arial"/>
                <w:sz w:val="13"/>
                <w:szCs w:val="13"/>
                <w:color w:val="auto"/>
              </w:rPr>
              <w:t>3</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ind w:right="16"/>
              <w:spacing w:after="0"/>
              <w:rPr>
                <w:sz w:val="20"/>
                <w:szCs w:val="20"/>
                <w:color w:val="auto"/>
              </w:rPr>
            </w:pPr>
            <w:r>
              <w:rPr>
                <w:rFonts w:ascii="Arial" w:cs="Arial" w:eastAsia="Arial" w:hAnsi="Arial"/>
                <w:sz w:val="13"/>
                <w:szCs w:val="13"/>
                <w:color w:val="auto"/>
              </w:rPr>
              <w:t>173</w:t>
            </w:r>
          </w:p>
        </w:tc>
        <w:tc>
          <w:tcPr>
            <w:tcW w:w="1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gridSpan w:val="2"/>
          </w:tcPr>
          <w:p>
            <w:pPr>
              <w:jc w:val="right"/>
              <w:ind w:right="94"/>
              <w:spacing w:after="0"/>
              <w:rPr>
                <w:sz w:val="20"/>
                <w:szCs w:val="20"/>
                <w:color w:val="auto"/>
              </w:rPr>
            </w:pPr>
            <w:r>
              <w:rPr>
                <w:rFonts w:ascii="Arial" w:cs="Arial" w:eastAsia="Arial" w:hAnsi="Arial"/>
                <w:sz w:val="13"/>
                <w:szCs w:val="13"/>
                <w:color w:val="auto"/>
              </w:rPr>
              <w:t>311</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gridSpan w:val="3"/>
          </w:tcPr>
          <w:p>
            <w:pPr>
              <w:jc w:val="right"/>
              <w:ind w:right="88"/>
              <w:spacing w:after="0"/>
              <w:rPr>
                <w:sz w:val="20"/>
                <w:szCs w:val="20"/>
                <w:color w:val="auto"/>
              </w:rPr>
            </w:pPr>
            <w:r>
              <w:rPr>
                <w:rFonts w:ascii="Arial" w:cs="Arial" w:eastAsia="Arial" w:hAnsi="Arial"/>
                <w:sz w:val="13"/>
                <w:szCs w:val="13"/>
                <w:color w:val="auto"/>
                <w:w w:val="82"/>
              </w:rPr>
              <w:t>678</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49,585</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Arial" w:cs="Arial" w:eastAsia="Arial" w:hAnsi="Arial"/>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1,411</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782</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16"/>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28</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Arial" w:cs="Arial" w:eastAsia="Arial" w:hAnsi="Arial"/>
                <w:sz w:val="13"/>
                <w:szCs w:val="13"/>
                <w:color w:val="auto"/>
              </w:rPr>
              <w:t>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2,232</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Arial" w:cs="Arial" w:eastAsia="Arial" w:hAnsi="Arial"/>
                <w:sz w:val="13"/>
                <w:szCs w:val="13"/>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188"/>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4"/>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Arial" w:cs="Arial" w:eastAsia="Arial" w:hAnsi="Arial"/>
                <w:sz w:val="13"/>
                <w:szCs w:val="13"/>
                <w:color w:val="auto"/>
                <w:w w:val="86"/>
              </w:rPr>
              <w:t>(28)</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3"/>
              <w:spacing w:after="0"/>
              <w:rPr>
                <w:sz w:val="20"/>
                <w:szCs w:val="20"/>
                <w:color w:val="auto"/>
              </w:rPr>
            </w:pPr>
            <w:r>
              <w:rPr>
                <w:rFonts w:ascii="Arial" w:cs="Arial" w:eastAsia="Arial" w:hAnsi="Arial"/>
                <w:sz w:val="13"/>
                <w:szCs w:val="13"/>
                <w:color w:val="auto"/>
              </w:rPr>
              <w:t>(46)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3"/>
                <w:szCs w:val="13"/>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34,293</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3"/>
                <w:szCs w:val="13"/>
                <w:color w:val="auto"/>
              </w:rPr>
              <w:t>16,310</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Arial" w:cs="Arial" w:eastAsia="Arial" w:hAnsi="Arial"/>
                <w:sz w:val="13"/>
                <w:szCs w:val="13"/>
                <w:color w:val="auto"/>
              </w:rPr>
              <w:t>3</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66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Arial" w:cs="Arial" w:eastAsia="Arial" w:hAnsi="Arial"/>
                <w:sz w:val="13"/>
                <w:szCs w:val="13"/>
                <w:color w:val="auto"/>
              </w:rPr>
              <w:t>177</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gridSpan w:val="2"/>
            <w:shd w:val="clear" w:color="auto" w:fill="CCEEFF"/>
          </w:tcPr>
          <w:p>
            <w:pPr>
              <w:jc w:val="right"/>
              <w:ind w:right="94"/>
              <w:spacing w:after="0"/>
              <w:rPr>
                <w:sz w:val="20"/>
                <w:szCs w:val="20"/>
                <w:color w:val="auto"/>
              </w:rPr>
            </w:pPr>
            <w:r>
              <w:rPr>
                <w:rFonts w:ascii="Arial" w:cs="Arial" w:eastAsia="Arial" w:hAnsi="Arial"/>
                <w:sz w:val="13"/>
                <w:szCs w:val="13"/>
                <w:color w:val="auto"/>
              </w:rPr>
              <w:t>335</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360" w:type="dxa"/>
            <w:vAlign w:val="bottom"/>
            <w:tcBorders>
              <w:top w:val="single" w:sz="8" w:color="auto"/>
              <w:bottom w:val="single" w:sz="8" w:color="auto"/>
            </w:tcBorders>
            <w:gridSpan w:val="3"/>
            <w:shd w:val="clear" w:color="auto" w:fill="CCEEFF"/>
          </w:tcPr>
          <w:p>
            <w:pPr>
              <w:jc w:val="right"/>
              <w:ind w:right="88"/>
              <w:spacing w:after="0"/>
              <w:rPr>
                <w:sz w:val="20"/>
                <w:szCs w:val="20"/>
                <w:color w:val="auto"/>
              </w:rPr>
            </w:pPr>
            <w:r>
              <w:rPr>
                <w:rFonts w:ascii="Arial" w:cs="Arial" w:eastAsia="Arial" w:hAnsi="Arial"/>
                <w:sz w:val="13"/>
                <w:szCs w:val="13"/>
                <w:color w:val="auto"/>
                <w:w w:val="82"/>
              </w:rPr>
              <w:t>653</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51,771</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Total securities, at fair value</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46,087</w:t>
            </w:r>
          </w:p>
        </w:tc>
        <w:tc>
          <w:tcPr>
            <w:tcW w:w="120" w:type="dxa"/>
            <w:vAlign w:val="bottom"/>
          </w:tcPr>
          <w:p>
            <w:pPr>
              <w:spacing w:after="0"/>
              <w:rPr>
                <w:sz w:val="14"/>
                <w:szCs w:val="14"/>
                <w:color w:val="auto"/>
              </w:rPr>
            </w:pPr>
          </w:p>
        </w:tc>
        <w:tc>
          <w:tcPr>
            <w:tcW w:w="80" w:type="dxa"/>
            <w:vAlign w:val="bottom"/>
            <w:tcBorders>
              <w:bottom w:val="single" w:sz="8" w:color="auto"/>
            </w:tcBorders>
          </w:tcPr>
          <w:p>
            <w:pPr>
              <w:ind w:left="20"/>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color w:val="auto"/>
              </w:rPr>
              <w:t>20,774</w:t>
            </w: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4"/>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113"/>
              <w:spacing w:after="0"/>
              <w:rPr>
                <w:sz w:val="20"/>
                <w:szCs w:val="20"/>
                <w:color w:val="auto"/>
              </w:rPr>
            </w:pPr>
            <w:r>
              <w:rPr>
                <w:rFonts w:ascii="Arial" w:cs="Arial" w:eastAsia="Arial" w:hAnsi="Arial"/>
                <w:sz w:val="13"/>
                <w:szCs w:val="13"/>
                <w:color w:val="auto"/>
              </w:rPr>
              <w:t>18</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3"/>
                <w:szCs w:val="13"/>
                <w:color w:val="auto"/>
                <w:w w:val="82"/>
              </w:rPr>
              <w:t>$</w:t>
            </w:r>
          </w:p>
        </w:tc>
        <w:tc>
          <w:tcPr>
            <w:tcW w:w="66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color w:val="auto"/>
              </w:rPr>
              <w:t>177</w:t>
            </w:r>
          </w:p>
        </w:tc>
        <w:tc>
          <w:tcPr>
            <w:tcW w:w="1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bottom w:val="single" w:sz="8" w:color="auto"/>
            </w:tcBorders>
          </w:tcPr>
          <w:p>
            <w:pPr>
              <w:jc w:val="right"/>
              <w:ind w:right="137"/>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gridSpan w:val="2"/>
          </w:tcPr>
          <w:p>
            <w:pPr>
              <w:jc w:val="right"/>
              <w:ind w:right="94"/>
              <w:spacing w:after="0"/>
              <w:rPr>
                <w:sz w:val="20"/>
                <w:szCs w:val="20"/>
                <w:color w:val="auto"/>
              </w:rPr>
            </w:pPr>
            <w:r>
              <w:rPr>
                <w:rFonts w:ascii="Arial" w:cs="Arial" w:eastAsia="Arial" w:hAnsi="Arial"/>
                <w:sz w:val="13"/>
                <w:szCs w:val="13"/>
                <w:color w:val="auto"/>
              </w:rPr>
              <w:t>335</w:t>
            </w:r>
          </w:p>
        </w:tc>
        <w:tc>
          <w:tcPr>
            <w:tcW w:w="12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4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3"/>
                <w:szCs w:val="13"/>
                <w:color w:val="auto"/>
                <w:w w:val="82"/>
              </w:rPr>
              <w:t>653</w:t>
            </w:r>
          </w:p>
        </w:tc>
        <w:tc>
          <w:tcPr>
            <w:tcW w:w="140" w:type="dxa"/>
            <w:vAlign w:val="bottom"/>
          </w:tcPr>
          <w:p>
            <w:pPr>
              <w:spacing w:after="0"/>
              <w:rPr>
                <w:sz w:val="14"/>
                <w:szCs w:val="14"/>
                <w:color w:val="auto"/>
              </w:rPr>
            </w:pPr>
          </w:p>
        </w:tc>
        <w:tc>
          <w:tcPr>
            <w:tcW w:w="26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70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68,044</w:t>
            </w: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36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shd w:val="clear" w:color="auto" w:fill="CCEEFF"/>
          </w:tcPr>
          <w:p>
            <w:pPr>
              <w:spacing w:after="0"/>
              <w:rPr>
                <w:sz w:val="14"/>
                <w:szCs w:val="14"/>
                <w:color w:val="auto"/>
              </w:rPr>
            </w:pPr>
          </w:p>
        </w:tc>
        <w:tc>
          <w:tcPr>
            <w:tcW w:w="3740" w:type="dxa"/>
            <w:vAlign w:val="bottom"/>
            <w:gridSpan w:val="2"/>
            <w:shd w:val="clear" w:color="auto" w:fill="CCEEFF"/>
          </w:tcPr>
          <w:p>
            <w:pPr>
              <w:spacing w:after="0"/>
              <w:rPr>
                <w:sz w:val="20"/>
                <w:szCs w:val="20"/>
                <w:color w:val="auto"/>
              </w:rPr>
            </w:pPr>
            <w:r>
              <w:rPr>
                <w:rFonts w:ascii="Arial" w:cs="Arial" w:eastAsia="Arial" w:hAnsi="Arial"/>
                <w:sz w:val="13"/>
                <w:szCs w:val="13"/>
                <w:color w:val="auto"/>
              </w:rPr>
              <w:t>Weighted average coupon as of September 30, 2020</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3.49 %</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3"/>
                <w:szCs w:val="13"/>
                <w:color w:val="auto"/>
              </w:rPr>
              <w:t>3.79 %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3.58 %</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4.20 %</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4.13 %</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gridSpan w:val="4"/>
            <w:shd w:val="clear" w:color="auto" w:fill="CCEEFF"/>
          </w:tcPr>
          <w:p>
            <w:pPr>
              <w:jc w:val="right"/>
              <w:spacing w:after="0"/>
              <w:rPr>
                <w:sz w:val="20"/>
                <w:szCs w:val="20"/>
                <w:color w:val="auto"/>
              </w:rPr>
            </w:pPr>
            <w:r>
              <w:rPr>
                <w:rFonts w:ascii="Arial" w:cs="Arial" w:eastAsia="Arial" w:hAnsi="Arial"/>
                <w:sz w:val="13"/>
                <w:szCs w:val="13"/>
                <w:color w:val="auto"/>
              </w:rPr>
              <w:t>3.31 %</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3.59 %</w:t>
            </w:r>
          </w:p>
        </w:tc>
        <w:tc>
          <w:tcPr>
            <w:tcW w:w="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Weighted average yield as of September 30, 2020 </w:t>
            </w:r>
            <w:r>
              <w:rPr>
                <w:rFonts w:ascii="Arial" w:cs="Arial" w:eastAsia="Arial" w:hAnsi="Arial"/>
                <w:sz w:val="16"/>
                <w:szCs w:val="16"/>
                <w:color w:val="auto"/>
                <w:vertAlign w:val="superscript"/>
              </w:rPr>
              <w:t>1</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2.49 %</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3"/>
                <w:szCs w:val="13"/>
                <w:color w:val="auto"/>
              </w:rPr>
              <w:t>2.66 %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2.22 %</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0.53 %</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3"/>
                <w:szCs w:val="13"/>
                <w:color w:val="auto"/>
              </w:rPr>
              <w:t>4.40 %</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4"/>
          </w:tcPr>
          <w:p>
            <w:pPr>
              <w:jc w:val="right"/>
              <w:spacing w:after="0"/>
              <w:rPr>
                <w:sz w:val="20"/>
                <w:szCs w:val="20"/>
                <w:color w:val="auto"/>
              </w:rPr>
            </w:pPr>
            <w:r>
              <w:rPr>
                <w:rFonts w:ascii="Arial" w:cs="Arial" w:eastAsia="Arial" w:hAnsi="Arial"/>
                <w:sz w:val="13"/>
                <w:szCs w:val="13"/>
                <w:color w:val="auto"/>
              </w:rPr>
              <w:t>3.47 %</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2.56 %</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57"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15.9% based on forward rates as of September 30, 2020.</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192"/>
        </w:trPr>
        <w:tc>
          <w:tcPr>
            <w:tcW w:w="3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2019</w:t>
            </w: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4"/>
          </w:tcPr>
          <w:p>
            <w:pPr>
              <w:jc w:val="right"/>
              <w:ind w:right="597"/>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37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80" w:type="dxa"/>
            <w:vAlign w:val="bottom"/>
          </w:tcPr>
          <w:p>
            <w:pPr>
              <w:spacing w:after="0"/>
              <w:rPr>
                <w:sz w:val="11"/>
                <w:szCs w:val="11"/>
                <w:color w:val="auto"/>
              </w:rPr>
            </w:pPr>
          </w:p>
        </w:tc>
        <w:tc>
          <w:tcPr>
            <w:tcW w:w="920" w:type="dxa"/>
            <w:vAlign w:val="bottom"/>
            <w:gridSpan w:val="2"/>
          </w:tcPr>
          <w:p>
            <w:pPr>
              <w:ind w:left="100"/>
              <w:spacing w:after="0" w:line="130" w:lineRule="exact"/>
              <w:rPr>
                <w:sz w:val="20"/>
                <w:szCs w:val="20"/>
                <w:color w:val="auto"/>
              </w:rPr>
            </w:pPr>
            <w:r>
              <w:rPr>
                <w:rFonts w:ascii="Arial" w:cs="Arial" w:eastAsia="Arial" w:hAnsi="Arial"/>
                <w:sz w:val="14"/>
                <w:szCs w:val="14"/>
                <w:b w:val="1"/>
                <w:bCs w:val="1"/>
                <w:color w:val="auto"/>
              </w:rPr>
              <w:t>Fannie</w:t>
            </w:r>
          </w:p>
        </w:tc>
        <w:tc>
          <w:tcPr>
            <w:tcW w:w="80" w:type="dxa"/>
            <w:vAlign w:val="bottom"/>
          </w:tcPr>
          <w:p>
            <w:pPr>
              <w:spacing w:after="0"/>
              <w:rPr>
                <w:sz w:val="11"/>
                <w:szCs w:val="11"/>
                <w:color w:val="auto"/>
              </w:rPr>
            </w:pPr>
          </w:p>
        </w:tc>
        <w:tc>
          <w:tcPr>
            <w:tcW w:w="9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Freddie Mac</w:t>
            </w:r>
          </w:p>
        </w:tc>
        <w:tc>
          <w:tcPr>
            <w:tcW w:w="180" w:type="dxa"/>
            <w:vAlign w:val="bottom"/>
          </w:tcPr>
          <w:p>
            <w:pPr>
              <w:spacing w:after="0"/>
              <w:rPr>
                <w:sz w:val="11"/>
                <w:szCs w:val="11"/>
                <w:color w:val="auto"/>
              </w:rPr>
            </w:pPr>
          </w:p>
        </w:tc>
        <w:tc>
          <w:tcPr>
            <w:tcW w:w="800" w:type="dxa"/>
            <w:vAlign w:val="bottom"/>
          </w:tcPr>
          <w:p>
            <w:pPr>
              <w:jc w:val="right"/>
              <w:ind w:right="236"/>
              <w:spacing w:after="0" w:line="130" w:lineRule="exact"/>
              <w:rPr>
                <w:sz w:val="20"/>
                <w:szCs w:val="20"/>
                <w:color w:val="auto"/>
              </w:rPr>
            </w:pPr>
            <w:r>
              <w:rPr>
                <w:rFonts w:ascii="Arial" w:cs="Arial" w:eastAsia="Arial" w:hAnsi="Arial"/>
                <w:sz w:val="14"/>
                <w:szCs w:val="14"/>
                <w:b w:val="1"/>
                <w:bCs w:val="1"/>
                <w:color w:val="auto"/>
              </w:rPr>
              <w:t>Ginnie</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RMBS</w:t>
            </w:r>
          </w:p>
        </w:tc>
        <w:tc>
          <w:tcPr>
            <w:tcW w:w="200" w:type="dxa"/>
            <w:vAlign w:val="bottom"/>
          </w:tcPr>
          <w:p>
            <w:pPr>
              <w:spacing w:after="0"/>
              <w:rPr>
                <w:sz w:val="11"/>
                <w:szCs w:val="11"/>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CMBS</w:t>
            </w:r>
          </w:p>
        </w:tc>
        <w:tc>
          <w:tcPr>
            <w:tcW w:w="200" w:type="dxa"/>
            <w:vAlign w:val="bottom"/>
          </w:tcPr>
          <w:p>
            <w:pPr>
              <w:spacing w:after="0"/>
              <w:rPr>
                <w:sz w:val="11"/>
                <w:szCs w:val="11"/>
                <w:color w:val="auto"/>
              </w:rPr>
            </w:pPr>
          </w:p>
        </w:tc>
        <w:tc>
          <w:tcPr>
            <w:tcW w:w="86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CRT</w:t>
            </w:r>
          </w:p>
        </w:tc>
        <w:tc>
          <w:tcPr>
            <w:tcW w:w="200" w:type="dxa"/>
            <w:vAlign w:val="bottom"/>
          </w:tcPr>
          <w:p>
            <w:pPr>
              <w:spacing w:after="0"/>
              <w:rPr>
                <w:sz w:val="11"/>
                <w:szCs w:val="11"/>
                <w:color w:val="auto"/>
              </w:rPr>
            </w:pPr>
          </w:p>
        </w:tc>
        <w:tc>
          <w:tcPr>
            <w:tcW w:w="780" w:type="dxa"/>
            <w:vAlign w:val="bottom"/>
            <w:vMerge w:val="restart"/>
          </w:tcPr>
          <w:p>
            <w:pPr>
              <w:jc w:val="right"/>
              <w:ind w:right="277"/>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37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ind w:left="180"/>
              <w:spacing w:after="0"/>
              <w:rPr>
                <w:sz w:val="20"/>
                <w:szCs w:val="20"/>
                <w:color w:val="auto"/>
              </w:rPr>
            </w:pPr>
            <w:r>
              <w:rPr>
                <w:rFonts w:ascii="Arial" w:cs="Arial" w:eastAsia="Arial" w:hAnsi="Arial"/>
                <w:sz w:val="14"/>
                <w:szCs w:val="14"/>
                <w:b w:val="1"/>
                <w:bCs w:val="1"/>
                <w:color w:val="auto"/>
              </w:rPr>
              <w:t>Mae</w:t>
            </w:r>
          </w:p>
        </w:tc>
        <w:tc>
          <w:tcPr>
            <w:tcW w:w="80" w:type="dxa"/>
            <w:vAlign w:val="bottom"/>
          </w:tcPr>
          <w:p>
            <w:pPr>
              <w:spacing w:after="0"/>
              <w:rPr>
                <w:sz w:val="16"/>
                <w:szCs w:val="16"/>
                <w:color w:val="auto"/>
              </w:rPr>
            </w:pPr>
          </w:p>
        </w:tc>
        <w:tc>
          <w:tcPr>
            <w:tcW w:w="9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ind w:right="296"/>
              <w:spacing w:after="0"/>
              <w:rPr>
                <w:sz w:val="20"/>
                <w:szCs w:val="20"/>
                <w:color w:val="auto"/>
              </w:rPr>
            </w:pPr>
            <w:r>
              <w:rPr>
                <w:rFonts w:ascii="Arial" w:cs="Arial" w:eastAsia="Arial" w:hAnsi="Arial"/>
                <w:sz w:val="14"/>
                <w:szCs w:val="14"/>
                <w:b w:val="1"/>
                <w:bCs w:val="1"/>
                <w:color w:val="auto"/>
              </w:rPr>
              <w:t>Mae</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3680" w:type="dxa"/>
            <w:vAlign w:val="bottom"/>
            <w:tcBorders>
              <w:top w:val="single" w:sz="8" w:color="auto"/>
            </w:tcBorders>
          </w:tcPr>
          <w:p>
            <w:pPr>
              <w:ind w:left="20"/>
              <w:spacing w:after="0"/>
              <w:rPr>
                <w:sz w:val="20"/>
                <w:szCs w:val="20"/>
                <w:color w:val="auto"/>
              </w:rPr>
            </w:pPr>
            <w:r>
              <w:rPr>
                <w:rFonts w:ascii="Arial" w:cs="Arial" w:eastAsia="Arial" w:hAnsi="Arial"/>
                <w:sz w:val="13"/>
                <w:szCs w:val="13"/>
                <w:color w:val="auto"/>
              </w:rPr>
              <w:t>Available-for-sale securities:</w:t>
            </w: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Par value</w:t>
            </w: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82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14,301</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4,762</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w w:val="82"/>
              </w:rPr>
              <w:t>$</w:t>
            </w: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18</w:t>
            </w:r>
          </w:p>
        </w:tc>
        <w:tc>
          <w:tcPr>
            <w:tcW w:w="280" w:type="dxa"/>
            <w:vAlign w:val="bottom"/>
            <w:gridSpan w:val="2"/>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w w:val="82"/>
              </w:rPr>
              <w:t>$</w:t>
            </w: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w w:val="82"/>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w w:val="82"/>
              </w:rPr>
              <w:t>$</w:t>
            </w:r>
          </w:p>
        </w:tc>
        <w:tc>
          <w:tcPr>
            <w:tcW w:w="7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19,081</w:t>
            </w:r>
          </w:p>
        </w:tc>
        <w:tc>
          <w:tcPr>
            <w:tcW w:w="0" w:type="dxa"/>
            <w:vAlign w:val="bottom"/>
          </w:tcPr>
          <w:p>
            <w:pPr>
              <w:spacing w:after="0"/>
              <w:rPr>
                <w:sz w:val="1"/>
                <w:szCs w:val="1"/>
                <w:color w:val="auto"/>
              </w:rPr>
            </w:pPr>
          </w:p>
        </w:tc>
      </w:tr>
      <w:tr>
        <w:trPr>
          <w:trHeight w:val="168"/>
        </w:trPr>
        <w:tc>
          <w:tcPr>
            <w:tcW w:w="3780" w:type="dxa"/>
            <w:vAlign w:val="bottom"/>
            <w:gridSpan w:val="2"/>
          </w:tcPr>
          <w:p>
            <w:pPr>
              <w:ind w:left="180"/>
              <w:spacing w:after="0"/>
              <w:rPr>
                <w:sz w:val="20"/>
                <w:szCs w:val="20"/>
                <w:color w:val="auto"/>
              </w:rPr>
            </w:pPr>
            <w:r>
              <w:rPr>
                <w:rFonts w:ascii="Arial" w:cs="Arial" w:eastAsia="Arial" w:hAnsi="Arial"/>
                <w:sz w:val="13"/>
                <w:szCs w:val="13"/>
                <w:color w:val="auto"/>
              </w:rPr>
              <w:t>Unamortized discount</w:t>
            </w:r>
          </w:p>
        </w:tc>
        <w:tc>
          <w:tcPr>
            <w:tcW w:w="180" w:type="dxa"/>
            <w:vAlign w:val="bottom"/>
          </w:tcPr>
          <w:p>
            <w:pPr>
              <w:spacing w:after="0"/>
              <w:rPr>
                <w:sz w:val="14"/>
                <w:szCs w:val="14"/>
                <w:color w:val="auto"/>
              </w:rPr>
            </w:pPr>
          </w:p>
        </w:tc>
        <w:tc>
          <w:tcPr>
            <w:tcW w:w="820" w:type="dxa"/>
            <w:vAlign w:val="bottom"/>
          </w:tcPr>
          <w:p>
            <w:pPr>
              <w:jc w:val="right"/>
              <w:ind w:right="7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Arial" w:cs="Arial" w:eastAsia="Arial" w:hAnsi="Arial"/>
                <w:sz w:val="13"/>
                <w:szCs w:val="13"/>
                <w:color w:val="auto"/>
              </w:rPr>
              <w:t>(12)</w:t>
            </w: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Unamortized premium</w:t>
            </w: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711</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276</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987</w:t>
            </w:r>
          </w:p>
        </w:tc>
        <w:tc>
          <w:tcPr>
            <w:tcW w:w="0" w:type="dxa"/>
            <w:vAlign w:val="bottom"/>
          </w:tcPr>
          <w:p>
            <w:pPr>
              <w:spacing w:after="0"/>
              <w:rPr>
                <w:sz w:val="1"/>
                <w:szCs w:val="1"/>
                <w:color w:val="auto"/>
              </w:rPr>
            </w:pPr>
          </w:p>
        </w:tc>
      </w:tr>
      <w:tr>
        <w:trPr>
          <w:trHeight w:val="161"/>
        </w:trPr>
        <w:tc>
          <w:tcPr>
            <w:tcW w:w="3780" w:type="dxa"/>
            <w:vAlign w:val="bottom"/>
            <w:gridSpan w:val="2"/>
          </w:tcPr>
          <w:p>
            <w:pPr>
              <w:ind w:left="220"/>
              <w:spacing w:after="0"/>
              <w:rPr>
                <w:sz w:val="20"/>
                <w:szCs w:val="20"/>
                <w:color w:val="auto"/>
              </w:rPr>
            </w:pPr>
            <w:r>
              <w:rPr>
                <w:rFonts w:ascii="Arial" w:cs="Arial" w:eastAsia="Arial" w:hAnsi="Arial"/>
                <w:sz w:val="13"/>
                <w:szCs w:val="13"/>
                <w:color w:val="auto"/>
              </w:rPr>
              <w:t>Amortized cost</w:t>
            </w:r>
          </w:p>
        </w:tc>
        <w:tc>
          <w:tcPr>
            <w:tcW w:w="18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jc w:val="right"/>
              <w:ind w:right="116"/>
              <w:spacing w:after="0"/>
              <w:rPr>
                <w:sz w:val="20"/>
                <w:szCs w:val="20"/>
                <w:color w:val="auto"/>
              </w:rPr>
            </w:pPr>
            <w:r>
              <w:rPr>
                <w:rFonts w:ascii="Arial" w:cs="Arial" w:eastAsia="Arial" w:hAnsi="Arial"/>
                <w:sz w:val="13"/>
                <w:szCs w:val="13"/>
                <w:color w:val="auto"/>
              </w:rPr>
              <w:t>15,002</w:t>
            </w:r>
          </w:p>
        </w:tc>
        <w:tc>
          <w:tcPr>
            <w:tcW w:w="1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5,036</w:t>
            </w: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96"/>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ind w:right="97"/>
              <w:spacing w:after="0"/>
              <w:rPr>
                <w:sz w:val="20"/>
                <w:szCs w:val="20"/>
                <w:color w:val="auto"/>
              </w:rPr>
            </w:pPr>
            <w:r>
              <w:rPr>
                <w:rFonts w:ascii="Arial" w:cs="Arial" w:eastAsia="Arial" w:hAnsi="Arial"/>
                <w:sz w:val="13"/>
                <w:szCs w:val="13"/>
                <w:color w:val="auto"/>
              </w:rPr>
              <w:t>20,056</w:t>
            </w: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Gross unrealized gains</w:t>
            </w: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142</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172</w:t>
            </w:r>
          </w:p>
        </w:tc>
        <w:tc>
          <w:tcPr>
            <w:tcW w:w="0" w:type="dxa"/>
            <w:vAlign w:val="bottom"/>
          </w:tcPr>
          <w:p>
            <w:pPr>
              <w:spacing w:after="0"/>
              <w:rPr>
                <w:sz w:val="1"/>
                <w:szCs w:val="1"/>
                <w:color w:val="auto"/>
              </w:rPr>
            </w:pPr>
          </w:p>
        </w:tc>
      </w:tr>
      <w:tr>
        <w:trPr>
          <w:trHeight w:val="169"/>
        </w:trPr>
        <w:tc>
          <w:tcPr>
            <w:tcW w:w="3780" w:type="dxa"/>
            <w:vAlign w:val="bottom"/>
            <w:gridSpan w:val="2"/>
          </w:tcPr>
          <w:p>
            <w:pPr>
              <w:ind w:left="180"/>
              <w:spacing w:after="0"/>
              <w:rPr>
                <w:sz w:val="20"/>
                <w:szCs w:val="20"/>
                <w:color w:val="auto"/>
              </w:rPr>
            </w:pPr>
            <w:r>
              <w:rPr>
                <w:rFonts w:ascii="Arial" w:cs="Arial" w:eastAsia="Arial" w:hAnsi="Arial"/>
                <w:sz w:val="13"/>
                <w:szCs w:val="13"/>
                <w:color w:val="auto"/>
              </w:rPr>
              <w:t>Gross unrealized losses</w:t>
            </w:r>
          </w:p>
        </w:tc>
        <w:tc>
          <w:tcPr>
            <w:tcW w:w="180" w:type="dxa"/>
            <w:vAlign w:val="bottom"/>
          </w:tcPr>
          <w:p>
            <w:pPr>
              <w:spacing w:after="0"/>
              <w:rPr>
                <w:sz w:val="14"/>
                <w:szCs w:val="14"/>
                <w:color w:val="auto"/>
              </w:rPr>
            </w:pPr>
          </w:p>
        </w:tc>
        <w:tc>
          <w:tcPr>
            <w:tcW w:w="820" w:type="dxa"/>
            <w:vAlign w:val="bottom"/>
          </w:tcPr>
          <w:p>
            <w:pPr>
              <w:jc w:val="right"/>
              <w:ind w:right="76"/>
              <w:spacing w:after="0"/>
              <w:rPr>
                <w:sz w:val="20"/>
                <w:szCs w:val="20"/>
                <w:color w:val="auto"/>
              </w:rPr>
            </w:pPr>
            <w:r>
              <w:rPr>
                <w:rFonts w:ascii="Arial" w:cs="Arial" w:eastAsia="Arial" w:hAnsi="Arial"/>
                <w:sz w:val="13"/>
                <w:szCs w:val="13"/>
                <w:color w:val="auto"/>
              </w:rPr>
              <w:t>(50)</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ind w:right="77"/>
              <w:spacing w:after="0"/>
              <w:rPr>
                <w:sz w:val="20"/>
                <w:szCs w:val="20"/>
                <w:color w:val="auto"/>
              </w:rPr>
            </w:pPr>
            <w:r>
              <w:rPr>
                <w:rFonts w:ascii="Arial" w:cs="Arial" w:eastAsia="Arial" w:hAnsi="Arial"/>
                <w:sz w:val="13"/>
                <w:szCs w:val="13"/>
                <w:color w:val="auto"/>
              </w:rPr>
              <w:t>(25)</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Arial" w:cs="Arial" w:eastAsia="Arial" w:hAnsi="Arial"/>
                <w:sz w:val="13"/>
                <w:szCs w:val="13"/>
                <w:color w:val="auto"/>
              </w:rPr>
              <w:t>(75)</w:t>
            </w:r>
          </w:p>
        </w:tc>
        <w:tc>
          <w:tcPr>
            <w:tcW w:w="0" w:type="dxa"/>
            <w:vAlign w:val="bottom"/>
          </w:tcPr>
          <w:p>
            <w:pPr>
              <w:spacing w:after="0"/>
              <w:rPr>
                <w:sz w:val="1"/>
                <w:szCs w:val="1"/>
                <w:color w:val="auto"/>
              </w:rPr>
            </w:pPr>
          </w:p>
        </w:tc>
      </w:tr>
      <w:tr>
        <w:trPr>
          <w:trHeight w:val="175"/>
        </w:trPr>
        <w:tc>
          <w:tcPr>
            <w:tcW w:w="37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available-for-sale securities, at fair value</w:t>
            </w: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20" w:type="dxa"/>
            <w:vAlign w:val="bottom"/>
            <w:tcBorders>
              <w:top w:val="single" w:sz="8" w:color="auto"/>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15,094</w:t>
            </w: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5,040</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19</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20,153</w:t>
            </w:r>
          </w:p>
        </w:tc>
        <w:tc>
          <w:tcPr>
            <w:tcW w:w="0" w:type="dxa"/>
            <w:vAlign w:val="bottom"/>
          </w:tcPr>
          <w:p>
            <w:pPr>
              <w:spacing w:after="0"/>
              <w:rPr>
                <w:sz w:val="1"/>
                <w:szCs w:val="1"/>
                <w:color w:val="auto"/>
              </w:rPr>
            </w:pPr>
          </w:p>
        </w:tc>
      </w:tr>
      <w:tr>
        <w:trPr>
          <w:trHeight w:val="148"/>
        </w:trPr>
        <w:tc>
          <w:tcPr>
            <w:tcW w:w="3780" w:type="dxa"/>
            <w:vAlign w:val="bottom"/>
            <w:gridSpan w:val="2"/>
          </w:tcPr>
          <w:p>
            <w:pPr>
              <w:ind w:left="20"/>
              <w:spacing w:after="0" w:line="141" w:lineRule="exact"/>
              <w:rPr>
                <w:sz w:val="20"/>
                <w:szCs w:val="20"/>
                <w:color w:val="auto"/>
              </w:rPr>
            </w:pPr>
            <w:r>
              <w:rPr>
                <w:rFonts w:ascii="Arial" w:cs="Arial" w:eastAsia="Arial" w:hAnsi="Arial"/>
                <w:sz w:val="13"/>
                <w:szCs w:val="13"/>
                <w:color w:val="auto"/>
              </w:rPr>
              <w:t>Securities remeasured at fair value through earnings:</w:t>
            </w: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Par value</w:t>
            </w: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45,106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29,881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208</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348</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937</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76,480</w:t>
            </w:r>
          </w:p>
        </w:tc>
        <w:tc>
          <w:tcPr>
            <w:tcW w:w="0" w:type="dxa"/>
            <w:vAlign w:val="bottom"/>
          </w:tcPr>
          <w:p>
            <w:pPr>
              <w:spacing w:after="0"/>
              <w:rPr>
                <w:sz w:val="1"/>
                <w:szCs w:val="1"/>
                <w:color w:val="auto"/>
              </w:rPr>
            </w:pPr>
          </w:p>
        </w:tc>
      </w:tr>
      <w:tr>
        <w:trPr>
          <w:trHeight w:val="168"/>
        </w:trPr>
        <w:tc>
          <w:tcPr>
            <w:tcW w:w="3780" w:type="dxa"/>
            <w:vAlign w:val="bottom"/>
            <w:gridSpan w:val="2"/>
          </w:tcPr>
          <w:p>
            <w:pPr>
              <w:ind w:left="220"/>
              <w:spacing w:after="0"/>
              <w:rPr>
                <w:sz w:val="20"/>
                <w:szCs w:val="20"/>
                <w:color w:val="auto"/>
              </w:rPr>
            </w:pPr>
            <w:r>
              <w:rPr>
                <w:rFonts w:ascii="Arial" w:cs="Arial" w:eastAsia="Arial" w:hAnsi="Arial"/>
                <w:sz w:val="13"/>
                <w:szCs w:val="13"/>
                <w:color w:val="auto"/>
              </w:rPr>
              <w:t>Unamortized discount</w:t>
            </w:r>
          </w:p>
        </w:tc>
        <w:tc>
          <w:tcPr>
            <w:tcW w:w="180" w:type="dxa"/>
            <w:vAlign w:val="bottom"/>
          </w:tcPr>
          <w:p>
            <w:pPr>
              <w:spacing w:after="0"/>
              <w:rPr>
                <w:sz w:val="14"/>
                <w:szCs w:val="14"/>
                <w:color w:val="auto"/>
              </w:rPr>
            </w:pPr>
          </w:p>
        </w:tc>
        <w:tc>
          <w:tcPr>
            <w:tcW w:w="820" w:type="dxa"/>
            <w:vAlign w:val="bottom"/>
          </w:tcPr>
          <w:p>
            <w:pPr>
              <w:jc w:val="right"/>
              <w:ind w:right="76"/>
              <w:spacing w:after="0"/>
              <w:rPr>
                <w:sz w:val="20"/>
                <w:szCs w:val="20"/>
                <w:color w:val="auto"/>
              </w:rPr>
            </w:pPr>
            <w:r>
              <w:rPr>
                <w:rFonts w:ascii="Arial" w:cs="Arial" w:eastAsia="Arial" w:hAnsi="Arial"/>
                <w:sz w:val="13"/>
                <w:szCs w:val="13"/>
                <w:color w:val="auto"/>
              </w:rPr>
              <w:t>(68)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ind w:right="7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76"/>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ind w:right="7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Arial" w:cs="Arial" w:eastAsia="Arial" w:hAnsi="Arial"/>
                <w:sz w:val="13"/>
                <w:szCs w:val="13"/>
                <w:color w:val="auto"/>
              </w:rPr>
              <w:t>(85)</w:t>
            </w: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Unamortized premium</w:t>
            </w:r>
          </w:p>
        </w:tc>
        <w:tc>
          <w:tcPr>
            <w:tcW w:w="18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1,218</w:t>
            </w:r>
          </w:p>
        </w:tc>
        <w:tc>
          <w:tcPr>
            <w:tcW w:w="10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967</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80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2,219</w:t>
            </w:r>
          </w:p>
        </w:tc>
        <w:tc>
          <w:tcPr>
            <w:tcW w:w="0" w:type="dxa"/>
            <w:vAlign w:val="bottom"/>
          </w:tcPr>
          <w:p>
            <w:pPr>
              <w:spacing w:after="0"/>
              <w:rPr>
                <w:sz w:val="1"/>
                <w:szCs w:val="1"/>
                <w:color w:val="auto"/>
              </w:rPr>
            </w:pPr>
          </w:p>
        </w:tc>
      </w:tr>
      <w:tr>
        <w:trPr>
          <w:trHeight w:val="161"/>
        </w:trPr>
        <w:tc>
          <w:tcPr>
            <w:tcW w:w="3780" w:type="dxa"/>
            <w:vAlign w:val="bottom"/>
            <w:gridSpan w:val="2"/>
          </w:tcPr>
          <w:p>
            <w:pPr>
              <w:ind w:left="220"/>
              <w:spacing w:after="0"/>
              <w:rPr>
                <w:sz w:val="20"/>
                <w:szCs w:val="20"/>
                <w:color w:val="auto"/>
              </w:rPr>
            </w:pPr>
            <w:r>
              <w:rPr>
                <w:rFonts w:ascii="Arial" w:cs="Arial" w:eastAsia="Arial" w:hAnsi="Arial"/>
                <w:sz w:val="13"/>
                <w:szCs w:val="13"/>
                <w:color w:val="auto"/>
              </w:rPr>
              <w:t>Amortized cost</w:t>
            </w:r>
          </w:p>
        </w:tc>
        <w:tc>
          <w:tcPr>
            <w:tcW w:w="180" w:type="dxa"/>
            <w:vAlign w:val="bottom"/>
          </w:tcPr>
          <w:p>
            <w:pPr>
              <w:spacing w:after="0"/>
              <w:rPr>
                <w:sz w:val="14"/>
                <w:szCs w:val="14"/>
                <w:color w:val="auto"/>
              </w:rPr>
            </w:pPr>
          </w:p>
        </w:tc>
        <w:tc>
          <w:tcPr>
            <w:tcW w:w="820" w:type="dxa"/>
            <w:vAlign w:val="bottom"/>
          </w:tcPr>
          <w:p>
            <w:pPr>
              <w:jc w:val="right"/>
              <w:ind w:right="116"/>
              <w:spacing w:after="0"/>
              <w:rPr>
                <w:sz w:val="20"/>
                <w:szCs w:val="20"/>
                <w:color w:val="auto"/>
              </w:rPr>
            </w:pPr>
            <w:r>
              <w:rPr>
                <w:rFonts w:ascii="Arial" w:cs="Arial" w:eastAsia="Arial" w:hAnsi="Arial"/>
                <w:sz w:val="13"/>
                <w:szCs w:val="13"/>
                <w:color w:val="auto"/>
              </w:rPr>
              <w:t>46,256</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ind w:right="97"/>
              <w:spacing w:after="0"/>
              <w:rPr>
                <w:sz w:val="20"/>
                <w:szCs w:val="20"/>
                <w:color w:val="auto"/>
              </w:rPr>
            </w:pPr>
            <w:r>
              <w:rPr>
                <w:rFonts w:ascii="Arial" w:cs="Arial" w:eastAsia="Arial" w:hAnsi="Arial"/>
                <w:sz w:val="13"/>
                <w:szCs w:val="13"/>
                <w:color w:val="auto"/>
              </w:rPr>
              <w:t>30,846</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199</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ind w:right="117"/>
              <w:spacing w:after="0"/>
              <w:rPr>
                <w:sz w:val="20"/>
                <w:szCs w:val="20"/>
                <w:color w:val="auto"/>
              </w:rPr>
            </w:pPr>
            <w:r>
              <w:rPr>
                <w:rFonts w:ascii="Arial" w:cs="Arial" w:eastAsia="Arial" w:hAnsi="Arial"/>
                <w:sz w:val="13"/>
                <w:szCs w:val="13"/>
                <w:color w:val="auto"/>
              </w:rPr>
              <w:t>352</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jc w:val="right"/>
              <w:ind w:right="97"/>
              <w:spacing w:after="0"/>
              <w:rPr>
                <w:sz w:val="20"/>
                <w:szCs w:val="20"/>
                <w:color w:val="auto"/>
              </w:rPr>
            </w:pPr>
            <w:r>
              <w:rPr>
                <w:rFonts w:ascii="Arial" w:cs="Arial" w:eastAsia="Arial" w:hAnsi="Arial"/>
                <w:sz w:val="13"/>
                <w:szCs w:val="13"/>
                <w:color w:val="auto"/>
              </w:rPr>
              <w:t>961</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jc w:val="right"/>
              <w:ind w:right="97"/>
              <w:spacing w:after="0"/>
              <w:rPr>
                <w:sz w:val="20"/>
                <w:szCs w:val="20"/>
                <w:color w:val="auto"/>
              </w:rPr>
            </w:pPr>
            <w:r>
              <w:rPr>
                <w:rFonts w:ascii="Arial" w:cs="Arial" w:eastAsia="Arial" w:hAnsi="Arial"/>
                <w:sz w:val="13"/>
                <w:szCs w:val="13"/>
                <w:color w:val="auto"/>
              </w:rPr>
              <w:t>78,614</w:t>
            </w:r>
          </w:p>
        </w:tc>
        <w:tc>
          <w:tcPr>
            <w:tcW w:w="0" w:type="dxa"/>
            <w:vAlign w:val="bottom"/>
          </w:tcPr>
          <w:p>
            <w:pPr>
              <w:spacing w:after="0"/>
              <w:rPr>
                <w:sz w:val="1"/>
                <w:szCs w:val="1"/>
                <w:color w:val="auto"/>
              </w:rPr>
            </w:pPr>
          </w:p>
        </w:tc>
      </w:tr>
      <w:tr>
        <w:trPr>
          <w:trHeight w:val="183"/>
        </w:trPr>
        <w:tc>
          <w:tcPr>
            <w:tcW w:w="378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Gross unrealized gains</w:t>
            </w: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116"/>
              <w:spacing w:after="0"/>
              <w:rPr>
                <w:sz w:val="20"/>
                <w:szCs w:val="20"/>
                <w:color w:val="auto"/>
              </w:rPr>
            </w:pPr>
            <w:r>
              <w:rPr>
                <w:rFonts w:ascii="Arial" w:cs="Arial" w:eastAsia="Arial" w:hAnsi="Arial"/>
                <w:sz w:val="13"/>
                <w:szCs w:val="13"/>
                <w:color w:val="auto"/>
              </w:rPr>
              <w:t>991</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691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96"/>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19</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1,729</w:t>
            </w:r>
          </w:p>
        </w:tc>
        <w:tc>
          <w:tcPr>
            <w:tcW w:w="0" w:type="dxa"/>
            <w:vAlign w:val="bottom"/>
          </w:tcPr>
          <w:p>
            <w:pPr>
              <w:spacing w:after="0"/>
              <w:rPr>
                <w:sz w:val="1"/>
                <w:szCs w:val="1"/>
                <w:color w:val="auto"/>
              </w:rPr>
            </w:pPr>
          </w:p>
        </w:tc>
      </w:tr>
      <w:tr>
        <w:trPr>
          <w:trHeight w:val="169"/>
        </w:trPr>
        <w:tc>
          <w:tcPr>
            <w:tcW w:w="3780" w:type="dxa"/>
            <w:vAlign w:val="bottom"/>
            <w:gridSpan w:val="2"/>
          </w:tcPr>
          <w:p>
            <w:pPr>
              <w:ind w:left="220"/>
              <w:spacing w:after="0"/>
              <w:rPr>
                <w:sz w:val="20"/>
                <w:szCs w:val="20"/>
                <w:color w:val="auto"/>
              </w:rPr>
            </w:pPr>
            <w:r>
              <w:rPr>
                <w:rFonts w:ascii="Arial" w:cs="Arial" w:eastAsia="Arial" w:hAnsi="Arial"/>
                <w:sz w:val="13"/>
                <w:szCs w:val="13"/>
                <w:color w:val="auto"/>
              </w:rPr>
              <w:t>Gross unrealized losses</w:t>
            </w:r>
          </w:p>
        </w:tc>
        <w:tc>
          <w:tcPr>
            <w:tcW w:w="180" w:type="dxa"/>
            <w:vAlign w:val="bottom"/>
          </w:tcPr>
          <w:p>
            <w:pPr>
              <w:spacing w:after="0"/>
              <w:rPr>
                <w:sz w:val="14"/>
                <w:szCs w:val="14"/>
                <w:color w:val="auto"/>
              </w:rPr>
            </w:pPr>
          </w:p>
        </w:tc>
        <w:tc>
          <w:tcPr>
            <w:tcW w:w="820" w:type="dxa"/>
            <w:vAlign w:val="bottom"/>
          </w:tcPr>
          <w:p>
            <w:pPr>
              <w:jc w:val="right"/>
              <w:ind w:right="76"/>
              <w:spacing w:after="0"/>
              <w:rPr>
                <w:sz w:val="20"/>
                <w:szCs w:val="20"/>
                <w:color w:val="auto"/>
              </w:rPr>
            </w:pPr>
            <w:r>
              <w:rPr>
                <w:rFonts w:ascii="Arial" w:cs="Arial" w:eastAsia="Arial" w:hAnsi="Arial"/>
                <w:sz w:val="13"/>
                <w:szCs w:val="13"/>
                <w:color w:val="auto"/>
              </w:rPr>
              <w:t>(32)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ind w:right="77"/>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4"/>
                <w:szCs w:val="14"/>
                <w:color w:val="auto"/>
              </w:rPr>
            </w:pPr>
          </w:p>
        </w:tc>
        <w:tc>
          <w:tcPr>
            <w:tcW w:w="800" w:type="dxa"/>
            <w:vAlign w:val="bottom"/>
          </w:tcPr>
          <w:p>
            <w:pPr>
              <w:jc w:val="right"/>
              <w:ind w:right="7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jc w:val="right"/>
              <w:ind w:right="57"/>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Arial" w:cs="Arial" w:eastAsia="Arial" w:hAnsi="Arial"/>
                <w:sz w:val="13"/>
                <w:szCs w:val="13"/>
                <w:color w:val="auto"/>
              </w:rPr>
              <w:t>(54)</w:t>
            </w:r>
          </w:p>
        </w:tc>
        <w:tc>
          <w:tcPr>
            <w:tcW w:w="0" w:type="dxa"/>
            <w:vAlign w:val="bottom"/>
          </w:tcPr>
          <w:p>
            <w:pPr>
              <w:spacing w:after="0"/>
              <w:rPr>
                <w:sz w:val="1"/>
                <w:szCs w:val="1"/>
                <w:color w:val="auto"/>
              </w:rPr>
            </w:pPr>
          </w:p>
        </w:tc>
      </w:tr>
      <w:tr>
        <w:trPr>
          <w:trHeight w:val="175"/>
        </w:trPr>
        <w:tc>
          <w:tcPr>
            <w:tcW w:w="37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3"/>
                <w:szCs w:val="13"/>
                <w:color w:val="auto"/>
              </w:rPr>
              <w:t>Total securities remeasured at fair value through earnings</w:t>
            </w: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20" w:type="dxa"/>
            <w:vAlign w:val="bottom"/>
            <w:tcBorders>
              <w:top w:val="single" w:sz="8" w:color="auto"/>
              <w:bottom w:val="single" w:sz="8" w:color="auto"/>
            </w:tcBorders>
            <w:shd w:val="clear" w:color="auto" w:fill="CCEEFF"/>
          </w:tcPr>
          <w:p>
            <w:pPr>
              <w:jc w:val="right"/>
              <w:ind w:right="116"/>
              <w:spacing w:after="0"/>
              <w:rPr>
                <w:sz w:val="20"/>
                <w:szCs w:val="20"/>
                <w:color w:val="auto"/>
              </w:rPr>
            </w:pPr>
            <w:r>
              <w:rPr>
                <w:rFonts w:ascii="Arial" w:cs="Arial" w:eastAsia="Arial" w:hAnsi="Arial"/>
                <w:sz w:val="13"/>
                <w:szCs w:val="13"/>
                <w:color w:val="auto"/>
              </w:rPr>
              <w:t>47,215</w:t>
            </w: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31,519</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3"/>
                <w:szCs w:val="13"/>
                <w:color w:val="auto"/>
              </w:rPr>
              <w:t>209</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Arial" w:cs="Arial" w:eastAsia="Arial" w:hAnsi="Arial"/>
                <w:sz w:val="13"/>
                <w:szCs w:val="13"/>
                <w:color w:val="auto"/>
              </w:rPr>
              <w:t>370</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976</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3"/>
                <w:szCs w:val="13"/>
                <w:color w:val="auto"/>
              </w:rPr>
              <w:t>80,289</w:t>
            </w:r>
          </w:p>
        </w:tc>
        <w:tc>
          <w:tcPr>
            <w:tcW w:w="0" w:type="dxa"/>
            <w:vAlign w:val="bottom"/>
          </w:tcPr>
          <w:p>
            <w:pPr>
              <w:spacing w:after="0"/>
              <w:rPr>
                <w:sz w:val="1"/>
                <w:szCs w:val="1"/>
                <w:color w:val="auto"/>
              </w:rPr>
            </w:pPr>
          </w:p>
        </w:tc>
      </w:tr>
      <w:tr>
        <w:trPr>
          <w:trHeight w:val="169"/>
        </w:trPr>
        <w:tc>
          <w:tcPr>
            <w:tcW w:w="3780" w:type="dxa"/>
            <w:vAlign w:val="bottom"/>
            <w:gridSpan w:val="2"/>
          </w:tcPr>
          <w:p>
            <w:pPr>
              <w:ind w:left="20"/>
              <w:spacing w:after="0"/>
              <w:rPr>
                <w:sz w:val="20"/>
                <w:szCs w:val="20"/>
                <w:color w:val="auto"/>
              </w:rPr>
            </w:pPr>
            <w:r>
              <w:rPr>
                <w:rFonts w:ascii="Arial" w:cs="Arial" w:eastAsia="Arial" w:hAnsi="Arial"/>
                <w:sz w:val="13"/>
                <w:szCs w:val="13"/>
                <w:color w:val="auto"/>
              </w:rPr>
              <w:t>Total securities, at fair value</w:t>
            </w:r>
          </w:p>
        </w:tc>
        <w:tc>
          <w:tcPr>
            <w:tcW w:w="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w w:val="82"/>
              </w:rPr>
              <w:t>$</w:t>
            </w:r>
          </w:p>
        </w:tc>
        <w:tc>
          <w:tcPr>
            <w:tcW w:w="820" w:type="dxa"/>
            <w:vAlign w:val="bottom"/>
            <w:tcBorders>
              <w:bottom w:val="single" w:sz="8" w:color="auto"/>
            </w:tcBorders>
          </w:tcPr>
          <w:p>
            <w:pPr>
              <w:jc w:val="right"/>
              <w:ind w:right="116"/>
              <w:spacing w:after="0"/>
              <w:rPr>
                <w:sz w:val="20"/>
                <w:szCs w:val="20"/>
                <w:color w:val="auto"/>
              </w:rPr>
            </w:pPr>
            <w:r>
              <w:rPr>
                <w:rFonts w:ascii="Arial" w:cs="Arial" w:eastAsia="Arial" w:hAnsi="Arial"/>
                <w:sz w:val="13"/>
                <w:szCs w:val="13"/>
                <w:color w:val="auto"/>
              </w:rPr>
              <w:t>62,309</w:t>
            </w:r>
          </w:p>
        </w:tc>
        <w:tc>
          <w:tcPr>
            <w:tcW w:w="100" w:type="dxa"/>
            <w:vAlign w:val="bottom"/>
          </w:tcPr>
          <w:p>
            <w:pPr>
              <w:spacing w:after="0"/>
              <w:rPr>
                <w:sz w:val="14"/>
                <w:szCs w:val="14"/>
                <w:color w:val="auto"/>
              </w:rPr>
            </w:pPr>
          </w:p>
        </w:tc>
        <w:tc>
          <w:tcPr>
            <w:tcW w:w="80" w:type="dxa"/>
            <w:vAlign w:val="bottom"/>
            <w:tcBorders>
              <w:bottom w:val="single" w:sz="8" w:color="auto"/>
            </w:tcBorders>
          </w:tcPr>
          <w:p>
            <w:pPr>
              <w:ind w:left="20"/>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36,559</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96"/>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96"/>
              <w:spacing w:after="0"/>
              <w:rPr>
                <w:sz w:val="20"/>
                <w:szCs w:val="20"/>
                <w:color w:val="auto"/>
              </w:rPr>
            </w:pPr>
            <w:r>
              <w:rPr>
                <w:rFonts w:ascii="Arial" w:cs="Arial" w:eastAsia="Arial" w:hAnsi="Arial"/>
                <w:sz w:val="13"/>
                <w:szCs w:val="13"/>
                <w:color w:val="auto"/>
              </w:rPr>
              <w:t>209</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w w:val="82"/>
              </w:rPr>
              <w:t>$</w:t>
            </w:r>
          </w:p>
        </w:tc>
        <w:tc>
          <w:tcPr>
            <w:tcW w:w="80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color w:val="auto"/>
              </w:rPr>
              <w:t>370</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w w:val="82"/>
              </w:rPr>
              <w:t>$</w:t>
            </w: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976</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tcBorders>
          </w:tcPr>
          <w:p>
            <w:pPr>
              <w:jc w:val="right"/>
              <w:ind w:right="97"/>
              <w:spacing w:after="0"/>
              <w:rPr>
                <w:sz w:val="20"/>
                <w:szCs w:val="20"/>
                <w:color w:val="auto"/>
              </w:rPr>
            </w:pPr>
            <w:r>
              <w:rPr>
                <w:rFonts w:ascii="Arial" w:cs="Arial" w:eastAsia="Arial" w:hAnsi="Arial"/>
                <w:sz w:val="13"/>
                <w:szCs w:val="13"/>
                <w:color w:val="auto"/>
              </w:rPr>
              <w:t>100,442</w:t>
            </w:r>
          </w:p>
        </w:tc>
        <w:tc>
          <w:tcPr>
            <w:tcW w:w="0" w:type="dxa"/>
            <w:vAlign w:val="bottom"/>
          </w:tcPr>
          <w:p>
            <w:pPr>
              <w:spacing w:after="0"/>
              <w:rPr>
                <w:sz w:val="1"/>
                <w:szCs w:val="1"/>
                <w:color w:val="auto"/>
              </w:rPr>
            </w:pPr>
          </w:p>
        </w:tc>
      </w:tr>
      <w:tr>
        <w:trPr>
          <w:trHeight w:val="20"/>
        </w:trPr>
        <w:tc>
          <w:tcPr>
            <w:tcW w:w="36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78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Weighted average coupon as of December 31, 2019</w:t>
            </w:r>
          </w:p>
        </w:tc>
        <w:tc>
          <w:tcPr>
            <w:tcW w:w="18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3.62 %</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3.75 %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3.77 %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4.05 %</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4.49 %</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5.07 %</w:t>
            </w:r>
          </w:p>
        </w:tc>
        <w:tc>
          <w:tcPr>
            <w:tcW w:w="1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3.68 %</w:t>
            </w:r>
          </w:p>
        </w:tc>
        <w:tc>
          <w:tcPr>
            <w:tcW w:w="0" w:type="dxa"/>
            <w:vAlign w:val="bottom"/>
          </w:tcPr>
          <w:p>
            <w:pPr>
              <w:spacing w:after="0"/>
              <w:rPr>
                <w:sz w:val="1"/>
                <w:szCs w:val="1"/>
                <w:color w:val="auto"/>
              </w:rPr>
            </w:pPr>
          </w:p>
        </w:tc>
      </w:tr>
      <w:tr>
        <w:trPr>
          <w:trHeight w:val="214"/>
        </w:trPr>
        <w:tc>
          <w:tcPr>
            <w:tcW w:w="3780" w:type="dxa"/>
            <w:vAlign w:val="bottom"/>
            <w:gridSpan w:val="2"/>
          </w:tcPr>
          <w:p>
            <w:pPr>
              <w:ind w:left="20"/>
              <w:spacing w:after="0"/>
              <w:rPr>
                <w:sz w:val="20"/>
                <w:szCs w:val="20"/>
                <w:color w:val="auto"/>
              </w:rPr>
            </w:pPr>
            <w:r>
              <w:rPr>
                <w:rFonts w:ascii="Arial" w:cs="Arial" w:eastAsia="Arial" w:hAnsi="Arial"/>
                <w:sz w:val="13"/>
                <w:szCs w:val="13"/>
                <w:color w:val="auto"/>
              </w:rPr>
              <w:t xml:space="preserve">Weighted average yield as of December 31, 2019 </w:t>
            </w:r>
            <w:r>
              <w:rPr>
                <w:rFonts w:ascii="Arial" w:cs="Arial" w:eastAsia="Arial" w:hAnsi="Arial"/>
                <w:sz w:val="16"/>
                <w:szCs w:val="16"/>
                <w:color w:val="auto"/>
                <w:vertAlign w:val="superscript"/>
              </w:rPr>
              <w:t>1</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3.03 %</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3"/>
                <w:szCs w:val="13"/>
                <w:color w:val="auto"/>
              </w:rPr>
              <w:t>3.09 %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2.08 %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4.39 %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4.38 %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4.05 %</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3.07 %</w:t>
            </w:r>
          </w:p>
        </w:tc>
        <w:tc>
          <w:tcPr>
            <w:tcW w:w="0" w:type="dxa"/>
            <w:vAlign w:val="bottom"/>
          </w:tcPr>
          <w:p>
            <w:pPr>
              <w:spacing w:after="0"/>
              <w:rPr>
                <w:sz w:val="1"/>
                <w:szCs w:val="1"/>
                <w:color w:val="auto"/>
              </w:rPr>
            </w:pPr>
          </w:p>
        </w:tc>
      </w:tr>
    </w:tbl>
    <w:p>
      <w:pPr>
        <w:spacing w:after="0" w:line="57"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10.8% based on forward rates as of December 31, 2019.</w:t>
      </w:r>
    </w:p>
    <w:p>
      <w:pPr>
        <w:spacing w:after="0" w:line="15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September 30, 2020 and December 31, 2019, our investments in CRT and non-Agency securities had the following credit ratings:</w:t>
      </w:r>
    </w:p>
    <w:p>
      <w:pPr>
        <w:spacing w:after="0" w:line="41"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8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September 30, 2020</w:t>
            </w: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2019</w:t>
            </w: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89"/>
        </w:trPr>
        <w:tc>
          <w:tcPr>
            <w:tcW w:w="4060" w:type="dxa"/>
            <w:vAlign w:val="bottom"/>
            <w:gridSpan w:val="2"/>
          </w:tcPr>
          <w:p>
            <w:pPr>
              <w:ind w:left="20"/>
              <w:spacing w:after="0" w:line="189" w:lineRule="exact"/>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18"/>
                <w:szCs w:val="18"/>
                <w:b w:val="1"/>
                <w:bCs w:val="1"/>
                <w:color w:val="auto"/>
                <w:vertAlign w:val="superscript"/>
              </w:rPr>
              <w:t>1</w:t>
            </w:r>
          </w:p>
        </w:tc>
        <w:tc>
          <w:tcPr>
            <w:tcW w:w="240" w:type="dxa"/>
            <w:vAlign w:val="bottom"/>
          </w:tcPr>
          <w:p>
            <w:pPr>
              <w:spacing w:after="0"/>
              <w:rPr>
                <w:sz w:val="16"/>
                <w:szCs w:val="16"/>
                <w:color w:val="auto"/>
              </w:rPr>
            </w:pPr>
          </w:p>
        </w:tc>
        <w:tc>
          <w:tcPr>
            <w:tcW w:w="840" w:type="dxa"/>
            <w:vAlign w:val="bottom"/>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RMBS</w:t>
            </w:r>
          </w:p>
        </w:tc>
        <w:tc>
          <w:tcPr>
            <w:tcW w:w="20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ind w:right="328"/>
              <w:spacing w:after="0"/>
              <w:rPr>
                <w:sz w:val="20"/>
                <w:szCs w:val="20"/>
                <w:color w:val="auto"/>
              </w:rPr>
            </w:pPr>
            <w:r>
              <w:rPr>
                <w:rFonts w:ascii="Arial" w:cs="Arial" w:eastAsia="Arial" w:hAnsi="Arial"/>
                <w:sz w:val="14"/>
                <w:szCs w:val="14"/>
                <w:b w:val="1"/>
                <w:bCs w:val="1"/>
                <w:color w:val="auto"/>
              </w:rPr>
              <w:t>CRT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RMBS</w:t>
            </w:r>
          </w:p>
        </w:tc>
        <w:tc>
          <w:tcPr>
            <w:tcW w:w="20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r>
      <w:tr>
        <w:trPr>
          <w:trHeight w:val="183"/>
        </w:trPr>
        <w:tc>
          <w:tcPr>
            <w:tcW w:w="38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AAA</w:t>
            </w:r>
          </w:p>
        </w:tc>
        <w:tc>
          <w:tcPr>
            <w:tcW w:w="18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6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AA</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181</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214</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BBB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55</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69</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BB</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186"/>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252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Not Rated</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3"/>
        </w:trPr>
        <w:tc>
          <w:tcPr>
            <w:tcW w:w="4060" w:type="dxa"/>
            <w:vAlign w:val="bottom"/>
            <w:gridSpan w:val="2"/>
          </w:tcPr>
          <w:p>
            <w:pPr>
              <w:ind w:left="20"/>
              <w:spacing w:after="0"/>
              <w:rPr>
                <w:sz w:val="20"/>
                <w:szCs w:val="20"/>
                <w:color w:val="auto"/>
              </w:rPr>
            </w:pPr>
            <w:r>
              <w:rPr>
                <w:rFonts w:ascii="Arial" w:cs="Arial" w:eastAsia="Arial" w:hAnsi="Arial"/>
                <w:sz w:val="14"/>
                <w:szCs w:val="14"/>
                <w:color w:val="auto"/>
              </w:rPr>
              <w:t>Total</w:t>
            </w: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653</w:t>
            </w:r>
          </w:p>
        </w:tc>
        <w:tc>
          <w:tcPr>
            <w:tcW w:w="12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177</w:t>
            </w:r>
          </w:p>
        </w:tc>
        <w:tc>
          <w:tcPr>
            <w:tcW w:w="12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335</w:t>
            </w:r>
          </w:p>
        </w:tc>
        <w:tc>
          <w:tcPr>
            <w:tcW w:w="160" w:type="dxa"/>
            <w:vAlign w:val="bottom"/>
          </w:tcPr>
          <w:p>
            <w:pPr>
              <w:spacing w:after="0"/>
              <w:rPr>
                <w:sz w:val="15"/>
                <w:szCs w:val="15"/>
                <w:color w:val="auto"/>
              </w:rPr>
            </w:pPr>
          </w:p>
        </w:tc>
        <w:tc>
          <w:tcPr>
            <w:tcW w:w="2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976</w:t>
            </w:r>
          </w:p>
        </w:tc>
        <w:tc>
          <w:tcPr>
            <w:tcW w:w="12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209</w:t>
            </w:r>
          </w:p>
        </w:tc>
        <w:tc>
          <w:tcPr>
            <w:tcW w:w="120" w:type="dxa"/>
            <w:vAlign w:val="bottom"/>
          </w:tcPr>
          <w:p>
            <w:pPr>
              <w:spacing w:after="0"/>
              <w:rPr>
                <w:sz w:val="15"/>
                <w:szCs w:val="15"/>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370</w:t>
            </w:r>
          </w:p>
        </w:tc>
      </w:tr>
      <w:tr>
        <w:trPr>
          <w:trHeight w:val="20"/>
        </w:trPr>
        <w:tc>
          <w:tcPr>
            <w:tcW w:w="3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55" w:lineRule="auto"/>
        <w:tabs>
          <w:tab w:leader="none" w:pos="660" w:val="left"/>
        </w:tabs>
        <w:numPr>
          <w:ilvl w:val="0"/>
          <w:numId w:val="3"/>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spacing w:after="0" w:line="136"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Our CRT securities reference the performance of loans underlying Agency RMBS issued by Fannie Mae or Freddie Mac, which were subject to their underwriting standards.</w:t>
      </w:r>
    </w:p>
    <w:p>
      <w:pPr>
        <w:spacing w:after="0" w:line="116"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September 30, 2020 and December 31, 2019, the weighted average expected constant prepayment rate ("CPR") over the remaining life of our Agency and high credit quality non-Agency RMBS investment portfolio was 15.9% and 10.8%, respectively. Our estimates can differ materially for different securities and thus our individual holdings have a wide range of projected CPRs. The following table summarizes our investments as of September 30, 2020 and December 31, 2019 according to their estimated weighted average life classification (dollars in millions):</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192"/>
        </w:trPr>
        <w:tc>
          <w:tcPr>
            <w:tcW w:w="2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September 30, 2020</w:t>
            </w:r>
          </w:p>
        </w:tc>
        <w:tc>
          <w:tcPr>
            <w:tcW w:w="10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4"/>
          </w:tcPr>
          <w:p>
            <w:pPr>
              <w:ind w:left="340"/>
              <w:spacing w:after="0"/>
              <w:rPr>
                <w:sz w:val="20"/>
                <w:szCs w:val="20"/>
                <w:color w:val="auto"/>
              </w:rPr>
            </w:pPr>
            <w:r>
              <w:rPr>
                <w:rFonts w:ascii="Arial" w:cs="Arial" w:eastAsia="Arial" w:hAnsi="Arial"/>
                <w:sz w:val="14"/>
                <w:szCs w:val="14"/>
                <w:b w:val="1"/>
                <w:bCs w:val="1"/>
                <w:color w:val="auto"/>
              </w:rPr>
              <w:t>December 31, 2019</w:t>
            </w: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Estimated Weighted Average Life of</w:t>
            </w: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Amortized</w:t>
            </w:r>
          </w:p>
        </w:tc>
        <w:tc>
          <w:tcPr>
            <w:tcW w:w="104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5"/>
              </w:rPr>
              <w:t>Weighted</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Amortized</w:t>
            </w: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1"/>
              </w:rPr>
              <w:t>Weighted</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27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04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4"/>
              </w:rPr>
              <w:t>Average</w:t>
            </w:r>
          </w:p>
        </w:tc>
        <w:tc>
          <w:tcPr>
            <w:tcW w:w="116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1"/>
                <w:szCs w:val="11"/>
                <w:color w:val="auto"/>
              </w:rPr>
            </w:pPr>
          </w:p>
        </w:tc>
        <w:tc>
          <w:tcPr>
            <w:tcW w:w="9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0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88"/>
        </w:trPr>
        <w:tc>
          <w:tcPr>
            <w:tcW w:w="2740" w:type="dxa"/>
            <w:vAlign w:val="bottom"/>
            <w:gridSpan w:val="2"/>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1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Coupon</w:t>
            </w:r>
          </w:p>
        </w:tc>
        <w:tc>
          <w:tcPr>
            <w:tcW w:w="11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5"/>
              </w:rPr>
              <w:t>Yield</w:t>
            </w:r>
          </w:p>
        </w:tc>
        <w:tc>
          <w:tcPr>
            <w:tcW w:w="12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Coupon</w:t>
            </w: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5"/>
              </w:rPr>
              <w:t>Yield</w:t>
            </w:r>
          </w:p>
        </w:tc>
        <w:tc>
          <w:tcPr>
            <w:tcW w:w="0" w:type="dxa"/>
            <w:vAlign w:val="bottom"/>
          </w:tcPr>
          <w:p>
            <w:pPr>
              <w:spacing w:after="0"/>
              <w:rPr>
                <w:sz w:val="1"/>
                <w:szCs w:val="1"/>
                <w:color w:val="auto"/>
              </w:rPr>
            </w:pPr>
          </w:p>
        </w:tc>
      </w:tr>
      <w:tr>
        <w:trPr>
          <w:trHeight w:val="184"/>
        </w:trPr>
        <w:tc>
          <w:tcPr>
            <w:tcW w:w="2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 3 years</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2,420</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2,387</w:t>
            </w: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3.65%</w:t>
            </w:r>
          </w:p>
        </w:tc>
        <w:tc>
          <w:tcPr>
            <w:tcW w:w="12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2.01%</w:t>
            </w: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2,671</w:t>
            </w: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2,654</w:t>
            </w:r>
          </w:p>
        </w:tc>
        <w:tc>
          <w:tcPr>
            <w:tcW w:w="100" w:type="dxa"/>
            <w:vAlign w:val="bottom"/>
            <w:tcBorders>
              <w:top w:val="single" w:sz="8" w:color="CCEEFF"/>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3.54%</w:t>
            </w:r>
          </w:p>
        </w:tc>
        <w:tc>
          <w:tcPr>
            <w:tcW w:w="10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2.61%</w:t>
            </w:r>
          </w:p>
        </w:tc>
        <w:tc>
          <w:tcPr>
            <w:tcW w:w="0" w:type="dxa"/>
            <w:vAlign w:val="bottom"/>
          </w:tcPr>
          <w:p>
            <w:pPr>
              <w:spacing w:after="0"/>
              <w:rPr>
                <w:sz w:val="1"/>
                <w:szCs w:val="1"/>
                <w:color w:val="auto"/>
              </w:rPr>
            </w:pPr>
          </w:p>
        </w:tc>
      </w:tr>
      <w:tr>
        <w:trPr>
          <w:trHeight w:val="186"/>
        </w:trPr>
        <w:tc>
          <w:tcPr>
            <w:tcW w:w="2740" w:type="dxa"/>
            <w:vAlign w:val="bottom"/>
            <w:gridSpan w:val="2"/>
          </w:tcPr>
          <w:p>
            <w:pPr>
              <w:ind w:left="20"/>
              <w:spacing w:after="0"/>
              <w:rPr>
                <w:sz w:val="20"/>
                <w:szCs w:val="20"/>
                <w:color w:val="auto"/>
              </w:rPr>
            </w:pPr>
            <w:r>
              <w:rPr>
                <w:rFonts w:ascii="Arial" w:cs="Arial" w:eastAsia="Arial" w:hAnsi="Arial"/>
                <w:sz w:val="14"/>
                <w:szCs w:val="14"/>
                <w:color w:val="auto"/>
              </w:rPr>
              <w:t>&gt; 3 years and ≤ 5 years</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37,564</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35,873</w:t>
            </w:r>
          </w:p>
        </w:tc>
        <w:tc>
          <w:tcPr>
            <w:tcW w:w="120" w:type="dxa"/>
            <w:vAlign w:val="bottom"/>
          </w:tcPr>
          <w:p>
            <w:pPr>
              <w:spacing w:after="0"/>
              <w:rPr>
                <w:sz w:val="16"/>
                <w:szCs w:val="16"/>
                <w:color w:val="auto"/>
              </w:rPr>
            </w:pPr>
          </w:p>
        </w:tc>
        <w:tc>
          <w:tcPr>
            <w:tcW w:w="920" w:type="dxa"/>
            <w:vAlign w:val="bottom"/>
          </w:tcPr>
          <w:p>
            <w:pPr>
              <w:jc w:val="center"/>
              <w:spacing w:after="0"/>
              <w:rPr>
                <w:sz w:val="20"/>
                <w:szCs w:val="20"/>
                <w:color w:val="auto"/>
              </w:rPr>
            </w:pPr>
            <w:r>
              <w:rPr>
                <w:rFonts w:ascii="Arial" w:cs="Arial" w:eastAsia="Arial" w:hAnsi="Arial"/>
                <w:sz w:val="14"/>
                <w:szCs w:val="14"/>
                <w:color w:val="auto"/>
                <w:w w:val="90"/>
              </w:rPr>
              <w:t>3.76%</w:t>
            </w:r>
          </w:p>
        </w:tc>
        <w:tc>
          <w:tcPr>
            <w:tcW w:w="12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5"/>
              </w:rPr>
              <w:t>2.62%</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10,822</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10,563</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5"/>
              </w:rPr>
              <w:t>3.85%</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5"/>
              </w:rPr>
              <w:t>3.20%</w:t>
            </w:r>
          </w:p>
        </w:tc>
        <w:tc>
          <w:tcPr>
            <w:tcW w:w="0" w:type="dxa"/>
            <w:vAlign w:val="bottom"/>
          </w:tcPr>
          <w:p>
            <w:pPr>
              <w:spacing w:after="0"/>
              <w:rPr>
                <w:sz w:val="1"/>
                <w:szCs w:val="1"/>
                <w:color w:val="auto"/>
              </w:rPr>
            </w:pPr>
          </w:p>
        </w:tc>
      </w:tr>
      <w:tr>
        <w:trPr>
          <w:trHeight w:val="192"/>
        </w:trPr>
        <w:tc>
          <w:tcPr>
            <w:tcW w:w="2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&gt; 5 years and ≤10 years</w:t>
            </w:r>
          </w:p>
        </w:tc>
        <w:tc>
          <w:tcPr>
            <w:tcW w:w="10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27,961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26,665</w:t>
            </w:r>
          </w:p>
        </w:tc>
        <w:tc>
          <w:tcPr>
            <w:tcW w:w="120" w:type="dxa"/>
            <w:vAlign w:val="bottom"/>
            <w:shd w:val="clear" w:color="auto" w:fill="CCEEFF"/>
          </w:tcPr>
          <w:p>
            <w:pPr>
              <w:spacing w:after="0"/>
              <w:rPr>
                <w:sz w:val="16"/>
                <w:szCs w:val="16"/>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3.35%</w:t>
            </w: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2.51%</w:t>
            </w: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86,492</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85,002</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3.67%</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0" w:type="dxa"/>
            <w:vAlign w:val="bottom"/>
          </w:tcPr>
          <w:p>
            <w:pPr>
              <w:spacing w:after="0"/>
              <w:rPr>
                <w:sz w:val="1"/>
                <w:szCs w:val="1"/>
                <w:color w:val="auto"/>
              </w:rPr>
            </w:pPr>
          </w:p>
        </w:tc>
      </w:tr>
      <w:tr>
        <w:trPr>
          <w:trHeight w:val="186"/>
        </w:trPr>
        <w:tc>
          <w:tcPr>
            <w:tcW w:w="2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&gt; 10 years</w:t>
            </w: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w:t>
            </w:r>
          </w:p>
        </w:tc>
        <w:tc>
          <w:tcPr>
            <w:tcW w:w="1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4.08%</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3.71%</w:t>
            </w: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457</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451</w:t>
            </w: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3.31%</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3.06%</w:t>
            </w:r>
          </w:p>
        </w:tc>
        <w:tc>
          <w:tcPr>
            <w:tcW w:w="0" w:type="dxa"/>
            <w:vAlign w:val="bottom"/>
          </w:tcPr>
          <w:p>
            <w:pPr>
              <w:spacing w:after="0"/>
              <w:rPr>
                <w:sz w:val="1"/>
                <w:szCs w:val="1"/>
                <w:color w:val="auto"/>
              </w:rPr>
            </w:pPr>
          </w:p>
        </w:tc>
      </w:tr>
      <w:tr>
        <w:trPr>
          <w:trHeight w:val="211"/>
        </w:trPr>
        <w:tc>
          <w:tcPr>
            <w:tcW w:w="2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68,044</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65,024</w:t>
            </w:r>
          </w:p>
        </w:tc>
        <w:tc>
          <w:tcPr>
            <w:tcW w:w="12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3.59%</w:t>
            </w:r>
          </w:p>
        </w:tc>
        <w:tc>
          <w:tcPr>
            <w:tcW w:w="12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2.56%</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100,442</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98,670</w:t>
            </w:r>
          </w:p>
        </w:tc>
        <w:tc>
          <w:tcPr>
            <w:tcW w:w="100" w:type="dxa"/>
            <w:vAlign w:val="bottom"/>
            <w:tcBorders>
              <w:bottom w:val="single" w:sz="8" w:color="CCEEFF"/>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3.68%</w:t>
            </w:r>
          </w:p>
        </w:tc>
        <w:tc>
          <w:tcPr>
            <w:tcW w:w="10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0" w:type="dxa"/>
            <w:vAlign w:val="bottom"/>
          </w:tcPr>
          <w:p>
            <w:pPr>
              <w:spacing w:after="0"/>
              <w:rPr>
                <w:sz w:val="1"/>
                <w:szCs w:val="1"/>
                <w:color w:val="auto"/>
              </w:rPr>
            </w:pPr>
          </w:p>
        </w:tc>
      </w:tr>
      <w:tr>
        <w:trPr>
          <w:trHeight w:val="20"/>
        </w:trPr>
        <w:tc>
          <w:tcPr>
            <w:tcW w:w="26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0" w:firstLine="445"/>
        <w:spacing w:after="0" w:line="269" w:lineRule="auto"/>
        <w:rPr>
          <w:sz w:val="20"/>
          <w:szCs w:val="20"/>
          <w:color w:val="auto"/>
        </w:rPr>
      </w:pPr>
      <w:r>
        <w:rPr>
          <w:rFonts w:ascii="Arial" w:cs="Arial" w:eastAsia="Arial" w:hAnsi="Arial"/>
          <w:sz w:val="18"/>
          <w:szCs w:val="18"/>
          <w:color w:val="auto"/>
        </w:rPr>
        <w:t>The following table presents the gross unrealized loss and fair values of securities classified as available-for-sale by length of time that such securities have been in a continuous unrealized loss position as of September 30, 2020 and December 31, 2019 (in millions):</w:t>
      </w: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5"/>
          </w:tcPr>
          <w:p>
            <w:pPr>
              <w:jc w:val="center"/>
              <w:ind w:right="260"/>
              <w:spacing w:after="0"/>
              <w:rPr>
                <w:sz w:val="20"/>
                <w:szCs w:val="20"/>
                <w:color w:val="auto"/>
              </w:rPr>
            </w:pPr>
            <w:r>
              <w:rPr>
                <w:rFonts w:ascii="Arial" w:cs="Arial" w:eastAsia="Arial" w:hAnsi="Arial"/>
                <w:sz w:val="14"/>
                <w:szCs w:val="14"/>
                <w:b w:val="1"/>
                <w:bCs w:val="1"/>
                <w:color w:val="auto"/>
                <w:w w:val="92"/>
              </w:rPr>
              <w:t>Unrealized Loss Position For</w:t>
            </w: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0" w:type="dxa"/>
            <w:vAlign w:val="bottom"/>
            <w:gridSpan w:val="5"/>
          </w:tcPr>
          <w:p>
            <w:pPr>
              <w:ind w:left="280"/>
              <w:spacing w:after="0"/>
              <w:rPr>
                <w:sz w:val="20"/>
                <w:szCs w:val="20"/>
                <w:color w:val="auto"/>
              </w:rPr>
            </w:pPr>
            <w:r>
              <w:rPr>
                <w:rFonts w:ascii="Arial" w:cs="Arial" w:eastAsia="Arial" w:hAnsi="Arial"/>
                <w:sz w:val="14"/>
                <w:szCs w:val="14"/>
                <w:b w:val="1"/>
                <w:bCs w:val="1"/>
                <w:color w:val="auto"/>
              </w:rPr>
              <w:t>Less than 12 Months</w:t>
            </w:r>
          </w:p>
        </w:tc>
        <w:tc>
          <w:tcPr>
            <w:tcW w:w="140" w:type="dxa"/>
            <w:vAlign w:val="bottom"/>
          </w:tcPr>
          <w:p>
            <w:pPr>
              <w:spacing w:after="0"/>
              <w:rPr>
                <w:sz w:val="16"/>
                <w:szCs w:val="16"/>
                <w:color w:val="auto"/>
              </w:rPr>
            </w:pPr>
          </w:p>
        </w:tc>
        <w:tc>
          <w:tcPr>
            <w:tcW w:w="228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4"/>
              </w:rPr>
              <w:t>12 Months or More</w:t>
            </w:r>
          </w:p>
        </w:tc>
        <w:tc>
          <w:tcPr>
            <w:tcW w:w="220" w:type="dxa"/>
            <w:vAlign w:val="bottom"/>
          </w:tcPr>
          <w:p>
            <w:pPr>
              <w:spacing w:after="0"/>
              <w:rPr>
                <w:sz w:val="16"/>
                <w:szCs w:val="16"/>
                <w:color w:val="auto"/>
              </w:rPr>
            </w:pPr>
          </w:p>
        </w:tc>
        <w:tc>
          <w:tcPr>
            <w:tcW w:w="1160" w:type="dxa"/>
            <w:vAlign w:val="bottom"/>
            <w:gridSpan w:val="3"/>
          </w:tcPr>
          <w:p>
            <w:pPr>
              <w:jc w:val="right"/>
              <w:spacing w:after="0"/>
              <w:rPr>
                <w:sz w:val="20"/>
                <w:szCs w:val="20"/>
                <w:color w:val="auto"/>
              </w:rPr>
            </w:pPr>
            <w:r>
              <w:rPr>
                <w:rFonts w:ascii="Arial" w:cs="Arial" w:eastAsia="Arial" w:hAnsi="Arial"/>
                <w:sz w:val="14"/>
                <w:szCs w:val="14"/>
                <w:b w:val="1"/>
                <w:bCs w:val="1"/>
                <w:color w:val="auto"/>
              </w:rPr>
              <w:t>Total</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40" w:type="dxa"/>
            <w:vAlign w:val="bottom"/>
          </w:tcPr>
          <w:p>
            <w:pPr>
              <w:spacing w:after="0"/>
              <w:rPr>
                <w:sz w:val="11"/>
                <w:szCs w:val="11"/>
                <w:color w:val="auto"/>
              </w:rPr>
            </w:pPr>
          </w:p>
        </w:tc>
        <w:tc>
          <w:tcPr>
            <w:tcW w:w="40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Securities Classified as Available-for-Sale</w:t>
            </w:r>
          </w:p>
        </w:tc>
        <w:tc>
          <w:tcPr>
            <w:tcW w:w="2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jc w:val="center"/>
              <w:ind w:right="360"/>
              <w:spacing w:after="0" w:line="130" w:lineRule="exact"/>
              <w:rPr>
                <w:sz w:val="20"/>
                <w:szCs w:val="20"/>
                <w:color w:val="auto"/>
              </w:rPr>
            </w:pPr>
            <w:r>
              <w:rPr>
                <w:rFonts w:ascii="Arial" w:cs="Arial" w:eastAsia="Arial" w:hAnsi="Arial"/>
                <w:sz w:val="14"/>
                <w:szCs w:val="14"/>
                <w:b w:val="1"/>
                <w:bCs w:val="1"/>
                <w:color w:val="auto"/>
              </w:rPr>
              <w:t>Fair</w:t>
            </w:r>
          </w:p>
        </w:tc>
        <w:tc>
          <w:tcPr>
            <w:tcW w:w="14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jc w:val="center"/>
              <w:ind w:right="68"/>
              <w:spacing w:after="0" w:line="130" w:lineRule="exact"/>
              <w:rPr>
                <w:sz w:val="20"/>
                <w:szCs w:val="20"/>
                <w:color w:val="auto"/>
              </w:rPr>
            </w:pPr>
            <w:r>
              <w:rPr>
                <w:rFonts w:ascii="Arial" w:cs="Arial" w:eastAsia="Arial" w:hAnsi="Arial"/>
                <w:sz w:val="14"/>
                <w:szCs w:val="14"/>
                <w:b w:val="1"/>
                <w:bCs w:val="1"/>
                <w:color w:val="auto"/>
                <w:w w:val="93"/>
              </w:rPr>
              <w:t>Unrealized</w:t>
            </w:r>
          </w:p>
        </w:tc>
        <w:tc>
          <w:tcPr>
            <w:tcW w:w="1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gridSpan w:val="2"/>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1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jc w:val="center"/>
              <w:ind w:right="88"/>
              <w:spacing w:after="0" w:line="130" w:lineRule="exact"/>
              <w:rPr>
                <w:sz w:val="20"/>
                <w:szCs w:val="20"/>
                <w:color w:val="auto"/>
              </w:rPr>
            </w:pPr>
            <w:r>
              <w:rPr>
                <w:rFonts w:ascii="Arial" w:cs="Arial" w:eastAsia="Arial" w:hAnsi="Arial"/>
                <w:sz w:val="14"/>
                <w:szCs w:val="14"/>
                <w:b w:val="1"/>
                <w:bCs w:val="1"/>
                <w:color w:val="auto"/>
                <w:w w:val="93"/>
              </w:rPr>
              <w:t>Unrealized</w:t>
            </w:r>
          </w:p>
        </w:tc>
        <w:tc>
          <w:tcPr>
            <w:tcW w:w="10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jc w:val="center"/>
              <w:ind w:right="320"/>
              <w:spacing w:after="0" w:line="130" w:lineRule="exact"/>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108"/>
              <w:spacing w:after="0" w:line="130" w:lineRule="exact"/>
              <w:rPr>
                <w:sz w:val="20"/>
                <w:szCs w:val="20"/>
                <w:color w:val="auto"/>
              </w:rPr>
            </w:pPr>
            <w:r>
              <w:rPr>
                <w:rFonts w:ascii="Arial" w:cs="Arial" w:eastAsia="Arial" w:hAnsi="Arial"/>
                <w:sz w:val="14"/>
                <w:szCs w:val="14"/>
                <w:b w:val="1"/>
                <w:bCs w:val="1"/>
                <w:color w:val="auto"/>
                <w:w w:val="95"/>
              </w:rPr>
              <w:t>Unrealized</w:t>
            </w:r>
          </w:p>
        </w:tc>
        <w:tc>
          <w:tcPr>
            <w:tcW w:w="0" w:type="dxa"/>
            <w:vAlign w:val="bottom"/>
          </w:tcPr>
          <w:p>
            <w:pPr>
              <w:spacing w:after="0"/>
              <w:rPr>
                <w:sz w:val="1"/>
                <w:szCs w:val="1"/>
                <w:color w:val="auto"/>
              </w:rPr>
            </w:pPr>
          </w:p>
        </w:tc>
      </w:tr>
      <w:tr>
        <w:trPr>
          <w:trHeight w:val="188"/>
        </w:trPr>
        <w:tc>
          <w:tcPr>
            <w:tcW w:w="40" w:type="dxa"/>
            <w:vAlign w:val="bottom"/>
          </w:tcPr>
          <w:p>
            <w:pPr>
              <w:spacing w:after="0"/>
              <w:rPr>
                <w:sz w:val="16"/>
                <w:szCs w:val="16"/>
                <w:color w:val="auto"/>
              </w:rPr>
            </w:pPr>
          </w:p>
        </w:tc>
        <w:tc>
          <w:tcPr>
            <w:tcW w:w="4000" w:type="dxa"/>
            <w:vAlign w:val="bottom"/>
            <w:gridSpan w:val="2"/>
            <w:vMerge w:val="continue"/>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Value</w:t>
            </w:r>
          </w:p>
        </w:tc>
        <w:tc>
          <w:tcPr>
            <w:tcW w:w="140" w:type="dxa"/>
            <w:vAlign w:val="bottom"/>
          </w:tcPr>
          <w:p>
            <w:pPr>
              <w:spacing w:after="0"/>
              <w:rPr>
                <w:sz w:val="16"/>
                <w:szCs w:val="16"/>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Loss</w:t>
            </w:r>
          </w:p>
        </w:tc>
        <w:tc>
          <w:tcPr>
            <w:tcW w:w="14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Loss</w:t>
            </w:r>
          </w:p>
        </w:tc>
        <w:tc>
          <w:tcPr>
            <w:tcW w:w="220" w:type="dxa"/>
            <w:vAlign w:val="bottom"/>
          </w:tcPr>
          <w:p>
            <w:pPr>
              <w:spacing w:after="0"/>
              <w:rPr>
                <w:sz w:val="16"/>
                <w:szCs w:val="16"/>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Value</w:t>
            </w:r>
          </w:p>
        </w:tc>
        <w:tc>
          <w:tcPr>
            <w:tcW w:w="180" w:type="dxa"/>
            <w:vAlign w:val="bottom"/>
          </w:tcPr>
          <w:p>
            <w:pPr>
              <w:spacing w:after="0"/>
              <w:rPr>
                <w:sz w:val="16"/>
                <w:szCs w:val="16"/>
                <w:color w:val="auto"/>
              </w:rPr>
            </w:pPr>
          </w:p>
        </w:tc>
        <w:tc>
          <w:tcPr>
            <w:tcW w:w="940" w:type="dxa"/>
            <w:vAlign w:val="bottom"/>
          </w:tcPr>
          <w:p>
            <w:pPr>
              <w:jc w:val="center"/>
              <w:ind w:right="108"/>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184"/>
        </w:trPr>
        <w:tc>
          <w:tcPr>
            <w:tcW w:w="40" w:type="dxa"/>
            <w:vAlign w:val="bottom"/>
          </w:tcPr>
          <w:p>
            <w:pPr>
              <w:spacing w:after="0"/>
              <w:rPr>
                <w:sz w:val="15"/>
                <w:szCs w:val="15"/>
                <w:color w:val="auto"/>
              </w:rPr>
            </w:pPr>
          </w:p>
        </w:tc>
        <w:tc>
          <w:tcPr>
            <w:tcW w:w="39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September 30, 2020</w:t>
            </w:r>
          </w:p>
        </w:tc>
        <w:tc>
          <w:tcPr>
            <w:tcW w:w="10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tcBorders>
            <w:shd w:val="clear" w:color="auto" w:fill="CCEEFF"/>
          </w:tcPr>
          <w:p>
            <w:pPr>
              <w:jc w:val="center"/>
              <w:ind w:left="628"/>
              <w:spacing w:after="0"/>
              <w:rPr>
                <w:sz w:val="20"/>
                <w:szCs w:val="20"/>
                <w:color w:val="auto"/>
              </w:rPr>
            </w:pPr>
            <w:r>
              <w:rPr>
                <w:rFonts w:ascii="Arial" w:cs="Arial" w:eastAsia="Arial" w:hAnsi="Arial"/>
                <w:sz w:val="14"/>
                <w:szCs w:val="14"/>
                <w:color w:val="auto"/>
                <w:w w:val="99"/>
              </w:rPr>
              <w:t>—</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center"/>
              <w:ind w:left="608"/>
              <w:spacing w:after="0"/>
              <w:rPr>
                <w:sz w:val="20"/>
                <w:szCs w:val="20"/>
                <w:color w:val="auto"/>
              </w:rPr>
            </w:pPr>
            <w:r>
              <w:rPr>
                <w:rFonts w:ascii="Arial" w:cs="Arial" w:eastAsia="Arial" w:hAnsi="Arial"/>
                <w:sz w:val="14"/>
                <w:szCs w:val="14"/>
                <w:color w:val="auto"/>
                <w:w w:val="99"/>
              </w:rPr>
              <w:t>—</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13</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center"/>
              <w:ind w:left="608"/>
              <w:spacing w:after="0"/>
              <w:rPr>
                <w:sz w:val="20"/>
                <w:szCs w:val="20"/>
                <w:color w:val="auto"/>
              </w:rPr>
            </w:pPr>
            <w:r>
              <w:rPr>
                <w:rFonts w:ascii="Arial" w:cs="Arial" w:eastAsia="Arial" w:hAnsi="Arial"/>
                <w:sz w:val="14"/>
                <w:szCs w:val="14"/>
                <w:color w:val="auto"/>
                <w:w w:val="99"/>
              </w:rPr>
              <w:t>—</w:t>
            </w:r>
          </w:p>
        </w:tc>
        <w:tc>
          <w:tcPr>
            <w:tcW w:w="0" w:type="dxa"/>
            <w:vAlign w:val="bottom"/>
          </w:tcPr>
          <w:p>
            <w:pPr>
              <w:spacing w:after="0"/>
              <w:rPr>
                <w:sz w:val="1"/>
                <w:szCs w:val="1"/>
                <w:color w:val="auto"/>
              </w:rPr>
            </w:pPr>
          </w:p>
        </w:tc>
      </w:tr>
      <w:tr>
        <w:trPr>
          <w:trHeight w:val="182"/>
        </w:trPr>
        <w:tc>
          <w:tcPr>
            <w:tcW w:w="40" w:type="dxa"/>
            <w:vAlign w:val="bottom"/>
          </w:tcPr>
          <w:p>
            <w:pPr>
              <w:spacing w:after="0"/>
              <w:rPr>
                <w:sz w:val="15"/>
                <w:szCs w:val="15"/>
                <w:color w:val="auto"/>
              </w:rPr>
            </w:pPr>
          </w:p>
        </w:tc>
        <w:tc>
          <w:tcPr>
            <w:tcW w:w="4000" w:type="dxa"/>
            <w:vAlign w:val="bottom"/>
            <w:gridSpan w:val="2"/>
          </w:tcPr>
          <w:p>
            <w:pPr>
              <w:spacing w:after="0"/>
              <w:rPr>
                <w:sz w:val="20"/>
                <w:szCs w:val="20"/>
                <w:color w:val="auto"/>
              </w:rPr>
            </w:pPr>
            <w:r>
              <w:rPr>
                <w:rFonts w:ascii="Arial" w:cs="Arial" w:eastAsia="Arial" w:hAnsi="Arial"/>
                <w:sz w:val="14"/>
                <w:szCs w:val="14"/>
                <w:color w:val="auto"/>
              </w:rPr>
              <w:t>December 31, 2019</w:t>
            </w: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1,653</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6,984</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15"/>
                <w:szCs w:val="15"/>
                <w:color w:val="auto"/>
              </w:rPr>
            </w:pP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8,637</w:t>
            </w:r>
          </w:p>
        </w:tc>
        <w:tc>
          <w:tcPr>
            <w:tcW w:w="100" w:type="dxa"/>
            <w:vAlign w:val="bottom"/>
          </w:tcPr>
          <w:p>
            <w:pPr>
              <w:spacing w:after="0"/>
              <w:rPr>
                <w:sz w:val="15"/>
                <w:szCs w:val="15"/>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385"/>
        </w:trPr>
        <w:tc>
          <w:tcPr>
            <w:tcW w:w="4040" w:type="dxa"/>
            <w:vAlign w:val="bottom"/>
            <w:gridSpan w:val="3"/>
          </w:tcPr>
          <w:p>
            <w:pPr>
              <w:spacing w:after="0"/>
              <w:rPr>
                <w:sz w:val="20"/>
                <w:szCs w:val="20"/>
                <w:color w:val="auto"/>
              </w:rPr>
            </w:pPr>
            <w:r>
              <w:rPr>
                <w:rFonts w:ascii="Arial" w:cs="Arial" w:eastAsia="Arial" w:hAnsi="Arial"/>
                <w:sz w:val="18"/>
                <w:szCs w:val="18"/>
                <w:b w:val="1"/>
                <w:bCs w:val="1"/>
                <w:i w:val="1"/>
                <w:iCs w:val="1"/>
                <w:color w:val="auto"/>
                <w:w w:val="92"/>
              </w:rPr>
              <w:t>Gains and Losses on Sale of Investment Securities</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ind w:right="20" w:firstLine="486"/>
        <w:spacing w:after="0" w:line="269" w:lineRule="auto"/>
        <w:rPr>
          <w:sz w:val="20"/>
          <w:szCs w:val="20"/>
          <w:color w:val="auto"/>
        </w:rPr>
      </w:pPr>
      <w:r>
        <w:rPr>
          <w:rFonts w:ascii="Arial" w:cs="Arial" w:eastAsia="Arial" w:hAnsi="Arial"/>
          <w:sz w:val="18"/>
          <w:szCs w:val="18"/>
          <w:color w:val="auto"/>
        </w:rPr>
        <w:t>The following table is a summary of our net gain (loss) from the sale of investment securities for the three and nine months ended September 30, 2020 and 2019 by investment classification of accounting (in millions):</w:t>
      </w:r>
    </w:p>
    <w:tbl>
      <w:tblPr>
        <w:tblLayout w:type="fixed"/>
        <w:tblInd w:w="40" w:type="dxa"/>
        <w:tblCellMar>
          <w:top w:w="0" w:type="dxa"/>
          <w:left w:w="0" w:type="dxa"/>
          <w:bottom w:w="0" w:type="dxa"/>
          <w:right w:w="0" w:type="dxa"/>
        </w:tblCellMar>
      </w:tblPr>
      <w:tr>
        <w:trPr>
          <w:trHeight w:val="192"/>
        </w:trPr>
        <w:tc>
          <w:tcPr>
            <w:tcW w:w="3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6"/>
              </w:rPr>
              <w:t>Three Months Ended June 30,</w:t>
            </w:r>
          </w:p>
        </w:tc>
        <w:tc>
          <w:tcPr>
            <w:tcW w:w="2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29"/>
              <w:spacing w:after="0"/>
              <w:rPr>
                <w:sz w:val="20"/>
                <w:szCs w:val="20"/>
                <w:color w:val="auto"/>
              </w:rPr>
            </w:pPr>
            <w:r>
              <w:rPr>
                <w:rFonts w:ascii="Arial" w:cs="Arial" w:eastAsia="Arial" w:hAnsi="Arial"/>
                <w:sz w:val="14"/>
                <w:szCs w:val="14"/>
                <w:b w:val="1"/>
                <w:bCs w:val="1"/>
                <w:color w:val="auto"/>
                <w:w w:val="89"/>
              </w:rPr>
              <w:t>2020</w:t>
            </w: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29"/>
              <w:spacing w:after="0"/>
              <w:rPr>
                <w:sz w:val="20"/>
                <w:szCs w:val="20"/>
                <w:color w:val="auto"/>
              </w:rPr>
            </w:pPr>
            <w:r>
              <w:rPr>
                <w:rFonts w:ascii="Arial" w:cs="Arial" w:eastAsia="Arial" w:hAnsi="Arial"/>
                <w:sz w:val="14"/>
                <w:szCs w:val="14"/>
                <w:b w:val="1"/>
                <w:bCs w:val="1"/>
                <w:color w:val="auto"/>
                <w:w w:val="89"/>
              </w:rPr>
              <w:t>2019</w:t>
            </w: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39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0" w:type="dxa"/>
            <w:vAlign w:val="bottom"/>
            <w:gridSpan w:val="3"/>
          </w:tcPr>
          <w:p>
            <w:pPr>
              <w:jc w:val="right"/>
              <w:ind w:right="180"/>
              <w:spacing w:after="0" w:line="116" w:lineRule="exact"/>
              <w:rPr>
                <w:sz w:val="20"/>
                <w:szCs w:val="20"/>
                <w:color w:val="auto"/>
              </w:rPr>
            </w:pPr>
            <w:r>
              <w:rPr>
                <w:rFonts w:ascii="Arial" w:cs="Arial" w:eastAsia="Arial" w:hAnsi="Arial"/>
                <w:sz w:val="13"/>
                <w:szCs w:val="13"/>
                <w:b w:val="1"/>
                <w:bCs w:val="1"/>
                <w:color w:val="auto"/>
                <w:w w:val="91"/>
              </w:rPr>
              <w:t>Available-for-Sale</w:t>
            </w:r>
          </w:p>
        </w:tc>
        <w:tc>
          <w:tcPr>
            <w:tcW w:w="1200" w:type="dxa"/>
            <w:vAlign w:val="bottom"/>
            <w:gridSpan w:val="3"/>
          </w:tcPr>
          <w:p>
            <w:pPr>
              <w:jc w:val="center"/>
              <w:ind w:right="100"/>
              <w:spacing w:after="0" w:line="116" w:lineRule="exact"/>
              <w:rPr>
                <w:sz w:val="20"/>
                <w:szCs w:val="20"/>
                <w:color w:val="auto"/>
              </w:rPr>
            </w:pPr>
            <w:r>
              <w:rPr>
                <w:rFonts w:ascii="Arial" w:cs="Arial" w:eastAsia="Arial" w:hAnsi="Arial"/>
                <w:sz w:val="13"/>
                <w:szCs w:val="13"/>
                <w:b w:val="1"/>
                <w:bCs w:val="1"/>
                <w:color w:val="auto"/>
                <w:w w:val="91"/>
              </w:rPr>
              <w:t>Fair Value Option</w:t>
            </w:r>
          </w:p>
        </w:tc>
        <w:tc>
          <w:tcPr>
            <w:tcW w:w="180" w:type="dxa"/>
            <w:vAlign w:val="bottom"/>
          </w:tcPr>
          <w:p>
            <w:pPr>
              <w:spacing w:after="0"/>
              <w:rPr>
                <w:sz w:val="10"/>
                <w:szCs w:val="10"/>
                <w:color w:val="auto"/>
              </w:rPr>
            </w:pPr>
          </w:p>
        </w:tc>
        <w:tc>
          <w:tcPr>
            <w:tcW w:w="1120" w:type="dxa"/>
            <w:vAlign w:val="bottom"/>
            <w:gridSpan w:val="2"/>
            <w:vMerge w:val="restart"/>
          </w:tcPr>
          <w:p>
            <w:pPr>
              <w:ind w:left="220"/>
              <w:spacing w:after="0"/>
              <w:rPr>
                <w:sz w:val="20"/>
                <w:szCs w:val="20"/>
                <w:color w:val="auto"/>
              </w:rPr>
            </w:pPr>
            <w:r>
              <w:rPr>
                <w:rFonts w:ascii="Arial" w:cs="Arial" w:eastAsia="Arial" w:hAnsi="Arial"/>
                <w:sz w:val="13"/>
                <w:szCs w:val="13"/>
                <w:b w:val="1"/>
                <w:bCs w:val="1"/>
                <w:color w:val="auto"/>
              </w:rPr>
              <w:t>Total</w:t>
            </w:r>
          </w:p>
        </w:tc>
        <w:tc>
          <w:tcPr>
            <w:tcW w:w="1200" w:type="dxa"/>
            <w:vAlign w:val="bottom"/>
            <w:gridSpan w:val="3"/>
          </w:tcPr>
          <w:p>
            <w:pPr>
              <w:jc w:val="right"/>
              <w:ind w:right="180"/>
              <w:spacing w:after="0" w:line="116" w:lineRule="exact"/>
              <w:rPr>
                <w:sz w:val="20"/>
                <w:szCs w:val="20"/>
                <w:color w:val="auto"/>
              </w:rPr>
            </w:pPr>
            <w:r>
              <w:rPr>
                <w:rFonts w:ascii="Arial" w:cs="Arial" w:eastAsia="Arial" w:hAnsi="Arial"/>
                <w:sz w:val="13"/>
                <w:szCs w:val="13"/>
                <w:b w:val="1"/>
                <w:bCs w:val="1"/>
                <w:color w:val="auto"/>
                <w:w w:val="91"/>
              </w:rPr>
              <w:t>Available-for-Sale</w:t>
            </w:r>
          </w:p>
        </w:tc>
        <w:tc>
          <w:tcPr>
            <w:tcW w:w="1200" w:type="dxa"/>
            <w:vAlign w:val="bottom"/>
            <w:gridSpan w:val="3"/>
          </w:tcPr>
          <w:p>
            <w:pPr>
              <w:jc w:val="center"/>
              <w:ind w:right="100"/>
              <w:spacing w:after="0" w:line="116" w:lineRule="exact"/>
              <w:rPr>
                <w:sz w:val="20"/>
                <w:szCs w:val="20"/>
                <w:color w:val="auto"/>
              </w:rPr>
            </w:pPr>
            <w:r>
              <w:rPr>
                <w:rFonts w:ascii="Arial" w:cs="Arial" w:eastAsia="Arial" w:hAnsi="Arial"/>
                <w:sz w:val="13"/>
                <w:szCs w:val="13"/>
                <w:b w:val="1"/>
                <w:bCs w:val="1"/>
                <w:color w:val="auto"/>
                <w:w w:val="91"/>
              </w:rPr>
              <w:t>Fair Value Option</w:t>
            </w:r>
          </w:p>
        </w:tc>
        <w:tc>
          <w:tcPr>
            <w:tcW w:w="240" w:type="dxa"/>
            <w:vAlign w:val="bottom"/>
          </w:tcPr>
          <w:p>
            <w:pPr>
              <w:spacing w:after="0"/>
              <w:rPr>
                <w:sz w:val="10"/>
                <w:szCs w:val="10"/>
                <w:color w:val="auto"/>
              </w:rPr>
            </w:pPr>
          </w:p>
        </w:tc>
        <w:tc>
          <w:tcPr>
            <w:tcW w:w="860" w:type="dxa"/>
            <w:vAlign w:val="bottom"/>
            <w:vMerge w:val="restart"/>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398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ind w:left="80"/>
              <w:spacing w:after="0" w:line="175" w:lineRule="exact"/>
              <w:rPr>
                <w:sz w:val="20"/>
                <w:szCs w:val="20"/>
                <w:color w:val="auto"/>
              </w:rPr>
            </w:pPr>
            <w:r>
              <w:rPr>
                <w:rFonts w:ascii="Arial" w:cs="Arial" w:eastAsia="Arial" w:hAnsi="Arial"/>
                <w:sz w:val="13"/>
                <w:szCs w:val="13"/>
                <w:b w:val="1"/>
                <w:bCs w:val="1"/>
                <w:color w:val="auto"/>
              </w:rPr>
              <w:t xml:space="preserve">Securities </w:t>
            </w:r>
            <w:r>
              <w:rPr>
                <w:rFonts w:ascii="Arial" w:cs="Arial" w:eastAsia="Arial" w:hAnsi="Arial"/>
                <w:sz w:val="16"/>
                <w:szCs w:val="16"/>
                <w:b w:val="1"/>
                <w:bCs w:val="1"/>
                <w:color w:val="auto"/>
                <w:vertAlign w:val="superscript"/>
              </w:rPr>
              <w:t>2</w:t>
            </w:r>
          </w:p>
        </w:tc>
        <w:tc>
          <w:tcPr>
            <w:tcW w:w="180" w:type="dxa"/>
            <w:vAlign w:val="bottom"/>
          </w:tcPr>
          <w:p>
            <w:pPr>
              <w:spacing w:after="0"/>
              <w:rPr>
                <w:sz w:val="15"/>
                <w:szCs w:val="15"/>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Securities</w:t>
            </w:r>
          </w:p>
        </w:tc>
        <w:tc>
          <w:tcPr>
            <w:tcW w:w="180" w:type="dxa"/>
            <w:vAlign w:val="bottom"/>
          </w:tcPr>
          <w:p>
            <w:pPr>
              <w:spacing w:after="0"/>
              <w:rPr>
                <w:sz w:val="15"/>
                <w:szCs w:val="15"/>
                <w:color w:val="auto"/>
              </w:rPr>
            </w:pPr>
          </w:p>
        </w:tc>
        <w:tc>
          <w:tcPr>
            <w:tcW w:w="1120" w:type="dxa"/>
            <w:vAlign w:val="bottom"/>
            <w:gridSpan w:val="2"/>
            <w:vMerge w:val="continue"/>
          </w:tcPr>
          <w:p>
            <w:pPr>
              <w:spacing w:after="0"/>
              <w:rPr>
                <w:sz w:val="15"/>
                <w:szCs w:val="15"/>
                <w:color w:val="auto"/>
              </w:rPr>
            </w:pPr>
          </w:p>
        </w:tc>
        <w:tc>
          <w:tcPr>
            <w:tcW w:w="860" w:type="dxa"/>
            <w:vAlign w:val="bottom"/>
          </w:tcPr>
          <w:p>
            <w:pPr>
              <w:jc w:val="right"/>
              <w:spacing w:after="0" w:line="175" w:lineRule="exact"/>
              <w:rPr>
                <w:sz w:val="20"/>
                <w:szCs w:val="20"/>
                <w:color w:val="auto"/>
              </w:rPr>
            </w:pPr>
            <w:r>
              <w:rPr>
                <w:rFonts w:ascii="Arial" w:cs="Arial" w:eastAsia="Arial" w:hAnsi="Arial"/>
                <w:sz w:val="13"/>
                <w:szCs w:val="13"/>
                <w:b w:val="1"/>
                <w:bCs w:val="1"/>
                <w:color w:val="auto"/>
              </w:rPr>
              <w:t xml:space="preserve">Securities </w:t>
            </w:r>
            <w:r>
              <w:rPr>
                <w:rFonts w:ascii="Arial" w:cs="Arial" w:eastAsia="Arial" w:hAnsi="Arial"/>
                <w:sz w:val="16"/>
                <w:szCs w:val="16"/>
                <w:b w:val="1"/>
                <w:bCs w:val="1"/>
                <w:color w:val="auto"/>
                <w:vertAlign w:val="superscript"/>
              </w:rPr>
              <w:t>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Securities</w:t>
            </w: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384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Investment securities sold, at cost</w:t>
            </w:r>
          </w:p>
        </w:tc>
        <w:tc>
          <w:tcPr>
            <w:tcW w:w="140" w:type="dxa"/>
            <w:vAlign w:val="bottom"/>
          </w:tcPr>
          <w:p>
            <w:pPr>
              <w:spacing w:after="0"/>
              <w:rPr>
                <w:sz w:val="15"/>
                <w:szCs w:val="15"/>
                <w:color w:val="auto"/>
              </w:rPr>
            </w:pPr>
          </w:p>
        </w:tc>
        <w:tc>
          <w:tcPr>
            <w:tcW w:w="1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(13,430)</w:t>
            </w:r>
          </w:p>
        </w:tc>
        <w:tc>
          <w:tcPr>
            <w:tcW w:w="100" w:type="dxa"/>
            <w:vAlign w:val="bottom"/>
          </w:tcPr>
          <w:p>
            <w:pPr>
              <w:spacing w:after="0"/>
              <w:rPr>
                <w:sz w:val="15"/>
                <w:szCs w:val="15"/>
                <w:color w:val="auto"/>
              </w:rPr>
            </w:pPr>
          </w:p>
        </w:tc>
        <w:tc>
          <w:tcPr>
            <w:tcW w:w="18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(13,430)</w:t>
            </w:r>
          </w:p>
        </w:tc>
        <w:tc>
          <w:tcPr>
            <w:tcW w:w="200" w:type="dxa"/>
            <w:vAlign w:val="bottom"/>
          </w:tcPr>
          <w:p>
            <w:pPr>
              <w:spacing w:after="0"/>
              <w:rPr>
                <w:sz w:val="15"/>
                <w:szCs w:val="15"/>
                <w:color w:val="auto"/>
              </w:rPr>
            </w:pPr>
          </w:p>
        </w:tc>
        <w:tc>
          <w:tcPr>
            <w:tcW w:w="860" w:type="dxa"/>
            <w:vAlign w:val="bottom"/>
            <w:tcBorders>
              <w:top w:val="single" w:sz="8" w:color="auto"/>
            </w:tcBorders>
          </w:tcPr>
          <w:p>
            <w:pPr>
              <w:jc w:val="right"/>
              <w:ind w:right="711"/>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99"/>
              </w:rPr>
              <w:t>—</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(5,048)</w:t>
            </w:r>
          </w:p>
        </w:tc>
        <w:tc>
          <w:tcPr>
            <w:tcW w:w="100" w:type="dxa"/>
            <w:vAlign w:val="bottom"/>
          </w:tcPr>
          <w:p>
            <w:pPr>
              <w:spacing w:after="0"/>
              <w:rPr>
                <w:sz w:val="15"/>
                <w:szCs w:val="15"/>
                <w:color w:val="auto"/>
              </w:rPr>
            </w:pPr>
          </w:p>
        </w:tc>
        <w:tc>
          <w:tcPr>
            <w:tcW w:w="2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(5,048)</w:t>
            </w:r>
          </w:p>
        </w:tc>
        <w:tc>
          <w:tcPr>
            <w:tcW w:w="0" w:type="dxa"/>
            <w:vAlign w:val="bottom"/>
          </w:tcPr>
          <w:p>
            <w:pPr>
              <w:spacing w:after="0"/>
              <w:rPr>
                <w:sz w:val="1"/>
                <w:szCs w:val="1"/>
                <w:color w:val="auto"/>
              </w:rPr>
            </w:pPr>
          </w:p>
        </w:tc>
      </w:tr>
      <w:tr>
        <w:trPr>
          <w:trHeight w:val="192"/>
        </w:trPr>
        <w:tc>
          <w:tcPr>
            <w:tcW w:w="3980" w:type="dxa"/>
            <w:vAlign w:val="bottom"/>
            <w:gridSpan w:val="2"/>
            <w:shd w:val="clear" w:color="auto" w:fill="CCEEFF"/>
          </w:tcPr>
          <w:p>
            <w:pPr>
              <w:ind w:left="20"/>
              <w:spacing w:after="0" w:line="193" w:lineRule="exact"/>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18"/>
                <w:szCs w:val="18"/>
                <w:color w:val="auto"/>
                <w:vertAlign w:val="superscript"/>
              </w:rPr>
              <w:t>1</w:t>
            </w:r>
          </w:p>
        </w:tc>
        <w:tc>
          <w:tcPr>
            <w:tcW w:w="16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13,776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13,776</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99"/>
              </w:rPr>
              <w:t>—</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5,137</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5,137</w:t>
            </w:r>
          </w:p>
        </w:tc>
        <w:tc>
          <w:tcPr>
            <w:tcW w:w="0" w:type="dxa"/>
            <w:vAlign w:val="bottom"/>
          </w:tcPr>
          <w:p>
            <w:pPr>
              <w:spacing w:after="0"/>
              <w:rPr>
                <w:sz w:val="1"/>
                <w:szCs w:val="1"/>
                <w:color w:val="auto"/>
              </w:rPr>
            </w:pPr>
          </w:p>
        </w:tc>
      </w:tr>
      <w:tr>
        <w:trPr>
          <w:trHeight w:val="183"/>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346</w:t>
            </w: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346</w:t>
            </w:r>
          </w:p>
        </w:tc>
        <w:tc>
          <w:tcPr>
            <w:tcW w:w="200" w:type="dxa"/>
            <w:vAlign w:val="bottom"/>
          </w:tcPr>
          <w:p>
            <w:pPr>
              <w:spacing w:after="0"/>
              <w:rPr>
                <w:sz w:val="15"/>
                <w:szCs w:val="15"/>
                <w:color w:val="auto"/>
              </w:rPr>
            </w:pPr>
          </w:p>
        </w:tc>
        <w:tc>
          <w:tcPr>
            <w:tcW w:w="860" w:type="dxa"/>
            <w:vAlign w:val="bottom"/>
            <w:tcBorders>
              <w:top w:val="single" w:sz="8" w:color="auto"/>
              <w:bottom w:val="single" w:sz="8" w:color="auto"/>
            </w:tcBorders>
          </w:tcPr>
          <w:p>
            <w:pPr>
              <w:jc w:val="right"/>
              <w:ind w:right="711"/>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9"/>
              </w:rPr>
              <w:t>—</w:t>
            </w:r>
          </w:p>
        </w:tc>
        <w:tc>
          <w:tcPr>
            <w:tcW w:w="12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89</w:t>
            </w:r>
          </w:p>
        </w:tc>
        <w:tc>
          <w:tcPr>
            <w:tcW w:w="100" w:type="dxa"/>
            <w:vAlign w:val="bottom"/>
          </w:tcPr>
          <w:p>
            <w:pPr>
              <w:spacing w:after="0"/>
              <w:rPr>
                <w:sz w:val="15"/>
                <w:szCs w:val="15"/>
                <w:color w:val="auto"/>
              </w:rPr>
            </w:pP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0" w:type="dxa"/>
            <w:vAlign w:val="bottom"/>
          </w:tcPr>
          <w:p>
            <w:pPr>
              <w:spacing w:after="0"/>
              <w:rPr>
                <w:sz w:val="1"/>
                <w:szCs w:val="1"/>
                <w:color w:val="auto"/>
              </w:rPr>
            </w:pPr>
          </w:p>
        </w:tc>
      </w:tr>
      <w:tr>
        <w:trPr>
          <w:trHeight w:val="20"/>
        </w:trPr>
        <w:tc>
          <w:tcPr>
            <w:tcW w:w="38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8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354</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354</w:t>
            </w:r>
          </w:p>
        </w:tc>
        <w:tc>
          <w:tcPr>
            <w:tcW w:w="200" w:type="dxa"/>
            <w:vAlign w:val="bottom"/>
          </w:tcPr>
          <w:p>
            <w:pPr>
              <w:spacing w:after="0"/>
              <w:rPr>
                <w:sz w:val="16"/>
                <w:szCs w:val="16"/>
                <w:color w:val="auto"/>
              </w:rPr>
            </w:pPr>
          </w:p>
        </w:tc>
        <w:tc>
          <w:tcPr>
            <w:tcW w:w="860" w:type="dxa"/>
            <w:vAlign w:val="bottom"/>
          </w:tcPr>
          <w:p>
            <w:pPr>
              <w:jc w:val="right"/>
              <w:ind w:right="711"/>
              <w:spacing w:after="0"/>
              <w:rPr>
                <w:sz w:val="20"/>
                <w:szCs w:val="20"/>
                <w:color w:val="auto"/>
              </w:rPr>
            </w:pPr>
            <w:r>
              <w:rPr>
                <w:rFonts w:ascii="Arial" w:cs="Arial" w:eastAsia="Arial" w:hAnsi="Arial"/>
                <w:sz w:val="14"/>
                <w:szCs w:val="14"/>
                <w:color w:val="auto"/>
                <w:w w:val="76"/>
              </w:rPr>
              <w:t>$</w:t>
            </w:r>
          </w:p>
        </w:tc>
        <w:tc>
          <w:tcPr>
            <w:tcW w:w="340" w:type="dxa"/>
            <w:vAlign w:val="bottom"/>
            <w:gridSpan w:val="2"/>
          </w:tcPr>
          <w:p>
            <w:pPr>
              <w:jc w:val="right"/>
              <w:ind w:right="180"/>
              <w:spacing w:after="0"/>
              <w:rPr>
                <w:sz w:val="20"/>
                <w:szCs w:val="20"/>
                <w:color w:val="auto"/>
              </w:rPr>
            </w:pPr>
            <w:r>
              <w:rPr>
                <w:rFonts w:ascii="Arial" w:cs="Arial" w:eastAsia="Arial" w:hAnsi="Arial"/>
                <w:sz w:val="14"/>
                <w:szCs w:val="14"/>
                <w:color w:val="auto"/>
                <w:w w:val="99"/>
              </w:rPr>
              <w:t>—</w:t>
            </w: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90</w:t>
            </w:r>
          </w:p>
        </w:tc>
        <w:tc>
          <w:tcPr>
            <w:tcW w:w="100" w:type="dxa"/>
            <w:vAlign w:val="bottom"/>
          </w:tcPr>
          <w:p>
            <w:pPr>
              <w:spacing w:after="0"/>
              <w:rPr>
                <w:sz w:val="16"/>
                <w:szCs w:val="16"/>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192"/>
        </w:trPr>
        <w:tc>
          <w:tcPr>
            <w:tcW w:w="3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6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99"/>
              </w:rPr>
              <w:t>—</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3"/>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346</w:t>
            </w: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346</w:t>
            </w:r>
          </w:p>
        </w:tc>
        <w:tc>
          <w:tcPr>
            <w:tcW w:w="200" w:type="dxa"/>
            <w:vAlign w:val="bottom"/>
          </w:tcPr>
          <w:p>
            <w:pPr>
              <w:spacing w:after="0"/>
              <w:rPr>
                <w:sz w:val="15"/>
                <w:szCs w:val="15"/>
                <w:color w:val="auto"/>
              </w:rPr>
            </w:pPr>
          </w:p>
        </w:tc>
        <w:tc>
          <w:tcPr>
            <w:tcW w:w="860" w:type="dxa"/>
            <w:vAlign w:val="bottom"/>
            <w:tcBorders>
              <w:top w:val="single" w:sz="8" w:color="auto"/>
              <w:bottom w:val="single" w:sz="8" w:color="auto"/>
            </w:tcBorders>
          </w:tcPr>
          <w:p>
            <w:pPr>
              <w:jc w:val="right"/>
              <w:ind w:right="711"/>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9"/>
              </w:rPr>
              <w:t>—</w:t>
            </w:r>
          </w:p>
        </w:tc>
        <w:tc>
          <w:tcPr>
            <w:tcW w:w="12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89</w:t>
            </w:r>
          </w:p>
        </w:tc>
        <w:tc>
          <w:tcPr>
            <w:tcW w:w="100" w:type="dxa"/>
            <w:vAlign w:val="bottom"/>
          </w:tcPr>
          <w:p>
            <w:pPr>
              <w:spacing w:after="0"/>
              <w:rPr>
                <w:sz w:val="15"/>
                <w:szCs w:val="15"/>
                <w:color w:val="auto"/>
              </w:rPr>
            </w:pP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89</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69"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3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Nine Months Ended September 30,</w:t>
            </w: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29"/>
              <w:spacing w:after="0"/>
              <w:rPr>
                <w:sz w:val="20"/>
                <w:szCs w:val="20"/>
                <w:color w:val="auto"/>
              </w:rPr>
            </w:pPr>
            <w:r>
              <w:rPr>
                <w:rFonts w:ascii="Arial" w:cs="Arial" w:eastAsia="Arial" w:hAnsi="Arial"/>
                <w:sz w:val="14"/>
                <w:szCs w:val="14"/>
                <w:b w:val="1"/>
                <w:bCs w:val="1"/>
                <w:color w:val="auto"/>
                <w:w w:val="89"/>
              </w:rPr>
              <w:t>2020</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129"/>
              <w:spacing w:after="0"/>
              <w:rPr>
                <w:sz w:val="20"/>
                <w:szCs w:val="20"/>
                <w:color w:val="auto"/>
              </w:rPr>
            </w:pPr>
            <w:r>
              <w:rPr>
                <w:rFonts w:ascii="Arial" w:cs="Arial" w:eastAsia="Arial" w:hAnsi="Arial"/>
                <w:sz w:val="14"/>
                <w:szCs w:val="14"/>
                <w:b w:val="1"/>
                <w:bCs w:val="1"/>
                <w:color w:val="auto"/>
                <w:w w:val="89"/>
              </w:rPr>
              <w:t>2019</w:t>
            </w: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39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Investment Securities</w:t>
            </w:r>
          </w:p>
        </w:tc>
        <w:tc>
          <w:tcPr>
            <w:tcW w:w="1200" w:type="dxa"/>
            <w:vAlign w:val="bottom"/>
            <w:gridSpan w:val="3"/>
          </w:tcPr>
          <w:p>
            <w:pPr>
              <w:jc w:val="center"/>
              <w:ind w:right="120"/>
              <w:spacing w:after="0" w:line="116" w:lineRule="exact"/>
              <w:rPr>
                <w:sz w:val="20"/>
                <w:szCs w:val="20"/>
                <w:color w:val="auto"/>
              </w:rPr>
            </w:pPr>
            <w:r>
              <w:rPr>
                <w:rFonts w:ascii="Arial" w:cs="Arial" w:eastAsia="Arial" w:hAnsi="Arial"/>
                <w:sz w:val="13"/>
                <w:szCs w:val="13"/>
                <w:b w:val="1"/>
                <w:bCs w:val="1"/>
                <w:color w:val="auto"/>
                <w:w w:val="87"/>
              </w:rPr>
              <w:t>Available-for-Sale</w:t>
            </w:r>
          </w:p>
        </w:tc>
        <w:tc>
          <w:tcPr>
            <w:tcW w:w="1200" w:type="dxa"/>
            <w:vAlign w:val="bottom"/>
            <w:gridSpan w:val="3"/>
          </w:tcPr>
          <w:p>
            <w:pPr>
              <w:jc w:val="center"/>
              <w:ind w:right="100"/>
              <w:spacing w:after="0" w:line="116" w:lineRule="exact"/>
              <w:rPr>
                <w:sz w:val="20"/>
                <w:szCs w:val="20"/>
                <w:color w:val="auto"/>
              </w:rPr>
            </w:pPr>
            <w:r>
              <w:rPr>
                <w:rFonts w:ascii="Arial" w:cs="Arial" w:eastAsia="Arial" w:hAnsi="Arial"/>
                <w:sz w:val="13"/>
                <w:szCs w:val="13"/>
                <w:b w:val="1"/>
                <w:bCs w:val="1"/>
                <w:color w:val="auto"/>
                <w:w w:val="91"/>
              </w:rPr>
              <w:t>Fair Value Option</w:t>
            </w:r>
          </w:p>
        </w:tc>
        <w:tc>
          <w:tcPr>
            <w:tcW w:w="100" w:type="dxa"/>
            <w:vAlign w:val="bottom"/>
          </w:tcPr>
          <w:p>
            <w:pPr>
              <w:spacing w:after="0"/>
              <w:rPr>
                <w:sz w:val="10"/>
                <w:szCs w:val="10"/>
                <w:color w:val="auto"/>
              </w:rPr>
            </w:pPr>
          </w:p>
        </w:tc>
        <w:tc>
          <w:tcPr>
            <w:tcW w:w="1200" w:type="dxa"/>
            <w:vAlign w:val="bottom"/>
            <w:gridSpan w:val="2"/>
            <w:vMerge w:val="restart"/>
          </w:tcPr>
          <w:p>
            <w:pPr>
              <w:ind w:left="300"/>
              <w:spacing w:after="0"/>
              <w:rPr>
                <w:sz w:val="20"/>
                <w:szCs w:val="20"/>
                <w:color w:val="auto"/>
              </w:rPr>
            </w:pPr>
            <w:r>
              <w:rPr>
                <w:rFonts w:ascii="Arial" w:cs="Arial" w:eastAsia="Arial" w:hAnsi="Arial"/>
                <w:sz w:val="13"/>
                <w:szCs w:val="13"/>
                <w:b w:val="1"/>
                <w:bCs w:val="1"/>
                <w:color w:val="auto"/>
              </w:rPr>
              <w:t>Total</w:t>
            </w:r>
          </w:p>
        </w:tc>
        <w:tc>
          <w:tcPr>
            <w:tcW w:w="1200" w:type="dxa"/>
            <w:vAlign w:val="bottom"/>
            <w:gridSpan w:val="3"/>
          </w:tcPr>
          <w:p>
            <w:pPr>
              <w:jc w:val="center"/>
              <w:ind w:right="120"/>
              <w:spacing w:after="0" w:line="116" w:lineRule="exact"/>
              <w:rPr>
                <w:sz w:val="20"/>
                <w:szCs w:val="20"/>
                <w:color w:val="auto"/>
              </w:rPr>
            </w:pPr>
            <w:r>
              <w:rPr>
                <w:rFonts w:ascii="Arial" w:cs="Arial" w:eastAsia="Arial" w:hAnsi="Arial"/>
                <w:sz w:val="13"/>
                <w:szCs w:val="13"/>
                <w:b w:val="1"/>
                <w:bCs w:val="1"/>
                <w:color w:val="auto"/>
                <w:w w:val="87"/>
              </w:rPr>
              <w:t>Available-for-Sale</w:t>
            </w:r>
          </w:p>
        </w:tc>
        <w:tc>
          <w:tcPr>
            <w:tcW w:w="1200" w:type="dxa"/>
            <w:vAlign w:val="bottom"/>
            <w:gridSpan w:val="3"/>
          </w:tcPr>
          <w:p>
            <w:pPr>
              <w:jc w:val="center"/>
              <w:ind w:right="100"/>
              <w:spacing w:after="0" w:line="116" w:lineRule="exact"/>
              <w:rPr>
                <w:sz w:val="20"/>
                <w:szCs w:val="20"/>
                <w:color w:val="auto"/>
              </w:rPr>
            </w:pPr>
            <w:r>
              <w:rPr>
                <w:rFonts w:ascii="Arial" w:cs="Arial" w:eastAsia="Arial" w:hAnsi="Arial"/>
                <w:sz w:val="13"/>
                <w:szCs w:val="13"/>
                <w:b w:val="1"/>
                <w:bCs w:val="1"/>
                <w:color w:val="auto"/>
                <w:w w:val="91"/>
              </w:rPr>
              <w:t>Fair Value Option</w:t>
            </w:r>
          </w:p>
        </w:tc>
        <w:tc>
          <w:tcPr>
            <w:tcW w:w="240" w:type="dxa"/>
            <w:vAlign w:val="bottom"/>
          </w:tcPr>
          <w:p>
            <w:pPr>
              <w:spacing w:after="0"/>
              <w:rPr>
                <w:sz w:val="10"/>
                <w:szCs w:val="10"/>
                <w:color w:val="auto"/>
              </w:rPr>
            </w:pPr>
          </w:p>
        </w:tc>
        <w:tc>
          <w:tcPr>
            <w:tcW w:w="860" w:type="dxa"/>
            <w:vAlign w:val="bottom"/>
            <w:vMerge w:val="restart"/>
          </w:tcPr>
          <w:p>
            <w:pPr>
              <w:jc w:val="right"/>
              <w:ind w:right="34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5"/>
        </w:trPr>
        <w:tc>
          <w:tcPr>
            <w:tcW w:w="398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8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80" w:type="dxa"/>
            <w:vAlign w:val="bottom"/>
          </w:tcPr>
          <w:p>
            <w:pPr>
              <w:spacing w:after="0"/>
              <w:rPr>
                <w:sz w:val="15"/>
                <w:szCs w:val="15"/>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Securities</w:t>
            </w:r>
          </w:p>
        </w:tc>
        <w:tc>
          <w:tcPr>
            <w:tcW w:w="10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2"/>
          </w:tcPr>
          <w:p>
            <w:pPr>
              <w:jc w:val="center"/>
              <w:ind w:right="280"/>
              <w:spacing w:after="0" w:line="175" w:lineRule="exact"/>
              <w:rPr>
                <w:sz w:val="20"/>
                <w:szCs w:val="20"/>
                <w:color w:val="auto"/>
              </w:rPr>
            </w:pPr>
            <w:r>
              <w:rPr>
                <w:rFonts w:ascii="Arial" w:cs="Arial" w:eastAsia="Arial" w:hAnsi="Arial"/>
                <w:sz w:val="13"/>
                <w:szCs w:val="13"/>
                <w:b w:val="1"/>
                <w:bCs w:val="1"/>
                <w:color w:val="auto"/>
                <w:w w:val="83"/>
              </w:rPr>
              <w:t xml:space="preserve">Securities </w:t>
            </w:r>
            <w:r>
              <w:rPr>
                <w:rFonts w:ascii="Arial" w:cs="Arial" w:eastAsia="Arial" w:hAnsi="Arial"/>
                <w:sz w:val="16"/>
                <w:szCs w:val="16"/>
                <w:b w:val="1"/>
                <w:bCs w:val="1"/>
                <w:color w:val="auto"/>
                <w:w w:val="83"/>
                <w:vertAlign w:val="superscript"/>
              </w:rPr>
              <w:t>2</w:t>
            </w:r>
          </w:p>
        </w:tc>
        <w:tc>
          <w:tcPr>
            <w:tcW w:w="180" w:type="dxa"/>
            <w:vAlign w:val="bottom"/>
          </w:tcPr>
          <w:p>
            <w:pPr>
              <w:spacing w:after="0"/>
              <w:rPr>
                <w:sz w:val="15"/>
                <w:szCs w:val="15"/>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3"/>
              </w:rPr>
              <w:t>Securities</w:t>
            </w:r>
          </w:p>
        </w:tc>
        <w:tc>
          <w:tcPr>
            <w:tcW w:w="2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384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Investment securities sold, at cost</w:t>
            </w:r>
          </w:p>
        </w:tc>
        <w:tc>
          <w:tcPr>
            <w:tcW w:w="140" w:type="dxa"/>
            <w:vAlign w:val="bottom"/>
          </w:tcPr>
          <w:p>
            <w:pPr>
              <w:spacing w:after="0"/>
              <w:rPr>
                <w:sz w:val="15"/>
                <w:szCs w:val="15"/>
                <w:color w:val="auto"/>
              </w:rPr>
            </w:pPr>
          </w:p>
        </w:tc>
        <w:tc>
          <w:tcPr>
            <w:tcW w:w="1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(1,433)</w:t>
            </w:r>
          </w:p>
        </w:tc>
        <w:tc>
          <w:tcPr>
            <w:tcW w:w="10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(67,342)</w:t>
            </w:r>
          </w:p>
        </w:tc>
        <w:tc>
          <w:tcPr>
            <w:tcW w:w="100" w:type="dxa"/>
            <w:vAlign w:val="bottom"/>
          </w:tcPr>
          <w:p>
            <w:pPr>
              <w:spacing w:after="0"/>
              <w:rPr>
                <w:sz w:val="15"/>
                <w:szCs w:val="15"/>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(68,775)</w:t>
            </w:r>
          </w:p>
        </w:tc>
        <w:tc>
          <w:tcPr>
            <w:tcW w:w="200" w:type="dxa"/>
            <w:vAlign w:val="bottom"/>
          </w:tcPr>
          <w:p>
            <w:pPr>
              <w:spacing w:after="0"/>
              <w:rPr>
                <w:sz w:val="15"/>
                <w:szCs w:val="15"/>
                <w:color w:val="auto"/>
              </w:rPr>
            </w:pPr>
          </w:p>
        </w:tc>
        <w:tc>
          <w:tcPr>
            <w:tcW w:w="1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(705)</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(17,379)</w:t>
            </w:r>
          </w:p>
        </w:tc>
        <w:tc>
          <w:tcPr>
            <w:tcW w:w="100" w:type="dxa"/>
            <w:vAlign w:val="bottom"/>
          </w:tcPr>
          <w:p>
            <w:pPr>
              <w:spacing w:after="0"/>
              <w:rPr>
                <w:sz w:val="15"/>
                <w:szCs w:val="15"/>
                <w:color w:val="auto"/>
              </w:rPr>
            </w:pPr>
          </w:p>
        </w:tc>
        <w:tc>
          <w:tcPr>
            <w:tcW w:w="2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(18,084)</w:t>
            </w:r>
          </w:p>
        </w:tc>
        <w:tc>
          <w:tcPr>
            <w:tcW w:w="0" w:type="dxa"/>
            <w:vAlign w:val="bottom"/>
          </w:tcPr>
          <w:p>
            <w:pPr>
              <w:spacing w:after="0"/>
              <w:rPr>
                <w:sz w:val="1"/>
                <w:szCs w:val="1"/>
                <w:color w:val="auto"/>
              </w:rPr>
            </w:pPr>
          </w:p>
        </w:tc>
      </w:tr>
      <w:tr>
        <w:trPr>
          <w:trHeight w:val="192"/>
        </w:trPr>
        <w:tc>
          <w:tcPr>
            <w:tcW w:w="3980" w:type="dxa"/>
            <w:vAlign w:val="bottom"/>
            <w:gridSpan w:val="2"/>
            <w:shd w:val="clear" w:color="auto" w:fill="CCEEFF"/>
          </w:tcPr>
          <w:p>
            <w:pPr>
              <w:ind w:left="20"/>
              <w:spacing w:after="0" w:line="193" w:lineRule="exact"/>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18"/>
                <w:szCs w:val="18"/>
                <w:color w:val="auto"/>
                <w:vertAlign w:val="superscript"/>
              </w:rPr>
              <w:t>1</w:t>
            </w:r>
          </w:p>
        </w:tc>
        <w:tc>
          <w:tcPr>
            <w:tcW w:w="16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1,473</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68,295</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69,768</w:t>
            </w:r>
          </w:p>
        </w:tc>
        <w:tc>
          <w:tcPr>
            <w:tcW w:w="2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696</w:t>
            </w:r>
          </w:p>
        </w:tc>
        <w:tc>
          <w:tcPr>
            <w:tcW w:w="12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17,669</w:t>
            </w:r>
          </w:p>
        </w:tc>
        <w:tc>
          <w:tcPr>
            <w:tcW w:w="10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18,365</w:t>
            </w:r>
          </w:p>
        </w:tc>
        <w:tc>
          <w:tcPr>
            <w:tcW w:w="0" w:type="dxa"/>
            <w:vAlign w:val="bottom"/>
          </w:tcPr>
          <w:p>
            <w:pPr>
              <w:spacing w:after="0"/>
              <w:rPr>
                <w:sz w:val="1"/>
                <w:szCs w:val="1"/>
                <w:color w:val="auto"/>
              </w:rPr>
            </w:pPr>
          </w:p>
        </w:tc>
      </w:tr>
      <w:tr>
        <w:trPr>
          <w:trHeight w:val="183"/>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953</w:t>
            </w:r>
          </w:p>
        </w:tc>
        <w:tc>
          <w:tcPr>
            <w:tcW w:w="10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993</w:t>
            </w:r>
          </w:p>
        </w:tc>
        <w:tc>
          <w:tcPr>
            <w:tcW w:w="200" w:type="dxa"/>
            <w:vAlign w:val="bottom"/>
          </w:tcPr>
          <w:p>
            <w:pPr>
              <w:spacing w:after="0"/>
              <w:rPr>
                <w:sz w:val="15"/>
                <w:szCs w:val="15"/>
                <w:color w:val="auto"/>
              </w:rPr>
            </w:pPr>
          </w:p>
        </w:tc>
        <w:tc>
          <w:tcPr>
            <w:tcW w:w="1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15"/>
                <w:szCs w:val="15"/>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5"/>
                <w:szCs w:val="15"/>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281</w:t>
            </w:r>
          </w:p>
        </w:tc>
        <w:tc>
          <w:tcPr>
            <w:tcW w:w="0" w:type="dxa"/>
            <w:vAlign w:val="bottom"/>
          </w:tcPr>
          <w:p>
            <w:pPr>
              <w:spacing w:after="0"/>
              <w:rPr>
                <w:sz w:val="1"/>
                <w:szCs w:val="1"/>
                <w:color w:val="auto"/>
              </w:rPr>
            </w:pPr>
          </w:p>
        </w:tc>
      </w:tr>
      <w:tr>
        <w:trPr>
          <w:trHeight w:val="20"/>
        </w:trPr>
        <w:tc>
          <w:tcPr>
            <w:tcW w:w="38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8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ind w:right="9"/>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1,050</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1,090</w:t>
            </w:r>
          </w:p>
        </w:tc>
        <w:tc>
          <w:tcPr>
            <w:tcW w:w="2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9"/>
              <w:spacing w:after="0"/>
              <w:rPr>
                <w:sz w:val="20"/>
                <w:szCs w:val="20"/>
                <w:color w:val="auto"/>
              </w:rPr>
            </w:pPr>
            <w:r>
              <w:rPr>
                <w:rFonts w:ascii="Arial" w:cs="Arial" w:eastAsia="Arial" w:hAnsi="Arial"/>
                <w:sz w:val="14"/>
                <w:szCs w:val="14"/>
                <w:color w:val="auto"/>
              </w:rPr>
              <w:t>294</w:t>
            </w:r>
          </w:p>
        </w:tc>
        <w:tc>
          <w:tcPr>
            <w:tcW w:w="100" w:type="dxa"/>
            <w:vAlign w:val="bottom"/>
          </w:tcPr>
          <w:p>
            <w:pPr>
              <w:spacing w:after="0"/>
              <w:rPr>
                <w:sz w:val="16"/>
                <w:szCs w:val="16"/>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294</w:t>
            </w:r>
          </w:p>
        </w:tc>
        <w:tc>
          <w:tcPr>
            <w:tcW w:w="0" w:type="dxa"/>
            <w:vAlign w:val="bottom"/>
          </w:tcPr>
          <w:p>
            <w:pPr>
              <w:spacing w:after="0"/>
              <w:rPr>
                <w:sz w:val="1"/>
                <w:szCs w:val="1"/>
                <w:color w:val="auto"/>
              </w:rPr>
            </w:pPr>
          </w:p>
        </w:tc>
      </w:tr>
      <w:tr>
        <w:trPr>
          <w:trHeight w:val="189"/>
        </w:trPr>
        <w:tc>
          <w:tcPr>
            <w:tcW w:w="3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6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2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6"/>
        </w:trPr>
        <w:tc>
          <w:tcPr>
            <w:tcW w:w="3980" w:type="dxa"/>
            <w:vAlign w:val="bottom"/>
            <w:gridSpan w:val="2"/>
          </w:tcPr>
          <w:p>
            <w:pPr>
              <w:ind w:left="20"/>
              <w:spacing w:after="0"/>
              <w:rPr>
                <w:sz w:val="20"/>
                <w:szCs w:val="20"/>
                <w:color w:val="auto"/>
              </w:rPr>
            </w:pPr>
            <w:r>
              <w:rPr>
                <w:rFonts w:ascii="Arial" w:cs="Arial" w:eastAsia="Arial" w:hAnsi="Arial"/>
                <w:sz w:val="14"/>
                <w:szCs w:val="14"/>
                <w:color w:val="auto"/>
              </w:rPr>
              <w:t>Net gain (loss) on sale of investment securities</w:t>
            </w:r>
          </w:p>
        </w:tc>
        <w:tc>
          <w:tcPr>
            <w:tcW w:w="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953</w:t>
            </w:r>
          </w:p>
        </w:tc>
        <w:tc>
          <w:tcPr>
            <w:tcW w:w="10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993</w:t>
            </w:r>
          </w:p>
        </w:tc>
        <w:tc>
          <w:tcPr>
            <w:tcW w:w="20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9"/>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24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281</w:t>
            </w: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44" w:lineRule="exact"/>
        <w:rPr>
          <w:sz w:val="20"/>
          <w:szCs w:val="20"/>
          <w:color w:val="auto"/>
        </w:rPr>
      </w:pPr>
    </w:p>
    <w:p>
      <w:pPr>
        <w:ind w:left="60"/>
        <w:spacing w:after="0"/>
        <w:rPr>
          <w:sz w:val="20"/>
          <w:szCs w:val="20"/>
          <w:color w:val="auto"/>
        </w:rPr>
      </w:pPr>
      <w:r>
        <w:rPr>
          <w:rFonts w:ascii="Arial" w:cs="Arial" w:eastAsia="Arial" w:hAnsi="Arial"/>
          <w:sz w:val="11"/>
          <w:szCs w:val="11"/>
          <w:color w:val="auto"/>
        </w:rPr>
        <w:t>________________________________</w:t>
      </w:r>
    </w:p>
    <w:p>
      <w:pPr>
        <w:spacing w:after="0" w:line="40"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55" w:lineRule="exact"/>
        <w:rPr>
          <w:rFonts w:ascii="Arial" w:cs="Arial" w:eastAsia="Arial" w:hAnsi="Arial"/>
          <w:sz w:val="14"/>
          <w:szCs w:val="14"/>
          <w:color w:val="auto"/>
        </w:rPr>
      </w:pPr>
    </w:p>
    <w:p>
      <w:pPr>
        <w:ind w:left="660" w:hanging="328"/>
        <w:spacing w:after="0"/>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See Note 10 for a summary of changes in accumulated OCI.</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 and Reverse Repurchase Agreements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171" w:lineRule="exact"/>
        <w:rPr>
          <w:sz w:val="20"/>
          <w:szCs w:val="20"/>
          <w:color w:val="auto"/>
        </w:rPr>
      </w:pPr>
    </w:p>
    <w:p>
      <w:pPr>
        <w:ind w:firstLine="445"/>
        <w:spacing w:after="0" w:line="277" w:lineRule="auto"/>
        <w:rPr>
          <w:sz w:val="20"/>
          <w:szCs w:val="20"/>
          <w:color w:val="auto"/>
        </w:rPr>
      </w:pPr>
      <w:r>
        <w:rPr>
          <w:rFonts w:ascii="Arial" w:cs="Arial" w:eastAsia="Arial" w:hAnsi="Arial"/>
          <w:sz w:val="18"/>
          <w:szCs w:val="18"/>
          <w:color w:val="auto"/>
        </w:rPr>
        <w:t>We pledge our securities as collateral under our borrowings structured as repurchase agreements with financial institutions. Amounts available to be borrowed are dependent upon the fair value of the securities pledged as collateral, which</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13" w:name="page14"/>
    <w:bookmarkEnd w:id="13"/>
    <w:p>
      <w:pPr>
        <w:jc w:val="both"/>
        <w:spacing w:after="0" w:line="301" w:lineRule="auto"/>
        <w:rPr>
          <w:sz w:val="20"/>
          <w:szCs w:val="20"/>
          <w:color w:val="auto"/>
        </w:rPr>
      </w:pPr>
      <w:r>
        <w:rPr>
          <w:rFonts w:ascii="Arial" w:cs="Arial" w:eastAsia="Arial" w:hAnsi="Arial"/>
          <w:sz w:val="16"/>
          <w:szCs w:val="16"/>
          <w:color w:val="auto"/>
        </w:rPr>
        <w:t>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September 30, 2020, we had met all margin call requirements. For additional information regarding our pledged assets, please refer to Note 7.</w:t>
      </w:r>
    </w:p>
    <w:p>
      <w:pPr>
        <w:spacing w:after="0" w:line="103" w:lineRule="exact"/>
        <w:rPr>
          <w:sz w:val="20"/>
          <w:szCs w:val="20"/>
          <w:color w:val="auto"/>
        </w:rPr>
      </w:pPr>
    </w:p>
    <w:p>
      <w:pPr>
        <w:jc w:val="both"/>
        <w:ind w:firstLine="405"/>
        <w:spacing w:after="0" w:line="275" w:lineRule="auto"/>
        <w:rPr>
          <w:sz w:val="20"/>
          <w:szCs w:val="20"/>
          <w:color w:val="auto"/>
        </w:rPr>
      </w:pPr>
      <w:r>
        <w:rPr>
          <w:rFonts w:ascii="Arial" w:cs="Arial" w:eastAsia="Arial" w:hAnsi="Arial"/>
          <w:sz w:val="17"/>
          <w:szCs w:val="17"/>
          <w:color w:val="auto"/>
        </w:rPr>
        <w:t>As of September 30, 2020 and December 31, 2019, we had $54.6 billion and $89.2 billion, respectively, of repurchase agreements outstanding used to fund our investment portfolio and temporary holdings of U.S. Treasury securities. The terms and conditions of our repurchase agreements are typically negotiated on a transaction-by-transaction basis. Our repurchase agreements with original maturities greater than one year may have floating interest rates based on an index plus or minus a fixed spread. The following table summarizes our borrowings under repurchase agreements by their remaining maturities as of September 30, 2020 and December 31, 2019 (dollars in millions):</w:t>
      </w:r>
    </w:p>
    <w:p>
      <w:pPr>
        <w:spacing w:after="0" w:line="154" w:lineRule="exact"/>
        <w:rPr>
          <w:sz w:val="20"/>
          <w:szCs w:val="20"/>
          <w:color w:val="auto"/>
        </w:rPr>
      </w:pPr>
    </w:p>
    <w:tbl>
      <w:tblPr>
        <w:tblLayout w:type="fixed"/>
        <w:tblInd w:w="60" w:type="dxa"/>
        <w:tblCellMar>
          <w:top w:w="0" w:type="dxa"/>
          <w:left w:w="0" w:type="dxa"/>
          <w:bottom w:w="0" w:type="dxa"/>
          <w:right w:w="0" w:type="dxa"/>
        </w:tblCellMar>
      </w:tblPr>
      <w:tr>
        <w:trPr>
          <w:trHeight w:val="192"/>
        </w:trPr>
        <w:tc>
          <w:tcPr>
            <w:tcW w:w="2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September 30, 2020</w:t>
            </w:r>
          </w:p>
        </w:tc>
        <w:tc>
          <w:tcPr>
            <w:tcW w:w="1180" w:type="dxa"/>
            <w:vAlign w:val="bottom"/>
            <w:tcBorders>
              <w:bottom w:val="single" w:sz="8" w:color="auto"/>
            </w:tcBorders>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December 31, 2019</w:t>
            </w:r>
          </w:p>
        </w:tc>
        <w:tc>
          <w:tcPr>
            <w:tcW w:w="1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1"/>
              </w:rPr>
              <w:t>Weighted</w:t>
            </w:r>
          </w:p>
        </w:tc>
        <w:tc>
          <w:tcPr>
            <w:tcW w:w="16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5"/>
              </w:rPr>
              <w:t>Weighted</w:t>
            </w: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1"/>
              </w:rPr>
              <w:t>Weighted</w:t>
            </w:r>
          </w:p>
        </w:tc>
        <w:tc>
          <w:tcPr>
            <w:tcW w:w="1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2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Average</w:t>
            </w:r>
          </w:p>
        </w:tc>
        <w:tc>
          <w:tcPr>
            <w:tcW w:w="160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Average</w:t>
            </w:r>
          </w:p>
        </w:tc>
        <w:tc>
          <w:tcPr>
            <w:tcW w:w="11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Remaining Maturity</w:t>
            </w:r>
          </w:p>
        </w:tc>
        <w:tc>
          <w:tcPr>
            <w:tcW w:w="42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44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4"/>
              </w:rPr>
              <w:t>Interest</w:t>
            </w:r>
          </w:p>
        </w:tc>
        <w:tc>
          <w:tcPr>
            <w:tcW w:w="160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0"/>
              </w:rPr>
              <w:t>Average Days</w:t>
            </w:r>
          </w:p>
        </w:tc>
        <w:tc>
          <w:tcPr>
            <w:tcW w:w="16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44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Interest</w:t>
            </w: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 Days</w:t>
            </w:r>
          </w:p>
        </w:tc>
        <w:tc>
          <w:tcPr>
            <w:tcW w:w="0" w:type="dxa"/>
            <w:vAlign w:val="bottom"/>
          </w:tcPr>
          <w:p>
            <w:pPr>
              <w:spacing w:after="0"/>
              <w:rPr>
                <w:sz w:val="1"/>
                <w:szCs w:val="1"/>
                <w:color w:val="auto"/>
              </w:rPr>
            </w:pPr>
          </w:p>
        </w:tc>
      </w:tr>
      <w:tr>
        <w:trPr>
          <w:trHeight w:val="188"/>
        </w:trPr>
        <w:tc>
          <w:tcPr>
            <w:tcW w:w="2480" w:type="dxa"/>
            <w:vAlign w:val="bottom"/>
            <w:tcBorders>
              <w:bottom w:val="single" w:sz="8" w:color="auto"/>
            </w:tcBorders>
            <w:vMerge w:val="continue"/>
          </w:tcPr>
          <w:p>
            <w:pPr>
              <w:spacing w:after="0"/>
              <w:rPr>
                <w:sz w:val="16"/>
                <w:szCs w:val="16"/>
                <w:color w:val="auto"/>
              </w:rPr>
            </w:pPr>
          </w:p>
        </w:tc>
        <w:tc>
          <w:tcPr>
            <w:tcW w:w="4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2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4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4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11"/>
        </w:trPr>
        <w:tc>
          <w:tcPr>
            <w:tcW w:w="29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Agency repo:</w:t>
            </w: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00" w:type="dxa"/>
            <w:vAlign w:val="bottom"/>
            <w:gridSpan w:val="2"/>
          </w:tcPr>
          <w:p>
            <w:pPr>
              <w:ind w:left="120"/>
              <w:spacing w:after="0"/>
              <w:rPr>
                <w:sz w:val="20"/>
                <w:szCs w:val="20"/>
                <w:color w:val="auto"/>
              </w:rPr>
            </w:pPr>
            <w:r>
              <w:rPr>
                <w:rFonts w:ascii="Arial" w:cs="Arial" w:eastAsia="Arial" w:hAnsi="Arial"/>
                <w:sz w:val="16"/>
                <w:szCs w:val="16"/>
                <w:color w:val="auto"/>
              </w:rPr>
              <w:t>≤ 1 month</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28,119</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0.21 %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10</w:t>
            </w:r>
          </w:p>
        </w:tc>
        <w:tc>
          <w:tcPr>
            <w:tcW w:w="4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56,664</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2.19 %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10</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1 to ≤ 3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12,906</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0.21 %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50</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20,761</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53</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20"/>
              <w:spacing w:after="0"/>
              <w:rPr>
                <w:sz w:val="20"/>
                <w:szCs w:val="20"/>
                <w:color w:val="auto"/>
              </w:rPr>
            </w:pPr>
            <w:r>
              <w:rPr>
                <w:rFonts w:ascii="Arial" w:cs="Arial" w:eastAsia="Arial" w:hAnsi="Arial"/>
                <w:sz w:val="16"/>
                <w:szCs w:val="16"/>
                <w:color w:val="auto"/>
              </w:rPr>
              <w:t>&gt; 3 to ≤ 6 months</w:t>
            </w:r>
          </w:p>
        </w:tc>
        <w:tc>
          <w:tcPr>
            <w:tcW w:w="140" w:type="dxa"/>
            <w:vAlign w:val="bottom"/>
          </w:tcPr>
          <w:p>
            <w:pPr>
              <w:spacing w:after="0"/>
              <w:rPr>
                <w:sz w:val="18"/>
                <w:szCs w:val="18"/>
                <w:color w:val="auto"/>
              </w:rPr>
            </w:pP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7,642</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1.27 %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104</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5,683</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2.19 %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6 to ≤ 9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5,041</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0.32 %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216</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1,500</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2.66 %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182</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20"/>
              <w:spacing w:after="0"/>
              <w:rPr>
                <w:sz w:val="20"/>
                <w:szCs w:val="20"/>
                <w:color w:val="auto"/>
              </w:rPr>
            </w:pPr>
            <w:r>
              <w:rPr>
                <w:rFonts w:ascii="Arial" w:cs="Arial" w:eastAsia="Arial" w:hAnsi="Arial"/>
                <w:sz w:val="16"/>
                <w:szCs w:val="16"/>
                <w:color w:val="auto"/>
              </w:rPr>
              <w:t>&gt; 9 to ≤ 12 months</w:t>
            </w:r>
          </w:p>
        </w:tc>
        <w:tc>
          <w:tcPr>
            <w:tcW w:w="140" w:type="dxa"/>
            <w:vAlign w:val="bottom"/>
          </w:tcPr>
          <w:p>
            <w:pPr>
              <w:spacing w:after="0"/>
              <w:rPr>
                <w:sz w:val="18"/>
                <w:szCs w:val="18"/>
                <w:color w:val="auto"/>
              </w:rPr>
            </w:pPr>
          </w:p>
        </w:tc>
        <w:tc>
          <w:tcPr>
            <w:tcW w:w="1020" w:type="dxa"/>
            <w:vAlign w:val="bottom"/>
          </w:tcPr>
          <w:p>
            <w:pPr>
              <w:jc w:val="right"/>
              <w:ind w:right="1"/>
              <w:spacing w:after="0"/>
              <w:rPr>
                <w:sz w:val="20"/>
                <w:szCs w:val="20"/>
                <w:color w:val="auto"/>
              </w:rPr>
            </w:pPr>
            <w:r>
              <w:rPr>
                <w:rFonts w:ascii="Arial" w:cs="Arial" w:eastAsia="Arial" w:hAnsi="Arial"/>
                <w:sz w:val="16"/>
                <w:szCs w:val="16"/>
                <w:color w:val="auto"/>
              </w:rPr>
              <w:t>658</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0.62 %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282</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2,152</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2.41 %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351</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12 to ≤ 24 months</w:t>
            </w:r>
          </w:p>
        </w:tc>
        <w:tc>
          <w:tcPr>
            <w:tcW w:w="14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4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 %</w:t>
            </w:r>
          </w:p>
        </w:tc>
        <w:tc>
          <w:tcPr>
            <w:tcW w:w="1600" w:type="dxa"/>
            <w:vAlign w:val="bottom"/>
            <w:gridSpan w:val="2"/>
            <w:shd w:val="clear" w:color="auto" w:fill="CCEEFF"/>
          </w:tcPr>
          <w:p>
            <w:pPr>
              <w:jc w:val="right"/>
              <w:ind w:right="50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625</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2.38 %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rPr>
              <w:t>411</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20"/>
              <w:spacing w:after="0"/>
              <w:rPr>
                <w:sz w:val="20"/>
                <w:szCs w:val="20"/>
                <w:color w:val="auto"/>
              </w:rPr>
            </w:pPr>
            <w:r>
              <w:rPr>
                <w:rFonts w:ascii="Arial" w:cs="Arial" w:eastAsia="Arial" w:hAnsi="Arial"/>
                <w:sz w:val="16"/>
                <w:szCs w:val="16"/>
                <w:color w:val="auto"/>
              </w:rPr>
              <w:t>&gt; 24 to ≤ 36 months</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40" w:type="dxa"/>
            <w:vAlign w:val="bottom"/>
            <w:gridSpan w:val="2"/>
          </w:tcPr>
          <w:p>
            <w:pPr>
              <w:jc w:val="right"/>
              <w:ind w:right="160"/>
              <w:spacing w:after="0"/>
              <w:rPr>
                <w:sz w:val="20"/>
                <w:szCs w:val="20"/>
                <w:color w:val="auto"/>
              </w:rPr>
            </w:pPr>
            <w:r>
              <w:rPr>
                <w:rFonts w:ascii="Arial" w:cs="Arial" w:eastAsia="Arial" w:hAnsi="Arial"/>
                <w:sz w:val="16"/>
                <w:szCs w:val="16"/>
                <w:color w:val="auto"/>
              </w:rPr>
              <w:t>— %</w:t>
            </w:r>
          </w:p>
        </w:tc>
        <w:tc>
          <w:tcPr>
            <w:tcW w:w="1600" w:type="dxa"/>
            <w:vAlign w:val="bottom"/>
            <w:gridSpan w:val="2"/>
          </w:tcPr>
          <w:p>
            <w:pPr>
              <w:jc w:val="right"/>
              <w:ind w:right="5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1,700</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2.45 %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Arial" w:cs="Arial" w:eastAsia="Arial" w:hAnsi="Arial"/>
                <w:sz w:val="16"/>
                <w:szCs w:val="16"/>
                <w:color w:val="auto"/>
              </w:rPr>
              <w:t>833</w:t>
            </w:r>
          </w:p>
        </w:tc>
        <w:tc>
          <w:tcPr>
            <w:tcW w:w="0" w:type="dxa"/>
            <w:vAlign w:val="bottom"/>
          </w:tcPr>
          <w:p>
            <w:pPr>
              <w:spacing w:after="0"/>
              <w:rPr>
                <w:sz w:val="1"/>
                <w:szCs w:val="1"/>
                <w:color w:val="auto"/>
              </w:rPr>
            </w:pPr>
          </w:p>
        </w:tc>
      </w:tr>
      <w:tr>
        <w:trPr>
          <w:trHeight w:val="213"/>
        </w:trPr>
        <w:tc>
          <w:tcPr>
            <w:tcW w:w="290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Agency repo</w:t>
            </w: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54,366</w:t>
            </w:r>
          </w:p>
        </w:tc>
        <w:tc>
          <w:tcPr>
            <w:tcW w:w="12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0.37 %</w:t>
            </w:r>
          </w:p>
        </w:tc>
        <w:tc>
          <w:tcPr>
            <w:tcW w:w="140" w:type="dxa"/>
            <w:vAlign w:val="bottom"/>
            <w:tcBorders>
              <w:top w:val="single" w:sz="8" w:color="CCEEFF"/>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55</w:t>
            </w:r>
          </w:p>
        </w:tc>
        <w:tc>
          <w:tcPr>
            <w:tcW w:w="4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89,085</w:t>
            </w:r>
          </w:p>
        </w:tc>
        <w:tc>
          <w:tcPr>
            <w:tcW w:w="14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2.17 %</w:t>
            </w:r>
          </w:p>
        </w:tc>
        <w:tc>
          <w:tcPr>
            <w:tcW w:w="140" w:type="dxa"/>
            <w:vAlign w:val="bottom"/>
            <w:tcBorders>
              <w:top w:val="single" w:sz="8" w:color="CCEEFF"/>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193"/>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U.S. Treasury repo:</w:t>
            </w: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90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1 day to ≤ 1 month</w:t>
            </w:r>
          </w:p>
        </w:tc>
        <w:tc>
          <w:tcPr>
            <w:tcW w:w="14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200</w:t>
            </w:r>
          </w:p>
        </w:tc>
        <w:tc>
          <w:tcPr>
            <w:tcW w:w="12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0.10 %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1</w:t>
            </w:r>
          </w:p>
        </w:tc>
        <w:tc>
          <w:tcPr>
            <w:tcW w:w="4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14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1.63 %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213"/>
        </w:trPr>
        <w:tc>
          <w:tcPr>
            <w:tcW w:w="290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54,566</w:t>
            </w:r>
          </w:p>
        </w:tc>
        <w:tc>
          <w:tcPr>
            <w:tcW w:w="120" w:type="dxa"/>
            <w:vAlign w:val="bottom"/>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0.37 %</w:t>
            </w:r>
          </w:p>
        </w:tc>
        <w:tc>
          <w:tcPr>
            <w:tcW w:w="140" w:type="dxa"/>
            <w:vAlign w:val="bottom"/>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55</w:t>
            </w:r>
          </w:p>
        </w:tc>
        <w:tc>
          <w:tcPr>
            <w:tcW w:w="4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89,182</w:t>
            </w:r>
          </w:p>
        </w:tc>
        <w:tc>
          <w:tcPr>
            <w:tcW w:w="140" w:type="dxa"/>
            <w:vAlign w:val="bottom"/>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2.17 %</w:t>
            </w:r>
          </w:p>
        </w:tc>
        <w:tc>
          <w:tcPr>
            <w:tcW w:w="140" w:type="dxa"/>
            <w:vAlign w:val="bottom"/>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jc w:val="both"/>
        <w:ind w:firstLine="405"/>
        <w:spacing w:after="0" w:line="290" w:lineRule="auto"/>
        <w:rPr>
          <w:sz w:val="20"/>
          <w:szCs w:val="20"/>
          <w:color w:val="auto"/>
        </w:rPr>
      </w:pPr>
      <w:r>
        <w:rPr>
          <w:rFonts w:ascii="Arial" w:cs="Arial" w:eastAsia="Arial" w:hAnsi="Arial"/>
          <w:sz w:val="16"/>
          <w:szCs w:val="16"/>
          <w:color w:val="auto"/>
        </w:rPr>
        <w:t>As of September 30, 2020 and December 31, 2019, $8.9 billion and $17.0 billion, respectively, of our repurchase agreements had a remaining maturity of one business day and none of our repurchase agreements were due on demand. As of September 30, 2020, we had $1.5 billion of forward commitments to enter into repurchase agreements, with a weighted average forward start date of 93 days and a weighted average interest rate of 0.25%. As of December 31, 2019, we had $4.5 billion of forward commitments to enter into repurchase agreements, with a weighted average forward start date of 12 days and a weighted average interest rate of 1.60%. As of September 30, 2020 and December 31, 2019, 48% and 40%,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48% and 38% of our repurchase agreement funding outstanding as of September 30, 2020 and December 31, 2019, respectively.</w:t>
      </w:r>
    </w:p>
    <w:p>
      <w:pPr>
        <w:spacing w:after="0" w:line="11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During the nine months ended September 30, 2020, we terminated $3.7 billion of repurchase agreements with a weighted average interest rate of 2.11% and a weighted average remaining maturity of 2.2 years. The terminated agreements were replaced with shorter duration repurchase agreements at lower prevailing market rates. We recognized losses on debt extinguishment of $146 million in other gain (loss), net for the nine months ended September 30, 2020 associated with the terminated repurchase agreements. We did not terminate any repurchase agreements during the three months ended September 30, 2020 or the prior year periods.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Reverse Repurchase Agreements</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September 30, 2020 and December 31, 2019, we had $8.6 billion and $10.2 billion, respectively, of reverse repurchase agreements outstanding used primarily to borrow securities to cover short sales of U.S. Treasury securities, for which we had associated obligations to return borrowed securities at fair value of $8.4 billion and $9.5 billion, respectively. As of September 30, 2020 and December 31, 2019, $3.6 billion and $5.4 billion, respectively, of our reverse repurchase agreements were with the FICC sourced through BES.</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Note 6. Derivative and Other Hedging Instruments</w:t>
      </w:r>
    </w:p>
    <w:p>
      <w:pPr>
        <w:spacing w:after="0" w:line="175"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We hedge a portion of our interest rate risk primarily utilizing interest rate swaps, interest rate swaptions, U.S. Treasury securities and U.S. Treasury futures contracts. We utilize TBA securities primarily as a means of investing in the Agency securities market. For additional information regarding our derivative instruments and our overall risk management strategy, please refer to the discussion of derivative and other hedging instruments in Note 3.</w:t>
      </w:r>
    </w:p>
    <w:p>
      <w:pPr>
        <w:spacing w:after="0" w:line="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 Assets (Liabilities), at Fair Value</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table below summarizes fair value information about our derivative and other hedging instrument assets/(liabilities) as of September 30, 2020 and December 31, 2019 (in millions):</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100" w:type="dxa"/>
            <w:vAlign w:val="bottom"/>
            <w:vMerge w:val="restart"/>
          </w:tcPr>
          <w:p>
            <w:pPr>
              <w:spacing w:after="0"/>
              <w:rPr>
                <w:sz w:val="14"/>
                <w:szCs w:val="14"/>
                <w:color w:val="auto"/>
              </w:rPr>
            </w:pPr>
          </w:p>
        </w:tc>
        <w:tc>
          <w:tcPr>
            <w:tcW w:w="4160" w:type="dxa"/>
            <w:vAlign w:val="bottom"/>
            <w:vMerge w:val="restart"/>
          </w:tcPr>
          <w:p>
            <w:pPr>
              <w:ind w:left="1360"/>
              <w:spacing w:after="0"/>
              <w:rPr>
                <w:sz w:val="20"/>
                <w:szCs w:val="20"/>
                <w:color w:val="auto"/>
              </w:rPr>
            </w:pPr>
            <w:r>
              <w:rPr>
                <w:rFonts w:ascii="Arial" w:cs="Arial" w:eastAsia="Arial" w:hAnsi="Arial"/>
                <w:sz w:val="14"/>
                <w:szCs w:val="14"/>
                <w:b w:val="1"/>
                <w:bCs w:val="1"/>
                <w:color w:val="auto"/>
              </w:rPr>
              <w:t>Balance Sheet Location</w:t>
            </w:r>
          </w:p>
        </w:tc>
        <w:tc>
          <w:tcPr>
            <w:tcW w:w="100" w:type="dxa"/>
            <w:vAlign w:val="bottom"/>
            <w:vMerge w:val="restart"/>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tcPr>
          <w:p>
            <w:pPr>
              <w:ind w:left="2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060" w:type="dxa"/>
            <w:vAlign w:val="bottom"/>
          </w:tcPr>
          <w:p>
            <w:pPr>
              <w:jc w:val="right"/>
              <w:ind w:right="100"/>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88"/>
        </w:trPr>
        <w:tc>
          <w:tcPr>
            <w:tcW w:w="4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4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11"/>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42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Swaptions</w:t>
            </w:r>
          </w:p>
        </w:tc>
        <w:tc>
          <w:tcPr>
            <w:tcW w:w="426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126</w:t>
            </w:r>
          </w:p>
        </w:tc>
        <w:tc>
          <w:tcPr>
            <w:tcW w:w="0" w:type="dxa"/>
            <w:vAlign w:val="bottom"/>
          </w:tcPr>
          <w:p>
            <w:pPr>
              <w:spacing w:after="0"/>
              <w:rPr>
                <w:sz w:val="1"/>
                <w:szCs w:val="1"/>
                <w:color w:val="auto"/>
              </w:rPr>
            </w:pPr>
          </w:p>
        </w:tc>
      </w:tr>
      <w:tr>
        <w:trPr>
          <w:trHeight w:val="219"/>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TBA securities</w:t>
            </w:r>
          </w:p>
        </w:tc>
        <w:tc>
          <w:tcPr>
            <w:tcW w:w="42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426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140" w:type="dxa"/>
            <w:vAlign w:val="bottom"/>
          </w:tcPr>
          <w:p>
            <w:pPr>
              <w:spacing w:after="0"/>
              <w:rPr>
                <w:sz w:val="18"/>
                <w:szCs w:val="18"/>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38"/>
        </w:trPr>
        <w:tc>
          <w:tcPr>
            <w:tcW w:w="444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derivative assets, at fair value</w:t>
            </w:r>
          </w:p>
        </w:tc>
        <w:tc>
          <w:tcPr>
            <w:tcW w:w="416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190</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Interest rate swaps</w:t>
            </w:r>
          </w:p>
        </w:tc>
        <w:tc>
          <w:tcPr>
            <w:tcW w:w="42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TBA securities</w:t>
            </w:r>
          </w:p>
        </w:tc>
        <w:tc>
          <w:tcPr>
            <w:tcW w:w="426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U.S. Treasury futures - short</w:t>
            </w:r>
          </w:p>
        </w:tc>
        <w:tc>
          <w:tcPr>
            <w:tcW w:w="42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4440" w:type="dxa"/>
            <w:vAlign w:val="bottom"/>
            <w:gridSpan w:val="2"/>
          </w:tcPr>
          <w:p>
            <w:pPr>
              <w:ind w:left="180"/>
              <w:spacing w:after="0"/>
              <w:rPr>
                <w:sz w:val="20"/>
                <w:szCs w:val="20"/>
                <w:color w:val="auto"/>
              </w:rPr>
            </w:pPr>
            <w:r>
              <w:rPr>
                <w:rFonts w:ascii="Arial" w:cs="Arial" w:eastAsia="Arial" w:hAnsi="Arial"/>
                <w:sz w:val="16"/>
                <w:szCs w:val="16"/>
                <w:color w:val="auto"/>
              </w:rPr>
              <w:t>Total derivative liabilities, at fair value</w:t>
            </w:r>
          </w:p>
        </w:tc>
        <w:tc>
          <w:tcPr>
            <w:tcW w:w="4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0"/>
        </w:trPr>
        <w:tc>
          <w:tcPr>
            <w:tcW w:w="43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1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securities - long</w:t>
            </w:r>
          </w:p>
        </w:tc>
        <w:tc>
          <w:tcPr>
            <w:tcW w:w="4260" w:type="dxa"/>
            <w:vAlign w:val="bottom"/>
            <w:gridSpan w:val="2"/>
          </w:tcPr>
          <w:p>
            <w:pPr>
              <w:ind w:left="20"/>
              <w:spacing w:after="0"/>
              <w:rPr>
                <w:sz w:val="20"/>
                <w:szCs w:val="20"/>
                <w:color w:val="auto"/>
              </w:rPr>
            </w:pPr>
            <w:r>
              <w:rPr>
                <w:rFonts w:ascii="Arial" w:cs="Arial" w:eastAsia="Arial" w:hAnsi="Arial"/>
                <w:sz w:val="16"/>
                <w:szCs w:val="16"/>
                <w:color w:val="auto"/>
              </w:rPr>
              <w:t>U.S. Treasury securities, at fair value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169"/>
        </w:trPr>
        <w:tc>
          <w:tcPr>
            <w:tcW w:w="4440" w:type="dxa"/>
            <w:vAlign w:val="bottom"/>
            <w:gridSpan w:val="2"/>
            <w:vMerge w:val="restart"/>
            <w:shd w:val="clear" w:color="auto" w:fill="CCEEFF"/>
          </w:tcPr>
          <w:p>
            <w:pPr>
              <w:ind w:left="20"/>
              <w:spacing w:after="0"/>
              <w:rPr>
                <w:sz w:val="20"/>
                <w:szCs w:val="20"/>
                <w:color w:val="auto"/>
              </w:rPr>
            </w:pPr>
            <w:r>
              <w:rPr>
                <w:rFonts w:ascii="Arial" w:cs="Arial" w:eastAsia="Arial" w:hAnsi="Arial"/>
                <w:sz w:val="16"/>
                <w:szCs w:val="16"/>
                <w:color w:val="auto"/>
              </w:rPr>
              <w:t>U.S. Treasury securities - short</w:t>
            </w:r>
          </w:p>
        </w:tc>
        <w:tc>
          <w:tcPr>
            <w:tcW w:w="4260" w:type="dxa"/>
            <w:vAlign w:val="bottom"/>
            <w:gridSpan w:val="2"/>
            <w:shd w:val="clear" w:color="auto" w:fill="CCEEFF"/>
          </w:tcPr>
          <w:p>
            <w:pPr>
              <w:ind w:left="20"/>
              <w:spacing w:after="0" w:line="169" w:lineRule="exact"/>
              <w:rPr>
                <w:sz w:val="20"/>
                <w:szCs w:val="20"/>
                <w:color w:val="auto"/>
              </w:rPr>
            </w:pPr>
            <w:r>
              <w:rPr>
                <w:rFonts w:ascii="Arial" w:cs="Arial" w:eastAsia="Arial" w:hAnsi="Arial"/>
                <w:sz w:val="16"/>
                <w:szCs w:val="16"/>
                <w:color w:val="auto"/>
              </w:rPr>
              <w:t>Obligation to return securities borrowed under reverse</w:t>
            </w:r>
          </w:p>
        </w:tc>
        <w:tc>
          <w:tcPr>
            <w:tcW w:w="140" w:type="dxa"/>
            <w:vAlign w:val="bottom"/>
            <w:shd w:val="clear" w:color="auto" w:fill="CCEEFF"/>
          </w:tcPr>
          <w:p>
            <w:pPr>
              <w:spacing w:after="0"/>
              <w:rPr>
                <w:sz w:val="14"/>
                <w:szCs w:val="14"/>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(8,372)</w:t>
            </w: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(9,543)</w:t>
            </w:r>
          </w:p>
        </w:tc>
        <w:tc>
          <w:tcPr>
            <w:tcW w:w="0" w:type="dxa"/>
            <w:vAlign w:val="bottom"/>
          </w:tcPr>
          <w:p>
            <w:pPr>
              <w:spacing w:after="0"/>
              <w:rPr>
                <w:sz w:val="1"/>
                <w:szCs w:val="1"/>
                <w:color w:val="auto"/>
              </w:rPr>
            </w:pPr>
          </w:p>
        </w:tc>
      </w:tr>
      <w:tr>
        <w:trPr>
          <w:trHeight w:val="209"/>
        </w:trPr>
        <w:tc>
          <w:tcPr>
            <w:tcW w:w="4440" w:type="dxa"/>
            <w:vAlign w:val="bottom"/>
            <w:gridSpan w:val="2"/>
            <w:vMerge w:val="continue"/>
            <w:shd w:val="clear" w:color="auto" w:fill="CCEEFF"/>
          </w:tcPr>
          <w:p>
            <w:pPr>
              <w:spacing w:after="0"/>
              <w:rPr>
                <w:sz w:val="18"/>
                <w:szCs w:val="18"/>
                <w:color w:val="auto"/>
              </w:rPr>
            </w:pPr>
          </w:p>
        </w:tc>
        <w:tc>
          <w:tcPr>
            <w:tcW w:w="42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at fair value</w:t>
            </w: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4440" w:type="dxa"/>
            <w:vAlign w:val="bottom"/>
            <w:gridSpan w:val="2"/>
          </w:tcPr>
          <w:p>
            <w:pPr>
              <w:ind w:left="180"/>
              <w:spacing w:after="0"/>
              <w:rPr>
                <w:sz w:val="20"/>
                <w:szCs w:val="20"/>
                <w:color w:val="auto"/>
              </w:rPr>
            </w:pPr>
            <w:r>
              <w:rPr>
                <w:rFonts w:ascii="Arial" w:cs="Arial" w:eastAsia="Arial" w:hAnsi="Arial"/>
                <w:sz w:val="16"/>
                <w:szCs w:val="16"/>
                <w:color w:val="auto"/>
              </w:rPr>
              <w:t>Total U.S. Treasury securities, net at fair value</w:t>
            </w:r>
          </w:p>
        </w:tc>
        <w:tc>
          <w:tcPr>
            <w:tcW w:w="4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(8,372)</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(9,446)</w:t>
            </w:r>
          </w:p>
        </w:tc>
        <w:tc>
          <w:tcPr>
            <w:tcW w:w="0" w:type="dxa"/>
            <w:vAlign w:val="bottom"/>
          </w:tcPr>
          <w:p>
            <w:pPr>
              <w:spacing w:after="0"/>
              <w:rPr>
                <w:sz w:val="1"/>
                <w:szCs w:val="1"/>
                <w:color w:val="auto"/>
              </w:rPr>
            </w:pPr>
          </w:p>
        </w:tc>
      </w:tr>
      <w:tr>
        <w:trPr>
          <w:trHeight w:val="20"/>
        </w:trPr>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ind w:left="420"/>
        <w:spacing w:after="0"/>
        <w:rPr>
          <w:sz w:val="20"/>
          <w:szCs w:val="20"/>
          <w:color w:val="auto"/>
        </w:rPr>
      </w:pPr>
      <w:r>
        <w:rPr>
          <w:rFonts w:ascii="Arial" w:cs="Arial" w:eastAsia="Arial" w:hAnsi="Arial"/>
          <w:sz w:val="16"/>
          <w:szCs w:val="16"/>
          <w:color w:val="auto"/>
        </w:rPr>
        <w:t>The following tables summarize certain characteristics of our derivative and other hedging instruments outstanding as of September 30, 2020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2019 (dollars in millions):</w:t>
      </w:r>
    </w:p>
    <w:p>
      <w:pPr>
        <w:spacing w:after="0" w:line="108"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ind w:left="440"/>
              <w:spacing w:after="0"/>
              <w:rPr>
                <w:sz w:val="20"/>
                <w:szCs w:val="20"/>
                <w:color w:val="auto"/>
              </w:rPr>
            </w:pPr>
            <w:r>
              <w:rPr>
                <w:rFonts w:ascii="Arial" w:cs="Arial" w:eastAsia="Arial" w:hAnsi="Arial"/>
                <w:sz w:val="14"/>
                <w:szCs w:val="14"/>
                <w:b w:val="1"/>
                <w:bCs w:val="1"/>
                <w:color w:val="auto"/>
              </w:rPr>
              <w:t>September 30, 2020</w:t>
            </w:r>
          </w:p>
        </w:tc>
        <w:tc>
          <w:tcPr>
            <w:tcW w:w="98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4"/>
          </w:tcPr>
          <w:p>
            <w:pPr>
              <w:ind w:left="440"/>
              <w:spacing w:after="0"/>
              <w:rPr>
                <w:sz w:val="20"/>
                <w:szCs w:val="20"/>
                <w:color w:val="auto"/>
              </w:rPr>
            </w:pPr>
            <w:r>
              <w:rPr>
                <w:rFonts w:ascii="Arial" w:cs="Arial" w:eastAsia="Arial" w:hAnsi="Arial"/>
                <w:sz w:val="14"/>
                <w:szCs w:val="14"/>
                <w:b w:val="1"/>
                <w:bCs w:val="1"/>
                <w:color w:val="auto"/>
              </w:rPr>
              <w:t>December 31, 2019</w:t>
            </w: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5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Pay Fixed / Receive Variable Interest</w:t>
            </w:r>
          </w:p>
        </w:tc>
        <w:tc>
          <w:tcPr>
            <w:tcW w:w="16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0"/>
              </w:rPr>
              <w:t>Average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252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4"/>
              </w:rPr>
              <w:t>Fixed Pay</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6"/>
              </w:rPr>
              <w:t>Receive</w:t>
            </w:r>
          </w:p>
        </w:tc>
        <w:tc>
          <w:tcPr>
            <w:tcW w:w="118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rPr>
              <w:t>Maturity</w:t>
            </w:r>
          </w:p>
        </w:tc>
        <w:tc>
          <w:tcPr>
            <w:tcW w:w="16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4"/>
              </w:rPr>
              <w:t>Fixed Pay</w:t>
            </w:r>
          </w:p>
        </w:tc>
        <w:tc>
          <w:tcPr>
            <w:tcW w:w="10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6"/>
              </w:rPr>
              <w:t>Receive</w:t>
            </w:r>
          </w:p>
        </w:tc>
        <w:tc>
          <w:tcPr>
            <w:tcW w:w="9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88"/>
        </w:trPr>
        <w:tc>
          <w:tcPr>
            <w:tcW w:w="23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Rate Swaps</w:t>
            </w:r>
          </w:p>
        </w:tc>
        <w:tc>
          <w:tcPr>
            <w:tcW w:w="2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61"/>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Rate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11"/>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8,750</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0.04%</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2.6</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59,700</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1.30%</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1.58%</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1.6</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16,750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0.10%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4.3</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9,850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1.17%</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1.55%</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3.8</w:t>
            </w:r>
          </w:p>
        </w:tc>
        <w:tc>
          <w:tcPr>
            <w:tcW w:w="0" w:type="dxa"/>
            <w:vAlign w:val="bottom"/>
          </w:tcPr>
          <w:p>
            <w:pPr>
              <w:spacing w:after="0"/>
              <w:rPr>
                <w:sz w:val="1"/>
                <w:szCs w:val="1"/>
                <w:color w:val="auto"/>
              </w:rPr>
            </w:pPr>
          </w:p>
        </w:tc>
      </w:tr>
      <w:tr>
        <w:trPr>
          <w:trHeight w:val="219"/>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9,800</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0.21%</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6.0</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5,650</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1.34%</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1.70%</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6.4</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6,200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0.28%</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2,850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1.36%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1.58%</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8.9</w:t>
            </w:r>
          </w:p>
        </w:tc>
        <w:tc>
          <w:tcPr>
            <w:tcW w:w="0" w:type="dxa"/>
            <w:vAlign w:val="bottom"/>
          </w:tcPr>
          <w:p>
            <w:pPr>
              <w:spacing w:after="0"/>
              <w:rPr>
                <w:sz w:val="1"/>
                <w:szCs w:val="1"/>
                <w:color w:val="auto"/>
              </w:rPr>
            </w:pPr>
          </w:p>
        </w:tc>
      </w:tr>
      <w:tr>
        <w:trPr>
          <w:trHeight w:val="216"/>
        </w:trPr>
        <w:tc>
          <w:tcPr>
            <w:tcW w:w="25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1,475</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0.47%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14.4</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1,025</w:t>
            </w:r>
          </w:p>
        </w:tc>
        <w:tc>
          <w:tcPr>
            <w:tcW w:w="14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1.64%</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1.78%</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15.4</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42,975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0.15%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0.08%</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5.3</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79,075</w:t>
            </w:r>
          </w:p>
        </w:tc>
        <w:tc>
          <w:tcPr>
            <w:tcW w:w="14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1.29%</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1.59%</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2.7</w:t>
            </w:r>
          </w:p>
        </w:tc>
        <w:tc>
          <w:tcPr>
            <w:tcW w:w="0" w:type="dxa"/>
            <w:vAlign w:val="bottom"/>
          </w:tcPr>
          <w:p>
            <w:pPr>
              <w:spacing w:after="0"/>
              <w:rPr>
                <w:sz w:val="1"/>
                <w:szCs w:val="1"/>
                <w:color w:val="auto"/>
              </w:rPr>
            </w:pPr>
          </w:p>
        </w:tc>
      </w:tr>
      <w:tr>
        <w:trPr>
          <w:trHeight w:val="20"/>
        </w:trPr>
        <w:tc>
          <w:tcPr>
            <w:tcW w:w="2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7" w:lineRule="exact"/>
        <w:rPr>
          <w:sz w:val="20"/>
          <w:szCs w:val="20"/>
          <w:color w:val="auto"/>
        </w:rPr>
      </w:pPr>
    </w:p>
    <w:tbl>
      <w:tblPr>
        <w:tblLayout w:type="fixed"/>
        <w:tblInd w:w="1980" w:type="dxa"/>
        <w:tblCellMar>
          <w:top w:w="0" w:type="dxa"/>
          <w:left w:w="0" w:type="dxa"/>
          <w:bottom w:w="0" w:type="dxa"/>
          <w:right w:w="0" w:type="dxa"/>
        </w:tblCellMar>
      </w:tblPr>
      <w:tr>
        <w:trPr>
          <w:trHeight w:val="161"/>
        </w:trPr>
        <w:tc>
          <w:tcPr>
            <w:tcW w:w="3760" w:type="dxa"/>
            <w:vAlign w:val="bottom"/>
            <w:gridSpan w:val="2"/>
          </w:tcPr>
          <w:p>
            <w:pPr>
              <w:ind w:left="20"/>
              <w:spacing w:after="0"/>
              <w:rPr>
                <w:sz w:val="20"/>
                <w:szCs w:val="20"/>
                <w:color w:val="auto"/>
              </w:rPr>
            </w:pPr>
            <w:r>
              <w:rPr>
                <w:rFonts w:ascii="Arial" w:cs="Arial" w:eastAsia="Arial" w:hAnsi="Arial"/>
                <w:sz w:val="14"/>
                <w:szCs w:val="14"/>
                <w:b w:val="1"/>
                <w:bCs w:val="1"/>
                <w:color w:val="auto"/>
              </w:rPr>
              <w:t>Pay Fixed / Receive Variable Interest Rate Swaps by</w:t>
            </w:r>
          </w:p>
        </w:tc>
        <w:tc>
          <w:tcPr>
            <w:tcW w:w="166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rPr>
              <w:t>September 30, 2020</w:t>
            </w:r>
          </w:p>
        </w:tc>
        <w:tc>
          <w:tcPr>
            <w:tcW w:w="220" w:type="dxa"/>
            <w:vAlign w:val="bottom"/>
            <w:vMerge w:val="restart"/>
          </w:tcPr>
          <w:p>
            <w:pPr>
              <w:spacing w:after="0"/>
              <w:rPr>
                <w:sz w:val="14"/>
                <w:szCs w:val="14"/>
                <w:color w:val="auto"/>
              </w:rPr>
            </w:pPr>
          </w:p>
        </w:tc>
        <w:tc>
          <w:tcPr>
            <w:tcW w:w="1640" w:type="dxa"/>
            <w:vAlign w:val="bottom"/>
            <w:vMerge w:val="restart"/>
          </w:tcPr>
          <w:p>
            <w:pPr>
              <w:jc w:val="right"/>
              <w:ind w:right="161"/>
              <w:spacing w:after="0"/>
              <w:rPr>
                <w:sz w:val="20"/>
                <w:szCs w:val="20"/>
                <w:color w:val="auto"/>
              </w:rPr>
            </w:pPr>
            <w:r>
              <w:rPr>
                <w:rFonts w:ascii="Arial" w:cs="Arial" w:eastAsia="Arial" w:hAnsi="Arial"/>
                <w:sz w:val="14"/>
                <w:szCs w:val="14"/>
                <w:b w:val="1"/>
                <w:bCs w:val="1"/>
                <w:color w:val="auto"/>
              </w:rPr>
              <w:t>December 31, 2019</w:t>
            </w:r>
          </w:p>
        </w:tc>
        <w:tc>
          <w:tcPr>
            <w:tcW w:w="0" w:type="dxa"/>
            <w:vAlign w:val="bottom"/>
          </w:tcPr>
          <w:p>
            <w:pPr>
              <w:spacing w:after="0"/>
              <w:rPr>
                <w:sz w:val="1"/>
                <w:szCs w:val="1"/>
                <w:color w:val="auto"/>
              </w:rPr>
            </w:pPr>
          </w:p>
        </w:tc>
      </w:tr>
      <w:tr>
        <w:trPr>
          <w:trHeight w:val="188"/>
        </w:trPr>
        <w:tc>
          <w:tcPr>
            <w:tcW w:w="35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Receive Index (% of Notional Amount)</w:t>
            </w:r>
          </w:p>
        </w:tc>
        <w:tc>
          <w:tcPr>
            <w:tcW w:w="220" w:type="dxa"/>
            <w:vAlign w:val="bottom"/>
          </w:tcPr>
          <w:p>
            <w:pPr>
              <w:spacing w:after="0"/>
              <w:rPr>
                <w:sz w:val="16"/>
                <w:szCs w:val="16"/>
                <w:color w:val="auto"/>
              </w:rPr>
            </w:pPr>
          </w:p>
        </w:tc>
        <w:tc>
          <w:tcPr>
            <w:tcW w:w="1660" w:type="dxa"/>
            <w:vAlign w:val="bottom"/>
            <w:tcBorders>
              <w:bottom w:val="single" w:sz="8" w:color="auto"/>
            </w:tcBorders>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16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3760" w:type="dxa"/>
            <w:vAlign w:val="bottom"/>
            <w:gridSpan w:val="2"/>
          </w:tcPr>
          <w:p>
            <w:pPr>
              <w:ind w:left="20"/>
              <w:spacing w:after="0"/>
              <w:rPr>
                <w:sz w:val="20"/>
                <w:szCs w:val="20"/>
                <w:color w:val="auto"/>
              </w:rPr>
            </w:pPr>
            <w:r>
              <w:rPr>
                <w:rFonts w:ascii="Arial" w:cs="Arial" w:eastAsia="Arial" w:hAnsi="Arial"/>
                <w:sz w:val="16"/>
                <w:szCs w:val="16"/>
                <w:color w:val="auto"/>
              </w:rPr>
              <w:t>SOFR</w:t>
            </w:r>
          </w:p>
        </w:tc>
        <w:tc>
          <w:tcPr>
            <w:tcW w:w="1660" w:type="dxa"/>
            <w:vAlign w:val="bottom"/>
          </w:tcPr>
          <w:p>
            <w:pPr>
              <w:jc w:val="right"/>
              <w:spacing w:after="0"/>
              <w:rPr>
                <w:sz w:val="20"/>
                <w:szCs w:val="20"/>
                <w:color w:val="auto"/>
              </w:rPr>
            </w:pPr>
            <w:r>
              <w:rPr>
                <w:rFonts w:ascii="Arial" w:cs="Arial" w:eastAsia="Arial" w:hAnsi="Arial"/>
                <w:sz w:val="16"/>
                <w:szCs w:val="16"/>
                <w:color w:val="auto"/>
              </w:rPr>
              <w:t>69 %</w:t>
            </w:r>
          </w:p>
        </w:tc>
        <w:tc>
          <w:tcPr>
            <w:tcW w:w="22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3 %</w:t>
            </w:r>
          </w:p>
        </w:tc>
        <w:tc>
          <w:tcPr>
            <w:tcW w:w="0" w:type="dxa"/>
            <w:vAlign w:val="bottom"/>
          </w:tcPr>
          <w:p>
            <w:pPr>
              <w:spacing w:after="0"/>
              <w:rPr>
                <w:sz w:val="1"/>
                <w:szCs w:val="1"/>
                <w:color w:val="auto"/>
              </w:rPr>
            </w:pPr>
          </w:p>
        </w:tc>
      </w:tr>
      <w:tr>
        <w:trPr>
          <w:trHeight w:val="219"/>
        </w:trPr>
        <w:tc>
          <w:tcPr>
            <w:tcW w:w="37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OIS</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31 %</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86 %</w:t>
            </w:r>
          </w:p>
        </w:tc>
        <w:tc>
          <w:tcPr>
            <w:tcW w:w="0" w:type="dxa"/>
            <w:vAlign w:val="bottom"/>
          </w:tcPr>
          <w:p>
            <w:pPr>
              <w:spacing w:after="0"/>
              <w:rPr>
                <w:sz w:val="1"/>
                <w:szCs w:val="1"/>
                <w:color w:val="auto"/>
              </w:rPr>
            </w:pPr>
          </w:p>
        </w:tc>
      </w:tr>
      <w:tr>
        <w:trPr>
          <w:trHeight w:val="213"/>
        </w:trPr>
        <w:tc>
          <w:tcPr>
            <w:tcW w:w="3760" w:type="dxa"/>
            <w:vAlign w:val="bottom"/>
            <w:gridSpan w:val="2"/>
          </w:tcPr>
          <w:p>
            <w:pPr>
              <w:ind w:left="20"/>
              <w:spacing w:after="0"/>
              <w:rPr>
                <w:sz w:val="20"/>
                <w:szCs w:val="20"/>
                <w:color w:val="auto"/>
              </w:rPr>
            </w:pPr>
            <w:r>
              <w:rPr>
                <w:rFonts w:ascii="Arial" w:cs="Arial" w:eastAsia="Arial" w:hAnsi="Arial"/>
                <w:sz w:val="16"/>
                <w:szCs w:val="16"/>
                <w:color w:val="auto"/>
              </w:rPr>
              <w:t>3M LIBOR</w:t>
            </w:r>
          </w:p>
        </w:tc>
        <w:tc>
          <w:tcPr>
            <w:tcW w:w="1880" w:type="dxa"/>
            <w:vAlign w:val="bottom"/>
            <w:gridSpan w:val="2"/>
          </w:tcPr>
          <w:p>
            <w:pPr>
              <w:jc w:val="right"/>
              <w:ind w:right="240"/>
              <w:spacing w:after="0"/>
              <w:rPr>
                <w:sz w:val="20"/>
                <w:szCs w:val="20"/>
                <w:color w:val="auto"/>
              </w:rPr>
            </w:pPr>
            <w:r>
              <w:rPr>
                <w:rFonts w:ascii="Arial" w:cs="Arial" w:eastAsia="Arial" w:hAnsi="Arial"/>
                <w:sz w:val="16"/>
                <w:szCs w:val="16"/>
                <w:color w:val="auto"/>
              </w:rPr>
              <w:t>— %</w:t>
            </w:r>
          </w:p>
        </w:tc>
        <w:tc>
          <w:tcPr>
            <w:tcW w:w="1640" w:type="dxa"/>
            <w:vAlign w:val="bottom"/>
          </w:tcPr>
          <w:p>
            <w:pPr>
              <w:jc w:val="right"/>
              <w:spacing w:after="0"/>
              <w:rPr>
                <w:sz w:val="20"/>
                <w:szCs w:val="20"/>
                <w:color w:val="auto"/>
              </w:rPr>
            </w:pPr>
            <w:r>
              <w:rPr>
                <w:rFonts w:ascii="Arial" w:cs="Arial" w:eastAsia="Arial" w:hAnsi="Arial"/>
                <w:sz w:val="16"/>
                <w:szCs w:val="16"/>
                <w:color w:val="auto"/>
              </w:rPr>
              <w:t>11 %</w:t>
            </w:r>
          </w:p>
        </w:tc>
        <w:tc>
          <w:tcPr>
            <w:tcW w:w="0" w:type="dxa"/>
            <w:vAlign w:val="bottom"/>
          </w:tcPr>
          <w:p>
            <w:pPr>
              <w:spacing w:after="0"/>
              <w:rPr>
                <w:sz w:val="1"/>
                <w:szCs w:val="1"/>
                <w:color w:val="auto"/>
              </w:rPr>
            </w:pPr>
          </w:p>
        </w:tc>
      </w:tr>
      <w:tr>
        <w:trPr>
          <w:trHeight w:val="238"/>
        </w:trPr>
        <w:tc>
          <w:tcPr>
            <w:tcW w:w="376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100 %</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100 %</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192"/>
        </w:trPr>
        <w:tc>
          <w:tcPr>
            <w:tcW w:w="4120" w:type="dxa"/>
            <w:vAlign w:val="bottom"/>
            <w:gridSpan w:val="2"/>
          </w:tcPr>
          <w:p>
            <w:pPr>
              <w:ind w:left="20"/>
              <w:spacing w:after="0"/>
              <w:rPr>
                <w:sz w:val="20"/>
                <w:szCs w:val="20"/>
                <w:color w:val="auto"/>
              </w:rPr>
            </w:pPr>
            <w:r>
              <w:rPr>
                <w:rFonts w:ascii="Arial" w:cs="Arial" w:eastAsia="Arial" w:hAnsi="Arial"/>
                <w:sz w:val="14"/>
                <w:szCs w:val="14"/>
                <w:b w:val="1"/>
                <w:bCs w:val="1"/>
                <w:color w:val="auto"/>
              </w:rPr>
              <w:t>Swaptions</w:t>
            </w: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7"/>
              </w:rPr>
              <w:t>Option</w:t>
            </w:r>
          </w:p>
        </w:tc>
        <w:tc>
          <w:tcPr>
            <w:tcW w:w="10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0" w:type="dxa"/>
            <w:vAlign w:val="bottom"/>
            <w:gridSpan w:val="5"/>
          </w:tcPr>
          <w:p>
            <w:pPr>
              <w:jc w:val="center"/>
              <w:ind w:left="622"/>
              <w:spacing w:after="0"/>
              <w:rPr>
                <w:sz w:val="20"/>
                <w:szCs w:val="20"/>
                <w:color w:val="auto"/>
              </w:rPr>
            </w:pPr>
            <w:r>
              <w:rPr>
                <w:rFonts w:ascii="Arial" w:cs="Arial" w:eastAsia="Arial" w:hAnsi="Arial"/>
                <w:sz w:val="14"/>
                <w:szCs w:val="14"/>
                <w:b w:val="1"/>
                <w:bCs w:val="1"/>
                <w:color w:val="auto"/>
                <w:w w:val="93"/>
              </w:rPr>
              <w:t>Underlying Payer Swap</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40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jc w:val="center"/>
              <w:ind w:left="23"/>
              <w:spacing w:after="0" w:line="135" w:lineRule="exact"/>
              <w:rPr>
                <w:sz w:val="20"/>
                <w:szCs w:val="20"/>
                <w:color w:val="auto"/>
              </w:rPr>
            </w:pPr>
            <w:r>
              <w:rPr>
                <w:rFonts w:ascii="Arial" w:cs="Arial" w:eastAsia="Arial" w:hAnsi="Arial"/>
                <w:sz w:val="14"/>
                <w:szCs w:val="14"/>
                <w:b w:val="1"/>
                <w:bCs w:val="1"/>
                <w:color w:val="auto"/>
                <w:w w:val="90"/>
              </w:rPr>
              <w:t>Average</w:t>
            </w:r>
          </w:p>
        </w:tc>
        <w:tc>
          <w:tcPr>
            <w:tcW w:w="8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1"/>
              </w:rPr>
              <w:t>Average Fixed</w:t>
            </w:r>
          </w:p>
        </w:tc>
        <w:tc>
          <w:tcPr>
            <w:tcW w:w="900" w:type="dxa"/>
            <w:vAlign w:val="bottom"/>
            <w:tcBorders>
              <w:top w:val="single" w:sz="8" w:color="auto"/>
            </w:tcBorders>
            <w:vMerge w:val="restart"/>
          </w:tcPr>
          <w:p>
            <w:pPr>
              <w:jc w:val="center"/>
              <w:ind w:right="122"/>
              <w:spacing w:after="0"/>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4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jc w:val="center"/>
              <w:ind w:left="3"/>
              <w:spacing w:after="0" w:line="135" w:lineRule="exact"/>
              <w:rPr>
                <w:sz w:val="20"/>
                <w:szCs w:val="20"/>
                <w:color w:val="auto"/>
              </w:rPr>
            </w:pPr>
            <w:r>
              <w:rPr>
                <w:rFonts w:ascii="Arial" w:cs="Arial" w:eastAsia="Arial" w:hAnsi="Arial"/>
                <w:sz w:val="14"/>
                <w:szCs w:val="14"/>
                <w:b w:val="1"/>
                <w:bCs w:val="1"/>
                <w:color w:val="auto"/>
                <w:w w:val="95"/>
              </w:rPr>
              <w:t>Months to</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Notional</w:t>
            </w:r>
          </w:p>
        </w:tc>
        <w:tc>
          <w:tcPr>
            <w:tcW w:w="1400" w:type="dxa"/>
            <w:vAlign w:val="bottom"/>
            <w:gridSpan w:val="3"/>
            <w:vMerge w:val="continue"/>
          </w:tcPr>
          <w:p>
            <w:pPr>
              <w:spacing w:after="0"/>
              <w:rPr>
                <w:sz w:val="11"/>
                <w:szCs w:val="11"/>
                <w:color w:val="auto"/>
              </w:rPr>
            </w:pPr>
          </w:p>
        </w:tc>
        <w:tc>
          <w:tcPr>
            <w:tcW w:w="9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Current Option Expiration Date</w:t>
            </w:r>
          </w:p>
        </w:tc>
        <w:tc>
          <w:tcPr>
            <w:tcW w:w="160" w:type="dxa"/>
            <w:vAlign w:val="bottom"/>
          </w:tcPr>
          <w:p>
            <w:pPr>
              <w:spacing w:after="0"/>
              <w:rPr>
                <w:sz w:val="11"/>
                <w:szCs w:val="11"/>
                <w:color w:val="auto"/>
              </w:rPr>
            </w:pPr>
          </w:p>
        </w:tc>
        <w:tc>
          <w:tcPr>
            <w:tcW w:w="10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Cost Basis</w:t>
            </w:r>
          </w:p>
        </w:tc>
        <w:tc>
          <w:tcPr>
            <w:tcW w:w="160" w:type="dxa"/>
            <w:vAlign w:val="bottom"/>
          </w:tcPr>
          <w:p>
            <w:pPr>
              <w:spacing w:after="0"/>
              <w:rPr>
                <w:sz w:val="11"/>
                <w:szCs w:val="11"/>
                <w:color w:val="auto"/>
              </w:rPr>
            </w:pPr>
          </w:p>
        </w:tc>
        <w:tc>
          <w:tcPr>
            <w:tcW w:w="10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Fair Value</w:t>
            </w:r>
          </w:p>
        </w:tc>
        <w:tc>
          <w:tcPr>
            <w:tcW w:w="1040" w:type="dxa"/>
            <w:vAlign w:val="bottom"/>
          </w:tcPr>
          <w:p>
            <w:pPr>
              <w:jc w:val="center"/>
              <w:ind w:left="3"/>
              <w:spacing w:after="0" w:line="135" w:lineRule="exact"/>
              <w:rPr>
                <w:sz w:val="20"/>
                <w:szCs w:val="20"/>
                <w:color w:val="auto"/>
              </w:rPr>
            </w:pPr>
            <w:r>
              <w:rPr>
                <w:rFonts w:ascii="Arial" w:cs="Arial" w:eastAsia="Arial" w:hAnsi="Arial"/>
                <w:sz w:val="14"/>
                <w:szCs w:val="14"/>
                <w:b w:val="1"/>
                <w:bCs w:val="1"/>
                <w:color w:val="auto"/>
                <w:w w:val="96"/>
              </w:rPr>
              <w:t>Current Option</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400" w:type="dxa"/>
            <w:vAlign w:val="bottom"/>
            <w:gridSpan w:val="3"/>
          </w:tcPr>
          <w:p>
            <w:pPr>
              <w:jc w:val="center"/>
              <w:ind w:right="300"/>
              <w:spacing w:after="0" w:line="135" w:lineRule="exact"/>
              <w:rPr>
                <w:sz w:val="20"/>
                <w:szCs w:val="20"/>
                <w:color w:val="auto"/>
              </w:rPr>
            </w:pPr>
            <w:r>
              <w:rPr>
                <w:rFonts w:ascii="Arial" w:cs="Arial" w:eastAsia="Arial" w:hAnsi="Arial"/>
                <w:sz w:val="14"/>
                <w:szCs w:val="14"/>
                <w:b w:val="1"/>
                <w:bCs w:val="1"/>
                <w:color w:val="auto"/>
                <w:w w:val="88"/>
              </w:rPr>
              <w:t>Pay</w:t>
            </w:r>
          </w:p>
        </w:tc>
        <w:tc>
          <w:tcPr>
            <w:tcW w:w="900" w:type="dxa"/>
            <w:vAlign w:val="bottom"/>
          </w:tcPr>
          <w:p>
            <w:pPr>
              <w:jc w:val="center"/>
              <w:ind w:right="122"/>
              <w:spacing w:after="0" w:line="135" w:lineRule="exact"/>
              <w:rPr>
                <w:sz w:val="20"/>
                <w:szCs w:val="20"/>
                <w:color w:val="auto"/>
              </w:rPr>
            </w:pPr>
            <w:r>
              <w:rPr>
                <w:rFonts w:ascii="Arial" w:cs="Arial" w:eastAsia="Arial" w:hAnsi="Arial"/>
                <w:sz w:val="14"/>
                <w:szCs w:val="14"/>
                <w:b w:val="1"/>
                <w:bCs w:val="1"/>
                <w:color w:val="auto"/>
                <w:w w:val="99"/>
              </w:rPr>
              <w:t>Term</w:t>
            </w:r>
          </w:p>
        </w:tc>
        <w:tc>
          <w:tcPr>
            <w:tcW w:w="0" w:type="dxa"/>
            <w:vAlign w:val="bottom"/>
          </w:tcPr>
          <w:p>
            <w:pPr>
              <w:spacing w:after="0"/>
              <w:rPr>
                <w:sz w:val="1"/>
                <w:szCs w:val="1"/>
                <w:color w:val="auto"/>
              </w:rPr>
            </w:pPr>
          </w:p>
        </w:tc>
      </w:tr>
      <w:tr>
        <w:trPr>
          <w:trHeight w:val="189"/>
        </w:trPr>
        <w:tc>
          <w:tcPr>
            <w:tcW w:w="41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vMerge w:val="continue"/>
          </w:tcPr>
          <w:p>
            <w:pPr>
              <w:spacing w:after="0"/>
              <w:rPr>
                <w:sz w:val="16"/>
                <w:szCs w:val="16"/>
                <w:color w:val="auto"/>
              </w:rPr>
            </w:pPr>
          </w:p>
        </w:tc>
        <w:tc>
          <w:tcPr>
            <w:tcW w:w="1040" w:type="dxa"/>
            <w:vAlign w:val="bottom"/>
          </w:tcPr>
          <w:p>
            <w:pPr>
              <w:ind w:left="20"/>
              <w:spacing w:after="0"/>
              <w:rPr>
                <w:sz w:val="20"/>
                <w:szCs w:val="20"/>
                <w:color w:val="auto"/>
              </w:rPr>
            </w:pPr>
            <w:r>
              <w:rPr>
                <w:rFonts w:ascii="Arial" w:cs="Arial" w:eastAsia="Arial" w:hAnsi="Arial"/>
                <w:sz w:val="14"/>
                <w:szCs w:val="14"/>
                <w:b w:val="1"/>
                <w:bCs w:val="1"/>
                <w:color w:val="auto"/>
                <w:w w:val="97"/>
              </w:rPr>
              <w:t>Expiration Date</w:t>
            </w:r>
          </w:p>
        </w:tc>
        <w:tc>
          <w:tcPr>
            <w:tcW w:w="80" w:type="dxa"/>
            <w:vAlign w:val="bottom"/>
          </w:tcPr>
          <w:p>
            <w:pPr>
              <w:jc w:val="right"/>
              <w:spacing w:after="0"/>
              <w:rPr>
                <w:sz w:val="20"/>
                <w:szCs w:val="20"/>
                <w:color w:val="auto"/>
              </w:rPr>
            </w:pPr>
            <w:r>
              <w:rPr>
                <w:rFonts w:ascii="Arial" w:cs="Arial" w:eastAsia="Arial" w:hAnsi="Arial"/>
                <w:sz w:val="9"/>
                <w:szCs w:val="9"/>
                <w:b w:val="1"/>
                <w:bCs w:val="1"/>
                <w:color w:val="auto"/>
                <w:w w:val="78"/>
              </w:rPr>
              <w:t>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0" w:type="dxa"/>
            <w:vAlign w:val="bottom"/>
            <w:gridSpan w:val="2"/>
          </w:tcPr>
          <w:p>
            <w:pPr>
              <w:ind w:left="100"/>
              <w:spacing w:after="0"/>
              <w:rPr>
                <w:sz w:val="20"/>
                <w:szCs w:val="20"/>
                <w:color w:val="auto"/>
              </w:rPr>
            </w:pPr>
            <w:r>
              <w:rPr>
                <w:rFonts w:ascii="Arial" w:cs="Arial" w:eastAsia="Arial" w:hAnsi="Arial"/>
                <w:sz w:val="14"/>
                <w:szCs w:val="14"/>
                <w:b w:val="1"/>
                <w:bCs w:val="1"/>
                <w:color w:val="auto"/>
              </w:rPr>
              <w:t>Amount</w:t>
            </w:r>
          </w:p>
        </w:tc>
        <w:tc>
          <w:tcPr>
            <w:tcW w:w="1400" w:type="dxa"/>
            <w:vAlign w:val="bottom"/>
            <w:gridSpan w:val="3"/>
          </w:tcPr>
          <w:p>
            <w:pPr>
              <w:jc w:val="center"/>
              <w:ind w:right="300"/>
              <w:spacing w:after="0" w:line="189" w:lineRule="exact"/>
              <w:rPr>
                <w:sz w:val="20"/>
                <w:szCs w:val="20"/>
                <w:color w:val="auto"/>
              </w:rPr>
            </w:pPr>
            <w:r>
              <w:rPr>
                <w:rFonts w:ascii="Arial" w:cs="Arial" w:eastAsia="Arial" w:hAnsi="Arial"/>
                <w:sz w:val="14"/>
                <w:szCs w:val="14"/>
                <w:b w:val="1"/>
                <w:bCs w:val="1"/>
                <w:color w:val="auto"/>
                <w:w w:val="92"/>
              </w:rPr>
              <w:t xml:space="preserve">Rate </w:t>
            </w:r>
            <w:r>
              <w:rPr>
                <w:rFonts w:ascii="Arial" w:cs="Arial" w:eastAsia="Arial" w:hAnsi="Arial"/>
                <w:sz w:val="18"/>
                <w:szCs w:val="18"/>
                <w:b w:val="1"/>
                <w:bCs w:val="1"/>
                <w:color w:val="auto"/>
                <w:w w:val="92"/>
                <w:vertAlign w:val="superscript"/>
              </w:rPr>
              <w:t>2</w:t>
            </w:r>
          </w:p>
        </w:tc>
        <w:tc>
          <w:tcPr>
            <w:tcW w:w="900" w:type="dxa"/>
            <w:vAlign w:val="bottom"/>
          </w:tcPr>
          <w:p>
            <w:pPr>
              <w:jc w:val="center"/>
              <w:ind w:right="102"/>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10"/>
        </w:trPr>
        <w:tc>
          <w:tcPr>
            <w:tcW w:w="4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September 30, 2020</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133</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18"/>
                <w:szCs w:val="18"/>
                <w:color w:val="auto"/>
              </w:rPr>
            </w:pPr>
          </w:p>
        </w:tc>
        <w:tc>
          <w:tcPr>
            <w:tcW w:w="1040" w:type="dxa"/>
            <w:vAlign w:val="bottom"/>
          </w:tcPr>
          <w:p>
            <w:pPr>
              <w:jc w:val="center"/>
              <w:ind w:left="3"/>
              <w:spacing w:after="0"/>
              <w:rPr>
                <w:sz w:val="20"/>
                <w:szCs w:val="20"/>
                <w:color w:val="auto"/>
              </w:rPr>
            </w:pPr>
            <w:r>
              <w:rPr>
                <w:rFonts w:ascii="Arial" w:cs="Arial" w:eastAsia="Arial" w:hAnsi="Arial"/>
                <w:sz w:val="16"/>
                <w:szCs w:val="16"/>
                <w:color w:val="auto"/>
                <w:w w:val="89"/>
              </w:rPr>
              <w:t>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2"/>
              <w:spacing w:after="0"/>
              <w:rPr>
                <w:sz w:val="20"/>
                <w:szCs w:val="20"/>
                <w:color w:val="auto"/>
              </w:rPr>
            </w:pPr>
            <w:r>
              <w:rPr>
                <w:rFonts w:ascii="Arial" w:cs="Arial" w:eastAsia="Arial" w:hAnsi="Arial"/>
                <w:sz w:val="16"/>
                <w:szCs w:val="16"/>
                <w:color w:val="auto"/>
              </w:rPr>
              <w:t>6,400</w:t>
            </w:r>
          </w:p>
        </w:tc>
        <w:tc>
          <w:tcPr>
            <w:tcW w:w="10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92"/>
              </w:rPr>
              <w:t>2.35%</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center"/>
              <w:ind w:right="102"/>
              <w:spacing w:after="0"/>
              <w:rPr>
                <w:sz w:val="20"/>
                <w:szCs w:val="20"/>
                <w:color w:val="auto"/>
              </w:rPr>
            </w:pPr>
            <w:r>
              <w:rPr>
                <w:rFonts w:ascii="Arial" w:cs="Arial" w:eastAsia="Arial" w:hAnsi="Arial"/>
                <w:sz w:val="16"/>
                <w:szCs w:val="16"/>
                <w:color w:val="auto"/>
                <w:w w:val="89"/>
              </w:rPr>
              <w:t>9.2</w:t>
            </w:r>
          </w:p>
        </w:tc>
        <w:tc>
          <w:tcPr>
            <w:tcW w:w="0" w:type="dxa"/>
            <w:vAlign w:val="bottom"/>
          </w:tcPr>
          <w:p>
            <w:pPr>
              <w:spacing w:after="0"/>
              <w:rPr>
                <w:sz w:val="1"/>
                <w:szCs w:val="1"/>
                <w:color w:val="auto"/>
              </w:rPr>
            </w:pPr>
          </w:p>
        </w:tc>
      </w:tr>
      <w:tr>
        <w:trPr>
          <w:trHeight w:val="216"/>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00" w:type="dxa"/>
            <w:vAlign w:val="bottom"/>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center"/>
              <w:ind w:left="3"/>
              <w:spacing w:after="0"/>
              <w:rPr>
                <w:sz w:val="20"/>
                <w:szCs w:val="20"/>
                <w:color w:val="auto"/>
              </w:rPr>
            </w:pPr>
            <w:r>
              <w:rPr>
                <w:rFonts w:ascii="Arial" w:cs="Arial" w:eastAsia="Arial" w:hAnsi="Arial"/>
                <w:sz w:val="16"/>
                <w:szCs w:val="16"/>
                <w:color w:val="auto"/>
                <w:w w:val="89"/>
              </w:rPr>
              <w:t>17</w:t>
            </w:r>
          </w:p>
        </w:tc>
        <w:tc>
          <w:tcPr>
            <w:tcW w:w="8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500</w:t>
            </w: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1.87%</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ind w:right="102"/>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141</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8"/>
                <w:szCs w:val="18"/>
                <w:color w:val="auto"/>
              </w:rPr>
            </w:pPr>
          </w:p>
        </w:tc>
        <w:tc>
          <w:tcPr>
            <w:tcW w:w="1040" w:type="dxa"/>
            <w:vAlign w:val="bottom"/>
            <w:tcBorders>
              <w:bottom w:val="single" w:sz="8" w:color="auto"/>
            </w:tcBorders>
          </w:tcPr>
          <w:p>
            <w:pPr>
              <w:jc w:val="center"/>
              <w:ind w:left="3"/>
              <w:spacing w:after="0"/>
              <w:rPr>
                <w:sz w:val="20"/>
                <w:szCs w:val="20"/>
                <w:color w:val="auto"/>
              </w:rPr>
            </w:pPr>
            <w:r>
              <w:rPr>
                <w:rFonts w:ascii="Arial" w:cs="Arial" w:eastAsia="Arial" w:hAnsi="Arial"/>
                <w:sz w:val="16"/>
                <w:szCs w:val="16"/>
                <w:color w:val="auto"/>
                <w:w w:val="89"/>
              </w:rPr>
              <w:t>7</w:t>
            </w:r>
          </w:p>
        </w:tc>
        <w:tc>
          <w:tcPr>
            <w:tcW w:w="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6,900</w:t>
            </w:r>
          </w:p>
        </w:tc>
        <w:tc>
          <w:tcPr>
            <w:tcW w:w="100" w:type="dxa"/>
            <w:vAlign w:val="bottom"/>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2.32%</w:t>
            </w: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2"/>
              <w:spacing w:after="0"/>
              <w:rPr>
                <w:sz w:val="20"/>
                <w:szCs w:val="20"/>
                <w:color w:val="auto"/>
              </w:rPr>
            </w:pPr>
            <w:r>
              <w:rPr>
                <w:rFonts w:ascii="Arial" w:cs="Arial" w:eastAsia="Arial" w:hAnsi="Arial"/>
                <w:sz w:val="16"/>
                <w:szCs w:val="16"/>
                <w:color w:val="auto"/>
                <w:w w:val="89"/>
              </w:rPr>
              <w:t>9.3</w:t>
            </w:r>
          </w:p>
        </w:tc>
        <w:tc>
          <w:tcPr>
            <w:tcW w:w="0" w:type="dxa"/>
            <w:vAlign w:val="bottom"/>
          </w:tcPr>
          <w:p>
            <w:pPr>
              <w:spacing w:after="0"/>
              <w:rPr>
                <w:sz w:val="1"/>
                <w:szCs w:val="1"/>
                <w:color w:val="auto"/>
              </w:rPr>
            </w:pPr>
          </w:p>
        </w:tc>
      </w:tr>
      <w:tr>
        <w:trPr>
          <w:trHeight w:val="20"/>
        </w:trPr>
        <w:tc>
          <w:tcPr>
            <w:tcW w:w="40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Arial" w:cs="Arial" w:eastAsia="Arial" w:hAnsi="Arial"/>
                <w:sz w:val="16"/>
                <w:szCs w:val="16"/>
                <w:b w:val="1"/>
                <w:bCs w:val="1"/>
                <w:color w:val="auto"/>
              </w:rPr>
              <w:t>December 31, 2019</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1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center"/>
              <w:ind w:left="3"/>
              <w:spacing w:after="0"/>
              <w:rPr>
                <w:sz w:val="20"/>
                <w:szCs w:val="20"/>
                <w:color w:val="auto"/>
              </w:rPr>
            </w:pPr>
            <w:r>
              <w:rPr>
                <w:rFonts w:ascii="Arial" w:cs="Arial" w:eastAsia="Arial" w:hAnsi="Arial"/>
                <w:sz w:val="16"/>
                <w:szCs w:val="16"/>
                <w:color w:val="auto"/>
                <w:w w:val="89"/>
              </w:rPr>
              <w:t>8</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5,650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center"/>
              <w:ind w:right="102"/>
              <w:spacing w:after="0"/>
              <w:rPr>
                <w:sz w:val="20"/>
                <w:szCs w:val="20"/>
                <w:color w:val="auto"/>
              </w:rPr>
            </w:pPr>
            <w:r>
              <w:rPr>
                <w:rFonts w:ascii="Arial" w:cs="Arial" w:eastAsia="Arial" w:hAnsi="Arial"/>
                <w:sz w:val="16"/>
                <w:szCs w:val="16"/>
                <w:color w:val="auto"/>
                <w:w w:val="89"/>
              </w:rPr>
              <w:t>9.3</w:t>
            </w:r>
          </w:p>
        </w:tc>
        <w:tc>
          <w:tcPr>
            <w:tcW w:w="0" w:type="dxa"/>
            <w:vAlign w:val="bottom"/>
          </w:tcPr>
          <w:p>
            <w:pPr>
              <w:spacing w:after="0"/>
              <w:rPr>
                <w:sz w:val="1"/>
                <w:szCs w:val="1"/>
                <w:color w:val="auto"/>
              </w:rPr>
            </w:pPr>
          </w:p>
        </w:tc>
      </w:tr>
      <w:tr>
        <w:trPr>
          <w:trHeight w:val="213"/>
        </w:trPr>
        <w:tc>
          <w:tcPr>
            <w:tcW w:w="41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w:t>
            </w:r>
          </w:p>
        </w:tc>
        <w:tc>
          <w:tcPr>
            <w:tcW w:w="100" w:type="dxa"/>
            <w:vAlign w:val="bottom"/>
            <w:tcBorders>
              <w:bottom w:val="single" w:sz="8" w:color="CCEEFF"/>
            </w:tcBorders>
          </w:tcPr>
          <w:p>
            <w:pPr>
              <w:spacing w:after="0"/>
              <w:rPr>
                <w:sz w:val="18"/>
                <w:szCs w:val="18"/>
                <w:color w:val="auto"/>
              </w:rPr>
            </w:pPr>
          </w:p>
        </w:tc>
        <w:tc>
          <w:tcPr>
            <w:tcW w:w="1040" w:type="dxa"/>
            <w:vAlign w:val="bottom"/>
            <w:tcBorders>
              <w:bottom w:val="single" w:sz="8" w:color="auto"/>
            </w:tcBorders>
          </w:tcPr>
          <w:p>
            <w:pPr>
              <w:jc w:val="center"/>
              <w:ind w:left="3"/>
              <w:spacing w:after="0"/>
              <w:rPr>
                <w:sz w:val="20"/>
                <w:szCs w:val="20"/>
                <w:color w:val="auto"/>
              </w:rPr>
            </w:pPr>
            <w:r>
              <w:rPr>
                <w:rFonts w:ascii="Arial" w:cs="Arial" w:eastAsia="Arial" w:hAnsi="Arial"/>
                <w:sz w:val="16"/>
                <w:szCs w:val="16"/>
                <w:color w:val="auto"/>
                <w:w w:val="89"/>
              </w:rPr>
              <w:t>16</w:t>
            </w:r>
          </w:p>
        </w:tc>
        <w:tc>
          <w:tcPr>
            <w:tcW w:w="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3,200</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2.50%</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2"/>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38"/>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center"/>
              <w:ind w:left="3"/>
              <w:spacing w:after="0"/>
              <w:rPr>
                <w:sz w:val="20"/>
                <w:szCs w:val="20"/>
                <w:color w:val="auto"/>
              </w:rPr>
            </w:pPr>
            <w:r>
              <w:rPr>
                <w:rFonts w:ascii="Arial" w:cs="Arial" w:eastAsia="Arial" w:hAnsi="Arial"/>
                <w:sz w:val="16"/>
                <w:szCs w:val="16"/>
                <w:color w:val="auto"/>
                <w:w w:val="89"/>
              </w:rPr>
              <w:t>11</w:t>
            </w:r>
          </w:p>
        </w:tc>
        <w:tc>
          <w:tcPr>
            <w:tcW w:w="8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8,850</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2.34%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center"/>
              <w:ind w:right="102"/>
              <w:spacing w:after="0"/>
              <w:rPr>
                <w:sz w:val="20"/>
                <w:szCs w:val="20"/>
                <w:color w:val="auto"/>
              </w:rPr>
            </w:pPr>
            <w:r>
              <w:rPr>
                <w:rFonts w:ascii="Arial" w:cs="Arial" w:eastAsia="Arial" w:hAnsi="Arial"/>
                <w:sz w:val="16"/>
                <w:szCs w:val="16"/>
                <w:color w:val="auto"/>
                <w:w w:val="89"/>
              </w:rPr>
              <w:t>9.5</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As of September 30, 2020 and December 31, 2019, ≤ 1 year notional amount includes $700 million of Bermudan swaptions where the options may be exercised on predetermined dates up to their final exercise date, which is six months prior to the underlying swaps' maturity date.</w:t>
      </w:r>
    </w:p>
    <w:p>
      <w:pPr>
        <w:ind w:left="660" w:hanging="328"/>
        <w:spacing w:after="0" w:line="255" w:lineRule="auto"/>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As of September 30, 2020, 71% and 29% of the underlying swap receive rates were tied to 3-Month LIBOR and SOFR, respectively, and, as of December 31, 2019, 100% of the underlying payer swap receive rates were tied to 3-Month LIBOR.</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U.S. Treasury Securities</w:t>
            </w: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ind w:left="160"/>
              <w:spacing w:after="0"/>
              <w:rPr>
                <w:sz w:val="20"/>
                <w:szCs w:val="20"/>
                <w:color w:val="auto"/>
              </w:rPr>
            </w:pPr>
            <w:r>
              <w:rPr>
                <w:rFonts w:ascii="Arial" w:cs="Arial" w:eastAsia="Arial" w:hAnsi="Arial"/>
                <w:sz w:val="14"/>
                <w:szCs w:val="14"/>
                <w:b w:val="1"/>
                <w:bCs w:val="1"/>
                <w:color w:val="auto"/>
              </w:rPr>
              <w:t>September 30, 2020</w:t>
            </w: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2019</w:t>
            </w: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2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Maturity</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jc w:val="right"/>
              <w:ind w:right="102"/>
              <w:spacing w:after="0" w:line="135" w:lineRule="exact"/>
              <w:rPr>
                <w:sz w:val="20"/>
                <w:szCs w:val="20"/>
                <w:color w:val="auto"/>
              </w:rPr>
            </w:pPr>
            <w:r>
              <w:rPr>
                <w:rFonts w:ascii="Arial" w:cs="Arial" w:eastAsia="Arial" w:hAnsi="Arial"/>
                <w:sz w:val="14"/>
                <w:szCs w:val="14"/>
                <w:b w:val="1"/>
                <w:bCs w:val="1"/>
                <w:color w:val="auto"/>
                <w:w w:val="94"/>
              </w:rPr>
              <w:t>Face Amount</w:t>
            </w: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w w:val="94"/>
              </w:rPr>
              <w:t xml:space="preserve">Cost Basis </w:t>
            </w:r>
            <w:r>
              <w:rPr>
                <w:rFonts w:ascii="Arial" w:cs="Arial" w:eastAsia="Arial" w:hAnsi="Arial"/>
                <w:sz w:val="18"/>
                <w:szCs w:val="18"/>
                <w:b w:val="1"/>
                <w:bCs w:val="1"/>
                <w:color w:val="auto"/>
                <w:w w:val="94"/>
                <w:vertAlign w:val="superscript"/>
              </w:rPr>
              <w:t>1</w:t>
            </w:r>
          </w:p>
        </w:tc>
        <w:tc>
          <w:tcPr>
            <w:tcW w:w="160" w:type="dxa"/>
            <w:vAlign w:val="bottom"/>
            <w:vMerge w:val="restart"/>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Fair Value</w:t>
            </w:r>
          </w:p>
        </w:tc>
        <w:tc>
          <w:tcPr>
            <w:tcW w:w="14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jc w:val="right"/>
              <w:ind w:right="122"/>
              <w:spacing w:after="0" w:line="135" w:lineRule="exact"/>
              <w:rPr>
                <w:sz w:val="20"/>
                <w:szCs w:val="20"/>
                <w:color w:val="auto"/>
              </w:rPr>
            </w:pPr>
            <w:r>
              <w:rPr>
                <w:rFonts w:ascii="Arial" w:cs="Arial" w:eastAsia="Arial" w:hAnsi="Arial"/>
                <w:sz w:val="14"/>
                <w:szCs w:val="14"/>
                <w:b w:val="1"/>
                <w:bCs w:val="1"/>
                <w:color w:val="auto"/>
                <w:w w:val="99"/>
              </w:rPr>
              <w:t>Face Amount</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41"/>
              <w:spacing w:after="0"/>
              <w:rPr>
                <w:sz w:val="20"/>
                <w:szCs w:val="20"/>
                <w:color w:val="auto"/>
              </w:rPr>
            </w:pPr>
            <w:r>
              <w:rPr>
                <w:rFonts w:ascii="Arial" w:cs="Arial" w:eastAsia="Arial" w:hAnsi="Arial"/>
                <w:sz w:val="14"/>
                <w:szCs w:val="14"/>
                <w:b w:val="1"/>
                <w:bCs w:val="1"/>
                <w:color w:val="auto"/>
                <w:w w:val="91"/>
              </w:rPr>
              <w:t xml:space="preserve">Cost Basis </w:t>
            </w:r>
            <w:r>
              <w:rPr>
                <w:rFonts w:ascii="Arial" w:cs="Arial" w:eastAsia="Arial" w:hAnsi="Arial"/>
                <w:sz w:val="18"/>
                <w:szCs w:val="18"/>
                <w:b w:val="1"/>
                <w:bCs w:val="1"/>
                <w:color w:val="auto"/>
                <w:w w:val="91"/>
                <w:vertAlign w:val="superscript"/>
              </w:rPr>
              <w:t>1</w:t>
            </w:r>
          </w:p>
        </w:tc>
        <w:tc>
          <w:tcPr>
            <w:tcW w:w="160" w:type="dxa"/>
            <w:vAlign w:val="bottom"/>
            <w:vMerge w:val="restart"/>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181"/>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89"/>
        </w:trPr>
        <w:tc>
          <w:tcPr>
            <w:tcW w:w="32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102"/>
              <w:spacing w:after="0"/>
              <w:rPr>
                <w:sz w:val="20"/>
                <w:szCs w:val="20"/>
                <w:color w:val="auto"/>
              </w:rPr>
            </w:pPr>
            <w:r>
              <w:rPr>
                <w:rFonts w:ascii="Arial" w:cs="Arial" w:eastAsia="Arial" w:hAnsi="Arial"/>
                <w:sz w:val="14"/>
                <w:szCs w:val="14"/>
                <w:b w:val="1"/>
                <w:bCs w:val="1"/>
                <w:color w:val="auto"/>
                <w:w w:val="99"/>
              </w:rPr>
              <w:t>Long/(Short)</w:t>
            </w:r>
          </w:p>
        </w:tc>
        <w:tc>
          <w:tcPr>
            <w:tcW w:w="16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42"/>
              <w:spacing w:after="0"/>
              <w:rPr>
                <w:sz w:val="20"/>
                <w:szCs w:val="20"/>
                <w:color w:val="auto"/>
              </w:rPr>
            </w:pPr>
            <w:r>
              <w:rPr>
                <w:rFonts w:ascii="Arial" w:cs="Arial" w:eastAsia="Arial" w:hAnsi="Arial"/>
                <w:sz w:val="14"/>
                <w:szCs w:val="14"/>
                <w:b w:val="1"/>
                <w:bCs w:val="1"/>
                <w:color w:val="auto"/>
              </w:rPr>
              <w:t>Long/(Short)</w:t>
            </w:r>
          </w:p>
        </w:tc>
        <w:tc>
          <w:tcPr>
            <w:tcW w:w="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5 years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13"/>
        </w:trPr>
        <w:tc>
          <w:tcPr>
            <w:tcW w:w="3320" w:type="dxa"/>
            <w:vAlign w:val="bottom"/>
            <w:gridSpan w:val="2"/>
          </w:tcPr>
          <w:p>
            <w:pPr>
              <w:ind w:left="20"/>
              <w:spacing w:after="0"/>
              <w:rPr>
                <w:sz w:val="20"/>
                <w:szCs w:val="20"/>
                <w:color w:val="auto"/>
              </w:rPr>
            </w:pPr>
            <w:r>
              <w:rPr>
                <w:rFonts w:ascii="Arial" w:cs="Arial" w:eastAsia="Arial" w:hAnsi="Arial"/>
                <w:sz w:val="16"/>
                <w:szCs w:val="16"/>
                <w:color w:val="auto"/>
              </w:rPr>
              <w:t>7 years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(1,083)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(1,081)</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(1,097)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33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10 years</w:t>
            </w:r>
          </w:p>
        </w:tc>
        <w:tc>
          <w:tcPr>
            <w:tcW w:w="14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(6,220)</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(6,386)</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(6,849)</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(9,224)</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(9,329)</w:t>
            </w:r>
          </w:p>
        </w:tc>
        <w:tc>
          <w:tcPr>
            <w:tcW w:w="16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(9,543)</w:t>
            </w:r>
          </w:p>
        </w:tc>
        <w:tc>
          <w:tcPr>
            <w:tcW w:w="0" w:type="dxa"/>
            <w:vAlign w:val="bottom"/>
          </w:tcPr>
          <w:p>
            <w:pPr>
              <w:spacing w:after="0"/>
              <w:rPr>
                <w:sz w:val="1"/>
                <w:szCs w:val="1"/>
                <w:color w:val="auto"/>
              </w:rPr>
            </w:pPr>
          </w:p>
        </w:tc>
      </w:tr>
      <w:tr>
        <w:trPr>
          <w:trHeight w:val="212"/>
        </w:trPr>
        <w:tc>
          <w:tcPr>
            <w:tcW w:w="3320" w:type="dxa"/>
            <w:vAlign w:val="bottom"/>
            <w:gridSpan w:val="2"/>
          </w:tcPr>
          <w:p>
            <w:pPr>
              <w:ind w:left="20"/>
              <w:spacing w:after="0"/>
              <w:rPr>
                <w:sz w:val="20"/>
                <w:szCs w:val="20"/>
                <w:color w:val="auto"/>
              </w:rPr>
            </w:pPr>
            <w:r>
              <w:rPr>
                <w:rFonts w:ascii="Arial" w:cs="Arial" w:eastAsia="Arial" w:hAnsi="Arial"/>
                <w:sz w:val="16"/>
                <w:szCs w:val="16"/>
                <w:color w:val="auto"/>
              </w:rPr>
              <w:t>Total U.S. Treasury securities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(7,728)</w:t>
            </w:r>
          </w:p>
        </w:tc>
        <w:tc>
          <w:tcPr>
            <w:tcW w:w="32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(7,892)</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(8,372)</w:t>
            </w:r>
          </w:p>
        </w:tc>
        <w:tc>
          <w:tcPr>
            <w:tcW w:w="1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(9,129)</w:t>
            </w:r>
          </w:p>
        </w:tc>
        <w:tc>
          <w:tcPr>
            <w:tcW w:w="34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(9,234)</w:t>
            </w:r>
          </w:p>
        </w:tc>
        <w:tc>
          <w:tcPr>
            <w:tcW w:w="16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(9,446)</w:t>
            </w:r>
          </w:p>
        </w:tc>
        <w:tc>
          <w:tcPr>
            <w:tcW w:w="0" w:type="dxa"/>
            <w:vAlign w:val="bottom"/>
          </w:tcPr>
          <w:p>
            <w:pPr>
              <w:spacing w:after="0"/>
              <w:rPr>
                <w:sz w:val="1"/>
                <w:szCs w:val="1"/>
                <w:color w:val="auto"/>
              </w:rPr>
            </w:pPr>
          </w:p>
        </w:tc>
      </w:tr>
      <w:tr>
        <w:trPr>
          <w:trHeight w:val="21"/>
        </w:trPr>
        <w:tc>
          <w:tcPr>
            <w:tcW w:w="3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6"/>
        </w:numPr>
        <w:rPr>
          <w:rFonts w:ascii="Arial" w:cs="Arial" w:eastAsia="Arial" w:hAnsi="Arial"/>
          <w:sz w:val="14"/>
          <w:szCs w:val="14"/>
          <w:color w:val="auto"/>
        </w:rPr>
      </w:pPr>
      <w:r>
        <w:rPr>
          <w:rFonts w:ascii="Arial" w:cs="Arial" w:eastAsia="Arial" w:hAnsi="Arial"/>
          <w:sz w:val="14"/>
          <w:szCs w:val="14"/>
          <w:color w:val="auto"/>
        </w:rPr>
        <w:t>As of September 30, 2020 and December 31, 2019, short U.S. Treasury securities had a weighted average yield of 1.32% and 2.19%, respectively, and, as of December 31, 2019, long U.S. Treasury securities had a weighted average yield of 2.21%.</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4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U.S. Treasury Futures</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September 30, 2020</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2019</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2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300"/>
              <w:spacing w:after="0" w:line="121" w:lineRule="exact"/>
              <w:rPr>
                <w:sz w:val="20"/>
                <w:szCs w:val="20"/>
                <w:color w:val="auto"/>
              </w:rPr>
            </w:pPr>
            <w:r>
              <w:rPr>
                <w:rFonts w:ascii="Arial" w:cs="Arial" w:eastAsia="Arial" w:hAnsi="Arial"/>
                <w:sz w:val="13"/>
                <w:szCs w:val="13"/>
                <w:b w:val="1"/>
                <w:bCs w:val="1"/>
                <w:color w:val="auto"/>
                <w:w w:val="88"/>
              </w:rPr>
              <w:t>Notional</w:t>
            </w:r>
          </w:p>
        </w:tc>
        <w:tc>
          <w:tcPr>
            <w:tcW w:w="180" w:type="dxa"/>
            <w:vAlign w:val="bottom"/>
          </w:tcPr>
          <w:p>
            <w:pPr>
              <w:spacing w:after="0"/>
              <w:rPr>
                <w:sz w:val="10"/>
                <w:szCs w:val="10"/>
                <w:color w:val="auto"/>
              </w:rPr>
            </w:pP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2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rPr>
              <w:t>Fair</w:t>
            </w:r>
          </w:p>
        </w:tc>
        <w:tc>
          <w:tcPr>
            <w:tcW w:w="100" w:type="dxa"/>
            <w:vAlign w:val="bottom"/>
          </w:tcPr>
          <w:p>
            <w:pPr>
              <w:spacing w:after="0"/>
              <w:rPr>
                <w:sz w:val="10"/>
                <w:szCs w:val="10"/>
                <w:color w:val="auto"/>
              </w:rPr>
            </w:pPr>
          </w:p>
        </w:tc>
        <w:tc>
          <w:tcPr>
            <w:tcW w:w="940" w:type="dxa"/>
            <w:vAlign w:val="bottom"/>
            <w:gridSpan w:val="2"/>
            <w:vMerge w:val="restart"/>
          </w:tcPr>
          <w:p>
            <w:pPr>
              <w:jc w:val="center"/>
              <w:ind w:right="180"/>
              <w:spacing w:after="0"/>
              <w:rPr>
                <w:sz w:val="20"/>
                <w:szCs w:val="20"/>
                <w:color w:val="auto"/>
              </w:rPr>
            </w:pPr>
            <w:r>
              <w:rPr>
                <w:rFonts w:ascii="Arial" w:cs="Arial" w:eastAsia="Arial" w:hAnsi="Arial"/>
                <w:sz w:val="13"/>
                <w:szCs w:val="13"/>
                <w:b w:val="1"/>
                <w:bCs w:val="1"/>
                <w:color w:val="auto"/>
                <w:w w:val="92"/>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center"/>
              <w:ind w:right="54"/>
              <w:spacing w:after="0"/>
              <w:rPr>
                <w:sz w:val="20"/>
                <w:szCs w:val="20"/>
                <w:color w:val="auto"/>
              </w:rPr>
            </w:pPr>
            <w:r>
              <w:rPr>
                <w:rFonts w:ascii="Arial" w:cs="Arial" w:eastAsia="Arial" w:hAnsi="Arial"/>
                <w:sz w:val="13"/>
                <w:szCs w:val="13"/>
                <w:b w:val="1"/>
                <w:bCs w:val="1"/>
                <w:color w:val="auto"/>
                <w:w w:val="92"/>
              </w:rPr>
              <w:t>Net Carrying</w:t>
            </w:r>
          </w:p>
        </w:tc>
        <w:tc>
          <w:tcPr>
            <w:tcW w:w="0" w:type="dxa"/>
            <w:vAlign w:val="bottom"/>
          </w:tcPr>
          <w:p>
            <w:pPr>
              <w:spacing w:after="0"/>
              <w:rPr>
                <w:sz w:val="1"/>
                <w:szCs w:val="1"/>
                <w:color w:val="auto"/>
              </w:rPr>
            </w:pPr>
          </w:p>
        </w:tc>
      </w:tr>
      <w:tr>
        <w:trPr>
          <w:trHeight w:val="121"/>
        </w:trPr>
        <w:tc>
          <w:tcPr>
            <w:tcW w:w="246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Maturity</w:t>
            </w:r>
          </w:p>
        </w:tc>
        <w:tc>
          <w:tcPr>
            <w:tcW w:w="100" w:type="dxa"/>
            <w:vAlign w:val="bottom"/>
            <w:vMerge w:val="restart"/>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280"/>
              <w:spacing w:after="0" w:line="122" w:lineRule="exact"/>
              <w:rPr>
                <w:sz w:val="20"/>
                <w:szCs w:val="20"/>
                <w:color w:val="auto"/>
              </w:rPr>
            </w:pPr>
            <w:r>
              <w:rPr>
                <w:rFonts w:ascii="Arial" w:cs="Arial" w:eastAsia="Arial" w:hAnsi="Arial"/>
                <w:sz w:val="13"/>
                <w:szCs w:val="13"/>
                <w:b w:val="1"/>
                <w:bCs w:val="1"/>
                <w:color w:val="auto"/>
                <w:w w:val="89"/>
              </w:rPr>
              <w:t>Amount</w:t>
            </w:r>
          </w:p>
        </w:tc>
        <w:tc>
          <w:tcPr>
            <w:tcW w:w="18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246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95"/>
              <w:spacing w:after="0"/>
              <w:rPr>
                <w:sz w:val="20"/>
                <w:szCs w:val="20"/>
                <w:color w:val="auto"/>
              </w:rPr>
            </w:pPr>
            <w:r>
              <w:rPr>
                <w:rFonts w:ascii="Arial" w:cs="Arial" w:eastAsia="Arial" w:hAnsi="Arial"/>
                <w:sz w:val="13"/>
                <w:szCs w:val="13"/>
                <w:b w:val="1"/>
                <w:bCs w:val="1"/>
                <w:color w:val="auto"/>
                <w:w w:val="89"/>
              </w:rPr>
              <w:t>Long (Short)</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ind w:left="140"/>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center"/>
              <w:ind w:right="134"/>
              <w:spacing w:after="0"/>
              <w:rPr>
                <w:sz w:val="20"/>
                <w:szCs w:val="20"/>
                <w:color w:val="auto"/>
              </w:rPr>
            </w:pPr>
            <w:r>
              <w:rPr>
                <w:rFonts w:ascii="Arial" w:cs="Arial" w:eastAsia="Arial" w:hAnsi="Arial"/>
                <w:sz w:val="13"/>
                <w:szCs w:val="13"/>
                <w:b w:val="1"/>
                <w:bCs w:val="1"/>
                <w:color w:val="auto"/>
                <w:w w:val="92"/>
              </w:rPr>
              <w:t>Value</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34"/>
              <w:spacing w:after="0" w:line="175" w:lineRule="exact"/>
              <w:rPr>
                <w:sz w:val="20"/>
                <w:szCs w:val="20"/>
                <w:color w:val="auto"/>
              </w:rPr>
            </w:pPr>
            <w:r>
              <w:rPr>
                <w:rFonts w:ascii="Arial" w:cs="Arial" w:eastAsia="Arial" w:hAnsi="Arial"/>
                <w:sz w:val="13"/>
                <w:szCs w:val="13"/>
                <w:b w:val="1"/>
                <w:bCs w:val="1"/>
                <w:color w:val="auto"/>
                <w:w w:val="85"/>
              </w:rPr>
              <w:t xml:space="preserve">Value </w:t>
            </w:r>
            <w:r>
              <w:rPr>
                <w:rFonts w:ascii="Arial" w:cs="Arial" w:eastAsia="Arial" w:hAnsi="Arial"/>
                <w:sz w:val="16"/>
                <w:szCs w:val="16"/>
                <w:b w:val="1"/>
                <w:bCs w:val="1"/>
                <w:color w:val="auto"/>
                <w:w w:val="85"/>
                <w:vertAlign w:val="superscript"/>
              </w:rPr>
              <w:t>1</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95"/>
              <w:spacing w:after="0"/>
              <w:rPr>
                <w:sz w:val="20"/>
                <w:szCs w:val="20"/>
                <w:color w:val="auto"/>
              </w:rPr>
            </w:pPr>
            <w:r>
              <w:rPr>
                <w:rFonts w:ascii="Arial" w:cs="Arial" w:eastAsia="Arial" w:hAnsi="Arial"/>
                <w:sz w:val="13"/>
                <w:szCs w:val="13"/>
                <w:b w:val="1"/>
                <w:bCs w:val="1"/>
                <w:color w:val="auto"/>
                <w:w w:val="87"/>
              </w:rPr>
              <w:t>Long (Short)</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Basis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center"/>
              <w:ind w:right="134"/>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center"/>
              <w:ind w:right="34"/>
              <w:spacing w:after="0" w:line="175" w:lineRule="exact"/>
              <w:rPr>
                <w:sz w:val="20"/>
                <w:szCs w:val="20"/>
                <w:color w:val="auto"/>
              </w:rPr>
            </w:pPr>
            <w:r>
              <w:rPr>
                <w:rFonts w:ascii="Arial" w:cs="Arial" w:eastAsia="Arial" w:hAnsi="Arial"/>
                <w:sz w:val="13"/>
                <w:szCs w:val="13"/>
                <w:b w:val="1"/>
                <w:bCs w:val="1"/>
                <w:color w:val="auto"/>
                <w:w w:val="85"/>
              </w:rPr>
              <w:t xml:space="preserve">Value </w:t>
            </w:r>
            <w:r>
              <w:rPr>
                <w:rFonts w:ascii="Arial" w:cs="Arial" w:eastAsia="Arial" w:hAnsi="Arial"/>
                <w:sz w:val="16"/>
                <w:szCs w:val="16"/>
                <w:b w:val="1"/>
                <w:bCs w:val="1"/>
                <w:color w:val="auto"/>
                <w:w w:val="85"/>
                <w:vertAlign w:val="superscript"/>
              </w:rPr>
              <w:t>1</w:t>
            </w:r>
          </w:p>
        </w:tc>
        <w:tc>
          <w:tcPr>
            <w:tcW w:w="0" w:type="dxa"/>
            <w:vAlign w:val="bottom"/>
          </w:tcPr>
          <w:p>
            <w:pPr>
              <w:spacing w:after="0"/>
              <w:rPr>
                <w:sz w:val="1"/>
                <w:szCs w:val="1"/>
                <w:color w:val="auto"/>
              </w:rPr>
            </w:pPr>
          </w:p>
        </w:tc>
      </w:tr>
      <w:tr>
        <w:trPr>
          <w:trHeight w:val="208"/>
        </w:trPr>
        <w:tc>
          <w:tcPr>
            <w:tcW w:w="25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10 years</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(1,390)</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(1,395)</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(1,298)</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(1,284)</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0"/>
        </w:trPr>
        <w:tc>
          <w:tcPr>
            <w:tcW w:w="2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7"/>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2"/>
        </w:trPr>
        <w:tc>
          <w:tcPr>
            <w:tcW w:w="2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September 30, 2020</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December 31, 2019</w:t>
            </w:r>
          </w:p>
        </w:tc>
        <w:tc>
          <w:tcPr>
            <w:tcW w:w="1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2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180" w:type="dxa"/>
            <w:vAlign w:val="bottom"/>
          </w:tcPr>
          <w:p>
            <w:pPr>
              <w:spacing w:after="0"/>
              <w:rPr>
                <w:sz w:val="10"/>
                <w:szCs w:val="10"/>
                <w:color w:val="auto"/>
              </w:rPr>
            </w:pPr>
          </w:p>
        </w:tc>
        <w:tc>
          <w:tcPr>
            <w:tcW w:w="860" w:type="dxa"/>
            <w:vAlign w:val="bottom"/>
            <w:gridSpan w:val="2"/>
            <w:vMerge w:val="restart"/>
          </w:tcPr>
          <w:p>
            <w:pPr>
              <w:ind w:left="16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1000" w:type="dxa"/>
            <w:vAlign w:val="bottom"/>
            <w:gridSpan w:val="2"/>
            <w:vMerge w:val="restart"/>
          </w:tcPr>
          <w:p>
            <w:pPr>
              <w:jc w:val="center"/>
              <w:ind w:right="280"/>
              <w:spacing w:after="0"/>
              <w:rPr>
                <w:sz w:val="20"/>
                <w:szCs w:val="20"/>
                <w:color w:val="auto"/>
              </w:rPr>
            </w:pPr>
            <w:r>
              <w:rPr>
                <w:rFonts w:ascii="Arial" w:cs="Arial" w:eastAsia="Arial" w:hAnsi="Arial"/>
                <w:sz w:val="13"/>
                <w:szCs w:val="13"/>
                <w:b w:val="1"/>
                <w:bCs w:val="1"/>
                <w:color w:val="auto"/>
                <w:w w:val="92"/>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21" w:lineRule="exact"/>
              <w:rPr>
                <w:sz w:val="20"/>
                <w:szCs w:val="20"/>
                <w:color w:val="auto"/>
              </w:rPr>
            </w:pPr>
            <w:r>
              <w:rPr>
                <w:rFonts w:ascii="Arial" w:cs="Arial" w:eastAsia="Arial" w:hAnsi="Arial"/>
                <w:sz w:val="13"/>
                <w:szCs w:val="13"/>
                <w:b w:val="1"/>
                <w:bCs w:val="1"/>
                <w:color w:val="auto"/>
                <w:w w:val="88"/>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right"/>
              <w:ind w:right="49"/>
              <w:spacing w:after="0"/>
              <w:rPr>
                <w:sz w:val="20"/>
                <w:szCs w:val="20"/>
                <w:color w:val="auto"/>
              </w:rPr>
            </w:pPr>
            <w:r>
              <w:rPr>
                <w:rFonts w:ascii="Arial" w:cs="Arial" w:eastAsia="Arial" w:hAnsi="Arial"/>
                <w:sz w:val="13"/>
                <w:szCs w:val="13"/>
                <w:b w:val="1"/>
                <w:bCs w:val="1"/>
                <w:color w:val="auto"/>
                <w:w w:val="89"/>
              </w:rPr>
              <w:t>Net Carrying</w:t>
            </w:r>
          </w:p>
        </w:tc>
        <w:tc>
          <w:tcPr>
            <w:tcW w:w="0" w:type="dxa"/>
            <w:vAlign w:val="bottom"/>
          </w:tcPr>
          <w:p>
            <w:pPr>
              <w:spacing w:after="0"/>
              <w:rPr>
                <w:sz w:val="1"/>
                <w:szCs w:val="1"/>
                <w:color w:val="auto"/>
              </w:rPr>
            </w:pPr>
          </w:p>
        </w:tc>
      </w:tr>
      <w:tr>
        <w:trPr>
          <w:trHeight w:val="122"/>
        </w:trPr>
        <w:tc>
          <w:tcPr>
            <w:tcW w:w="25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TBA Securities by Coupon</w:t>
            </w:r>
          </w:p>
        </w:tc>
        <w:tc>
          <w:tcPr>
            <w:tcW w:w="14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18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Arial" w:cs="Arial" w:eastAsia="Arial" w:hAnsi="Arial"/>
                <w:sz w:val="13"/>
                <w:szCs w:val="13"/>
                <w:b w:val="1"/>
                <w:bCs w:val="1"/>
                <w:color w:val="auto"/>
                <w:w w:val="89"/>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6"/>
        </w:trPr>
        <w:tc>
          <w:tcPr>
            <w:tcW w:w="25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Long (Short)</w:t>
            </w:r>
          </w:p>
        </w:tc>
        <w:tc>
          <w:tcPr>
            <w:tcW w:w="180" w:type="dxa"/>
            <w:vAlign w:val="bottom"/>
          </w:tcPr>
          <w:p>
            <w:pPr>
              <w:spacing w:after="0"/>
              <w:rPr>
                <w:sz w:val="15"/>
                <w:szCs w:val="15"/>
                <w:color w:val="auto"/>
              </w:rPr>
            </w:pPr>
          </w:p>
        </w:tc>
        <w:tc>
          <w:tcPr>
            <w:tcW w:w="860" w:type="dxa"/>
            <w:vAlign w:val="bottom"/>
            <w:gridSpan w:val="2"/>
          </w:tcPr>
          <w:p>
            <w:pPr>
              <w:ind w:left="140"/>
              <w:spacing w:after="0"/>
              <w:rPr>
                <w:sz w:val="20"/>
                <w:szCs w:val="20"/>
                <w:color w:val="auto"/>
              </w:rPr>
            </w:pPr>
            <w:r>
              <w:rPr>
                <w:rFonts w:ascii="Arial" w:cs="Arial" w:eastAsia="Arial" w:hAnsi="Arial"/>
                <w:sz w:val="13"/>
                <w:szCs w:val="13"/>
                <w:b w:val="1"/>
                <w:bCs w:val="1"/>
                <w:color w:val="auto"/>
              </w:rPr>
              <w:t>Basis</w:t>
            </w:r>
          </w:p>
        </w:tc>
        <w:tc>
          <w:tcPr>
            <w:tcW w:w="20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Pr>
          <w:p>
            <w:pPr>
              <w:spacing w:after="0"/>
              <w:rPr>
                <w:sz w:val="15"/>
                <w:szCs w:val="15"/>
                <w:color w:val="auto"/>
              </w:rPr>
            </w:pPr>
          </w:p>
        </w:tc>
        <w:tc>
          <w:tcPr>
            <w:tcW w:w="1000" w:type="dxa"/>
            <w:vAlign w:val="bottom"/>
            <w:gridSpan w:val="2"/>
          </w:tcPr>
          <w:p>
            <w:pPr>
              <w:jc w:val="center"/>
              <w:ind w:right="260"/>
              <w:spacing w:after="0" w:line="175" w:lineRule="exact"/>
              <w:rPr>
                <w:sz w:val="20"/>
                <w:szCs w:val="20"/>
                <w:color w:val="auto"/>
              </w:rPr>
            </w:pPr>
            <w:r>
              <w:rPr>
                <w:rFonts w:ascii="Arial" w:cs="Arial" w:eastAsia="Arial" w:hAnsi="Arial"/>
                <w:sz w:val="13"/>
                <w:szCs w:val="13"/>
                <w:b w:val="1"/>
                <w:bCs w:val="1"/>
                <w:color w:val="auto"/>
                <w:w w:val="85"/>
              </w:rPr>
              <w:t xml:space="preserve">Value </w:t>
            </w:r>
            <w:r>
              <w:rPr>
                <w:rFonts w:ascii="Arial" w:cs="Arial" w:eastAsia="Arial" w:hAnsi="Arial"/>
                <w:sz w:val="16"/>
                <w:szCs w:val="16"/>
                <w:b w:val="1"/>
                <w:bCs w:val="1"/>
                <w:color w:val="auto"/>
                <w:w w:val="85"/>
                <w:vertAlign w:val="superscript"/>
              </w:rPr>
              <w:t>1</w:t>
            </w:r>
          </w:p>
        </w:tc>
        <w:tc>
          <w:tcPr>
            <w:tcW w:w="16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7"/>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3"/>
                <w:szCs w:val="13"/>
                <w:b w:val="1"/>
                <w:bCs w:val="1"/>
                <w:color w:val="auto"/>
              </w:rPr>
              <w:t>Basis</w:t>
            </w:r>
          </w:p>
        </w:tc>
        <w:tc>
          <w:tcPr>
            <w:tcW w:w="200" w:type="dxa"/>
            <w:vAlign w:val="bottom"/>
          </w:tcPr>
          <w:p>
            <w:pPr>
              <w:spacing w:after="0"/>
              <w:rPr>
                <w:sz w:val="15"/>
                <w:szCs w:val="15"/>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6"/>
              </w:rPr>
              <w:t>Value</w:t>
            </w:r>
          </w:p>
        </w:tc>
        <w:tc>
          <w:tcPr>
            <w:tcW w:w="100" w:type="dxa"/>
            <w:vAlign w:val="bottom"/>
          </w:tcPr>
          <w:p>
            <w:pPr>
              <w:spacing w:after="0"/>
              <w:rPr>
                <w:sz w:val="15"/>
                <w:szCs w:val="15"/>
                <w:color w:val="auto"/>
              </w:rPr>
            </w:pPr>
          </w:p>
        </w:tc>
        <w:tc>
          <w:tcPr>
            <w:tcW w:w="840" w:type="dxa"/>
            <w:vAlign w:val="bottom"/>
          </w:tcPr>
          <w:p>
            <w:pPr>
              <w:jc w:val="right"/>
              <w:ind w:right="209"/>
              <w:spacing w:after="0" w:line="175" w:lineRule="exact"/>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16"/>
                <w:szCs w:val="16"/>
                <w:b w:val="1"/>
                <w:bCs w:val="1"/>
                <w:color w:val="auto"/>
                <w:vertAlign w:val="superscript"/>
              </w:rPr>
              <w:t>1</w:t>
            </w:r>
          </w:p>
        </w:tc>
        <w:tc>
          <w:tcPr>
            <w:tcW w:w="0" w:type="dxa"/>
            <w:vAlign w:val="bottom"/>
          </w:tcPr>
          <w:p>
            <w:pPr>
              <w:spacing w:after="0"/>
              <w:rPr>
                <w:sz w:val="1"/>
                <w:szCs w:val="1"/>
                <w:color w:val="auto"/>
              </w:rPr>
            </w:pPr>
          </w:p>
        </w:tc>
      </w:tr>
      <w:tr>
        <w:trPr>
          <w:trHeight w:val="183"/>
        </w:trPr>
        <w:tc>
          <w:tcPr>
            <w:tcW w:w="2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15-Year TBA securities:</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500" w:type="dxa"/>
            <w:vAlign w:val="bottom"/>
            <w:gridSpan w:val="2"/>
          </w:tcPr>
          <w:p>
            <w:pPr>
              <w:ind w:left="180"/>
              <w:spacing w:after="0"/>
              <w:rPr>
                <w:sz w:val="20"/>
                <w:szCs w:val="20"/>
                <w:color w:val="auto"/>
              </w:rPr>
            </w:pPr>
            <w:r>
              <w:rPr>
                <w:rFonts w:ascii="Arial" w:cs="Arial" w:eastAsia="Arial" w:hAnsi="Arial"/>
                <w:sz w:val="14"/>
                <w:szCs w:val="14"/>
                <w:color w:val="auto"/>
              </w:rPr>
              <w:t>≤ 2.0%</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10,228</w:t>
            </w:r>
          </w:p>
        </w:tc>
        <w:tc>
          <w:tcPr>
            <w:tcW w:w="120" w:type="dxa"/>
            <w:vAlign w:val="bottom"/>
          </w:tcPr>
          <w:p>
            <w:pPr>
              <w:spacing w:after="0"/>
              <w:rPr>
                <w:sz w:val="16"/>
                <w:szCs w:val="16"/>
                <w:color w:val="auto"/>
              </w:rPr>
            </w:pP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10,514</w:t>
            </w:r>
          </w:p>
        </w:tc>
        <w:tc>
          <w:tcPr>
            <w:tcW w:w="120" w:type="dxa"/>
            <w:vAlign w:val="bottom"/>
          </w:tcPr>
          <w:p>
            <w:pPr>
              <w:spacing w:after="0"/>
              <w:rPr>
                <w:sz w:val="16"/>
                <w:szCs w:val="16"/>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9"/>
              <w:spacing w:after="0"/>
              <w:rPr>
                <w:sz w:val="20"/>
                <w:szCs w:val="20"/>
                <w:color w:val="auto"/>
              </w:rPr>
            </w:pPr>
            <w:r>
              <w:rPr>
                <w:rFonts w:ascii="Arial" w:cs="Arial" w:eastAsia="Arial" w:hAnsi="Arial"/>
                <w:sz w:val="14"/>
                <w:szCs w:val="14"/>
                <w:color w:val="auto"/>
              </w:rPr>
              <w:t>10,552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38</w:t>
            </w:r>
          </w:p>
        </w:tc>
        <w:tc>
          <w:tcPr>
            <w:tcW w:w="16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904</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1,059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1,083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1,086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75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250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15-Year TBA securities</w:t>
            </w:r>
          </w:p>
        </w:tc>
        <w:tc>
          <w:tcPr>
            <w:tcW w:w="140" w:type="dxa"/>
            <w:vAlign w:val="bottom"/>
            <w:tcBorders>
              <w:top w:val="single" w:sz="8" w:color="auto"/>
              <w:bottom w:val="single" w:sz="8" w:color="auto"/>
            </w:tcBorders>
            <w:shd w:val="clear" w:color="auto" w:fill="CCEEFF"/>
          </w:tcPr>
          <w:p>
            <w:pPr>
              <w:spacing w:after="0"/>
              <w:rPr>
                <w:sz w:val="16"/>
                <w:szCs w:val="16"/>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11,094</w:t>
            </w:r>
          </w:p>
        </w:tc>
        <w:tc>
          <w:tcPr>
            <w:tcW w:w="1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11,421</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11,456</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35</w:t>
            </w:r>
          </w:p>
        </w:tc>
        <w:tc>
          <w:tcPr>
            <w:tcW w:w="16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bottom w:val="single" w:sz="8" w:color="auto"/>
            </w:tcBorders>
            <w:shd w:val="clear" w:color="auto" w:fill="CCEEFF"/>
          </w:tcPr>
          <w:p>
            <w:pPr>
              <w:spacing w:after="0"/>
              <w:rPr>
                <w:sz w:val="16"/>
                <w:szCs w:val="16"/>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2,180</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2,222</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2,226</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w:t>
            </w:r>
          </w:p>
        </w:tc>
        <w:tc>
          <w:tcPr>
            <w:tcW w:w="0" w:type="dxa"/>
            <w:vAlign w:val="bottom"/>
          </w:tcPr>
          <w:p>
            <w:pPr>
              <w:spacing w:after="0"/>
              <w:rPr>
                <w:sz w:val="1"/>
                <w:szCs w:val="1"/>
                <w:color w:val="auto"/>
              </w:rPr>
            </w:pPr>
          </w:p>
        </w:tc>
      </w:tr>
      <w:tr>
        <w:trPr>
          <w:trHeight w:val="166"/>
        </w:trPr>
        <w:tc>
          <w:tcPr>
            <w:tcW w:w="2500" w:type="dxa"/>
            <w:vAlign w:val="bottom"/>
            <w:gridSpan w:val="2"/>
          </w:tcPr>
          <w:p>
            <w:pPr>
              <w:ind w:left="20"/>
              <w:spacing w:after="0"/>
              <w:rPr>
                <w:sz w:val="20"/>
                <w:szCs w:val="20"/>
                <w:color w:val="auto"/>
              </w:rPr>
            </w:pPr>
            <w:r>
              <w:rPr>
                <w:rFonts w:ascii="Arial" w:cs="Arial" w:eastAsia="Arial" w:hAnsi="Arial"/>
                <w:sz w:val="14"/>
                <w:szCs w:val="14"/>
                <w:color w:val="auto"/>
              </w:rPr>
              <w:t>30-Year TBA securities:</w:t>
            </w:r>
          </w:p>
        </w:tc>
        <w:tc>
          <w:tcPr>
            <w:tcW w:w="1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11,375</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11,694</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11,736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42</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5,489</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5,752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9"/>
              <w:spacing w:after="0"/>
              <w:rPr>
                <w:sz w:val="20"/>
                <w:szCs w:val="20"/>
                <w:color w:val="auto"/>
              </w:rPr>
            </w:pPr>
            <w:r>
              <w:rPr>
                <w:rFonts w:ascii="Arial" w:cs="Arial" w:eastAsia="Arial" w:hAnsi="Arial"/>
                <w:sz w:val="14"/>
                <w:szCs w:val="14"/>
                <w:color w:val="auto"/>
              </w:rPr>
              <w:t>5,753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395</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415</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413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5,008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5,052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5,073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86"/>
        </w:trPr>
        <w:tc>
          <w:tcPr>
            <w:tcW w:w="2380" w:type="dxa"/>
            <w:vAlign w:val="bottom"/>
          </w:tcPr>
          <w:p>
            <w:pPr>
              <w:ind w:left="18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168</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9"/>
              <w:spacing w:after="0"/>
              <w:rPr>
                <w:sz w:val="20"/>
                <w:szCs w:val="20"/>
                <w:color w:val="auto"/>
              </w:rPr>
            </w:pPr>
            <w:r>
              <w:rPr>
                <w:rFonts w:ascii="Arial" w:cs="Arial" w:eastAsia="Arial" w:hAnsi="Arial"/>
                <w:sz w:val="14"/>
                <w:szCs w:val="14"/>
                <w:color w:val="auto"/>
              </w:rPr>
              <w:t>178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1,226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1,259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1,261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92"/>
        </w:trPr>
        <w:tc>
          <w:tcPr>
            <w:tcW w:w="23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(1,568)</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86"/>
        </w:trPr>
        <w:tc>
          <w:tcPr>
            <w:tcW w:w="2500" w:type="dxa"/>
            <w:vAlign w:val="bottom"/>
            <w:gridSpan w:val="2"/>
          </w:tcPr>
          <w:p>
            <w:pPr>
              <w:ind w:left="180"/>
              <w:spacing w:after="0"/>
              <w:rPr>
                <w:sz w:val="20"/>
                <w:szCs w:val="20"/>
                <w:color w:val="auto"/>
              </w:rPr>
            </w:pPr>
            <w:r>
              <w:rPr>
                <w:rFonts w:ascii="Arial" w:cs="Arial" w:eastAsia="Arial" w:hAnsi="Arial"/>
                <w:sz w:val="14"/>
                <w:szCs w:val="14"/>
                <w:color w:val="auto"/>
              </w:rPr>
              <w:t>≥ 4.5%</w:t>
            </w:r>
          </w:p>
        </w:tc>
        <w:tc>
          <w:tcPr>
            <w:tcW w:w="140" w:type="dxa"/>
            <w:vAlign w:val="bottom"/>
          </w:tcPr>
          <w:p>
            <w:pPr>
              <w:spacing w:after="0"/>
              <w:rPr>
                <w:sz w:val="16"/>
                <w:szCs w:val="16"/>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415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436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437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3"/>
        </w:trPr>
        <w:tc>
          <w:tcPr>
            <w:tcW w:w="250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30-Year TBA securities, net</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17,427</w:t>
            </w: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18,039</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18,080</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4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41</w:t>
            </w:r>
          </w:p>
        </w:tc>
        <w:tc>
          <w:tcPr>
            <w:tcW w:w="16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5,142</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5,182</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5,203</w:t>
            </w: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4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86"/>
        </w:trPr>
        <w:tc>
          <w:tcPr>
            <w:tcW w:w="2500" w:type="dxa"/>
            <w:vAlign w:val="bottom"/>
            <w:gridSpan w:val="2"/>
          </w:tcPr>
          <w:p>
            <w:pPr>
              <w:ind w:left="20"/>
              <w:spacing w:after="0"/>
              <w:rPr>
                <w:sz w:val="20"/>
                <w:szCs w:val="20"/>
                <w:color w:val="auto"/>
              </w:rPr>
            </w:pPr>
            <w:r>
              <w:rPr>
                <w:rFonts w:ascii="Arial" w:cs="Arial" w:eastAsia="Arial" w:hAnsi="Arial"/>
                <w:sz w:val="14"/>
                <w:szCs w:val="14"/>
                <w:color w:val="auto"/>
              </w:rPr>
              <w:t>Total TBA securities, net</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28,521</w:t>
            </w:r>
          </w:p>
        </w:tc>
        <w:tc>
          <w:tcPr>
            <w:tcW w:w="120" w:type="dxa"/>
            <w:vAlign w:val="bottom"/>
          </w:tcPr>
          <w:p>
            <w:pPr>
              <w:spacing w:after="0"/>
              <w:rPr>
                <w:sz w:val="16"/>
                <w:szCs w:val="16"/>
                <w:color w:val="auto"/>
              </w:rPr>
            </w:pP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29,460</w:t>
            </w:r>
          </w:p>
        </w:tc>
        <w:tc>
          <w:tcPr>
            <w:tcW w:w="120" w:type="dxa"/>
            <w:vAlign w:val="bottom"/>
          </w:tcPr>
          <w:p>
            <w:pPr>
              <w:spacing w:after="0"/>
              <w:rPr>
                <w:sz w:val="16"/>
                <w:szCs w:val="16"/>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29,536</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76</w:t>
            </w:r>
          </w:p>
        </w:tc>
        <w:tc>
          <w:tcPr>
            <w:tcW w:w="160" w:type="dxa"/>
            <w:vAlign w:val="bottom"/>
          </w:tcPr>
          <w:p>
            <w:pPr>
              <w:spacing w:after="0"/>
              <w:rPr>
                <w:sz w:val="16"/>
                <w:szCs w:val="16"/>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7,322</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7,404</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7,429</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1"/>
        </w:trPr>
        <w:tc>
          <w:tcPr>
            <w:tcW w:w="2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From Derivative Instruments and Other Securities, Net</w:t>
      </w:r>
    </w:p>
    <w:p>
      <w:pPr>
        <w:spacing w:after="0" w:line="171" w:lineRule="exact"/>
        <w:rPr>
          <w:sz w:val="20"/>
          <w:szCs w:val="20"/>
          <w:color w:val="auto"/>
        </w:rPr>
      </w:pPr>
    </w:p>
    <w:p>
      <w:pPr>
        <w:ind w:firstLine="755"/>
        <w:spacing w:after="0" w:line="269" w:lineRule="auto"/>
        <w:rPr>
          <w:sz w:val="20"/>
          <w:szCs w:val="20"/>
          <w:color w:val="auto"/>
        </w:rPr>
      </w:pPr>
      <w:r>
        <w:rPr>
          <w:rFonts w:ascii="Arial" w:cs="Arial" w:eastAsia="Arial" w:hAnsi="Arial"/>
          <w:sz w:val="18"/>
          <w:szCs w:val="18"/>
          <w:color w:val="auto"/>
        </w:rPr>
        <w:t>The following table summarizes changes in our derivative and other hedge portfolio and their effect on our consolidated statements of comprehensive income for the three and nine months ended September 30, 2020 and 2019 (in millions):</w:t>
      </w:r>
    </w:p>
    <w:tbl>
      <w:tblPr>
        <w:tblLayout w:type="fixed"/>
        <w:tblInd w:w="0" w:type="dxa"/>
        <w:tblCellMar>
          <w:top w:w="0" w:type="dxa"/>
          <w:left w:w="0" w:type="dxa"/>
          <w:bottom w:w="0" w:type="dxa"/>
          <w:right w:w="0" w:type="dxa"/>
        </w:tblCellMar>
      </w:tblPr>
      <w:tr>
        <w:trPr>
          <w:trHeight w:val="144"/>
        </w:trPr>
        <w:tc>
          <w:tcPr>
            <w:tcW w:w="38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0" w:type="dxa"/>
            <w:vAlign w:val="bottom"/>
            <w:vMerge w:val="restart"/>
          </w:tcPr>
          <w:p>
            <w:pPr>
              <w:jc w:val="center"/>
              <w:ind w:right="1"/>
              <w:spacing w:after="0"/>
              <w:rPr>
                <w:sz w:val="20"/>
                <w:szCs w:val="20"/>
                <w:color w:val="auto"/>
              </w:rPr>
            </w:pPr>
            <w:r>
              <w:rPr>
                <w:rFonts w:ascii="Arial" w:cs="Arial" w:eastAsia="Arial" w:hAnsi="Arial"/>
                <w:sz w:val="14"/>
                <w:szCs w:val="14"/>
                <w:b w:val="1"/>
                <w:bCs w:val="1"/>
                <w:color w:val="auto"/>
                <w:w w:val="90"/>
              </w:rPr>
              <w:t>Settlement,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tcPr>
          <w:p>
            <w:pPr>
              <w:jc w:val="center"/>
              <w:ind w:right="41"/>
              <w:spacing w:after="0" w:line="145" w:lineRule="exact"/>
              <w:rPr>
                <w:sz w:val="20"/>
                <w:szCs w:val="20"/>
                <w:color w:val="auto"/>
              </w:rPr>
            </w:pPr>
            <w:r>
              <w:rPr>
                <w:rFonts w:ascii="Arial" w:cs="Arial" w:eastAsia="Arial" w:hAnsi="Arial"/>
                <w:sz w:val="14"/>
                <w:szCs w:val="14"/>
                <w:b w:val="1"/>
                <w:bCs w:val="1"/>
                <w:color w:val="auto"/>
                <w:w w:val="93"/>
              </w:rPr>
              <w:t>Gain/(Loss)</w:t>
            </w:r>
          </w:p>
        </w:tc>
        <w:tc>
          <w:tcPr>
            <w:tcW w:w="0" w:type="dxa"/>
            <w:vAlign w:val="bottom"/>
          </w:tcPr>
          <w:p>
            <w:pPr>
              <w:spacing w:after="0"/>
              <w:rPr>
                <w:sz w:val="1"/>
                <w:szCs w:val="1"/>
                <w:color w:val="auto"/>
              </w:rPr>
            </w:pPr>
          </w:p>
        </w:tc>
      </w:tr>
      <w:tr>
        <w:trPr>
          <w:trHeight w:val="135"/>
        </w:trPr>
        <w:tc>
          <w:tcPr>
            <w:tcW w:w="38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jc w:val="center"/>
              <w:ind w:right="41"/>
              <w:spacing w:after="0" w:line="135" w:lineRule="exact"/>
              <w:rPr>
                <w:sz w:val="20"/>
                <w:szCs w:val="20"/>
                <w:color w:val="auto"/>
              </w:rPr>
            </w:pPr>
            <w:r>
              <w:rPr>
                <w:rFonts w:ascii="Arial" w:cs="Arial" w:eastAsia="Arial" w:hAnsi="Arial"/>
                <w:sz w:val="14"/>
                <w:szCs w:val="14"/>
                <w:b w:val="1"/>
                <w:bCs w:val="1"/>
                <w:color w:val="auto"/>
                <w:w w:val="95"/>
              </w:rPr>
              <w:t>on Derivative</w:t>
            </w:r>
          </w:p>
        </w:tc>
        <w:tc>
          <w:tcPr>
            <w:tcW w:w="0" w:type="dxa"/>
            <w:vAlign w:val="bottom"/>
          </w:tcPr>
          <w:p>
            <w:pPr>
              <w:spacing w:after="0"/>
              <w:rPr>
                <w:sz w:val="1"/>
                <w:szCs w:val="1"/>
                <w:color w:val="auto"/>
              </w:rPr>
            </w:pPr>
          </w:p>
        </w:tc>
      </w:tr>
      <w:tr>
        <w:trPr>
          <w:trHeight w:val="135"/>
        </w:trPr>
        <w:tc>
          <w:tcPr>
            <w:tcW w:w="38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160" w:type="dxa"/>
            <w:vAlign w:val="bottom"/>
            <w:vMerge w:val="restart"/>
          </w:tcPr>
          <w:p>
            <w:pPr>
              <w:jc w:val="right"/>
              <w:ind w:right="380"/>
              <w:spacing w:after="0"/>
              <w:rPr>
                <w:sz w:val="20"/>
                <w:szCs w:val="20"/>
                <w:color w:val="auto"/>
              </w:rPr>
            </w:pPr>
            <w:r>
              <w:rPr>
                <w:rFonts w:ascii="Arial" w:cs="Arial" w:eastAsia="Arial" w:hAnsi="Arial"/>
                <w:sz w:val="14"/>
                <w:szCs w:val="14"/>
                <w:b w:val="1"/>
                <w:bCs w:val="1"/>
                <w:color w:val="auto"/>
                <w:w w:val="99"/>
              </w:rPr>
              <w:t>Beginning</w:t>
            </w:r>
          </w:p>
        </w:tc>
        <w:tc>
          <w:tcPr>
            <w:tcW w:w="1240" w:type="dxa"/>
            <w:vAlign w:val="bottom"/>
          </w:tcPr>
          <w:p>
            <w:pPr>
              <w:spacing w:after="0"/>
              <w:rPr>
                <w:sz w:val="11"/>
                <w:szCs w:val="11"/>
                <w:color w:val="auto"/>
              </w:rPr>
            </w:pPr>
          </w:p>
        </w:tc>
        <w:tc>
          <w:tcPr>
            <w:tcW w:w="1200" w:type="dxa"/>
            <w:vAlign w:val="bottom"/>
          </w:tcPr>
          <w:p>
            <w:pPr>
              <w:jc w:val="center"/>
              <w:ind w:right="1"/>
              <w:spacing w:after="0" w:line="135" w:lineRule="exact"/>
              <w:rPr>
                <w:sz w:val="20"/>
                <w:szCs w:val="20"/>
                <w:color w:val="auto"/>
              </w:rPr>
            </w:pPr>
            <w:r>
              <w:rPr>
                <w:rFonts w:ascii="Arial" w:cs="Arial" w:eastAsia="Arial" w:hAnsi="Arial"/>
                <w:sz w:val="14"/>
                <w:szCs w:val="14"/>
                <w:b w:val="1"/>
                <w:bCs w:val="1"/>
                <w:color w:val="auto"/>
                <w:w w:val="95"/>
              </w:rPr>
              <w:t>Termination,</w:t>
            </w:r>
          </w:p>
        </w:tc>
        <w:tc>
          <w:tcPr>
            <w:tcW w:w="300" w:type="dxa"/>
            <w:vAlign w:val="bottom"/>
          </w:tcPr>
          <w:p>
            <w:pPr>
              <w:spacing w:after="0"/>
              <w:rPr>
                <w:sz w:val="11"/>
                <w:szCs w:val="11"/>
                <w:color w:val="auto"/>
              </w:rPr>
            </w:pPr>
          </w:p>
        </w:tc>
        <w:tc>
          <w:tcPr>
            <w:tcW w:w="1160" w:type="dxa"/>
            <w:vAlign w:val="bottom"/>
            <w:gridSpan w:val="2"/>
            <w:vMerge w:val="restart"/>
          </w:tcPr>
          <w:p>
            <w:pPr>
              <w:jc w:val="center"/>
              <w:ind w:right="460"/>
              <w:spacing w:after="0"/>
              <w:rPr>
                <w:sz w:val="20"/>
                <w:szCs w:val="20"/>
                <w:color w:val="auto"/>
              </w:rPr>
            </w:pPr>
            <w:r>
              <w:rPr>
                <w:rFonts w:ascii="Arial" w:cs="Arial" w:eastAsia="Arial" w:hAnsi="Arial"/>
                <w:sz w:val="14"/>
                <w:szCs w:val="14"/>
                <w:b w:val="1"/>
                <w:bCs w:val="1"/>
                <w:color w:val="auto"/>
                <w:w w:val="96"/>
              </w:rPr>
              <w:t>Ending</w:t>
            </w:r>
          </w:p>
        </w:tc>
        <w:tc>
          <w:tcPr>
            <w:tcW w:w="120" w:type="dxa"/>
            <w:vAlign w:val="bottom"/>
          </w:tcPr>
          <w:p>
            <w:pPr>
              <w:spacing w:after="0"/>
              <w:rPr>
                <w:sz w:val="11"/>
                <w:szCs w:val="11"/>
                <w:color w:val="auto"/>
              </w:rPr>
            </w:pPr>
          </w:p>
        </w:tc>
        <w:tc>
          <w:tcPr>
            <w:tcW w:w="1200" w:type="dxa"/>
            <w:vAlign w:val="bottom"/>
          </w:tcPr>
          <w:p>
            <w:pPr>
              <w:jc w:val="center"/>
              <w:ind w:right="61"/>
              <w:spacing w:after="0" w:line="135" w:lineRule="exact"/>
              <w:rPr>
                <w:sz w:val="20"/>
                <w:szCs w:val="20"/>
                <w:color w:val="auto"/>
              </w:rPr>
            </w:pPr>
            <w:r>
              <w:rPr>
                <w:rFonts w:ascii="Arial" w:cs="Arial" w:eastAsia="Arial" w:hAnsi="Arial"/>
                <w:sz w:val="14"/>
                <w:szCs w:val="14"/>
                <w:b w:val="1"/>
                <w:bCs w:val="1"/>
                <w:color w:val="auto"/>
                <w:w w:val="93"/>
              </w:rPr>
              <w:t>Instruments and</w:t>
            </w:r>
          </w:p>
        </w:tc>
        <w:tc>
          <w:tcPr>
            <w:tcW w:w="0" w:type="dxa"/>
            <w:vAlign w:val="bottom"/>
          </w:tcPr>
          <w:p>
            <w:pPr>
              <w:spacing w:after="0"/>
              <w:rPr>
                <w:sz w:val="1"/>
                <w:szCs w:val="1"/>
                <w:color w:val="auto"/>
              </w:rPr>
            </w:pPr>
          </w:p>
        </w:tc>
      </w:tr>
      <w:tr>
        <w:trPr>
          <w:trHeight w:val="135"/>
        </w:trPr>
        <w:tc>
          <w:tcPr>
            <w:tcW w:w="38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960" w:type="dxa"/>
            <w:vAlign w:val="bottom"/>
          </w:tcPr>
          <w:p>
            <w:pPr>
              <w:spacing w:after="0"/>
              <w:rPr>
                <w:sz w:val="11"/>
                <w:szCs w:val="11"/>
                <w:color w:val="auto"/>
              </w:rPr>
            </w:pPr>
          </w:p>
        </w:tc>
        <w:tc>
          <w:tcPr>
            <w:tcW w:w="1160" w:type="dxa"/>
            <w:vAlign w:val="bottom"/>
            <w:vMerge w:val="continue"/>
          </w:tcPr>
          <w:p>
            <w:pPr>
              <w:spacing w:after="0"/>
              <w:rPr>
                <w:sz w:val="11"/>
                <w:szCs w:val="11"/>
                <w:color w:val="auto"/>
              </w:rPr>
            </w:pPr>
          </w:p>
        </w:tc>
        <w:tc>
          <w:tcPr>
            <w:tcW w:w="124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Additions</w:t>
            </w:r>
          </w:p>
        </w:tc>
        <w:tc>
          <w:tcPr>
            <w:tcW w:w="1200" w:type="dxa"/>
            <w:vAlign w:val="bottom"/>
          </w:tcPr>
          <w:p>
            <w:pPr>
              <w:jc w:val="center"/>
              <w:ind w:right="1"/>
              <w:spacing w:after="0" w:line="135" w:lineRule="exact"/>
              <w:rPr>
                <w:sz w:val="20"/>
                <w:szCs w:val="20"/>
                <w:color w:val="auto"/>
              </w:rPr>
            </w:pPr>
            <w:r>
              <w:rPr>
                <w:rFonts w:ascii="Arial" w:cs="Arial" w:eastAsia="Arial" w:hAnsi="Arial"/>
                <w:sz w:val="14"/>
                <w:szCs w:val="14"/>
                <w:b w:val="1"/>
                <w:bCs w:val="1"/>
                <w:color w:val="auto"/>
                <w:w w:val="97"/>
              </w:rPr>
              <w:t>Expiration or</w:t>
            </w:r>
          </w:p>
        </w:tc>
        <w:tc>
          <w:tcPr>
            <w:tcW w:w="30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jc w:val="center"/>
              <w:ind w:right="41"/>
              <w:spacing w:after="0" w:line="135" w:lineRule="exact"/>
              <w:rPr>
                <w:sz w:val="20"/>
                <w:szCs w:val="20"/>
                <w:color w:val="auto"/>
              </w:rPr>
            </w:pPr>
            <w:r>
              <w:rPr>
                <w:rFonts w:ascii="Arial" w:cs="Arial" w:eastAsia="Arial" w:hAnsi="Arial"/>
                <w:sz w:val="14"/>
                <w:szCs w:val="14"/>
                <w:b w:val="1"/>
                <w:bCs w:val="1"/>
                <w:color w:val="auto"/>
                <w:w w:val="92"/>
              </w:rPr>
              <w:t>Other Securities,</w:t>
            </w:r>
          </w:p>
        </w:tc>
        <w:tc>
          <w:tcPr>
            <w:tcW w:w="0" w:type="dxa"/>
            <w:vAlign w:val="bottom"/>
          </w:tcPr>
          <w:p>
            <w:pPr>
              <w:spacing w:after="0"/>
              <w:rPr>
                <w:sz w:val="1"/>
                <w:szCs w:val="1"/>
                <w:color w:val="auto"/>
              </w:rPr>
            </w:pPr>
          </w:p>
        </w:tc>
      </w:tr>
      <w:tr>
        <w:trPr>
          <w:trHeight w:val="189"/>
        </w:trPr>
        <w:tc>
          <w:tcPr>
            <w:tcW w:w="3860" w:type="dxa"/>
            <w:vAlign w:val="bottom"/>
            <w:vMerge w:val="continue"/>
          </w:tcPr>
          <w:p>
            <w:pPr>
              <w:spacing w:after="0"/>
              <w:rPr>
                <w:sz w:val="16"/>
                <w:szCs w:val="16"/>
                <w:color w:val="auto"/>
              </w:rPr>
            </w:pPr>
          </w:p>
        </w:tc>
        <w:tc>
          <w:tcPr>
            <w:tcW w:w="212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Notional Amount</w:t>
            </w:r>
          </w:p>
        </w:tc>
        <w:tc>
          <w:tcPr>
            <w:tcW w:w="1240" w:type="dxa"/>
            <w:vAlign w:val="bottom"/>
            <w:vMerge w:val="continue"/>
          </w:tcPr>
          <w:p>
            <w:pPr>
              <w:spacing w:after="0"/>
              <w:rPr>
                <w:sz w:val="16"/>
                <w:szCs w:val="16"/>
                <w:color w:val="auto"/>
              </w:rPr>
            </w:pPr>
          </w:p>
        </w:tc>
        <w:tc>
          <w:tcPr>
            <w:tcW w:w="1200" w:type="dxa"/>
            <w:vAlign w:val="bottom"/>
          </w:tcPr>
          <w:p>
            <w:pPr>
              <w:jc w:val="center"/>
              <w:ind w:right="1"/>
              <w:spacing w:after="0"/>
              <w:rPr>
                <w:sz w:val="20"/>
                <w:szCs w:val="20"/>
                <w:color w:val="auto"/>
              </w:rPr>
            </w:pPr>
            <w:r>
              <w:rPr>
                <w:rFonts w:ascii="Arial" w:cs="Arial" w:eastAsia="Arial" w:hAnsi="Arial"/>
                <w:sz w:val="14"/>
                <w:szCs w:val="14"/>
                <w:b w:val="1"/>
                <w:bCs w:val="1"/>
                <w:color w:val="auto"/>
                <w:w w:val="90"/>
              </w:rPr>
              <w:t>Exercise</w:t>
            </w:r>
          </w:p>
        </w:tc>
        <w:tc>
          <w:tcPr>
            <w:tcW w:w="146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3"/>
              </w:rPr>
              <w:t>Notional Amount</w:t>
            </w:r>
          </w:p>
        </w:tc>
        <w:tc>
          <w:tcPr>
            <w:tcW w:w="120" w:type="dxa"/>
            <w:vAlign w:val="bottom"/>
          </w:tcPr>
          <w:p>
            <w:pPr>
              <w:spacing w:after="0"/>
              <w:rPr>
                <w:sz w:val="16"/>
                <w:szCs w:val="16"/>
                <w:color w:val="auto"/>
              </w:rPr>
            </w:pPr>
          </w:p>
        </w:tc>
        <w:tc>
          <w:tcPr>
            <w:tcW w:w="1200" w:type="dxa"/>
            <w:vAlign w:val="bottom"/>
          </w:tcPr>
          <w:p>
            <w:pPr>
              <w:jc w:val="center"/>
              <w:ind w:right="61"/>
              <w:spacing w:after="0" w:line="189" w:lineRule="exact"/>
              <w:rPr>
                <w:sz w:val="20"/>
                <w:szCs w:val="20"/>
                <w:color w:val="auto"/>
              </w:rPr>
            </w:pPr>
            <w:r>
              <w:rPr>
                <w:rFonts w:ascii="Arial" w:cs="Arial" w:eastAsia="Arial" w:hAnsi="Arial"/>
                <w:sz w:val="14"/>
                <w:szCs w:val="14"/>
                <w:b w:val="1"/>
                <w:bCs w:val="1"/>
                <w:color w:val="auto"/>
                <w:w w:val="90"/>
              </w:rPr>
              <w:t xml:space="preserve">Net </w:t>
            </w:r>
            <w:r>
              <w:rPr>
                <w:rFonts w:ascii="Arial" w:cs="Arial" w:eastAsia="Arial" w:hAnsi="Arial"/>
                <w:sz w:val="18"/>
                <w:szCs w:val="18"/>
                <w:b w:val="1"/>
                <w:bCs w:val="1"/>
                <w:color w:val="auto"/>
                <w:w w:val="90"/>
                <w:vertAlign w:val="superscript"/>
              </w:rPr>
              <w:t>1</w:t>
            </w:r>
          </w:p>
        </w:tc>
        <w:tc>
          <w:tcPr>
            <w:tcW w:w="0" w:type="dxa"/>
            <w:vAlign w:val="bottom"/>
          </w:tcPr>
          <w:p>
            <w:pPr>
              <w:spacing w:after="0"/>
              <w:rPr>
                <w:sz w:val="1"/>
                <w:szCs w:val="1"/>
                <w:color w:val="auto"/>
              </w:rPr>
            </w:pPr>
          </w:p>
        </w:tc>
      </w:tr>
      <w:tr>
        <w:trPr>
          <w:trHeight w:val="216"/>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September 30, 2020:</w:t>
            </w:r>
          </w:p>
        </w:tc>
        <w:tc>
          <w:tcPr>
            <w:tcW w:w="9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19,760</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80,599</w:t>
            </w:r>
          </w:p>
        </w:tc>
        <w:tc>
          <w:tcPr>
            <w:tcW w:w="1200" w:type="dxa"/>
            <w:vAlign w:val="bottom"/>
          </w:tcPr>
          <w:p>
            <w:pPr>
              <w:jc w:val="right"/>
              <w:spacing w:after="0"/>
              <w:rPr>
                <w:sz w:val="20"/>
                <w:szCs w:val="20"/>
                <w:color w:val="auto"/>
              </w:rPr>
            </w:pPr>
            <w:r>
              <w:rPr>
                <w:rFonts w:ascii="Arial" w:cs="Arial" w:eastAsia="Arial" w:hAnsi="Arial"/>
                <w:sz w:val="16"/>
                <w:szCs w:val="16"/>
                <w:color w:val="auto"/>
              </w:rPr>
              <w:t>(71,838)</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28,521</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283</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42,075</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24,975</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(24,075)</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42,975</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Payer swaptions</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9,350</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(2,450)</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6,900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(7,247)</w:t>
            </w:r>
          </w:p>
        </w:tc>
        <w:tc>
          <w:tcPr>
            <w:tcW w:w="12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(2,735)</w:t>
            </w:r>
          </w:p>
        </w:tc>
        <w:tc>
          <w:tcPr>
            <w:tcW w:w="120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2,255</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(7,727)</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U.S. Treasury securities - long position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1,132</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(1,133)</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60"/>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6"/>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(1,000)</w:t>
            </w:r>
          </w:p>
        </w:tc>
        <w:tc>
          <w:tcPr>
            <w:tcW w:w="12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(1,000)</w:t>
            </w:r>
          </w:p>
        </w:tc>
        <w:tc>
          <w:tcPr>
            <w:tcW w:w="1200" w:type="dxa"/>
            <w:vAlign w:val="bottom"/>
            <w:shd w:val="clear" w:color="auto" w:fill="CCEEFF"/>
          </w:tcPr>
          <w:p>
            <w:pPr>
              <w:jc w:val="right"/>
              <w:ind w:right="21"/>
              <w:spacing w:after="0"/>
              <w:rPr>
                <w:sz w:val="20"/>
                <w:szCs w:val="20"/>
                <w:color w:val="auto"/>
              </w:rPr>
            </w:pPr>
            <w:r>
              <w:rPr>
                <w:rFonts w:ascii="Arial" w:cs="Arial" w:eastAsia="Arial" w:hAnsi="Arial"/>
                <w:sz w:val="16"/>
                <w:szCs w:val="16"/>
                <w:color w:val="auto"/>
              </w:rPr>
              <w:t>1,000</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50"/>
        </w:trPr>
        <w:tc>
          <w:tcPr>
            <w:tcW w:w="38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403</w:t>
            </w:r>
          </w:p>
        </w:tc>
        <w:tc>
          <w:tcPr>
            <w:tcW w:w="0" w:type="dxa"/>
            <w:vAlign w:val="bottom"/>
          </w:tcPr>
          <w:p>
            <w:pPr>
              <w:spacing w:after="0"/>
              <w:rPr>
                <w:sz w:val="1"/>
                <w:szCs w:val="1"/>
                <w:color w:val="auto"/>
              </w:rPr>
            </w:pPr>
          </w:p>
        </w:tc>
      </w:tr>
      <w:tr>
        <w:trPr>
          <w:trHeight w:val="186"/>
        </w:trPr>
        <w:tc>
          <w:tcPr>
            <w:tcW w:w="3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 September 30, 2019:</w:t>
            </w:r>
          </w:p>
        </w:tc>
        <w:tc>
          <w:tcPr>
            <w:tcW w:w="960" w:type="dxa"/>
            <w:vAlign w:val="bottom"/>
            <w:tcBorders>
              <w:top w:val="single" w:sz="8" w:color="CCEEFF"/>
            </w:tcBorders>
            <w:shd w:val="clear" w:color="auto" w:fill="CCEEFF"/>
          </w:tcPr>
          <w:p>
            <w:pPr>
              <w:spacing w:after="0"/>
              <w:rPr>
                <w:sz w:val="16"/>
                <w:szCs w:val="16"/>
                <w:color w:val="auto"/>
              </w:rPr>
            </w:pPr>
          </w:p>
        </w:tc>
        <w:tc>
          <w:tcPr>
            <w:tcW w:w="1160" w:type="dxa"/>
            <w:vAlign w:val="bottom"/>
            <w:tcBorders>
              <w:top w:val="single" w:sz="8" w:color="CCEEFF"/>
            </w:tcBorders>
            <w:shd w:val="clear" w:color="auto" w:fill="CCEEFF"/>
          </w:tcPr>
          <w:p>
            <w:pPr>
              <w:spacing w:after="0"/>
              <w:rPr>
                <w:sz w:val="16"/>
                <w:szCs w:val="16"/>
                <w:color w:val="auto"/>
              </w:rPr>
            </w:pPr>
          </w:p>
        </w:tc>
        <w:tc>
          <w:tcPr>
            <w:tcW w:w="1240" w:type="dxa"/>
            <w:vAlign w:val="bottom"/>
            <w:tcBorders>
              <w:top w:val="single" w:sz="8" w:color="CCEEFF"/>
            </w:tcBorders>
            <w:shd w:val="clear" w:color="auto" w:fill="CCEEFF"/>
          </w:tcPr>
          <w:p>
            <w:pPr>
              <w:spacing w:after="0"/>
              <w:rPr>
                <w:sz w:val="16"/>
                <w:szCs w:val="16"/>
                <w:color w:val="auto"/>
              </w:rPr>
            </w:pPr>
          </w:p>
        </w:tc>
        <w:tc>
          <w:tcPr>
            <w:tcW w:w="1200" w:type="dxa"/>
            <w:vAlign w:val="bottom"/>
            <w:tcBorders>
              <w:top w:val="single" w:sz="8" w:color="CCEEFF"/>
            </w:tcBorders>
            <w:shd w:val="clear" w:color="auto" w:fill="CCEEFF"/>
          </w:tcPr>
          <w:p>
            <w:pPr>
              <w:spacing w:after="0"/>
              <w:rPr>
                <w:sz w:val="16"/>
                <w:szCs w:val="16"/>
                <w:color w:val="auto"/>
              </w:rPr>
            </w:pPr>
          </w:p>
        </w:tc>
        <w:tc>
          <w:tcPr>
            <w:tcW w:w="300" w:type="dxa"/>
            <w:vAlign w:val="bottom"/>
            <w:tcBorders>
              <w:top w:val="single" w:sz="8" w:color="CCEEFF"/>
            </w:tcBorders>
            <w:shd w:val="clear" w:color="auto" w:fill="CCEEFF"/>
          </w:tcPr>
          <w:p>
            <w:pPr>
              <w:spacing w:after="0"/>
              <w:rPr>
                <w:sz w:val="16"/>
                <w:szCs w:val="16"/>
                <w:color w:val="auto"/>
              </w:rPr>
            </w:pPr>
          </w:p>
        </w:tc>
        <w:tc>
          <w:tcPr>
            <w:tcW w:w="1060" w:type="dxa"/>
            <w:vAlign w:val="bottom"/>
            <w:tcBorders>
              <w:top w:val="single" w:sz="8" w:color="CCEEFF"/>
              <w:right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2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11,043</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24,305</w:t>
            </w:r>
          </w:p>
        </w:tc>
        <w:tc>
          <w:tcPr>
            <w:tcW w:w="1200" w:type="dxa"/>
            <w:vAlign w:val="bottom"/>
          </w:tcPr>
          <w:p>
            <w:pPr>
              <w:jc w:val="right"/>
              <w:spacing w:after="0"/>
              <w:rPr>
                <w:sz w:val="20"/>
                <w:szCs w:val="20"/>
                <w:color w:val="auto"/>
              </w:rPr>
            </w:pPr>
            <w:r>
              <w:rPr>
                <w:rFonts w:ascii="Arial" w:cs="Arial" w:eastAsia="Arial" w:hAnsi="Arial"/>
                <w:sz w:val="16"/>
                <w:szCs w:val="16"/>
                <w:color w:val="auto"/>
              </w:rPr>
              <w:t>(33,381)</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1,967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144</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74,950</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82,625</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(75,800)</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81,775</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(482)</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Interest rate swaps - receiver</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80"/>
              <w:spacing w:after="0"/>
              <w:rPr>
                <w:sz w:val="20"/>
                <w:szCs w:val="20"/>
                <w:color w:val="auto"/>
              </w:rPr>
            </w:pPr>
            <w:r>
              <w:rPr>
                <w:rFonts w:ascii="Arial" w:cs="Arial" w:eastAsia="Arial" w:hAnsi="Arial"/>
                <w:sz w:val="16"/>
                <w:szCs w:val="16"/>
                <w:color w:val="auto"/>
              </w:rPr>
              <w:t>(175)</w:t>
            </w:r>
          </w:p>
        </w:tc>
        <w:tc>
          <w:tcPr>
            <w:tcW w:w="1200" w:type="dxa"/>
            <w:vAlign w:val="bottom"/>
          </w:tcPr>
          <w:p>
            <w:pPr>
              <w:jc w:val="right"/>
              <w:ind w:right="21"/>
              <w:spacing w:after="0"/>
              <w:rPr>
                <w:sz w:val="20"/>
                <w:szCs w:val="20"/>
                <w:color w:val="auto"/>
              </w:rPr>
            </w:pPr>
            <w:r>
              <w:rPr>
                <w:rFonts w:ascii="Arial" w:cs="Arial" w:eastAsia="Arial" w:hAnsi="Arial"/>
                <w:sz w:val="16"/>
                <w:szCs w:val="16"/>
                <w:color w:val="auto"/>
              </w:rPr>
              <w:t>175</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4,400</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4,500</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(250)</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8,650</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960" w:type="dxa"/>
            <w:vAlign w:val="bottom"/>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20"/>
              <w:spacing w:after="0"/>
              <w:rPr>
                <w:sz w:val="20"/>
                <w:szCs w:val="20"/>
                <w:color w:val="auto"/>
              </w:rPr>
            </w:pPr>
            <w:r>
              <w:rPr>
                <w:rFonts w:ascii="Arial" w:cs="Arial" w:eastAsia="Arial" w:hAnsi="Arial"/>
                <w:sz w:val="16"/>
                <w:szCs w:val="16"/>
                <w:color w:val="auto"/>
              </w:rPr>
              <w:t>(7,245)</w:t>
            </w:r>
          </w:p>
        </w:tc>
        <w:tc>
          <w:tcPr>
            <w:tcW w:w="1240" w:type="dxa"/>
            <w:vAlign w:val="bottom"/>
          </w:tcPr>
          <w:p>
            <w:pPr>
              <w:jc w:val="right"/>
              <w:ind w:right="80"/>
              <w:spacing w:after="0"/>
              <w:rPr>
                <w:sz w:val="20"/>
                <w:szCs w:val="20"/>
                <w:color w:val="auto"/>
              </w:rPr>
            </w:pPr>
            <w:r>
              <w:rPr>
                <w:rFonts w:ascii="Arial" w:cs="Arial" w:eastAsia="Arial" w:hAnsi="Arial"/>
                <w:sz w:val="16"/>
                <w:szCs w:val="16"/>
                <w:color w:val="auto"/>
              </w:rPr>
              <w:t>(98)</w:t>
            </w:r>
          </w:p>
        </w:tc>
        <w:tc>
          <w:tcPr>
            <w:tcW w:w="1200" w:type="dxa"/>
            <w:vAlign w:val="bottom"/>
          </w:tcPr>
          <w:p>
            <w:pPr>
              <w:jc w:val="right"/>
              <w:ind w:right="21"/>
              <w:spacing w:after="0"/>
              <w:rPr>
                <w:sz w:val="20"/>
                <w:szCs w:val="20"/>
                <w:color w:val="auto"/>
              </w:rPr>
            </w:pPr>
            <w:r>
              <w:rPr>
                <w:rFonts w:ascii="Arial" w:cs="Arial" w:eastAsia="Arial" w:hAnsi="Arial"/>
                <w:sz w:val="16"/>
                <w:szCs w:val="16"/>
                <w:color w:val="auto"/>
              </w:rPr>
              <w:t>2,710</w:t>
            </w:r>
          </w:p>
        </w:tc>
        <w:tc>
          <w:tcPr>
            <w:tcW w:w="300" w:type="dxa"/>
            <w:vAlign w:val="bottom"/>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60"/>
              <w:spacing w:after="0"/>
              <w:rPr>
                <w:sz w:val="20"/>
                <w:szCs w:val="20"/>
                <w:color w:val="auto"/>
              </w:rPr>
            </w:pPr>
            <w:r>
              <w:rPr>
                <w:rFonts w:ascii="Arial" w:cs="Arial" w:eastAsia="Arial" w:hAnsi="Arial"/>
                <w:sz w:val="16"/>
                <w:szCs w:val="16"/>
                <w:color w:val="auto"/>
              </w:rPr>
              <w:t>(4,633)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(154)</w:t>
            </w:r>
          </w:p>
        </w:tc>
        <w:tc>
          <w:tcPr>
            <w:tcW w:w="0" w:type="dxa"/>
            <w:vAlign w:val="bottom"/>
          </w:tcPr>
          <w:p>
            <w:pPr>
              <w:spacing w:after="0"/>
              <w:rPr>
                <w:sz w:val="1"/>
                <w:szCs w:val="1"/>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96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1,134</w:t>
            </w:r>
          </w:p>
        </w:tc>
        <w:tc>
          <w:tcPr>
            <w:tcW w:w="12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353</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(1,278)</w:t>
            </w:r>
          </w:p>
        </w:tc>
        <w:tc>
          <w:tcPr>
            <w:tcW w:w="30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Arial" w:cs="Arial" w:eastAsia="Arial" w:hAnsi="Arial"/>
                <w:sz w:val="16"/>
                <w:szCs w:val="16"/>
                <w:color w:val="auto"/>
              </w:rPr>
              <w:t>209</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13"/>
        </w:trPr>
        <w:tc>
          <w:tcPr>
            <w:tcW w:w="38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960" w:type="dxa"/>
            <w:vAlign w:val="bottom"/>
            <w:tcBorders>
              <w:bottom w:val="single" w:sz="8" w:color="CCEEFF"/>
            </w:tcBorders>
          </w:tcPr>
          <w:p>
            <w:pPr>
              <w:jc w:val="right"/>
              <w:ind w:right="2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120"/>
              <w:spacing w:after="0"/>
              <w:rPr>
                <w:sz w:val="20"/>
                <w:szCs w:val="20"/>
                <w:color w:val="auto"/>
              </w:rPr>
            </w:pPr>
            <w:r>
              <w:rPr>
                <w:rFonts w:ascii="Arial" w:cs="Arial" w:eastAsia="Arial" w:hAnsi="Arial"/>
                <w:sz w:val="16"/>
                <w:szCs w:val="16"/>
                <w:color w:val="auto"/>
              </w:rPr>
              <w:t>(1,650)</w:t>
            </w:r>
          </w:p>
        </w:tc>
        <w:tc>
          <w:tcPr>
            <w:tcW w:w="1240" w:type="dxa"/>
            <w:vAlign w:val="bottom"/>
            <w:tcBorders>
              <w:bottom w:val="single" w:sz="8" w:color="CCEEFF"/>
            </w:tcBorders>
          </w:tcPr>
          <w:p>
            <w:pPr>
              <w:jc w:val="right"/>
              <w:ind w:right="80"/>
              <w:spacing w:after="0"/>
              <w:rPr>
                <w:sz w:val="20"/>
                <w:szCs w:val="20"/>
                <w:color w:val="auto"/>
              </w:rPr>
            </w:pPr>
            <w:r>
              <w:rPr>
                <w:rFonts w:ascii="Arial" w:cs="Arial" w:eastAsia="Arial" w:hAnsi="Arial"/>
                <w:sz w:val="16"/>
                <w:szCs w:val="16"/>
                <w:color w:val="auto"/>
              </w:rPr>
              <w:t>(1,000)</w:t>
            </w:r>
          </w:p>
        </w:tc>
        <w:tc>
          <w:tcPr>
            <w:tcW w:w="1200" w:type="dxa"/>
            <w:vAlign w:val="bottom"/>
            <w:tcBorders>
              <w:bottom w:val="single" w:sz="8" w:color="CCEEFF"/>
            </w:tcBorders>
          </w:tcPr>
          <w:p>
            <w:pPr>
              <w:jc w:val="right"/>
              <w:ind w:right="21"/>
              <w:spacing w:after="0"/>
              <w:rPr>
                <w:sz w:val="20"/>
                <w:szCs w:val="20"/>
                <w:color w:val="auto"/>
              </w:rPr>
            </w:pPr>
            <w:r>
              <w:rPr>
                <w:rFonts w:ascii="Arial" w:cs="Arial" w:eastAsia="Arial" w:hAnsi="Arial"/>
                <w:sz w:val="16"/>
                <w:szCs w:val="16"/>
                <w:color w:val="auto"/>
              </w:rPr>
              <w:t>1,650</w:t>
            </w:r>
          </w:p>
        </w:tc>
        <w:tc>
          <w:tcPr>
            <w:tcW w:w="300" w:type="dxa"/>
            <w:vAlign w:val="bottom"/>
            <w:tcBorders>
              <w:bottom w:val="single" w:sz="8" w:color="CCEEFF"/>
            </w:tcBorders>
          </w:tcPr>
          <w:p>
            <w:pPr>
              <w:jc w:val="right"/>
              <w:ind w:right="60"/>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right w:val="single" w:sz="8" w:color="auto"/>
            </w:tcBorders>
          </w:tcPr>
          <w:p>
            <w:pPr>
              <w:jc w:val="right"/>
              <w:ind w:right="60"/>
              <w:spacing w:after="0"/>
              <w:rPr>
                <w:sz w:val="20"/>
                <w:szCs w:val="20"/>
                <w:color w:val="auto"/>
              </w:rPr>
            </w:pPr>
            <w:r>
              <w:rPr>
                <w:rFonts w:ascii="Arial" w:cs="Arial" w:eastAsia="Arial" w:hAnsi="Arial"/>
                <w:sz w:val="16"/>
                <w:szCs w:val="16"/>
                <w:color w:val="auto"/>
              </w:rPr>
              <w:t>(1,000)</w:t>
            </w: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w:t>
            </w:r>
          </w:p>
        </w:tc>
        <w:tc>
          <w:tcPr>
            <w:tcW w:w="0" w:type="dxa"/>
            <w:vAlign w:val="bottom"/>
          </w:tcPr>
          <w:p>
            <w:pPr>
              <w:spacing w:after="0"/>
              <w:rPr>
                <w:sz w:val="1"/>
                <w:szCs w:val="1"/>
                <w:color w:val="auto"/>
              </w:rPr>
            </w:pPr>
          </w:p>
        </w:tc>
      </w:tr>
      <w:tr>
        <w:trPr>
          <w:trHeight w:val="235"/>
        </w:trPr>
        <w:tc>
          <w:tcPr>
            <w:tcW w:w="386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right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(546)</w:t>
            </w:r>
          </w:p>
        </w:tc>
        <w:tc>
          <w:tcPr>
            <w:tcW w:w="0" w:type="dxa"/>
            <w:vAlign w:val="bottom"/>
          </w:tcPr>
          <w:p>
            <w:pPr>
              <w:spacing w:after="0"/>
              <w:rPr>
                <w:sz w:val="1"/>
                <w:szCs w:val="1"/>
                <w:color w:val="auto"/>
              </w:rPr>
            </w:pPr>
          </w:p>
        </w:tc>
      </w:tr>
      <w:tr>
        <w:trPr>
          <w:trHeight w:val="20"/>
        </w:trPr>
        <w:tc>
          <w:tcPr>
            <w:tcW w:w="386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16"/>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Nine months ended September 30, 2020:</w:t>
            </w:r>
          </w:p>
        </w:tc>
        <w:tc>
          <w:tcPr>
            <w:tcW w:w="1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7,322</w:t>
            </w:r>
          </w:p>
        </w:tc>
        <w:tc>
          <w:tcPr>
            <w:tcW w:w="1260" w:type="dxa"/>
            <w:vAlign w:val="bottom"/>
          </w:tcPr>
          <w:p>
            <w:pPr>
              <w:jc w:val="right"/>
              <w:ind w:right="299"/>
              <w:spacing w:after="0"/>
              <w:rPr>
                <w:sz w:val="20"/>
                <w:szCs w:val="20"/>
                <w:color w:val="auto"/>
              </w:rPr>
            </w:pPr>
            <w:r>
              <w:rPr>
                <w:rFonts w:ascii="Arial" w:cs="Arial" w:eastAsia="Arial" w:hAnsi="Arial"/>
                <w:sz w:val="16"/>
                <w:szCs w:val="16"/>
                <w:color w:val="auto"/>
              </w:rPr>
              <w:t>193,535</w:t>
            </w:r>
          </w:p>
        </w:tc>
        <w:tc>
          <w:tcPr>
            <w:tcW w:w="1020" w:type="dxa"/>
            <w:vAlign w:val="bottom"/>
          </w:tcPr>
          <w:p>
            <w:pPr>
              <w:jc w:val="right"/>
              <w:spacing w:after="0"/>
              <w:rPr>
                <w:sz w:val="20"/>
                <w:szCs w:val="20"/>
                <w:color w:val="auto"/>
              </w:rPr>
            </w:pPr>
            <w:r>
              <w:rPr>
                <w:rFonts w:ascii="Arial" w:cs="Arial" w:eastAsia="Arial" w:hAnsi="Arial"/>
                <w:sz w:val="16"/>
                <w:szCs w:val="16"/>
                <w:color w:val="auto"/>
              </w:rPr>
              <w:t>(172,336)</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28,521</w:t>
            </w:r>
          </w:p>
        </w:tc>
        <w:tc>
          <w:tcPr>
            <w:tcW w:w="100" w:type="dxa"/>
            <w:vAlign w:val="bottom"/>
          </w:tcPr>
          <w:p>
            <w:pPr>
              <w:spacing w:after="0"/>
              <w:rPr>
                <w:sz w:val="18"/>
                <w:szCs w:val="18"/>
                <w:color w:val="auto"/>
              </w:rPr>
            </w:pPr>
          </w:p>
        </w:tc>
        <w:tc>
          <w:tcPr>
            <w:tcW w:w="460" w:type="dxa"/>
            <w:vAlign w:val="bottom"/>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1,196</w:t>
            </w: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79,075</w:t>
            </w:r>
          </w:p>
        </w:tc>
        <w:tc>
          <w:tcPr>
            <w:tcW w:w="126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rPr>
              <w:t>100,700</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(136,800)</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42,975</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(3,034)</w:t>
            </w: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Payer swaptions</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8,850</w:t>
            </w:r>
          </w:p>
        </w:tc>
        <w:tc>
          <w:tcPr>
            <w:tcW w:w="1260" w:type="dxa"/>
            <w:vAlign w:val="bottom"/>
          </w:tcPr>
          <w:p>
            <w:pPr>
              <w:jc w:val="right"/>
              <w:ind w:right="299"/>
              <w:spacing w:after="0"/>
              <w:rPr>
                <w:sz w:val="20"/>
                <w:szCs w:val="20"/>
                <w:color w:val="auto"/>
              </w:rPr>
            </w:pPr>
            <w:r>
              <w:rPr>
                <w:rFonts w:ascii="Arial" w:cs="Arial" w:eastAsia="Arial" w:hAnsi="Arial"/>
                <w:sz w:val="16"/>
                <w:szCs w:val="16"/>
                <w:color w:val="auto"/>
              </w:rPr>
              <w:t>2,000</w:t>
            </w:r>
          </w:p>
        </w:tc>
        <w:tc>
          <w:tcPr>
            <w:tcW w:w="1020" w:type="dxa"/>
            <w:vAlign w:val="bottom"/>
          </w:tcPr>
          <w:p>
            <w:pPr>
              <w:jc w:val="right"/>
              <w:spacing w:after="0"/>
              <w:rPr>
                <w:sz w:val="20"/>
                <w:szCs w:val="20"/>
                <w:color w:val="auto"/>
              </w:rPr>
            </w:pPr>
            <w:r>
              <w:rPr>
                <w:rFonts w:ascii="Arial" w:cs="Arial" w:eastAsia="Arial" w:hAnsi="Arial"/>
                <w:sz w:val="16"/>
                <w:szCs w:val="16"/>
                <w:color w:val="auto"/>
              </w:rPr>
              <w:t>(3,950)</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6,900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(149)</w:t>
            </w: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(9,224)</w:t>
            </w:r>
          </w:p>
        </w:tc>
        <w:tc>
          <w:tcPr>
            <w:tcW w:w="126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rPr>
              <w:t>(12,967)</w:t>
            </w:r>
          </w:p>
        </w:tc>
        <w:tc>
          <w:tcPr>
            <w:tcW w:w="10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14,464</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(7,727)</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(1,012)</w:t>
            </w: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95</w:t>
            </w:r>
          </w:p>
        </w:tc>
        <w:tc>
          <w:tcPr>
            <w:tcW w:w="1260" w:type="dxa"/>
            <w:vAlign w:val="bottom"/>
          </w:tcPr>
          <w:p>
            <w:pPr>
              <w:jc w:val="right"/>
              <w:ind w:right="299"/>
              <w:spacing w:after="0"/>
              <w:rPr>
                <w:sz w:val="20"/>
                <w:szCs w:val="20"/>
                <w:color w:val="auto"/>
              </w:rPr>
            </w:pPr>
            <w:r>
              <w:rPr>
                <w:rFonts w:ascii="Arial" w:cs="Arial" w:eastAsia="Arial" w:hAnsi="Arial"/>
                <w:sz w:val="16"/>
                <w:szCs w:val="16"/>
                <w:color w:val="auto"/>
              </w:rPr>
              <w:t>7,011</w:t>
            </w:r>
          </w:p>
        </w:tc>
        <w:tc>
          <w:tcPr>
            <w:tcW w:w="1020" w:type="dxa"/>
            <w:vAlign w:val="bottom"/>
          </w:tcPr>
          <w:p>
            <w:pPr>
              <w:jc w:val="right"/>
              <w:spacing w:after="0"/>
              <w:rPr>
                <w:sz w:val="20"/>
                <w:szCs w:val="20"/>
                <w:color w:val="auto"/>
              </w:rPr>
            </w:pPr>
            <w:r>
              <w:rPr>
                <w:rFonts w:ascii="Arial" w:cs="Arial" w:eastAsia="Arial" w:hAnsi="Arial"/>
                <w:sz w:val="16"/>
                <w:szCs w:val="16"/>
                <w:color w:val="auto"/>
              </w:rPr>
              <w:t>(7,107)</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102</w:t>
            </w:r>
          </w:p>
        </w:tc>
      </w:tr>
      <w:tr>
        <w:trPr>
          <w:trHeight w:val="216"/>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(1,000)</w:t>
            </w:r>
          </w:p>
        </w:tc>
        <w:tc>
          <w:tcPr>
            <w:tcW w:w="126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rPr>
              <w:t>(3,000)</w:t>
            </w:r>
          </w:p>
        </w:tc>
        <w:tc>
          <w:tcPr>
            <w:tcW w:w="10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3,000</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(1,000)</w:t>
            </w:r>
          </w:p>
        </w:tc>
        <w:tc>
          <w:tcPr>
            <w:tcW w:w="10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(117)</w:t>
            </w:r>
          </w:p>
        </w:tc>
      </w:tr>
      <w:tr>
        <w:trPr>
          <w:trHeight w:val="249"/>
        </w:trPr>
        <w:tc>
          <w:tcPr>
            <w:tcW w:w="38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4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(3,014)</w:t>
            </w:r>
          </w:p>
        </w:tc>
      </w:tr>
      <w:tr>
        <w:trPr>
          <w:trHeight w:val="186"/>
        </w:trPr>
        <w:tc>
          <w:tcPr>
            <w:tcW w:w="38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Nine months ended September 30, 2019:</w:t>
            </w:r>
          </w:p>
        </w:tc>
        <w:tc>
          <w:tcPr>
            <w:tcW w:w="1120" w:type="dxa"/>
            <w:vAlign w:val="bottom"/>
            <w:tcBorders>
              <w:top w:val="single" w:sz="8" w:color="CCEEFF"/>
            </w:tcBorders>
            <w:shd w:val="clear" w:color="auto" w:fill="CCEEFF"/>
          </w:tcPr>
          <w:p>
            <w:pPr>
              <w:spacing w:after="0"/>
              <w:rPr>
                <w:sz w:val="16"/>
                <w:szCs w:val="16"/>
                <w:color w:val="auto"/>
              </w:rPr>
            </w:pPr>
          </w:p>
        </w:tc>
        <w:tc>
          <w:tcPr>
            <w:tcW w:w="1160" w:type="dxa"/>
            <w:vAlign w:val="bottom"/>
            <w:tcBorders>
              <w:top w:val="single" w:sz="8" w:color="CCEEFF"/>
            </w:tcBorders>
            <w:shd w:val="clear" w:color="auto" w:fill="CCEEFF"/>
          </w:tcPr>
          <w:p>
            <w:pPr>
              <w:spacing w:after="0"/>
              <w:rPr>
                <w:sz w:val="16"/>
                <w:szCs w:val="16"/>
                <w:color w:val="auto"/>
              </w:rPr>
            </w:pPr>
          </w:p>
        </w:tc>
        <w:tc>
          <w:tcPr>
            <w:tcW w:w="1260" w:type="dxa"/>
            <w:vAlign w:val="bottom"/>
            <w:tcBorders>
              <w:top w:val="single" w:sz="8" w:color="CCEEFF"/>
            </w:tcBorders>
            <w:shd w:val="clear" w:color="auto" w:fill="CCEEFF"/>
          </w:tcPr>
          <w:p>
            <w:pPr>
              <w:spacing w:after="0"/>
              <w:rPr>
                <w:sz w:val="16"/>
                <w:szCs w:val="16"/>
                <w:color w:val="auto"/>
              </w:rPr>
            </w:pPr>
          </w:p>
        </w:tc>
        <w:tc>
          <w:tcPr>
            <w:tcW w:w="1020" w:type="dxa"/>
            <w:vAlign w:val="bottom"/>
            <w:tcBorders>
              <w:top w:val="single" w:sz="8" w:color="CCEEFF"/>
            </w:tcBorders>
            <w:shd w:val="clear" w:color="auto" w:fill="CCEEFF"/>
          </w:tcPr>
          <w:p>
            <w:pPr>
              <w:spacing w:after="0"/>
              <w:rPr>
                <w:sz w:val="16"/>
                <w:szCs w:val="16"/>
                <w:color w:val="auto"/>
              </w:rPr>
            </w:pPr>
          </w:p>
        </w:tc>
        <w:tc>
          <w:tcPr>
            <w:tcW w:w="440" w:type="dxa"/>
            <w:vAlign w:val="bottom"/>
            <w:tcBorders>
              <w:top w:val="single" w:sz="8" w:color="CCEEFF"/>
            </w:tcBorders>
            <w:shd w:val="clear" w:color="auto" w:fill="CCEEFF"/>
          </w:tcPr>
          <w:p>
            <w:pPr>
              <w:spacing w:after="0"/>
              <w:rPr>
                <w:sz w:val="16"/>
                <w:szCs w:val="16"/>
                <w:color w:val="auto"/>
              </w:rPr>
            </w:pPr>
          </w:p>
        </w:tc>
        <w:tc>
          <w:tcPr>
            <w:tcW w:w="920" w:type="dxa"/>
            <w:vAlign w:val="bottom"/>
            <w:tcBorders>
              <w:top w:val="single" w:sz="8" w:color="CCEEFF"/>
              <w:right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7,152</w:t>
            </w:r>
          </w:p>
        </w:tc>
        <w:tc>
          <w:tcPr>
            <w:tcW w:w="1260" w:type="dxa"/>
            <w:vAlign w:val="bottom"/>
          </w:tcPr>
          <w:p>
            <w:pPr>
              <w:jc w:val="right"/>
              <w:ind w:right="299"/>
              <w:spacing w:after="0"/>
              <w:rPr>
                <w:sz w:val="20"/>
                <w:szCs w:val="20"/>
                <w:color w:val="auto"/>
              </w:rPr>
            </w:pPr>
            <w:r>
              <w:rPr>
                <w:rFonts w:ascii="Arial" w:cs="Arial" w:eastAsia="Arial" w:hAnsi="Arial"/>
                <w:sz w:val="16"/>
                <w:szCs w:val="16"/>
                <w:color w:val="auto"/>
              </w:rPr>
              <w:t>70,606</w:t>
            </w:r>
          </w:p>
        </w:tc>
        <w:tc>
          <w:tcPr>
            <w:tcW w:w="1020" w:type="dxa"/>
            <w:vAlign w:val="bottom"/>
          </w:tcPr>
          <w:p>
            <w:pPr>
              <w:jc w:val="right"/>
              <w:spacing w:after="0"/>
              <w:rPr>
                <w:sz w:val="20"/>
                <w:szCs w:val="20"/>
                <w:color w:val="auto"/>
              </w:rPr>
            </w:pPr>
            <w:r>
              <w:rPr>
                <w:rFonts w:ascii="Arial" w:cs="Arial" w:eastAsia="Arial" w:hAnsi="Arial"/>
                <w:sz w:val="16"/>
                <w:szCs w:val="16"/>
                <w:color w:val="auto"/>
              </w:rPr>
              <w:t>(75,791)</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1,967</w:t>
            </w:r>
          </w:p>
        </w:tc>
        <w:tc>
          <w:tcPr>
            <w:tcW w:w="100" w:type="dxa"/>
            <w:vAlign w:val="bottom"/>
          </w:tcPr>
          <w:p>
            <w:pPr>
              <w:spacing w:after="0"/>
              <w:rPr>
                <w:sz w:val="18"/>
                <w:szCs w:val="18"/>
                <w:color w:val="auto"/>
              </w:rPr>
            </w:pPr>
          </w:p>
        </w:tc>
        <w:tc>
          <w:tcPr>
            <w:tcW w:w="460" w:type="dxa"/>
            <w:vAlign w:val="bottom"/>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390</w:t>
            </w: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51,625</w:t>
            </w:r>
          </w:p>
        </w:tc>
        <w:tc>
          <w:tcPr>
            <w:tcW w:w="126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rPr>
              <w:t>152,975</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(122,825)</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81,775</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(2,097)</w:t>
            </w: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Interest rate swaps - receiver</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19"/>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259"/>
              <w:spacing w:after="0"/>
              <w:rPr>
                <w:sz w:val="20"/>
                <w:szCs w:val="20"/>
                <w:color w:val="auto"/>
              </w:rPr>
            </w:pPr>
            <w:r>
              <w:rPr>
                <w:rFonts w:ascii="Arial" w:cs="Arial" w:eastAsia="Arial" w:hAnsi="Arial"/>
                <w:sz w:val="16"/>
                <w:szCs w:val="16"/>
                <w:color w:val="auto"/>
              </w:rPr>
              <w:t>(175)</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175</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3,500</w:t>
            </w:r>
          </w:p>
        </w:tc>
        <w:tc>
          <w:tcPr>
            <w:tcW w:w="126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rPr>
              <w:t>7,150</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8,650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w:t>
            </w:r>
          </w:p>
        </w:tc>
      </w:tr>
      <w:tr>
        <w:trPr>
          <w:trHeight w:val="213"/>
        </w:trPr>
        <w:tc>
          <w:tcPr>
            <w:tcW w:w="386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279"/>
              <w:spacing w:after="0"/>
              <w:rPr>
                <w:sz w:val="20"/>
                <w:szCs w:val="20"/>
                <w:color w:val="auto"/>
              </w:rPr>
            </w:pPr>
            <w:r>
              <w:rPr>
                <w:rFonts w:ascii="Arial" w:cs="Arial" w:eastAsia="Arial" w:hAnsi="Arial"/>
                <w:sz w:val="16"/>
                <w:szCs w:val="16"/>
                <w:color w:val="auto"/>
              </w:rPr>
              <w:t>(21,345)</w:t>
            </w:r>
          </w:p>
        </w:tc>
        <w:tc>
          <w:tcPr>
            <w:tcW w:w="1260" w:type="dxa"/>
            <w:vAlign w:val="bottom"/>
          </w:tcPr>
          <w:p>
            <w:pPr>
              <w:jc w:val="right"/>
              <w:ind w:right="259"/>
              <w:spacing w:after="0"/>
              <w:rPr>
                <w:sz w:val="20"/>
                <w:szCs w:val="20"/>
                <w:color w:val="auto"/>
              </w:rPr>
            </w:pPr>
            <w:r>
              <w:rPr>
                <w:rFonts w:ascii="Arial" w:cs="Arial" w:eastAsia="Arial" w:hAnsi="Arial"/>
                <w:sz w:val="16"/>
                <w:szCs w:val="16"/>
                <w:color w:val="auto"/>
              </w:rPr>
              <w:t>(7,404)</w:t>
            </w:r>
          </w:p>
        </w:tc>
        <w:tc>
          <w:tcPr>
            <w:tcW w:w="1020" w:type="dxa"/>
            <w:vAlign w:val="bottom"/>
          </w:tcPr>
          <w:p>
            <w:pPr>
              <w:jc w:val="right"/>
              <w:ind w:right="19"/>
              <w:spacing w:after="0"/>
              <w:rPr>
                <w:sz w:val="20"/>
                <w:szCs w:val="20"/>
                <w:color w:val="auto"/>
              </w:rPr>
            </w:pPr>
            <w:r>
              <w:rPr>
                <w:rFonts w:ascii="Arial" w:cs="Arial" w:eastAsia="Arial" w:hAnsi="Arial"/>
                <w:sz w:val="16"/>
                <w:szCs w:val="16"/>
                <w:color w:val="auto"/>
              </w:rPr>
              <w:t>24,116</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tcPr>
          <w:p>
            <w:pPr>
              <w:jc w:val="right"/>
              <w:ind w:right="59"/>
              <w:spacing w:after="0"/>
              <w:rPr>
                <w:sz w:val="20"/>
                <w:szCs w:val="20"/>
                <w:color w:val="auto"/>
              </w:rPr>
            </w:pPr>
            <w:r>
              <w:rPr>
                <w:rFonts w:ascii="Arial" w:cs="Arial" w:eastAsia="Arial" w:hAnsi="Arial"/>
                <w:sz w:val="16"/>
                <w:szCs w:val="16"/>
                <w:color w:val="auto"/>
              </w:rPr>
              <w:t>(4,633)</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(1,084)</w:t>
            </w:r>
          </w:p>
        </w:tc>
      </w:tr>
      <w:tr>
        <w:trPr>
          <w:trHeight w:val="219"/>
        </w:trPr>
        <w:tc>
          <w:tcPr>
            <w:tcW w:w="3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45</w:t>
            </w:r>
          </w:p>
        </w:tc>
        <w:tc>
          <w:tcPr>
            <w:tcW w:w="126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rPr>
              <w:t>1,776</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(1,612)</w:t>
            </w:r>
          </w:p>
        </w:tc>
        <w:tc>
          <w:tcPr>
            <w:tcW w:w="4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right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209</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w:t>
            </w:r>
          </w:p>
        </w:tc>
      </w:tr>
      <w:tr>
        <w:trPr>
          <w:trHeight w:val="213"/>
        </w:trPr>
        <w:tc>
          <w:tcPr>
            <w:tcW w:w="38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20" w:type="dxa"/>
            <w:vAlign w:val="bottom"/>
            <w:tcBorders>
              <w:bottom w:val="single" w:sz="8" w:color="CCEEFF"/>
            </w:tcBorders>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279"/>
              <w:spacing w:after="0"/>
              <w:rPr>
                <w:sz w:val="20"/>
                <w:szCs w:val="20"/>
                <w:color w:val="auto"/>
              </w:rPr>
            </w:pPr>
            <w:r>
              <w:rPr>
                <w:rFonts w:ascii="Arial" w:cs="Arial" w:eastAsia="Arial" w:hAnsi="Arial"/>
                <w:sz w:val="16"/>
                <w:szCs w:val="16"/>
                <w:color w:val="auto"/>
              </w:rPr>
              <w:t>(1,650)</w:t>
            </w:r>
          </w:p>
        </w:tc>
        <w:tc>
          <w:tcPr>
            <w:tcW w:w="1260" w:type="dxa"/>
            <w:vAlign w:val="bottom"/>
            <w:tcBorders>
              <w:bottom w:val="single" w:sz="8" w:color="CCEEFF"/>
            </w:tcBorders>
          </w:tcPr>
          <w:p>
            <w:pPr>
              <w:jc w:val="right"/>
              <w:ind w:right="259"/>
              <w:spacing w:after="0"/>
              <w:rPr>
                <w:sz w:val="20"/>
                <w:szCs w:val="20"/>
                <w:color w:val="auto"/>
              </w:rPr>
            </w:pPr>
            <w:r>
              <w:rPr>
                <w:rFonts w:ascii="Arial" w:cs="Arial" w:eastAsia="Arial" w:hAnsi="Arial"/>
                <w:sz w:val="16"/>
                <w:szCs w:val="16"/>
                <w:color w:val="auto"/>
              </w:rPr>
              <w:t>(4,300)</w:t>
            </w:r>
          </w:p>
        </w:tc>
        <w:tc>
          <w:tcPr>
            <w:tcW w:w="1020" w:type="dxa"/>
            <w:vAlign w:val="bottom"/>
            <w:tcBorders>
              <w:bottom w:val="single" w:sz="8" w:color="CCEEFF"/>
            </w:tcBorders>
          </w:tcPr>
          <w:p>
            <w:pPr>
              <w:jc w:val="right"/>
              <w:ind w:right="19"/>
              <w:spacing w:after="0"/>
              <w:rPr>
                <w:sz w:val="20"/>
                <w:szCs w:val="20"/>
                <w:color w:val="auto"/>
              </w:rPr>
            </w:pPr>
            <w:r>
              <w:rPr>
                <w:rFonts w:ascii="Arial" w:cs="Arial" w:eastAsia="Arial" w:hAnsi="Arial"/>
                <w:sz w:val="16"/>
                <w:szCs w:val="16"/>
                <w:color w:val="auto"/>
              </w:rPr>
              <w:t>4,950</w:t>
            </w:r>
          </w:p>
        </w:tc>
        <w:tc>
          <w:tcPr>
            <w:tcW w:w="440" w:type="dxa"/>
            <w:vAlign w:val="bottom"/>
            <w:tcBorders>
              <w:bottom w:val="single" w:sz="8" w:color="CCEEFF"/>
            </w:tcBorders>
          </w:tcPr>
          <w:p>
            <w:pPr>
              <w:jc w:val="right"/>
              <w:ind w:right="19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CCEEFF"/>
              <w:right w:val="single" w:sz="8" w:color="auto"/>
            </w:tcBorders>
          </w:tcPr>
          <w:p>
            <w:pPr>
              <w:jc w:val="right"/>
              <w:ind w:right="59"/>
              <w:spacing w:after="0"/>
              <w:rPr>
                <w:sz w:val="20"/>
                <w:szCs w:val="20"/>
                <w:color w:val="auto"/>
              </w:rPr>
            </w:pPr>
            <w:r>
              <w:rPr>
                <w:rFonts w:ascii="Arial" w:cs="Arial" w:eastAsia="Arial" w:hAnsi="Arial"/>
                <w:sz w:val="16"/>
                <w:szCs w:val="16"/>
                <w:color w:val="auto"/>
              </w:rPr>
              <w:t>(1,000)</w:t>
            </w:r>
          </w:p>
        </w:tc>
        <w:tc>
          <w:tcPr>
            <w:tcW w:w="10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w:t>
            </w:r>
          </w:p>
        </w:tc>
      </w:tr>
      <w:tr>
        <w:trPr>
          <w:trHeight w:val="235"/>
        </w:trPr>
        <w:tc>
          <w:tcPr>
            <w:tcW w:w="386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spacing w:after="0"/>
              <w:rPr>
                <w:sz w:val="19"/>
                <w:szCs w:val="19"/>
                <w:color w:val="auto"/>
              </w:rPr>
            </w:pPr>
          </w:p>
        </w:tc>
        <w:tc>
          <w:tcPr>
            <w:tcW w:w="440" w:type="dxa"/>
            <w:vAlign w:val="bottom"/>
            <w:tcBorders>
              <w:bottom w:val="single" w:sz="8" w:color="CCEEFF"/>
            </w:tcBorders>
            <w:shd w:val="clear" w:color="auto" w:fill="CCEEFF"/>
          </w:tcPr>
          <w:p>
            <w:pPr>
              <w:spacing w:after="0"/>
              <w:rPr>
                <w:sz w:val="19"/>
                <w:szCs w:val="19"/>
                <w:color w:val="auto"/>
              </w:rPr>
            </w:pPr>
          </w:p>
        </w:tc>
        <w:tc>
          <w:tcPr>
            <w:tcW w:w="920" w:type="dxa"/>
            <w:vAlign w:val="bottom"/>
            <w:tcBorders>
              <w:bottom w:val="single" w:sz="8" w:color="CCEEFF"/>
              <w:right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(2,979)</w:t>
            </w:r>
          </w:p>
        </w:tc>
      </w:tr>
      <w:tr>
        <w:trPr>
          <w:trHeight w:val="20"/>
        </w:trPr>
        <w:tc>
          <w:tcPr>
            <w:tcW w:w="386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bl>
    <w:p>
      <w:pPr>
        <w:spacing w:after="0" w:line="9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6474460</wp:posOffset>
            </wp:positionH>
            <wp:positionV relativeFrom="page">
              <wp:posOffset>594995</wp:posOffset>
            </wp:positionV>
            <wp:extent cx="84010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40105" cy="8890"/>
                    </a:xfrm>
                    <a:prstGeom prst="rect">
                      <a:avLst/>
                    </a:prstGeom>
                    <a:noFill/>
                  </pic:spPr>
                </pic:pic>
              </a:graphicData>
            </a:graphic>
          </wp:anchor>
        </w:drawing>
        <w:drawing>
          <wp:anchor simplePos="0" relativeHeight="251657728" behindDoc="1" locked="0" layoutInCell="0" allowOverlap="1">
            <wp:simplePos x="0" y="0"/>
            <wp:positionH relativeFrom="page">
              <wp:posOffset>6474460</wp:posOffset>
            </wp:positionH>
            <wp:positionV relativeFrom="page">
              <wp:posOffset>620395</wp:posOffset>
            </wp:positionV>
            <wp:extent cx="84010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40105" cy="8255"/>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9"/>
        </w:numPr>
        <w:rPr>
          <w:rFonts w:ascii="Arial" w:cs="Arial" w:eastAsia="Arial" w:hAnsi="Arial"/>
          <w:sz w:val="14"/>
          <w:szCs w:val="14"/>
          <w:color w:val="auto"/>
        </w:rPr>
      </w:pPr>
      <w:r>
        <w:rPr>
          <w:rFonts w:ascii="Arial" w:cs="Arial" w:eastAsia="Arial" w:hAnsi="Arial"/>
          <w:sz w:val="14"/>
          <w:szCs w:val="14"/>
          <w:color w:val="auto"/>
        </w:rPr>
        <w:t>Amounts exclude $146 million of losses on debt extinguishment for the nine months ended September 30, 2020 (see Note 5) and other miscellaneous gains and losses for all periods presented recognized in gain (loss) on derivative instruments and other securities, net in our consolidated statements of comprehensive income.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Pledged Assets</w:t>
      </w:r>
    </w:p>
    <w:p>
      <w:pPr>
        <w:spacing w:after="0" w:line="175" w:lineRule="exact"/>
        <w:rPr>
          <w:sz w:val="20"/>
          <w:szCs w:val="20"/>
          <w:color w:val="auto"/>
        </w:rPr>
      </w:pPr>
    </w:p>
    <w:p>
      <w:pPr>
        <w:jc w:val="both"/>
        <w:ind w:firstLine="405"/>
        <w:spacing w:after="0" w:line="27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27" w:lineRule="exact"/>
        <w:rPr>
          <w:sz w:val="20"/>
          <w:szCs w:val="20"/>
          <w:color w:val="auto"/>
        </w:rPr>
      </w:pPr>
    </w:p>
    <w:p>
      <w:pPr>
        <w:jc w:val="both"/>
        <w:ind w:firstLine="405"/>
        <w:spacing w:after="0" w:line="269" w:lineRule="auto"/>
        <w:rPr>
          <w:sz w:val="20"/>
          <w:szCs w:val="20"/>
          <w:color w:val="auto"/>
        </w:rPr>
      </w:pPr>
      <w:r>
        <w:rPr>
          <w:rFonts w:ascii="Arial" w:cs="Arial" w:eastAsia="Arial" w:hAnsi="Arial"/>
          <w:sz w:val="17"/>
          <w:szCs w:val="17"/>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28"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As of September 30, 2020, our maximum amount at risk with any counterparty related to our repurchase agreements, excluding the Fixed Income Clearing Corporation, was less than 2% of our tangible stockholders' equity (measured as the excess of the value of collateral pledged over the amount of our repurchase liabilities). As of September 30, 2020, approximately 10% of our tangible stockholder's equity was at risk with the Fixed Income Clearing Corporation.</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0"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i w:val="1"/>
          <w:iCs w:val="1"/>
          <w:color w:val="auto"/>
        </w:rPr>
        <w:t>Assets Pledged to Counterparties</w:t>
      </w:r>
    </w:p>
    <w:p>
      <w:pPr>
        <w:spacing w:after="0" w:line="171" w:lineRule="exact"/>
        <w:rPr>
          <w:sz w:val="20"/>
          <w:szCs w:val="20"/>
          <w:color w:val="auto"/>
        </w:rPr>
      </w:pPr>
    </w:p>
    <w:p>
      <w:pPr>
        <w:ind w:firstLine="445"/>
        <w:spacing w:after="0" w:line="284" w:lineRule="auto"/>
        <w:rPr>
          <w:sz w:val="20"/>
          <w:szCs w:val="20"/>
          <w:color w:val="auto"/>
        </w:rPr>
      </w:pPr>
      <w:r>
        <w:rPr>
          <w:rFonts w:ascii="Arial" w:cs="Arial" w:eastAsia="Arial" w:hAnsi="Arial"/>
          <w:sz w:val="17"/>
          <w:szCs w:val="17"/>
          <w:color w:val="auto"/>
        </w:rPr>
        <w:t>The following tables summarize our assets pledged as collateral under our funding, derivative and brokerage and clearing agreements by type, including securities pledged related to securities sold but not yet settled, as of September 30, 2020 and December 31, 2019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4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7"/>
          </w:tcPr>
          <w:p>
            <w:pPr>
              <w:ind w:left="960"/>
              <w:spacing w:after="0"/>
              <w:rPr>
                <w:sz w:val="20"/>
                <w:szCs w:val="20"/>
                <w:color w:val="auto"/>
              </w:rPr>
            </w:pPr>
            <w:r>
              <w:rPr>
                <w:rFonts w:ascii="Arial" w:cs="Arial" w:eastAsia="Arial" w:hAnsi="Arial"/>
                <w:sz w:val="14"/>
                <w:szCs w:val="14"/>
                <w:b w:val="1"/>
                <w:bCs w:val="1"/>
                <w:color w:val="auto"/>
              </w:rPr>
              <w:t>September 30, 2020</w:t>
            </w: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4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00" w:type="dxa"/>
            <w:vAlign w:val="bottom"/>
            <w:gridSpan w:val="3"/>
            <w:vMerge w:val="restart"/>
          </w:tcPr>
          <w:p>
            <w:pPr>
              <w:ind w:left="180"/>
              <w:spacing w:after="0"/>
              <w:rPr>
                <w:sz w:val="20"/>
                <w:szCs w:val="20"/>
                <w:color w:val="auto"/>
              </w:rPr>
            </w:pPr>
            <w:r>
              <w:rPr>
                <w:rFonts w:ascii="Arial" w:cs="Arial" w:eastAsia="Arial" w:hAnsi="Arial"/>
                <w:sz w:val="14"/>
                <w:szCs w:val="14"/>
                <w:b w:val="1"/>
                <w:bCs w:val="1"/>
                <w:color w:val="auto"/>
              </w:rPr>
              <w:t>Repurchase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Debt 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5"/>
              </w:rPr>
              <w:t>Derivative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3"/>
              </w:rPr>
              <w:t>Brokerage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42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0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6"/>
              </w:rPr>
              <w:t>Clearing</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4200" w:type="dxa"/>
            <w:vAlign w:val="bottom"/>
            <w:tcBorders>
              <w:bottom w:val="single" w:sz="8" w:color="auto"/>
            </w:tcBorders>
            <w:gridSpan w:val="2"/>
            <w:vMerge w:val="continue"/>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Agreements</w:t>
            </w:r>
          </w:p>
        </w:tc>
        <w:tc>
          <w:tcPr>
            <w:tcW w:w="400" w:type="dxa"/>
            <w:vAlign w:val="bottom"/>
            <w:tcBorders>
              <w:bottom w:val="single" w:sz="8" w:color="auto"/>
            </w:tcBorders>
          </w:tcPr>
          <w:p>
            <w:pPr>
              <w:jc w:val="right"/>
              <w:ind w:right="253"/>
              <w:spacing w:after="0"/>
              <w:rPr>
                <w:sz w:val="20"/>
                <w:szCs w:val="20"/>
                <w:color w:val="auto"/>
              </w:rPr>
            </w:pPr>
            <w:r>
              <w:rPr>
                <w:rFonts w:ascii="Arial" w:cs="Arial" w:eastAsia="Arial" w:hAnsi="Arial"/>
                <w:sz w:val="9"/>
                <w:szCs w:val="9"/>
                <w:b w:val="1"/>
                <w:bCs w:val="1"/>
                <w:color w:val="auto"/>
              </w:rPr>
              <w:t>2</w:t>
            </w: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Consolidated VIEs</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center"/>
              <w:ind w:right="160"/>
              <w:spacing w:after="0"/>
              <w:rPr>
                <w:sz w:val="20"/>
                <w:szCs w:val="20"/>
                <w:color w:val="auto"/>
              </w:rPr>
            </w:pPr>
            <w:r>
              <w:rPr>
                <w:rFonts w:ascii="Arial" w:cs="Arial" w:eastAsia="Arial" w:hAnsi="Arial"/>
                <w:sz w:val="14"/>
                <w:szCs w:val="14"/>
                <w:b w:val="1"/>
                <w:bCs w:val="1"/>
                <w:color w:val="auto"/>
                <w:w w:val="91"/>
              </w:rPr>
              <w:t>Agreements</w:t>
            </w: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jc w:val="center"/>
              <w:ind w:right="100"/>
              <w:spacing w:after="0" w:line="189" w:lineRule="exact"/>
              <w:rPr>
                <w:sz w:val="20"/>
                <w:szCs w:val="20"/>
                <w:color w:val="auto"/>
              </w:rPr>
            </w:pPr>
            <w:r>
              <w:rPr>
                <w:rFonts w:ascii="Arial" w:cs="Arial" w:eastAsia="Arial" w:hAnsi="Arial"/>
                <w:sz w:val="14"/>
                <w:szCs w:val="14"/>
                <w:b w:val="1"/>
                <w:bCs w:val="1"/>
                <w:color w:val="auto"/>
                <w:w w:val="89"/>
              </w:rPr>
              <w:t xml:space="preserve">Agreements </w:t>
            </w:r>
            <w:r>
              <w:rPr>
                <w:rFonts w:ascii="Arial" w:cs="Arial" w:eastAsia="Arial" w:hAnsi="Arial"/>
                <w:sz w:val="18"/>
                <w:szCs w:val="18"/>
                <w:b w:val="1"/>
                <w:bCs w:val="1"/>
                <w:color w:val="auto"/>
                <w:w w:val="89"/>
                <w:vertAlign w:val="superscript"/>
              </w:rPr>
              <w:t>3</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0" w:type="dxa"/>
            <w:vAlign w:val="bottom"/>
          </w:tcPr>
          <w:p>
            <w:pPr>
              <w:spacing w:after="0"/>
              <w:rPr>
                <w:sz w:val="15"/>
                <w:szCs w:val="15"/>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55,136</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405</w:t>
            </w:r>
          </w:p>
        </w:tc>
        <w:tc>
          <w:tcPr>
            <w:tcW w:w="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56,165</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40" w:type="dxa"/>
            <w:vAlign w:val="bottom"/>
          </w:tcPr>
          <w:p>
            <w:pPr>
              <w:spacing w:after="0"/>
              <w:rPr>
                <w:sz w:val="16"/>
                <w:szCs w:val="16"/>
                <w:color w:val="auto"/>
              </w:rPr>
            </w:pPr>
          </w:p>
        </w:tc>
        <w:tc>
          <w:tcPr>
            <w:tcW w:w="4200" w:type="dxa"/>
            <w:vAlign w:val="bottom"/>
            <w:gridSpan w:val="2"/>
          </w:tcPr>
          <w:p>
            <w:pPr>
              <w:ind w:left="20"/>
              <w:spacing w:after="0"/>
              <w:rPr>
                <w:sz w:val="20"/>
                <w:szCs w:val="20"/>
                <w:color w:val="auto"/>
              </w:rPr>
            </w:pPr>
            <w:r>
              <w:rPr>
                <w:rFonts w:ascii="Arial" w:cs="Arial" w:eastAsia="Arial" w:hAnsi="Arial"/>
                <w:sz w:val="14"/>
                <w:szCs w:val="14"/>
                <w:color w:val="auto"/>
              </w:rPr>
              <w:t>CRT - fair value</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423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423</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 fair value</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455</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 w:type="dxa"/>
            <w:vAlign w:val="bottom"/>
          </w:tcPr>
          <w:p>
            <w:pPr>
              <w:spacing w:after="0"/>
              <w:rPr>
                <w:sz w:val="16"/>
                <w:szCs w:val="16"/>
                <w:color w:val="auto"/>
              </w:rPr>
            </w:pPr>
          </w:p>
        </w:tc>
        <w:tc>
          <w:tcPr>
            <w:tcW w:w="4200" w:type="dxa"/>
            <w:vAlign w:val="bottom"/>
            <w:gridSpan w:val="2"/>
          </w:tcPr>
          <w:p>
            <w:pPr>
              <w:ind w:left="20"/>
              <w:spacing w:after="0"/>
              <w:rPr>
                <w:sz w:val="20"/>
                <w:szCs w:val="20"/>
                <w:color w:val="auto"/>
              </w:rPr>
            </w:pPr>
            <w:r>
              <w:rPr>
                <w:rFonts w:ascii="Arial" w:cs="Arial" w:eastAsia="Arial" w:hAnsi="Arial"/>
                <w:sz w:val="14"/>
                <w:szCs w:val="14"/>
                <w:color w:val="auto"/>
              </w:rPr>
              <w:t>U.S. Treasury securities - fair value</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200</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200</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4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Accrued interest on pledged securities</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0" w:type="dxa"/>
            <w:vAlign w:val="bottom"/>
          </w:tcPr>
          <w:p>
            <w:pPr>
              <w:spacing w:after="0"/>
              <w:rPr>
                <w:sz w:val="16"/>
                <w:szCs w:val="16"/>
                <w:color w:val="auto"/>
              </w:rPr>
            </w:pPr>
          </w:p>
        </w:tc>
        <w:tc>
          <w:tcPr>
            <w:tcW w:w="42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Restricted cash</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648</w:t>
            </w: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909</w:t>
            </w: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1,557</w:t>
            </w:r>
          </w:p>
        </w:tc>
        <w:tc>
          <w:tcPr>
            <w:tcW w:w="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40" w:type="dxa"/>
            <w:vAlign w:val="bottom"/>
          </w:tcPr>
          <w:p>
            <w:pPr>
              <w:spacing w:after="0"/>
              <w:rPr>
                <w:sz w:val="17"/>
                <w:szCs w:val="17"/>
                <w:color w:val="auto"/>
              </w:rPr>
            </w:pPr>
          </w:p>
        </w:tc>
        <w:tc>
          <w:tcPr>
            <w:tcW w:w="420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Total</w:t>
            </w:r>
          </w:p>
        </w:tc>
        <w:tc>
          <w:tcPr>
            <w:tcW w:w="8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12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57,020</w:t>
            </w:r>
          </w:p>
        </w:tc>
        <w:tc>
          <w:tcPr>
            <w:tcW w:w="2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324</w:t>
            </w:r>
          </w:p>
        </w:tc>
        <w:tc>
          <w:tcPr>
            <w:tcW w:w="2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1,315</w:t>
            </w:r>
          </w:p>
        </w:tc>
        <w:tc>
          <w:tcPr>
            <w:tcW w:w="4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302</w:t>
            </w:r>
          </w:p>
        </w:tc>
        <w:tc>
          <w:tcPr>
            <w:tcW w:w="2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58,961</w:t>
            </w:r>
          </w:p>
        </w:tc>
        <w:tc>
          <w:tcPr>
            <w:tcW w:w="4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1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gridSpan w:val="2"/>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40" w:type="dxa"/>
            <w:vAlign w:val="bottom"/>
          </w:tcPr>
          <w:p>
            <w:pPr>
              <w:spacing w:after="0"/>
              <w:rPr>
                <w:sz w:val="24"/>
                <w:szCs w:val="24"/>
                <w:color w:val="auto"/>
              </w:rPr>
            </w:pPr>
          </w:p>
        </w:tc>
        <w:tc>
          <w:tcPr>
            <w:tcW w:w="4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7"/>
          </w:tcPr>
          <w:p>
            <w:pPr>
              <w:jc w:val="right"/>
              <w:ind w:right="260"/>
              <w:spacing w:after="0"/>
              <w:rPr>
                <w:sz w:val="20"/>
                <w:szCs w:val="20"/>
                <w:color w:val="auto"/>
              </w:rPr>
            </w:pPr>
            <w:r>
              <w:rPr>
                <w:rFonts w:ascii="Arial" w:cs="Arial" w:eastAsia="Arial" w:hAnsi="Arial"/>
                <w:sz w:val="14"/>
                <w:szCs w:val="14"/>
                <w:b w:val="1"/>
                <w:bCs w:val="1"/>
                <w:color w:val="auto"/>
              </w:rPr>
              <w:t>December 31, 2019</w:t>
            </w: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4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Repurchase</w:t>
            </w: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Debt 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Derivative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Brokerage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2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6"/>
              </w:rPr>
              <w:t>Clearing</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9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240" w:type="dxa"/>
            <w:vAlign w:val="bottom"/>
            <w:gridSpan w:val="3"/>
            <w:vMerge w:val="continue"/>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b w:val="1"/>
                <w:bCs w:val="1"/>
                <w:color w:val="auto"/>
              </w:rPr>
              <w:t>Agreements</w:t>
            </w:r>
          </w:p>
        </w:tc>
        <w:tc>
          <w:tcPr>
            <w:tcW w:w="400" w:type="dxa"/>
            <w:vAlign w:val="bottom"/>
          </w:tcPr>
          <w:p>
            <w:pPr>
              <w:jc w:val="right"/>
              <w:ind w:right="273"/>
              <w:spacing w:after="0"/>
              <w:rPr>
                <w:sz w:val="20"/>
                <w:szCs w:val="20"/>
                <w:color w:val="auto"/>
              </w:rPr>
            </w:pPr>
            <w:r>
              <w:rPr>
                <w:rFonts w:ascii="Arial" w:cs="Arial" w:eastAsia="Arial" w:hAnsi="Arial"/>
                <w:sz w:val="9"/>
                <w:szCs w:val="9"/>
                <w:b w:val="1"/>
                <w:bCs w:val="1"/>
                <w:color w:val="auto"/>
                <w:w w:val="78"/>
              </w:rPr>
              <w:t>2</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94"/>
              </w:rPr>
              <w:t>Consolidated VIEs</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6"/>
              </w:rPr>
              <w:t>Agreements</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center"/>
              <w:ind w:right="180"/>
              <w:spacing w:after="0" w:line="189" w:lineRule="exact"/>
              <w:rPr>
                <w:sz w:val="20"/>
                <w:szCs w:val="20"/>
                <w:color w:val="auto"/>
              </w:rPr>
            </w:pPr>
            <w:r>
              <w:rPr>
                <w:rFonts w:ascii="Arial" w:cs="Arial" w:eastAsia="Arial" w:hAnsi="Arial"/>
                <w:sz w:val="14"/>
                <w:szCs w:val="14"/>
                <w:b w:val="1"/>
                <w:bCs w:val="1"/>
                <w:color w:val="auto"/>
                <w:w w:val="89"/>
              </w:rPr>
              <w:t xml:space="preserve">Agreements </w:t>
            </w:r>
            <w:r>
              <w:rPr>
                <w:rFonts w:ascii="Arial" w:cs="Arial" w:eastAsia="Arial" w:hAnsi="Arial"/>
                <w:sz w:val="18"/>
                <w:szCs w:val="18"/>
                <w:b w:val="1"/>
                <w:bCs w:val="1"/>
                <w:color w:val="auto"/>
                <w:w w:val="89"/>
                <w:vertAlign w:val="superscript"/>
              </w:rPr>
              <w:t>3</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220" w:type="dxa"/>
            <w:vAlign w:val="bottom"/>
            <w:tcBorders>
              <w:top w:val="single" w:sz="8" w:color="auto"/>
            </w:tcBorders>
            <w:gridSpan w:val="2"/>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92,142</w:t>
            </w: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gridSpan w:val="2"/>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371</w:t>
            </w: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404</w:t>
            </w:r>
          </w:p>
        </w:tc>
        <w:tc>
          <w:tcPr>
            <w:tcW w:w="4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206</w:t>
            </w: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tcBorders>
            <w:gridSpan w:val="2"/>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93,123</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4240" w:type="dxa"/>
            <w:vAlign w:val="bottom"/>
            <w:gridSpan w:val="3"/>
          </w:tcPr>
          <w:p>
            <w:pPr>
              <w:ind w:left="20"/>
              <w:spacing w:after="0"/>
              <w:rPr>
                <w:sz w:val="20"/>
                <w:szCs w:val="20"/>
                <w:color w:val="auto"/>
              </w:rPr>
            </w:pPr>
            <w:r>
              <w:rPr>
                <w:rFonts w:ascii="Arial" w:cs="Arial" w:eastAsia="Arial" w:hAnsi="Arial"/>
                <w:sz w:val="14"/>
                <w:szCs w:val="14"/>
                <w:color w:val="auto"/>
              </w:rPr>
              <w:t>CRT - fair value</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309</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309</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24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U.S. Treasury securities - fair value</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453</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481</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240" w:type="dxa"/>
            <w:vAlign w:val="bottom"/>
            <w:gridSpan w:val="3"/>
          </w:tcPr>
          <w:p>
            <w:pPr>
              <w:ind w:left="20"/>
              <w:spacing w:after="0"/>
              <w:rPr>
                <w:sz w:val="20"/>
                <w:szCs w:val="20"/>
                <w:color w:val="auto"/>
              </w:rPr>
            </w:pPr>
            <w:r>
              <w:rPr>
                <w:rFonts w:ascii="Arial" w:cs="Arial" w:eastAsia="Arial" w:hAnsi="Arial"/>
                <w:sz w:val="14"/>
                <w:szCs w:val="14"/>
                <w:color w:val="auto"/>
              </w:rPr>
              <w:t>Accrued interest on pledged securities</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267</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w:t>
            </w: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1</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270</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24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Restricted cash</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w:t>
            </w: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451</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0" w:type="dxa"/>
            <w:vAlign w:val="bottom"/>
          </w:tcPr>
          <w:p>
            <w:pPr>
              <w:spacing w:after="0"/>
              <w:rPr>
                <w:sz w:val="15"/>
                <w:szCs w:val="15"/>
                <w:color w:val="auto"/>
              </w:rPr>
            </w:pPr>
          </w:p>
        </w:tc>
        <w:tc>
          <w:tcPr>
            <w:tcW w:w="4200" w:type="dxa"/>
            <w:vAlign w:val="bottom"/>
            <w:gridSpan w:val="2"/>
          </w:tcPr>
          <w:p>
            <w:pPr>
              <w:ind w:left="140"/>
              <w:spacing w:after="0"/>
              <w:rPr>
                <w:sz w:val="20"/>
                <w:szCs w:val="20"/>
                <w:color w:val="auto"/>
              </w:rPr>
            </w:pPr>
            <w:r>
              <w:rPr>
                <w:rFonts w:ascii="Arial" w:cs="Arial" w:eastAsia="Arial" w:hAnsi="Arial"/>
                <w:sz w:val="14"/>
                <w:szCs w:val="14"/>
                <w:color w:val="auto"/>
              </w:rPr>
              <w:t>Total</w:t>
            </w:r>
          </w:p>
        </w:tc>
        <w:tc>
          <w:tcPr>
            <w:tcW w:w="80" w:type="dxa"/>
            <w:vAlign w:val="bottom"/>
          </w:tcPr>
          <w:p>
            <w:pPr>
              <w:spacing w:after="0"/>
              <w:rPr>
                <w:sz w:val="15"/>
                <w:szCs w:val="15"/>
                <w:color w:val="auto"/>
              </w:rPr>
            </w:pPr>
          </w:p>
        </w:tc>
        <w:tc>
          <w:tcPr>
            <w:tcW w:w="240" w:type="dxa"/>
            <w:vAlign w:val="bottom"/>
            <w:tcBorders>
              <w:top w:val="single" w:sz="8" w:color="auto"/>
              <w:bottom w:val="single" w:sz="8" w:color="auto"/>
            </w:tcBorders>
            <w:gridSpan w:val="2"/>
          </w:tcPr>
          <w:p>
            <w:pPr>
              <w:jc w:val="right"/>
              <w:ind w:right="68"/>
              <w:spacing w:after="0"/>
              <w:rPr>
                <w:sz w:val="20"/>
                <w:szCs w:val="20"/>
                <w:color w:val="auto"/>
              </w:rPr>
            </w:pPr>
            <w:r>
              <w:rPr>
                <w:rFonts w:ascii="Arial" w:cs="Arial" w:eastAsia="Arial" w:hAnsi="Arial"/>
                <w:sz w:val="14"/>
                <w:szCs w:val="14"/>
                <w:color w:val="auto"/>
              </w:rPr>
              <w:t>$</w:t>
            </w:r>
          </w:p>
        </w:tc>
        <w:tc>
          <w:tcPr>
            <w:tcW w:w="12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93,282</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Borders>
              <w:top w:val="single" w:sz="8" w:color="auto"/>
              <w:bottom w:val="single" w:sz="8" w:color="auto"/>
            </w:tcBorders>
            <w:gridSpan w:val="2"/>
          </w:tcPr>
          <w:p>
            <w:pPr>
              <w:jc w:val="right"/>
              <w:ind w:right="108"/>
              <w:spacing w:after="0"/>
              <w:rPr>
                <w:sz w:val="20"/>
                <w:szCs w:val="20"/>
                <w:color w:val="auto"/>
              </w:rPr>
            </w:pPr>
            <w:r>
              <w:rPr>
                <w:rFonts w:ascii="Arial" w:cs="Arial" w:eastAsia="Arial" w:hAnsi="Arial"/>
                <w:sz w:val="14"/>
                <w:szCs w:val="14"/>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372</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Borders>
              <w:top w:val="single" w:sz="8" w:color="auto"/>
              <w:bottom w:val="single" w:sz="8" w:color="auto"/>
            </w:tcBorders>
            <w:gridSpan w:val="2"/>
          </w:tcPr>
          <w:p>
            <w:pPr>
              <w:jc w:val="right"/>
              <w:ind w:right="8"/>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745</w:t>
            </w: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235</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Borders>
              <w:top w:val="single" w:sz="8" w:color="auto"/>
              <w:bottom w:val="single" w:sz="8" w:color="auto"/>
            </w:tcBorders>
            <w:gridSpan w:val="2"/>
          </w:tcPr>
          <w:p>
            <w:pPr>
              <w:jc w:val="right"/>
              <w:ind w:right="10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94,634</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4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repledged assets received as collateral from counterparties and securities sold but not yet settled.</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$131 million and $144 million of retained interests in our consolidated VIEs pledged as collateral under repurchase agreements as of September 30, 2020 and December 31, 2019, respectively.</w:t>
      </w:r>
    </w:p>
    <w:p>
      <w:pPr>
        <w:ind w:left="660" w:hanging="328"/>
        <w:spacing w:after="0"/>
        <w:tabs>
          <w:tab w:leader="none" w:pos="6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margin for TBAs cleared through prime brokers and other clearing deposits.</w:t>
      </w:r>
    </w:p>
    <w:p>
      <w:pPr>
        <w:spacing w:after="0" w:line="15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The following table summarizes our securities pledged as collateral under our repurchase agreements by the remaining maturity of our borrowings, including securities pledged related to sold but not yet settled securities, as of September 30, 2020 and December 31, 2019 (in millions). For the corresponding borrowings associated with the following amounts and the interest rates thereon, refer to Note 5</w:t>
      </w:r>
      <w:r>
        <w:rPr>
          <w:rFonts w:ascii="Arial" w:cs="Arial" w:eastAsia="Arial" w:hAnsi="Arial"/>
          <w:sz w:val="18"/>
          <w:szCs w:val="18"/>
          <w:i w:val="1"/>
          <w:iCs w:val="1"/>
          <w:color w:val="auto"/>
        </w:rPr>
        <w:t>.</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9"/>
              </w:rPr>
              <w:t>September 30, 2020</w:t>
            </w: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rPr>
              <w:t>December 31, 2019</w:t>
            </w: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1"/>
                <w:szCs w:val="11"/>
                <w:color w:val="auto"/>
              </w:rPr>
            </w:pPr>
          </w:p>
        </w:tc>
        <w:tc>
          <w:tcPr>
            <w:tcW w:w="9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w w:val="92"/>
              </w:rPr>
              <w:t>Accrued</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Amortized</w:t>
            </w:r>
          </w:p>
        </w:tc>
        <w:tc>
          <w:tcPr>
            <w:tcW w:w="140" w:type="dxa"/>
            <w:vAlign w:val="bottom"/>
          </w:tcPr>
          <w:p>
            <w:pPr>
              <w:spacing w:after="0"/>
              <w:rPr>
                <w:sz w:val="11"/>
                <w:szCs w:val="11"/>
                <w:color w:val="auto"/>
              </w:rPr>
            </w:pPr>
          </w:p>
        </w:tc>
        <w:tc>
          <w:tcPr>
            <w:tcW w:w="90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w w:val="92"/>
              </w:rPr>
              <w:t>Accrued</w:t>
            </w:r>
          </w:p>
        </w:tc>
        <w:tc>
          <w:tcPr>
            <w:tcW w:w="0" w:type="dxa"/>
            <w:vAlign w:val="bottom"/>
          </w:tcPr>
          <w:p>
            <w:pPr>
              <w:spacing w:after="0"/>
              <w:rPr>
                <w:sz w:val="1"/>
                <w:szCs w:val="1"/>
                <w:color w:val="auto"/>
              </w:rPr>
            </w:pPr>
          </w:p>
        </w:tc>
      </w:tr>
      <w:tr>
        <w:trPr>
          <w:trHeight w:val="135"/>
        </w:trPr>
        <w:tc>
          <w:tcPr>
            <w:tcW w:w="39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40" w:type="dxa"/>
            <w:vAlign w:val="bottom"/>
          </w:tcPr>
          <w:p>
            <w:pPr>
              <w:spacing w:after="0"/>
              <w:rPr>
                <w:sz w:val="11"/>
                <w:szCs w:val="11"/>
                <w:color w:val="auto"/>
              </w:rPr>
            </w:pPr>
          </w:p>
        </w:tc>
        <w:tc>
          <w:tcPr>
            <w:tcW w:w="102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w w:val="99"/>
              </w:rPr>
              <w:t>Fair Value of</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Cost of</w:t>
            </w:r>
          </w:p>
        </w:tc>
        <w:tc>
          <w:tcPr>
            <w:tcW w:w="14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4"/>
              </w:rPr>
              <w:t>Interest on</w:t>
            </w:r>
          </w:p>
        </w:tc>
        <w:tc>
          <w:tcPr>
            <w:tcW w:w="160" w:type="dxa"/>
            <w:vAlign w:val="bottom"/>
          </w:tcPr>
          <w:p>
            <w:pPr>
              <w:spacing w:after="0"/>
              <w:rPr>
                <w:sz w:val="11"/>
                <w:szCs w:val="11"/>
                <w:color w:val="auto"/>
              </w:rPr>
            </w:pPr>
          </w:p>
        </w:tc>
        <w:tc>
          <w:tcPr>
            <w:tcW w:w="106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w w:val="99"/>
              </w:rPr>
              <w:t>Fair Value of</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Cost of</w:t>
            </w:r>
          </w:p>
        </w:tc>
        <w:tc>
          <w:tcPr>
            <w:tcW w:w="140" w:type="dxa"/>
            <w:vAlign w:val="bottom"/>
          </w:tcPr>
          <w:p>
            <w:pPr>
              <w:spacing w:after="0"/>
              <w:rPr>
                <w:sz w:val="11"/>
                <w:szCs w:val="11"/>
                <w:color w:val="auto"/>
              </w:rPr>
            </w:pPr>
          </w:p>
        </w:tc>
        <w:tc>
          <w:tcPr>
            <w:tcW w:w="90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w w:val="92"/>
              </w:rPr>
              <w:t>Interest on</w:t>
            </w:r>
          </w:p>
        </w:tc>
        <w:tc>
          <w:tcPr>
            <w:tcW w:w="0" w:type="dxa"/>
            <w:vAlign w:val="bottom"/>
          </w:tcPr>
          <w:p>
            <w:pPr>
              <w:spacing w:after="0"/>
              <w:rPr>
                <w:sz w:val="1"/>
                <w:szCs w:val="1"/>
                <w:color w:val="auto"/>
              </w:rPr>
            </w:pPr>
          </w:p>
        </w:tc>
      </w:tr>
      <w:tr>
        <w:trPr>
          <w:trHeight w:val="135"/>
        </w:trPr>
        <w:tc>
          <w:tcPr>
            <w:tcW w:w="39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Pledged</w:t>
            </w:r>
          </w:p>
        </w:tc>
        <w:tc>
          <w:tcPr>
            <w:tcW w:w="140" w:type="dxa"/>
            <w:vAlign w:val="bottom"/>
          </w:tcPr>
          <w:p>
            <w:pPr>
              <w:spacing w:after="0"/>
              <w:rPr>
                <w:sz w:val="11"/>
                <w:szCs w:val="11"/>
                <w:color w:val="auto"/>
              </w:rPr>
            </w:pP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8"/>
              </w:rPr>
              <w:t>Pledged</w:t>
            </w:r>
          </w:p>
        </w:tc>
        <w:tc>
          <w:tcPr>
            <w:tcW w:w="160" w:type="dxa"/>
            <w:vAlign w:val="bottom"/>
          </w:tcPr>
          <w:p>
            <w:pPr>
              <w:spacing w:after="0"/>
              <w:rPr>
                <w:sz w:val="11"/>
                <w:szCs w:val="11"/>
                <w:color w:val="auto"/>
              </w:rPr>
            </w:pPr>
          </w:p>
        </w:tc>
        <w:tc>
          <w:tcPr>
            <w:tcW w:w="106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Pledged</w:t>
            </w:r>
          </w:p>
        </w:tc>
        <w:tc>
          <w:tcPr>
            <w:tcW w:w="140" w:type="dxa"/>
            <w:vAlign w:val="bottom"/>
          </w:tcPr>
          <w:p>
            <w:pPr>
              <w:spacing w:after="0"/>
              <w:rPr>
                <w:sz w:val="11"/>
                <w:szCs w:val="11"/>
                <w:color w:val="auto"/>
              </w:rPr>
            </w:pPr>
          </w:p>
        </w:tc>
        <w:tc>
          <w:tcPr>
            <w:tcW w:w="90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w w:val="91"/>
              </w:rPr>
              <w:t>Pledged</w:t>
            </w:r>
          </w:p>
        </w:tc>
        <w:tc>
          <w:tcPr>
            <w:tcW w:w="0" w:type="dxa"/>
            <w:vAlign w:val="bottom"/>
          </w:tcPr>
          <w:p>
            <w:pPr>
              <w:spacing w:after="0"/>
              <w:rPr>
                <w:sz w:val="1"/>
                <w:szCs w:val="1"/>
                <w:color w:val="auto"/>
              </w:rPr>
            </w:pPr>
          </w:p>
        </w:tc>
      </w:tr>
      <w:tr>
        <w:trPr>
          <w:trHeight w:val="189"/>
        </w:trPr>
        <w:tc>
          <w:tcPr>
            <w:tcW w:w="3920" w:type="dxa"/>
            <w:vAlign w:val="bottom"/>
            <w:gridSpan w:val="2"/>
          </w:tcPr>
          <w:p>
            <w:pPr>
              <w:ind w:left="20"/>
              <w:spacing w:after="0" w:line="189" w:lineRule="exact"/>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18"/>
                <w:szCs w:val="18"/>
                <w:b w:val="1"/>
                <w:bCs w:val="1"/>
                <w:color w:val="auto"/>
                <w:vertAlign w:val="superscript"/>
              </w:rPr>
              <w:t>1,2</w:t>
            </w:r>
          </w:p>
        </w:tc>
        <w:tc>
          <w:tcPr>
            <w:tcW w:w="1160" w:type="dxa"/>
            <w:vAlign w:val="bottom"/>
            <w:gridSpan w:val="2"/>
          </w:tcPr>
          <w:p>
            <w:pPr>
              <w:ind w:left="20"/>
              <w:spacing w:after="0"/>
              <w:rPr>
                <w:sz w:val="20"/>
                <w:szCs w:val="20"/>
                <w:color w:val="auto"/>
              </w:rPr>
            </w:pPr>
            <w:r>
              <w:rPr>
                <w:rFonts w:ascii="Arial" w:cs="Arial" w:eastAsia="Arial" w:hAnsi="Arial"/>
                <w:sz w:val="14"/>
                <w:szCs w:val="14"/>
                <w:b w:val="1"/>
                <w:bCs w:val="1"/>
                <w:color w:val="auto"/>
                <w:w w:val="89"/>
              </w:rPr>
              <w:t>Pledged Securities</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6"/>
                <w:szCs w:val="16"/>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Securities</w:t>
            </w:r>
          </w:p>
        </w:tc>
        <w:tc>
          <w:tcPr>
            <w:tcW w:w="1220" w:type="dxa"/>
            <w:vAlign w:val="bottom"/>
            <w:gridSpan w:val="2"/>
          </w:tcPr>
          <w:p>
            <w:pPr>
              <w:jc w:val="right"/>
              <w:spacing w:after="0"/>
              <w:rPr>
                <w:sz w:val="20"/>
                <w:szCs w:val="20"/>
                <w:color w:val="auto"/>
              </w:rPr>
            </w:pPr>
            <w:r>
              <w:rPr>
                <w:rFonts w:ascii="Arial" w:cs="Arial" w:eastAsia="Arial" w:hAnsi="Arial"/>
                <w:sz w:val="14"/>
                <w:szCs w:val="14"/>
                <w:b w:val="1"/>
                <w:bCs w:val="1"/>
                <w:color w:val="auto"/>
                <w:w w:val="94"/>
              </w:rPr>
              <w:t>Pledged Securities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6"/>
                <w:szCs w:val="16"/>
                <w:color w:val="auto"/>
              </w:rPr>
            </w:pPr>
          </w:p>
        </w:tc>
        <w:tc>
          <w:tcPr>
            <w:tcW w:w="900" w:type="dxa"/>
            <w:vAlign w:val="bottom"/>
          </w:tcPr>
          <w:p>
            <w:pPr>
              <w:jc w:val="center"/>
              <w:ind w:right="68"/>
              <w:spacing w:after="0"/>
              <w:rPr>
                <w:sz w:val="20"/>
                <w:szCs w:val="20"/>
                <w:color w:val="auto"/>
              </w:rPr>
            </w:pPr>
            <w:r>
              <w:rPr>
                <w:rFonts w:ascii="Arial" w:cs="Arial" w:eastAsia="Arial" w:hAnsi="Arial"/>
                <w:sz w:val="14"/>
                <w:szCs w:val="14"/>
                <w:b w:val="1"/>
                <w:bCs w:val="1"/>
                <w:color w:val="auto"/>
                <w:w w:val="89"/>
              </w:rPr>
              <w:t>Securities</w:t>
            </w:r>
          </w:p>
        </w:tc>
        <w:tc>
          <w:tcPr>
            <w:tcW w:w="0" w:type="dxa"/>
            <w:vAlign w:val="bottom"/>
          </w:tcPr>
          <w:p>
            <w:pPr>
              <w:spacing w:after="0"/>
              <w:rPr>
                <w:sz w:val="1"/>
                <w:szCs w:val="1"/>
                <w:color w:val="auto"/>
              </w:rPr>
            </w:pPr>
          </w:p>
        </w:tc>
      </w:tr>
      <w:tr>
        <w:trPr>
          <w:trHeight w:val="183"/>
        </w:trPr>
        <w:tc>
          <w:tcPr>
            <w:tcW w:w="382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 30 days</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28,729</w:t>
            </w:r>
          </w:p>
        </w:tc>
        <w:tc>
          <w:tcPr>
            <w:tcW w:w="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27,243</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56,990</w:t>
            </w:r>
          </w:p>
        </w:tc>
        <w:tc>
          <w:tcPr>
            <w:tcW w:w="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55,951</w:t>
            </w: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0" w:type="dxa"/>
            <w:vAlign w:val="bottom"/>
          </w:tcPr>
          <w:p>
            <w:pPr>
              <w:spacing w:after="0"/>
              <w:rPr>
                <w:sz w:val="1"/>
                <w:szCs w:val="1"/>
                <w:color w:val="auto"/>
              </w:rPr>
            </w:pPr>
          </w:p>
        </w:tc>
      </w:tr>
      <w:tr>
        <w:trPr>
          <w:trHeight w:val="186"/>
        </w:trPr>
        <w:tc>
          <w:tcPr>
            <w:tcW w:w="3920" w:type="dxa"/>
            <w:vAlign w:val="bottom"/>
            <w:gridSpan w:val="2"/>
          </w:tcPr>
          <w:p>
            <w:pPr>
              <w:ind w:left="100"/>
              <w:spacing w:after="0"/>
              <w:rPr>
                <w:sz w:val="20"/>
                <w:szCs w:val="20"/>
                <w:color w:val="auto"/>
              </w:rPr>
            </w:pPr>
            <w:r>
              <w:rPr>
                <w:rFonts w:ascii="Arial" w:cs="Arial" w:eastAsia="Arial" w:hAnsi="Arial"/>
                <w:sz w:val="14"/>
                <w:szCs w:val="14"/>
                <w:color w:val="auto"/>
              </w:rPr>
              <w:t>&gt; 30 and ≤ 60 days</w:t>
            </w: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8,666</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8,214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14,410</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14,114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192"/>
        </w:trPr>
        <w:tc>
          <w:tcPr>
            <w:tcW w:w="392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60 and ≤ 90 days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4,568</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4,378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7,637</w:t>
            </w:r>
          </w:p>
        </w:tc>
        <w:tc>
          <w:tcPr>
            <w:tcW w:w="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7,536</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86"/>
        </w:trPr>
        <w:tc>
          <w:tcPr>
            <w:tcW w:w="392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&gt; 90 days</w:t>
            </w: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14,051</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13,380</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13,510</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13,286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w:t>
            </w:r>
          </w:p>
        </w:tc>
        <w:tc>
          <w:tcPr>
            <w:tcW w:w="0" w:type="dxa"/>
            <w:vAlign w:val="bottom"/>
          </w:tcPr>
          <w:p>
            <w:pPr>
              <w:spacing w:after="0"/>
              <w:rPr>
                <w:sz w:val="1"/>
                <w:szCs w:val="1"/>
                <w:color w:val="auto"/>
              </w:rPr>
            </w:pPr>
          </w:p>
        </w:tc>
      </w:tr>
      <w:tr>
        <w:trPr>
          <w:trHeight w:val="211"/>
        </w:trPr>
        <w:tc>
          <w:tcPr>
            <w:tcW w:w="39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56,014</w:t>
            </w:r>
          </w:p>
        </w:tc>
        <w:tc>
          <w:tcPr>
            <w:tcW w:w="2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53,215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92,547</w:t>
            </w:r>
          </w:p>
        </w:tc>
        <w:tc>
          <w:tcPr>
            <w:tcW w:w="20" w:type="dxa"/>
            <w:vAlign w:val="bottom"/>
            <w:tcBorders>
              <w:bottom w:val="single" w:sz="8" w:color="auto"/>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90,887</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267</w:t>
            </w: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140" w:hanging="328"/>
        <w:spacing w:after="0" w:line="241"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Includes $131 million and $144 million of retained interests in our consolidated VIEs pledged as collateral under repurchase agreements as of September 30, 2020 and December 31, 2019, respectively.</w:t>
      </w:r>
    </w:p>
    <w:p>
      <w:pPr>
        <w:ind w:left="660" w:right="720" w:hanging="328"/>
        <w:spacing w:after="0" w:line="255" w:lineRule="auto"/>
        <w:tabs>
          <w:tab w:leader="none" w:pos="6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Excludes $200 million and $357 million of repledged U.S. Treasury securities received as collateral from counterparties as of September 30, 2020 and December 31, 2019, respectively.</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Pledged from Counterparties</w:t>
      </w:r>
    </w:p>
    <w:p>
      <w:pPr>
        <w:spacing w:after="0" w:line="171" w:lineRule="exact"/>
        <w:rPr>
          <w:sz w:val="20"/>
          <w:szCs w:val="20"/>
          <w:color w:val="auto"/>
        </w:rPr>
      </w:pPr>
    </w:p>
    <w:p>
      <w:pPr>
        <w:ind w:firstLine="405"/>
        <w:spacing w:after="0" w:line="277" w:lineRule="auto"/>
        <w:rPr>
          <w:sz w:val="20"/>
          <w:szCs w:val="20"/>
          <w:color w:val="auto"/>
        </w:rPr>
      </w:pPr>
      <w:r>
        <w:rPr>
          <w:rFonts w:ascii="Arial" w:cs="Arial" w:eastAsia="Arial" w:hAnsi="Arial"/>
          <w:sz w:val="18"/>
          <w:szCs w:val="18"/>
          <w:color w:val="auto"/>
        </w:rPr>
        <w:t>As of September 30, 2020 and December 31, 2019, we had assets pledged to us from counterparties as collateral under our reverse repurchase and derivative agreements summarized in the tables below (in millions).</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192"/>
        </w:trPr>
        <w:tc>
          <w:tcPr>
            <w:tcW w:w="2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4"/>
          </w:tcPr>
          <w:p>
            <w:pPr>
              <w:jc w:val="right"/>
              <w:ind w:right="448"/>
              <w:spacing w:after="0"/>
              <w:rPr>
                <w:sz w:val="20"/>
                <w:szCs w:val="20"/>
                <w:color w:val="auto"/>
              </w:rPr>
            </w:pPr>
            <w:r>
              <w:rPr>
                <w:rFonts w:ascii="Arial" w:cs="Arial" w:eastAsia="Arial" w:hAnsi="Arial"/>
                <w:sz w:val="14"/>
                <w:szCs w:val="14"/>
                <w:b w:val="1"/>
                <w:bCs w:val="1"/>
                <w:color w:val="auto"/>
              </w:rPr>
              <w:t>September 30, 2020</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December 31, 2019</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2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1"/>
                <w:szCs w:val="11"/>
                <w:color w:val="auto"/>
              </w:rPr>
            </w:pPr>
          </w:p>
        </w:tc>
        <w:tc>
          <w:tcPr>
            <w:tcW w:w="10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2"/>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1"/>
              </w:rPr>
              <w:t>Reverse</w:t>
            </w:r>
          </w:p>
        </w:tc>
        <w:tc>
          <w:tcPr>
            <w:tcW w:w="120" w:type="dxa"/>
            <w:vAlign w:val="bottom"/>
          </w:tcPr>
          <w:p>
            <w:pPr>
              <w:spacing w:after="0"/>
              <w:rPr>
                <w:sz w:val="11"/>
                <w:szCs w:val="11"/>
                <w:color w:val="auto"/>
              </w:rPr>
            </w:pPr>
          </w:p>
        </w:tc>
        <w:tc>
          <w:tcPr>
            <w:tcW w:w="10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Arial" w:cs="Arial" w:eastAsia="Arial" w:hAnsi="Arial"/>
                <w:sz w:val="14"/>
                <w:szCs w:val="14"/>
                <w:b w:val="1"/>
                <w:bCs w:val="1"/>
                <w:color w:val="auto"/>
                <w:w w:val="92"/>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Assets Pledged to AGNC</w:t>
            </w:r>
          </w:p>
        </w:tc>
        <w:tc>
          <w:tcPr>
            <w:tcW w:w="120" w:type="dxa"/>
            <w:vAlign w:val="bottom"/>
            <w:vMerge w:val="restart"/>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2"/>
              </w:rPr>
              <w:t>Repurchase</w:t>
            </w:r>
          </w:p>
        </w:tc>
        <w:tc>
          <w:tcPr>
            <w:tcW w:w="120" w:type="dxa"/>
            <w:vAlign w:val="bottom"/>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21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91"/>
              </w:rPr>
              <w:t>Agreements</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1"/>
              </w:rPr>
              <w:t>Agreements</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1"/>
              </w:rPr>
              <w:t>Agreements</w:t>
            </w: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w w:val="91"/>
              </w:rPr>
              <w:t>Agreements</w:t>
            </w:r>
          </w:p>
        </w:tc>
        <w:tc>
          <w:tcPr>
            <w:tcW w:w="3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2160" w:type="dxa"/>
            <w:vAlign w:val="bottom"/>
            <w:shd w:val="clear" w:color="auto" w:fill="CCEEFF"/>
          </w:tcPr>
          <w:p>
            <w:pPr>
              <w:ind w:left="20"/>
              <w:spacing w:after="0" w:line="130" w:lineRule="exact"/>
              <w:rPr>
                <w:sz w:val="20"/>
                <w:szCs w:val="20"/>
                <w:color w:val="auto"/>
              </w:rPr>
            </w:pPr>
            <w:r>
              <w:rPr>
                <w:rFonts w:ascii="Arial" w:cs="Arial" w:eastAsia="Arial" w:hAnsi="Arial"/>
                <w:sz w:val="14"/>
                <w:szCs w:val="14"/>
                <w:color w:val="auto"/>
                <w:w w:val="96"/>
              </w:rPr>
              <w:t>U.S. Treasury securities - fair value</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8,579</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211</w:t>
            </w:r>
          </w:p>
        </w:tc>
        <w:tc>
          <w:tcPr>
            <w:tcW w:w="30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8,790</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10,099</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3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10,100</w:t>
            </w:r>
          </w:p>
        </w:tc>
        <w:tc>
          <w:tcPr>
            <w:tcW w:w="0" w:type="dxa"/>
            <w:vAlign w:val="bottom"/>
          </w:tcPr>
          <w:p>
            <w:pPr>
              <w:spacing w:after="0"/>
              <w:rPr>
                <w:sz w:val="1"/>
                <w:szCs w:val="1"/>
                <w:color w:val="auto"/>
              </w:rPr>
            </w:pPr>
          </w:p>
        </w:tc>
      </w:tr>
      <w:tr>
        <w:trPr>
          <w:trHeight w:val="135"/>
        </w:trPr>
        <w:tc>
          <w:tcPr>
            <w:tcW w:w="2160" w:type="dxa"/>
            <w:vAlign w:val="bottom"/>
            <w:shd w:val="clear" w:color="auto" w:fill="CCEEFF"/>
          </w:tcPr>
          <w:p>
            <w:pPr>
              <w:ind w:left="180"/>
              <w:spacing w:after="0"/>
              <w:rPr>
                <w:sz w:val="20"/>
                <w:szCs w:val="20"/>
                <w:color w:val="auto"/>
              </w:rPr>
            </w:pPr>
            <w:r>
              <w:rPr>
                <w:rFonts w:ascii="Arial" w:cs="Arial" w:eastAsia="Arial" w:hAnsi="Arial"/>
                <w:sz w:val="9"/>
                <w:szCs w:val="9"/>
                <w:b w:val="1"/>
                <w:bCs w:val="1"/>
                <w:color w:val="auto"/>
              </w:rPr>
              <w:t>1</w:t>
            </w:r>
          </w:p>
        </w:tc>
        <w:tc>
          <w:tcPr>
            <w:tcW w:w="12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0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1020" w:type="dxa"/>
            <w:vAlign w:val="bottom"/>
            <w:gridSpan w:val="2"/>
            <w:vMerge w:val="continue"/>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40" w:type="dxa"/>
            <w:vAlign w:val="bottom"/>
            <w:vMerge w:val="continue"/>
            <w:shd w:val="clear" w:color="auto" w:fill="CCEEFF"/>
          </w:tcPr>
          <w:p>
            <w:pPr>
              <w:spacing w:after="0"/>
              <w:rPr>
                <w:sz w:val="11"/>
                <w:szCs w:val="11"/>
                <w:color w:val="auto"/>
              </w:rPr>
            </w:pPr>
          </w:p>
        </w:tc>
        <w:tc>
          <w:tcPr>
            <w:tcW w:w="300" w:type="dxa"/>
            <w:vAlign w:val="bottom"/>
            <w:vMerge w:val="continue"/>
            <w:shd w:val="clear" w:color="auto" w:fill="CCEEFF"/>
          </w:tcPr>
          <w:p>
            <w:pPr>
              <w:spacing w:after="0"/>
              <w:rPr>
                <w:sz w:val="11"/>
                <w:szCs w:val="11"/>
                <w:color w:val="auto"/>
              </w:rPr>
            </w:pPr>
          </w:p>
        </w:tc>
        <w:tc>
          <w:tcPr>
            <w:tcW w:w="800" w:type="dxa"/>
            <w:vAlign w:val="bottom"/>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00" w:type="dxa"/>
            <w:vAlign w:val="bottom"/>
            <w:vMerge w:val="continue"/>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1000" w:type="dxa"/>
            <w:vAlign w:val="bottom"/>
            <w:gridSpan w:val="2"/>
            <w:vMerge w:val="continue"/>
            <w:shd w:val="clear" w:color="auto" w:fill="CCEEFF"/>
          </w:tcPr>
          <w:p>
            <w:pPr>
              <w:spacing w:after="0"/>
              <w:rPr>
                <w:sz w:val="11"/>
                <w:szCs w:val="11"/>
                <w:color w:val="auto"/>
              </w:rPr>
            </w:pPr>
          </w:p>
        </w:tc>
        <w:tc>
          <w:tcPr>
            <w:tcW w:w="120" w:type="dxa"/>
            <w:vAlign w:val="bottom"/>
            <w:vMerge w:val="continue"/>
            <w:shd w:val="clear" w:color="auto" w:fill="CCEEFF"/>
          </w:tcPr>
          <w:p>
            <w:pPr>
              <w:spacing w:after="0"/>
              <w:rPr>
                <w:sz w:val="11"/>
                <w:szCs w:val="11"/>
                <w:color w:val="auto"/>
              </w:rPr>
            </w:pPr>
          </w:p>
        </w:tc>
        <w:tc>
          <w:tcPr>
            <w:tcW w:w="940" w:type="dxa"/>
            <w:vAlign w:val="bottom"/>
            <w:vMerge w:val="continue"/>
            <w:shd w:val="clear" w:color="auto" w:fill="CCEEFF"/>
          </w:tcPr>
          <w:p>
            <w:pPr>
              <w:spacing w:after="0"/>
              <w:rPr>
                <w:sz w:val="11"/>
                <w:szCs w:val="11"/>
                <w:color w:val="auto"/>
              </w:rPr>
            </w:pPr>
          </w:p>
        </w:tc>
        <w:tc>
          <w:tcPr>
            <w:tcW w:w="300" w:type="dxa"/>
            <w:vAlign w:val="bottom"/>
            <w:vMerge w:val="continue"/>
            <w:shd w:val="clear" w:color="auto" w:fill="CCEEFF"/>
          </w:tcPr>
          <w:p>
            <w:pPr>
              <w:spacing w:after="0"/>
              <w:rPr>
                <w:sz w:val="11"/>
                <w:szCs w:val="11"/>
                <w:color w:val="auto"/>
              </w:rPr>
            </w:pPr>
          </w:p>
        </w:tc>
        <w:tc>
          <w:tcPr>
            <w:tcW w:w="800" w:type="dxa"/>
            <w:vAlign w:val="bottom"/>
            <w:vMerge w:val="continue"/>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2280" w:type="dxa"/>
            <w:vAlign w:val="bottom"/>
            <w:gridSpan w:val="2"/>
          </w:tcPr>
          <w:p>
            <w:pPr>
              <w:ind w:left="20"/>
              <w:spacing w:after="0"/>
              <w:rPr>
                <w:sz w:val="20"/>
                <w:szCs w:val="20"/>
                <w:color w:val="auto"/>
              </w:rPr>
            </w:pPr>
            <w:r>
              <w:rPr>
                <w:rFonts w:ascii="Arial" w:cs="Arial" w:eastAsia="Arial" w:hAnsi="Arial"/>
                <w:sz w:val="14"/>
                <w:szCs w:val="14"/>
                <w:color w:val="auto"/>
              </w:rPr>
              <w:t>Cash</w:t>
            </w:r>
          </w:p>
        </w:tc>
        <w:tc>
          <w:tcPr>
            <w:tcW w:w="12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4</w:t>
            </w:r>
          </w:p>
        </w:tc>
        <w:tc>
          <w:tcPr>
            <w:tcW w:w="300" w:type="dxa"/>
            <w:vAlign w:val="bottom"/>
          </w:tcPr>
          <w:p>
            <w:pPr>
              <w:spacing w:after="0"/>
              <w:rPr>
                <w:sz w:val="16"/>
                <w:szCs w:val="16"/>
                <w:color w:val="auto"/>
              </w:rPr>
            </w:pP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116</w:t>
            </w:r>
          </w:p>
        </w:tc>
        <w:tc>
          <w:tcPr>
            <w:tcW w:w="0" w:type="dxa"/>
            <w:vAlign w:val="bottom"/>
          </w:tcPr>
          <w:p>
            <w:pPr>
              <w:spacing w:after="0"/>
              <w:rPr>
                <w:sz w:val="1"/>
                <w:szCs w:val="1"/>
                <w:color w:val="auto"/>
              </w:rPr>
            </w:pPr>
          </w:p>
        </w:tc>
      </w:tr>
      <w:tr>
        <w:trPr>
          <w:trHeight w:val="211"/>
        </w:trPr>
        <w:tc>
          <w:tcPr>
            <w:tcW w:w="22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8,579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215</w:t>
            </w:r>
          </w:p>
        </w:tc>
        <w:tc>
          <w:tcPr>
            <w:tcW w:w="30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8,799</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10,099</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w:t>
            </w:r>
          </w:p>
        </w:tc>
        <w:tc>
          <w:tcPr>
            <w:tcW w:w="3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10,216</w:t>
            </w:r>
          </w:p>
        </w:tc>
        <w:tc>
          <w:tcPr>
            <w:tcW w:w="0" w:type="dxa"/>
            <w:vAlign w:val="bottom"/>
          </w:tcPr>
          <w:p>
            <w:pPr>
              <w:spacing w:after="0"/>
              <w:rPr>
                <w:sz w:val="1"/>
                <w:szCs w:val="1"/>
                <w:color w:val="auto"/>
              </w:rPr>
            </w:pPr>
          </w:p>
        </w:tc>
      </w:tr>
      <w:tr>
        <w:trPr>
          <w:trHeight w:val="20"/>
        </w:trPr>
        <w:tc>
          <w:tcPr>
            <w:tcW w:w="2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As of September 30, 2020 and December 31, 2019, $200 million and $357 million, respectively, of U.S. Treasury securities received from counterparties were repledged as collateral and $8.4 billion and $9.5 billion, respectively, were used to cover short sales of U.S. Treasury securities.</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Offsetting Assets and Liabilities</w:t>
      </w:r>
    </w:p>
    <w:p>
      <w:pPr>
        <w:spacing w:after="0" w:line="171"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September 30, 2020 and December 31, 2019 (in millions):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860" w:type="dxa"/>
            <w:vAlign w:val="bottom"/>
            <w:tcBorders>
              <w:bottom w:val="single" w:sz="8" w:color="auto"/>
            </w:tcBorders>
            <w:gridSpan w:val="14"/>
          </w:tcPr>
          <w:p>
            <w:pPr>
              <w:jc w:val="right"/>
              <w:ind w:right="68"/>
              <w:spacing w:after="0"/>
              <w:rPr>
                <w:sz w:val="20"/>
                <w:szCs w:val="20"/>
                <w:color w:val="auto"/>
              </w:rPr>
            </w:pPr>
            <w:r>
              <w:rPr>
                <w:rFonts w:ascii="Arial" w:cs="Arial" w:eastAsia="Arial" w:hAnsi="Arial"/>
                <w:sz w:val="14"/>
                <w:szCs w:val="14"/>
                <w:b w:val="1"/>
                <w:bCs w:val="1"/>
                <w:color w:val="auto"/>
              </w:rPr>
              <w:t>Offsetting of Financial and Derivative Assets</w:t>
            </w:r>
          </w:p>
        </w:tc>
        <w:tc>
          <w:tcPr>
            <w:tcW w:w="88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6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7"/>
          </w:tcPr>
          <w:p>
            <w:pPr>
              <w:ind w:left="200"/>
              <w:spacing w:after="0"/>
              <w:rPr>
                <w:sz w:val="20"/>
                <w:szCs w:val="20"/>
                <w:color w:val="auto"/>
              </w:rPr>
            </w:pPr>
            <w:r>
              <w:rPr>
                <w:rFonts w:ascii="Arial" w:cs="Arial" w:eastAsia="Arial" w:hAnsi="Arial"/>
                <w:sz w:val="14"/>
                <w:szCs w:val="14"/>
                <w:b w:val="1"/>
                <w:bCs w:val="1"/>
                <w:color w:val="auto"/>
              </w:rPr>
              <w:t>Gross Amounts Not Offset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00" w:type="dxa"/>
            <w:vAlign w:val="bottom"/>
            <w:gridSpan w:val="4"/>
          </w:tcPr>
          <w:p>
            <w:pPr>
              <w:jc w:val="right"/>
              <w:ind w:right="68"/>
              <w:spacing w:after="0" w:line="135" w:lineRule="exact"/>
              <w:rPr>
                <w:sz w:val="20"/>
                <w:szCs w:val="20"/>
                <w:color w:val="auto"/>
              </w:rPr>
            </w:pPr>
            <w:r>
              <w:rPr>
                <w:rFonts w:ascii="Arial" w:cs="Arial" w:eastAsia="Arial" w:hAnsi="Arial"/>
                <w:sz w:val="14"/>
                <w:szCs w:val="14"/>
                <w:b w:val="1"/>
                <w:bCs w:val="1"/>
                <w:color w:val="auto"/>
              </w:rPr>
              <w:t>in the</w:t>
            </w: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60" w:type="dxa"/>
            <w:vAlign w:val="bottom"/>
            <w:gridSpan w:val="4"/>
          </w:tcPr>
          <w:p>
            <w:pPr>
              <w:spacing w:after="0"/>
              <w:rPr>
                <w:sz w:val="20"/>
                <w:szCs w:val="20"/>
                <w:color w:val="auto"/>
              </w:rPr>
            </w:pPr>
            <w:r>
              <w:rPr>
                <w:rFonts w:ascii="Arial" w:cs="Arial" w:eastAsia="Arial" w:hAnsi="Arial"/>
                <w:sz w:val="14"/>
                <w:szCs w:val="14"/>
                <w:b w:val="1"/>
                <w:bCs w:val="1"/>
                <w:color w:val="auto"/>
              </w:rPr>
              <w:t>Net Amounts of</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00" w:type="dxa"/>
            <w:vAlign w:val="bottom"/>
            <w:gridSpan w:val="7"/>
          </w:tcPr>
          <w:p>
            <w:pPr>
              <w:jc w:val="right"/>
              <w:ind w:right="420"/>
              <w:spacing w:after="0"/>
              <w:rPr>
                <w:sz w:val="20"/>
                <w:szCs w:val="20"/>
                <w:color w:val="auto"/>
              </w:rPr>
            </w:pPr>
            <w:r>
              <w:rPr>
                <w:rFonts w:ascii="Arial" w:cs="Arial" w:eastAsia="Arial" w:hAnsi="Arial"/>
                <w:sz w:val="14"/>
                <w:szCs w:val="14"/>
                <w:b w:val="1"/>
                <w:bCs w:val="1"/>
                <w:color w:val="auto"/>
                <w:w w:val="94"/>
              </w:rPr>
              <w:t>Consolidated Balance Sheets</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60" w:type="dxa"/>
            <w:vAlign w:val="bottom"/>
          </w:tcPr>
          <w:p>
            <w:pPr>
              <w:spacing w:after="0"/>
              <w:rPr>
                <w:sz w:val="10"/>
                <w:szCs w:val="10"/>
                <w:color w:val="auto"/>
              </w:rPr>
            </w:pPr>
          </w:p>
        </w:tc>
        <w:tc>
          <w:tcPr>
            <w:tcW w:w="38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1"/>
              </w:rPr>
              <w:t>Gross Amounts</w:t>
            </w:r>
          </w:p>
        </w:tc>
        <w:tc>
          <w:tcPr>
            <w:tcW w:w="1220" w:type="dxa"/>
            <w:vAlign w:val="bottom"/>
            <w:gridSpan w:val="4"/>
          </w:tcPr>
          <w:p>
            <w:pPr>
              <w:jc w:val="center"/>
              <w:ind w:right="120"/>
              <w:spacing w:after="0" w:line="115" w:lineRule="exact"/>
              <w:rPr>
                <w:sz w:val="20"/>
                <w:szCs w:val="20"/>
                <w:color w:val="auto"/>
              </w:rPr>
            </w:pPr>
            <w:r>
              <w:rPr>
                <w:rFonts w:ascii="Arial" w:cs="Arial" w:eastAsia="Arial" w:hAnsi="Arial"/>
                <w:sz w:val="13"/>
                <w:szCs w:val="13"/>
                <w:b w:val="1"/>
                <w:bCs w:val="1"/>
                <w:color w:val="auto"/>
                <w:w w:val="96"/>
              </w:rPr>
              <w:t>Gross Amounts</w:t>
            </w:r>
          </w:p>
        </w:tc>
        <w:tc>
          <w:tcPr>
            <w:tcW w:w="1240" w:type="dxa"/>
            <w:vAlign w:val="bottom"/>
            <w:gridSpan w:val="5"/>
          </w:tcPr>
          <w:p>
            <w:pPr>
              <w:jc w:val="center"/>
              <w:ind w:right="100"/>
              <w:spacing w:after="0" w:line="115" w:lineRule="exact"/>
              <w:rPr>
                <w:sz w:val="20"/>
                <w:szCs w:val="20"/>
                <w:color w:val="auto"/>
              </w:rPr>
            </w:pPr>
            <w:r>
              <w:rPr>
                <w:rFonts w:ascii="Arial" w:cs="Arial" w:eastAsia="Arial" w:hAnsi="Arial"/>
                <w:sz w:val="13"/>
                <w:szCs w:val="13"/>
                <w:b w:val="1"/>
                <w:bCs w:val="1"/>
                <w:color w:val="auto"/>
                <w:w w:val="93"/>
              </w:rPr>
              <w:t>Assets Presented</w:t>
            </w:r>
          </w:p>
        </w:tc>
        <w:tc>
          <w:tcPr>
            <w:tcW w:w="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3"/>
          </w:tcPr>
          <w:p>
            <w:pPr>
              <w:jc w:val="center"/>
              <w:ind w:right="180"/>
              <w:spacing w:after="0" w:line="13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0"/>
              </w:rPr>
              <w:t>in the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Financial</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restart"/>
          </w:tcPr>
          <w:p>
            <w:pPr>
              <w:jc w:val="right"/>
              <w:ind w:right="360"/>
              <w:spacing w:after="0"/>
              <w:rPr>
                <w:sz w:val="20"/>
                <w:szCs w:val="20"/>
                <w:color w:val="auto"/>
              </w:rPr>
            </w:pPr>
            <w:r>
              <w:rPr>
                <w:rFonts w:ascii="Arial" w:cs="Arial" w:eastAsia="Arial" w:hAnsi="Arial"/>
                <w:sz w:val="14"/>
                <w:szCs w:val="14"/>
                <w:b w:val="1"/>
                <w:bCs w:val="1"/>
                <w:color w:val="auto"/>
                <w:w w:val="97"/>
              </w:rPr>
              <w:t>Collateral</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89"/>
              </w:rPr>
              <w:t>of Recognized</w:t>
            </w:r>
          </w:p>
        </w:tc>
        <w:tc>
          <w:tcPr>
            <w:tcW w:w="80" w:type="dxa"/>
            <w:vAlign w:val="bottom"/>
          </w:tcPr>
          <w:p>
            <w:pPr>
              <w:spacing w:after="0"/>
              <w:rPr>
                <w:sz w:val="11"/>
                <w:szCs w:val="11"/>
                <w:color w:val="auto"/>
              </w:rPr>
            </w:pPr>
          </w:p>
        </w:tc>
        <w:tc>
          <w:tcPr>
            <w:tcW w:w="1140" w:type="dxa"/>
            <w:vAlign w:val="bottom"/>
            <w:gridSpan w:val="3"/>
          </w:tcPr>
          <w:p>
            <w:pPr>
              <w:jc w:val="center"/>
              <w:ind w:right="200"/>
              <w:spacing w:after="0" w:line="135" w:lineRule="exact"/>
              <w:rPr>
                <w:sz w:val="20"/>
                <w:szCs w:val="20"/>
                <w:color w:val="auto"/>
              </w:rPr>
            </w:pPr>
            <w:r>
              <w:rPr>
                <w:rFonts w:ascii="Arial" w:cs="Arial" w:eastAsia="Arial" w:hAnsi="Arial"/>
                <w:sz w:val="14"/>
                <w:szCs w:val="14"/>
                <w:b w:val="1"/>
                <w:bCs w:val="1"/>
                <w:color w:val="auto"/>
                <w:w w:val="92"/>
              </w:rPr>
              <w:t>Consolidated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2"/>
              </w:rPr>
              <w:t>Consolidated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3"/>
              </w:rPr>
              <w:t>Net Amount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2"/>
              </w:rPr>
              <w:t>Assets</w:t>
            </w:r>
          </w:p>
        </w:tc>
        <w:tc>
          <w:tcPr>
            <w:tcW w:w="80" w:type="dxa"/>
            <w:vAlign w:val="bottom"/>
          </w:tcPr>
          <w:p>
            <w:pPr>
              <w:spacing w:after="0"/>
              <w:rPr>
                <w:sz w:val="16"/>
                <w:szCs w:val="16"/>
                <w:color w:val="auto"/>
              </w:rPr>
            </w:pPr>
          </w:p>
        </w:tc>
        <w:tc>
          <w:tcPr>
            <w:tcW w:w="114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6"/>
              </w:rPr>
              <w:t>Balance Sheets</w:t>
            </w:r>
          </w:p>
        </w:tc>
        <w:tc>
          <w:tcPr>
            <w:tcW w:w="80" w:type="dxa"/>
            <w:vAlign w:val="bottom"/>
          </w:tcPr>
          <w:p>
            <w:pPr>
              <w:spacing w:after="0"/>
              <w:rPr>
                <w:sz w:val="16"/>
                <w:szCs w:val="16"/>
                <w:color w:val="auto"/>
              </w:rPr>
            </w:pPr>
          </w:p>
        </w:tc>
        <w:tc>
          <w:tcPr>
            <w:tcW w:w="1160" w:type="dxa"/>
            <w:vAlign w:val="bottom"/>
            <w:gridSpan w:val="4"/>
          </w:tcPr>
          <w:p>
            <w:pPr>
              <w:jc w:val="center"/>
              <w:ind w:right="200"/>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Instruments</w:t>
            </w: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gridSpan w:val="3"/>
          </w:tcPr>
          <w:p>
            <w:pPr>
              <w:jc w:val="right"/>
              <w:ind w:right="360"/>
              <w:spacing w:after="0" w:line="189" w:lineRule="exact"/>
              <w:rPr>
                <w:sz w:val="20"/>
                <w:szCs w:val="20"/>
                <w:color w:val="auto"/>
              </w:rPr>
            </w:pPr>
            <w:r>
              <w:rPr>
                <w:rFonts w:ascii="Arial" w:cs="Arial" w:eastAsia="Arial" w:hAnsi="Arial"/>
                <w:sz w:val="14"/>
                <w:szCs w:val="14"/>
                <w:b w:val="1"/>
                <w:bCs w:val="1"/>
                <w:color w:val="auto"/>
                <w:w w:val="85"/>
              </w:rPr>
              <w:t xml:space="preserve">Received </w:t>
            </w:r>
            <w:r>
              <w:rPr>
                <w:rFonts w:ascii="Arial" w:cs="Arial" w:eastAsia="Arial" w:hAnsi="Arial"/>
                <w:sz w:val="18"/>
                <w:szCs w:val="18"/>
                <w:b w:val="1"/>
                <w:bCs w:val="1"/>
                <w:color w:val="auto"/>
                <w:w w:val="85"/>
                <w:vertAlign w:val="superscript"/>
              </w:rPr>
              <w:t>2</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920" w:type="dxa"/>
            <w:vAlign w:val="bottom"/>
            <w:tcBorders>
              <w:top w:val="single" w:sz="8" w:color="auto"/>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September 30, 2020</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tcPr>
          <w:p>
            <w:pPr>
              <w:ind w:left="80"/>
              <w:spacing w:after="0" w:line="189"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46</w:t>
            </w:r>
          </w:p>
        </w:tc>
        <w:tc>
          <w:tcPr>
            <w:tcW w:w="12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gridSpan w:val="2"/>
          </w:tcPr>
          <w:p>
            <w:pPr>
              <w:jc w:val="right"/>
              <w:ind w:right="15"/>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46</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(3)</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43</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shd w:val="clear" w:color="auto" w:fill="CCEEFF"/>
          </w:tcPr>
          <w:p>
            <w:pPr>
              <w:spacing w:after="0"/>
              <w:rPr>
                <w:sz w:val="16"/>
                <w:szCs w:val="16"/>
                <w:color w:val="auto"/>
              </w:rPr>
            </w:pPr>
          </w:p>
        </w:tc>
        <w:tc>
          <w:tcPr>
            <w:tcW w:w="398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TBA securities, at fair value</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gridSpan w:val="3"/>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3980" w:type="dxa"/>
            <w:vAlign w:val="bottom"/>
            <w:gridSpan w:val="2"/>
          </w:tcPr>
          <w:p>
            <w:pPr>
              <w:ind w:left="60"/>
              <w:spacing w:after="0"/>
              <w:rPr>
                <w:sz w:val="20"/>
                <w:szCs w:val="20"/>
                <w:color w:val="auto"/>
              </w:rPr>
            </w:pPr>
            <w:r>
              <w:rPr>
                <w:rFonts w:ascii="Arial" w:cs="Arial" w:eastAsia="Arial" w:hAnsi="Arial"/>
                <w:sz w:val="14"/>
                <w:szCs w:val="14"/>
                <w:color w:val="auto"/>
              </w:rPr>
              <w:t>Receivable under reverse repurchase agreements</w:t>
            </w:r>
          </w:p>
        </w:tc>
        <w:tc>
          <w:tcPr>
            <w:tcW w:w="14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8,625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8,625</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(5,463)</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(3,147)</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398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8,755</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gridSpan w:val="2"/>
            <w:shd w:val="clear" w:color="auto" w:fill="CCEEFF"/>
          </w:tcPr>
          <w:p>
            <w:pPr>
              <w:jc w:val="right"/>
              <w:ind w:right="15"/>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8,755</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gridSpan w:val="2"/>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(5,471)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(3,150)</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4040" w:type="dxa"/>
            <w:vAlign w:val="bottom"/>
            <w:gridSpan w:val="3"/>
            <w:shd w:val="clear" w:color="auto" w:fill="CCEEFF"/>
          </w:tcPr>
          <w:p>
            <w:pPr>
              <w:ind w:left="20"/>
              <w:spacing w:after="0"/>
              <w:rPr>
                <w:sz w:val="20"/>
                <w:szCs w:val="20"/>
                <w:color w:val="auto"/>
              </w:rPr>
            </w:pPr>
            <w:r>
              <w:rPr>
                <w:rFonts w:ascii="Arial" w:cs="Arial" w:eastAsia="Arial" w:hAnsi="Arial"/>
                <w:sz w:val="14"/>
                <w:szCs w:val="14"/>
                <w:b w:val="1"/>
                <w:bCs w:val="1"/>
                <w:color w:val="auto"/>
              </w:rPr>
              <w:t>December 31, 2019</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tcPr>
          <w:p>
            <w:pPr>
              <w:ind w:left="80"/>
              <w:spacing w:after="0" w:line="189"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147</w:t>
            </w:r>
          </w:p>
        </w:tc>
        <w:tc>
          <w:tcPr>
            <w:tcW w:w="12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gridSpan w:val="2"/>
          </w:tcPr>
          <w:p>
            <w:pPr>
              <w:jc w:val="right"/>
              <w:ind w:right="15"/>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147</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gridSpan w:val="2"/>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4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(116)</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gridSpan w:val="2"/>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29</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shd w:val="clear" w:color="auto" w:fill="CCEEFF"/>
          </w:tcPr>
          <w:p>
            <w:pPr>
              <w:spacing w:after="0"/>
              <w:rPr>
                <w:sz w:val="16"/>
                <w:szCs w:val="16"/>
                <w:color w:val="auto"/>
              </w:rPr>
            </w:pPr>
          </w:p>
        </w:tc>
        <w:tc>
          <w:tcPr>
            <w:tcW w:w="398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TBA securities, at fair value</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gridSpan w:val="3"/>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3980" w:type="dxa"/>
            <w:vAlign w:val="bottom"/>
            <w:gridSpan w:val="2"/>
          </w:tcPr>
          <w:p>
            <w:pPr>
              <w:ind w:left="60"/>
              <w:spacing w:after="0"/>
              <w:rPr>
                <w:sz w:val="20"/>
                <w:szCs w:val="20"/>
                <w:color w:val="auto"/>
              </w:rPr>
            </w:pPr>
            <w:r>
              <w:rPr>
                <w:rFonts w:ascii="Arial" w:cs="Arial" w:eastAsia="Arial" w:hAnsi="Arial"/>
                <w:sz w:val="14"/>
                <w:szCs w:val="14"/>
                <w:color w:val="auto"/>
              </w:rPr>
              <w:t>Receivable under reverse repurchase agreements</w:t>
            </w:r>
          </w:p>
        </w:tc>
        <w:tc>
          <w:tcPr>
            <w:tcW w:w="14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10,181</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10,181</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(9,852)</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(329)</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398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Arial" w:cs="Arial" w:eastAsia="Arial" w:hAnsi="Arial"/>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10,357</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gridSpan w:val="2"/>
            <w:shd w:val="clear" w:color="auto" w:fill="CCEEFF"/>
          </w:tcPr>
          <w:p>
            <w:pPr>
              <w:jc w:val="right"/>
              <w:ind w:right="15"/>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10,357</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gridSpan w:val="2"/>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(9,858)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(445)</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6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gridSpan w:val="14"/>
          </w:tcPr>
          <w:p>
            <w:pPr>
              <w:jc w:val="right"/>
              <w:spacing w:after="0"/>
              <w:rPr>
                <w:sz w:val="20"/>
                <w:szCs w:val="20"/>
                <w:color w:val="auto"/>
              </w:rPr>
            </w:pPr>
            <w:r>
              <w:rPr>
                <w:rFonts w:ascii="Arial" w:cs="Arial" w:eastAsia="Arial" w:hAnsi="Arial"/>
                <w:sz w:val="14"/>
                <w:szCs w:val="14"/>
                <w:b w:val="1"/>
                <w:bCs w:val="1"/>
                <w:color w:val="auto"/>
              </w:rPr>
              <w:t>Offsetting of Financial and Derivative Liabilities</w:t>
            </w:r>
          </w:p>
        </w:tc>
        <w:tc>
          <w:tcPr>
            <w:tcW w:w="8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 w:type="dxa"/>
            <w:vAlign w:val="bottom"/>
          </w:tcPr>
          <w:p>
            <w:pPr>
              <w:spacing w:after="0"/>
              <w:rPr>
                <w:sz w:val="21"/>
                <w:szCs w:val="21"/>
                <w:color w:val="auto"/>
              </w:rPr>
            </w:pPr>
          </w:p>
        </w:tc>
        <w:tc>
          <w:tcPr>
            <w:tcW w:w="3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7"/>
          </w:tcPr>
          <w:p>
            <w:pPr>
              <w:jc w:val="right"/>
              <w:ind w:right="420"/>
              <w:spacing w:after="0"/>
              <w:rPr>
                <w:sz w:val="20"/>
                <w:szCs w:val="20"/>
                <w:color w:val="auto"/>
              </w:rPr>
            </w:pPr>
            <w:r>
              <w:rPr>
                <w:rFonts w:ascii="Arial" w:cs="Arial" w:eastAsia="Arial" w:hAnsi="Arial"/>
                <w:sz w:val="14"/>
                <w:szCs w:val="14"/>
                <w:b w:val="1"/>
                <w:bCs w:val="1"/>
                <w:color w:val="auto"/>
              </w:rPr>
              <w:t>Gross Amounts Not Offset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00" w:type="dxa"/>
            <w:vAlign w:val="bottom"/>
            <w:gridSpan w:val="4"/>
          </w:tcPr>
          <w:p>
            <w:pPr>
              <w:jc w:val="right"/>
              <w:ind w:right="8"/>
              <w:spacing w:after="0" w:line="135" w:lineRule="exact"/>
              <w:rPr>
                <w:sz w:val="20"/>
                <w:szCs w:val="20"/>
                <w:color w:val="auto"/>
              </w:rPr>
            </w:pPr>
            <w:r>
              <w:rPr>
                <w:rFonts w:ascii="Arial" w:cs="Arial" w:eastAsia="Arial" w:hAnsi="Arial"/>
                <w:sz w:val="14"/>
                <w:szCs w:val="14"/>
                <w:b w:val="1"/>
                <w:bCs w:val="1"/>
                <w:color w:val="auto"/>
              </w:rPr>
              <w:t>in the</w:t>
            </w: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6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92"/>
              </w:rPr>
              <w:t>Net Amounts of</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300" w:type="dxa"/>
            <w:vAlign w:val="bottom"/>
            <w:gridSpan w:val="7"/>
          </w:tcPr>
          <w:p>
            <w:pPr>
              <w:jc w:val="right"/>
              <w:ind w:right="360"/>
              <w:spacing w:after="0"/>
              <w:rPr>
                <w:sz w:val="20"/>
                <w:szCs w:val="20"/>
                <w:color w:val="auto"/>
              </w:rPr>
            </w:pPr>
            <w:r>
              <w:rPr>
                <w:rFonts w:ascii="Arial" w:cs="Arial" w:eastAsia="Arial" w:hAnsi="Arial"/>
                <w:sz w:val="14"/>
                <w:szCs w:val="14"/>
                <w:b w:val="1"/>
                <w:bCs w:val="1"/>
                <w:color w:val="auto"/>
                <w:w w:val="97"/>
              </w:rPr>
              <w:t>Consolidated Balance Sheets</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60" w:type="dxa"/>
            <w:vAlign w:val="bottom"/>
          </w:tcPr>
          <w:p>
            <w:pPr>
              <w:spacing w:after="0"/>
              <w:rPr>
                <w:sz w:val="10"/>
                <w:szCs w:val="10"/>
                <w:color w:val="auto"/>
              </w:rPr>
            </w:pPr>
          </w:p>
        </w:tc>
        <w:tc>
          <w:tcPr>
            <w:tcW w:w="38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Gross Amounts</w:t>
            </w:r>
          </w:p>
        </w:tc>
        <w:tc>
          <w:tcPr>
            <w:tcW w:w="80" w:type="dxa"/>
            <w:vAlign w:val="bottom"/>
          </w:tcPr>
          <w:p>
            <w:pPr>
              <w:spacing w:after="0"/>
              <w:rPr>
                <w:sz w:val="10"/>
                <w:szCs w:val="10"/>
                <w:color w:val="auto"/>
              </w:rPr>
            </w:pPr>
          </w:p>
        </w:tc>
        <w:tc>
          <w:tcPr>
            <w:tcW w:w="1140" w:type="dxa"/>
            <w:vAlign w:val="bottom"/>
            <w:gridSpan w:val="3"/>
          </w:tcPr>
          <w:p>
            <w:pPr>
              <w:jc w:val="center"/>
              <w:ind w:right="140"/>
              <w:spacing w:after="0" w:line="115" w:lineRule="exact"/>
              <w:rPr>
                <w:sz w:val="20"/>
                <w:szCs w:val="20"/>
                <w:color w:val="auto"/>
              </w:rPr>
            </w:pPr>
            <w:r>
              <w:rPr>
                <w:rFonts w:ascii="Arial" w:cs="Arial" w:eastAsia="Arial" w:hAnsi="Arial"/>
                <w:sz w:val="13"/>
                <w:szCs w:val="13"/>
                <w:b w:val="1"/>
                <w:bCs w:val="1"/>
                <w:color w:val="auto"/>
                <w:w w:val="98"/>
              </w:rPr>
              <w:t>Gross Amounts</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80" w:type="dxa"/>
            <w:vAlign w:val="bottom"/>
            <w:gridSpan w:val="3"/>
          </w:tcPr>
          <w:p>
            <w:pPr>
              <w:jc w:val="center"/>
              <w:ind w:right="120"/>
              <w:spacing w:after="0" w:line="115" w:lineRule="exact"/>
              <w:rPr>
                <w:sz w:val="20"/>
                <w:szCs w:val="20"/>
                <w:color w:val="auto"/>
              </w:rPr>
            </w:pPr>
            <w:r>
              <w:rPr>
                <w:rFonts w:ascii="Arial" w:cs="Arial" w:eastAsia="Arial" w:hAnsi="Arial"/>
                <w:sz w:val="13"/>
                <w:szCs w:val="13"/>
                <w:b w:val="1"/>
                <w:bCs w:val="1"/>
                <w:color w:val="auto"/>
                <w:w w:val="99"/>
              </w:rPr>
              <w:t>Liabilities</w:t>
            </w:r>
          </w:p>
        </w:tc>
        <w:tc>
          <w:tcPr>
            <w:tcW w:w="8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6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Offset in the</w:t>
            </w:r>
          </w:p>
        </w:tc>
        <w:tc>
          <w:tcPr>
            <w:tcW w:w="80" w:type="dxa"/>
            <w:vAlign w:val="bottom"/>
          </w:tcPr>
          <w:p>
            <w:pPr>
              <w:spacing w:after="0"/>
              <w:rPr>
                <w:sz w:val="11"/>
                <w:szCs w:val="11"/>
                <w:color w:val="auto"/>
              </w:rPr>
            </w:pPr>
          </w:p>
        </w:tc>
        <w:tc>
          <w:tcPr>
            <w:tcW w:w="1160" w:type="dxa"/>
            <w:vAlign w:val="bottom"/>
            <w:gridSpan w:val="4"/>
          </w:tcPr>
          <w:p>
            <w:pPr>
              <w:jc w:val="center"/>
              <w:ind w:right="40"/>
              <w:spacing w:after="0" w:line="135" w:lineRule="exact"/>
              <w:rPr>
                <w:sz w:val="20"/>
                <w:szCs w:val="20"/>
                <w:color w:val="auto"/>
              </w:rPr>
            </w:pPr>
            <w:r>
              <w:rPr>
                <w:rFonts w:ascii="Arial" w:cs="Arial" w:eastAsia="Arial" w:hAnsi="Arial"/>
                <w:sz w:val="14"/>
                <w:szCs w:val="14"/>
                <w:b w:val="1"/>
                <w:bCs w:val="1"/>
                <w:color w:val="auto"/>
                <w:w w:val="91"/>
              </w:rPr>
              <w:t>Presented in the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5"/>
              </w:rPr>
              <w:t>Financial</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Collateral</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89"/>
              </w:rPr>
              <w:t>of Recognized</w:t>
            </w:r>
          </w:p>
        </w:tc>
        <w:tc>
          <w:tcPr>
            <w:tcW w:w="80" w:type="dxa"/>
            <w:vAlign w:val="bottom"/>
          </w:tcPr>
          <w:p>
            <w:pPr>
              <w:spacing w:after="0"/>
              <w:rPr>
                <w:sz w:val="11"/>
                <w:szCs w:val="11"/>
                <w:color w:val="auto"/>
              </w:rPr>
            </w:pPr>
          </w:p>
        </w:tc>
        <w:tc>
          <w:tcPr>
            <w:tcW w:w="1140" w:type="dxa"/>
            <w:vAlign w:val="bottom"/>
            <w:gridSpan w:val="3"/>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3"/>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Consolidated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vMerge w:val="restart"/>
          </w:tcPr>
          <w:p>
            <w:pPr>
              <w:jc w:val="right"/>
              <w:ind w:right="28"/>
              <w:spacing w:after="0"/>
              <w:rPr>
                <w:sz w:val="20"/>
                <w:szCs w:val="20"/>
                <w:color w:val="auto"/>
              </w:rPr>
            </w:pPr>
            <w:r>
              <w:rPr>
                <w:rFonts w:ascii="Arial" w:cs="Arial" w:eastAsia="Arial" w:hAnsi="Arial"/>
                <w:sz w:val="14"/>
                <w:szCs w:val="14"/>
                <w:b w:val="1"/>
                <w:bCs w:val="1"/>
                <w:color w:val="auto"/>
                <w:w w:val="98"/>
              </w:rPr>
              <w:t>Net Amount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Liabilities</w:t>
            </w:r>
          </w:p>
        </w:tc>
        <w:tc>
          <w:tcPr>
            <w:tcW w:w="80" w:type="dxa"/>
            <w:vAlign w:val="bottom"/>
          </w:tcPr>
          <w:p>
            <w:pPr>
              <w:spacing w:after="0"/>
              <w:rPr>
                <w:sz w:val="16"/>
                <w:szCs w:val="16"/>
                <w:color w:val="auto"/>
              </w:rPr>
            </w:pPr>
          </w:p>
        </w:tc>
        <w:tc>
          <w:tcPr>
            <w:tcW w:w="114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0"/>
              </w:rPr>
              <w:t>Balance Sheets</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8"/>
              </w:rPr>
              <w:t>Balance Sheets</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Instruments</w:t>
            </w: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gridSpan w:val="3"/>
          </w:tcPr>
          <w:p>
            <w:pPr>
              <w:jc w:val="right"/>
              <w:ind w:right="360"/>
              <w:spacing w:after="0" w:line="189" w:lineRule="exact"/>
              <w:rPr>
                <w:sz w:val="20"/>
                <w:szCs w:val="20"/>
                <w:color w:val="auto"/>
              </w:rPr>
            </w:pPr>
            <w:r>
              <w:rPr>
                <w:rFonts w:ascii="Arial" w:cs="Arial" w:eastAsia="Arial" w:hAnsi="Arial"/>
                <w:sz w:val="14"/>
                <w:szCs w:val="14"/>
                <w:b w:val="1"/>
                <w:bCs w:val="1"/>
                <w:color w:val="auto"/>
                <w:w w:val="95"/>
              </w:rPr>
              <w:t xml:space="preserve">Pledged </w:t>
            </w:r>
            <w:r>
              <w:rPr>
                <w:rFonts w:ascii="Arial" w:cs="Arial" w:eastAsia="Arial" w:hAnsi="Arial"/>
                <w:sz w:val="18"/>
                <w:szCs w:val="18"/>
                <w:b w:val="1"/>
                <w:bCs w:val="1"/>
                <w:color w:val="auto"/>
                <w:w w:val="95"/>
                <w:vertAlign w:val="superscript"/>
              </w:rPr>
              <w:t>2</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0" w:type="dxa"/>
            <w:vAlign w:val="bottom"/>
          </w:tcPr>
          <w:p>
            <w:pPr>
              <w:spacing w:after="0"/>
              <w:rPr>
                <w:sz w:val="15"/>
                <w:szCs w:val="15"/>
                <w:color w:val="auto"/>
              </w:rPr>
            </w:pPr>
          </w:p>
        </w:tc>
        <w:tc>
          <w:tcPr>
            <w:tcW w:w="38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September 30, 2020</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tcPr>
          <w:p>
            <w:pPr>
              <w:ind w:left="140"/>
              <w:spacing w:after="0" w:line="189" w:lineRule="exact"/>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18"/>
                <w:szCs w:val="18"/>
                <w:color w:val="auto"/>
                <w:vertAlign w:val="superscript"/>
              </w:rPr>
              <w:t>1</w:t>
            </w: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gridSpan w:val="3"/>
          </w:tcPr>
          <w:p>
            <w:pPr>
              <w:ind w:left="900"/>
              <w:spacing w:after="0"/>
              <w:rPr>
                <w:sz w:val="20"/>
                <w:szCs w:val="20"/>
                <w:color w:val="auto"/>
              </w:rPr>
            </w:pPr>
            <w:r>
              <w:rPr>
                <w:rFonts w:ascii="Arial" w:cs="Arial" w:eastAsia="Arial" w:hAnsi="Arial"/>
                <w:sz w:val="14"/>
                <w:szCs w:val="14"/>
                <w:color w:val="auto"/>
              </w:rPr>
              <w:t>—</w:t>
            </w:r>
          </w:p>
        </w:tc>
        <w:tc>
          <w:tcPr>
            <w:tcW w:w="160" w:type="dxa"/>
            <w:vAlign w:val="bottom"/>
            <w:gridSpan w:val="2"/>
          </w:tcPr>
          <w:p>
            <w:pPr>
              <w:ind w:left="100"/>
              <w:spacing w:after="0"/>
              <w:rPr>
                <w:sz w:val="20"/>
                <w:szCs w:val="20"/>
                <w:color w:val="auto"/>
              </w:rPr>
            </w:pPr>
            <w:r>
              <w:rPr>
                <w:rFonts w:ascii="Arial" w:cs="Arial" w:eastAsia="Arial" w:hAnsi="Arial"/>
                <w:sz w:val="10"/>
                <w:szCs w:val="10"/>
                <w:color w:val="auto"/>
                <w:w w:val="71"/>
              </w:rPr>
              <w:t>$</w:t>
            </w:r>
          </w:p>
        </w:tc>
        <w:tc>
          <w:tcPr>
            <w:tcW w:w="108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gridSpan w:val="3"/>
          </w:tcPr>
          <w:p>
            <w:pPr>
              <w:ind w:left="720"/>
              <w:spacing w:after="0"/>
              <w:rPr>
                <w:sz w:val="20"/>
                <w:szCs w:val="20"/>
                <w:color w:val="auto"/>
              </w:rPr>
            </w:pPr>
            <w:r>
              <w:rPr>
                <w:rFonts w:ascii="Arial" w:cs="Arial" w:eastAsia="Arial" w:hAnsi="Arial"/>
                <w:sz w:val="14"/>
                <w:szCs w:val="14"/>
                <w:color w:val="auto"/>
              </w:rPr>
              <w:t>—</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TBA securities, at fair value</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40" w:type="dxa"/>
            <w:vAlign w:val="bottom"/>
            <w:gridSpan w:val="3"/>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gridSpan w:val="3"/>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3980" w:type="dxa"/>
            <w:vAlign w:val="bottom"/>
            <w:gridSpan w:val="2"/>
          </w:tcPr>
          <w:p>
            <w:pPr>
              <w:ind w:left="120"/>
              <w:spacing w:after="0"/>
              <w:rPr>
                <w:sz w:val="20"/>
                <w:szCs w:val="20"/>
                <w:color w:val="auto"/>
              </w:rPr>
            </w:pPr>
            <w:r>
              <w:rPr>
                <w:rFonts w:ascii="Arial" w:cs="Arial" w:eastAsia="Arial" w:hAnsi="Arial"/>
                <w:sz w:val="14"/>
                <w:szCs w:val="14"/>
                <w:color w:val="auto"/>
              </w:rPr>
              <w:t>Repurchase agreements</w:t>
            </w:r>
          </w:p>
        </w:tc>
        <w:tc>
          <w:tcPr>
            <w:tcW w:w="14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54,566</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40" w:type="dxa"/>
            <w:vAlign w:val="bottom"/>
            <w:gridSpan w:val="3"/>
          </w:tcPr>
          <w:p>
            <w:pPr>
              <w:ind w:left="9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54,566</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(5,463)</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4"/>
                <w:szCs w:val="14"/>
                <w:color w:val="auto"/>
              </w:rPr>
              <w:t>(49,103)</w:t>
            </w: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0" w:type="dxa"/>
            <w:vAlign w:val="bottom"/>
          </w:tcPr>
          <w:p>
            <w:pPr>
              <w:spacing w:after="0"/>
              <w:rPr>
                <w:sz w:val="17"/>
                <w:szCs w:val="17"/>
                <w:color w:val="auto"/>
              </w:rPr>
            </w:pPr>
          </w:p>
        </w:tc>
        <w:tc>
          <w:tcPr>
            <w:tcW w:w="3980" w:type="dxa"/>
            <w:vAlign w:val="bottom"/>
            <w:tcBorders>
              <w:top w:val="single" w:sz="8" w:color="CCEEFF"/>
              <w:bottom w:val="single" w:sz="8" w:color="CCEEFF"/>
            </w:tcBorders>
            <w:gridSpan w:val="2"/>
            <w:shd w:val="clear" w:color="auto" w:fill="CCEEFF"/>
          </w:tcPr>
          <w:p>
            <w:pPr>
              <w:ind w:left="240"/>
              <w:spacing w:after="0"/>
              <w:rPr>
                <w:sz w:val="20"/>
                <w:szCs w:val="20"/>
                <w:color w:val="auto"/>
              </w:rPr>
            </w:pPr>
            <w:r>
              <w:rPr>
                <w:rFonts w:ascii="Arial" w:cs="Arial" w:eastAsia="Arial" w:hAnsi="Arial"/>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54,574</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bottom w:val="single" w:sz="8" w:color="auto"/>
            </w:tcBorders>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106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54,574</w:t>
            </w: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(5,471)</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(49,103)</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tcBorders>
              <w:top w:val="single" w:sz="8" w:color="auto"/>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980" w:type="dxa"/>
            <w:vAlign w:val="bottom"/>
            <w:tcBorders>
              <w:top w:val="single" w:sz="8" w:color="CCEEFF"/>
            </w:tcBorders>
            <w:gridSpan w:val="2"/>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December 31, 2019</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tcPr>
          <w:p>
            <w:pPr>
              <w:ind w:left="140"/>
              <w:spacing w:after="0" w:line="189" w:lineRule="exact"/>
              <w:rPr>
                <w:sz w:val="20"/>
                <w:szCs w:val="20"/>
                <w:color w:val="auto"/>
              </w:rPr>
            </w:pPr>
            <w:r>
              <w:rPr>
                <w:rFonts w:ascii="Arial" w:cs="Arial" w:eastAsia="Arial" w:hAnsi="Arial"/>
                <w:sz w:val="14"/>
                <w:szCs w:val="14"/>
                <w:color w:val="auto"/>
              </w:rPr>
              <w:t xml:space="preserve">Interest rate swap agreements, at fair value </w:t>
            </w:r>
            <w:r>
              <w:rPr>
                <w:rFonts w:ascii="Arial" w:cs="Arial" w:eastAsia="Arial" w:hAnsi="Arial"/>
                <w:sz w:val="18"/>
                <w:szCs w:val="18"/>
                <w:color w:val="auto"/>
                <w:vertAlign w:val="superscript"/>
              </w:rPr>
              <w:t>1</w:t>
            </w:r>
          </w:p>
        </w:tc>
        <w:tc>
          <w:tcPr>
            <w:tcW w:w="140" w:type="dxa"/>
            <w:vAlign w:val="bottom"/>
          </w:tcPr>
          <w:p>
            <w:pPr>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16"/>
                <w:szCs w:val="16"/>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gridSpan w:val="3"/>
          </w:tcPr>
          <w:p>
            <w:pPr>
              <w:ind w:left="900"/>
              <w:spacing w:after="0"/>
              <w:rPr>
                <w:sz w:val="20"/>
                <w:szCs w:val="20"/>
                <w:color w:val="auto"/>
              </w:rPr>
            </w:pPr>
            <w:r>
              <w:rPr>
                <w:rFonts w:ascii="Arial" w:cs="Arial" w:eastAsia="Arial" w:hAnsi="Arial"/>
                <w:sz w:val="14"/>
                <w:szCs w:val="14"/>
                <w:color w:val="auto"/>
              </w:rPr>
              <w:t>—</w:t>
            </w:r>
          </w:p>
        </w:tc>
        <w:tc>
          <w:tcPr>
            <w:tcW w:w="160" w:type="dxa"/>
            <w:vAlign w:val="bottom"/>
            <w:gridSpan w:val="2"/>
          </w:tcPr>
          <w:p>
            <w:pPr>
              <w:ind w:left="100"/>
              <w:spacing w:after="0"/>
              <w:rPr>
                <w:sz w:val="20"/>
                <w:szCs w:val="20"/>
                <w:color w:val="auto"/>
              </w:rPr>
            </w:pPr>
            <w:r>
              <w:rPr>
                <w:rFonts w:ascii="Arial" w:cs="Arial" w:eastAsia="Arial" w:hAnsi="Arial"/>
                <w:sz w:val="10"/>
                <w:szCs w:val="10"/>
                <w:color w:val="auto"/>
                <w:w w:val="71"/>
              </w:rPr>
              <w:t>$</w:t>
            </w: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2</w:t>
            </w:r>
          </w:p>
        </w:tc>
        <w:tc>
          <w:tcPr>
            <w:tcW w:w="20" w:type="dxa"/>
            <w:vAlign w:val="bottom"/>
          </w:tcPr>
          <w:p>
            <w:pPr>
              <w:spacing w:after="0"/>
              <w:rPr>
                <w:sz w:val="16"/>
                <w:szCs w:val="16"/>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4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gridSpan w:val="3"/>
          </w:tcPr>
          <w:p>
            <w:pPr>
              <w:ind w:left="720"/>
              <w:spacing w:after="0"/>
              <w:rPr>
                <w:sz w:val="20"/>
                <w:szCs w:val="20"/>
                <w:color w:val="auto"/>
              </w:rPr>
            </w:pPr>
            <w:r>
              <w:rPr>
                <w:rFonts w:ascii="Arial" w:cs="Arial" w:eastAsia="Arial" w:hAnsi="Arial"/>
                <w:sz w:val="14"/>
                <w:szCs w:val="14"/>
                <w:color w:val="auto"/>
              </w:rPr>
              <w:t>—</w:t>
            </w:r>
          </w:p>
        </w:tc>
        <w:tc>
          <w:tcPr>
            <w:tcW w:w="1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Pr>
          <w:p>
            <w:pPr>
              <w:spacing w:after="0"/>
              <w:rPr>
                <w:sz w:val="16"/>
                <w:szCs w:val="16"/>
                <w:color w:val="auto"/>
              </w:rPr>
            </w:pPr>
          </w:p>
        </w:tc>
        <w:tc>
          <w:tcPr>
            <w:tcW w:w="39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TBA securities, at fair value</w:t>
            </w:r>
          </w:p>
        </w:tc>
        <w:tc>
          <w:tcPr>
            <w:tcW w:w="14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40" w:type="dxa"/>
            <w:vAlign w:val="bottom"/>
            <w:gridSpan w:val="3"/>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0" w:type="dxa"/>
            <w:vAlign w:val="bottom"/>
            <w:gridSpan w:val="3"/>
            <w:shd w:val="clear" w:color="auto" w:fill="CCEEFF"/>
          </w:tcPr>
          <w:p>
            <w:pPr>
              <w:ind w:left="7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3980" w:type="dxa"/>
            <w:vAlign w:val="bottom"/>
            <w:gridSpan w:val="2"/>
          </w:tcPr>
          <w:p>
            <w:pPr>
              <w:ind w:left="120"/>
              <w:spacing w:after="0"/>
              <w:rPr>
                <w:sz w:val="20"/>
                <w:szCs w:val="20"/>
                <w:color w:val="auto"/>
              </w:rPr>
            </w:pPr>
            <w:r>
              <w:rPr>
                <w:rFonts w:ascii="Arial" w:cs="Arial" w:eastAsia="Arial" w:hAnsi="Arial"/>
                <w:sz w:val="14"/>
                <w:szCs w:val="14"/>
                <w:color w:val="auto"/>
              </w:rPr>
              <w:t>Repurchase agreements</w:t>
            </w:r>
          </w:p>
        </w:tc>
        <w:tc>
          <w:tcPr>
            <w:tcW w:w="14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89,182</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40" w:type="dxa"/>
            <w:vAlign w:val="bottom"/>
            <w:gridSpan w:val="3"/>
          </w:tcPr>
          <w:p>
            <w:pPr>
              <w:ind w:left="9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89,182</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(9,852)</w:t>
            </w: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4"/>
                <w:szCs w:val="14"/>
                <w:color w:val="auto"/>
              </w:rPr>
              <w:t>(79,330)</w:t>
            </w: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0" w:type="dxa"/>
            <w:vAlign w:val="bottom"/>
          </w:tcPr>
          <w:p>
            <w:pPr>
              <w:spacing w:after="0"/>
              <w:rPr>
                <w:sz w:val="17"/>
                <w:szCs w:val="17"/>
                <w:color w:val="auto"/>
              </w:rPr>
            </w:pPr>
          </w:p>
        </w:tc>
        <w:tc>
          <w:tcPr>
            <w:tcW w:w="3980" w:type="dxa"/>
            <w:vAlign w:val="bottom"/>
            <w:tcBorders>
              <w:top w:val="single" w:sz="8" w:color="CCEEFF"/>
              <w:bottom w:val="single" w:sz="8" w:color="CCEEFF"/>
            </w:tcBorders>
            <w:gridSpan w:val="2"/>
            <w:shd w:val="clear" w:color="auto" w:fill="CCEEFF"/>
          </w:tcPr>
          <w:p>
            <w:pPr>
              <w:ind w:left="240"/>
              <w:spacing w:after="0"/>
              <w:rPr>
                <w:sz w:val="20"/>
                <w:szCs w:val="20"/>
                <w:color w:val="auto"/>
              </w:rPr>
            </w:pPr>
            <w:r>
              <w:rPr>
                <w:rFonts w:ascii="Arial" w:cs="Arial" w:eastAsia="Arial" w:hAnsi="Arial"/>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89,188</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tcBorders>
              <w:top w:val="single" w:sz="8" w:color="auto"/>
              <w:bottom w:val="single" w:sz="8" w:color="auto"/>
            </w:tcBorders>
            <w:gridSpan w:val="2"/>
            <w:shd w:val="clear" w:color="auto" w:fill="CCEEFF"/>
          </w:tcPr>
          <w:p>
            <w:pPr>
              <w:ind w:left="900"/>
              <w:spacing w:after="0"/>
              <w:rPr>
                <w:sz w:val="20"/>
                <w:szCs w:val="20"/>
                <w:color w:val="auto"/>
              </w:rPr>
            </w:pPr>
            <w:r>
              <w:rPr>
                <w:rFonts w:ascii="Arial" w:cs="Arial" w:eastAsia="Arial" w:hAnsi="Arial"/>
                <w:sz w:val="14"/>
                <w:szCs w:val="14"/>
                <w:color w:val="auto"/>
              </w:rPr>
              <w:t>—</w:t>
            </w: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106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89,188</w:t>
            </w: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(9,858)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CCEEFF"/>
              <w:bottom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(79,330)</w:t>
            </w: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4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 w:type="dxa"/>
            <w:vAlign w:val="bottom"/>
            <w:tcBorders>
              <w:top w:val="single" w:sz="8" w:color="auto"/>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20" w:name="page21"/>
    <w:bookmarkEnd w:id="20"/>
    <w:p>
      <w:pPr>
        <w:spacing w:after="0"/>
        <w:rPr>
          <w:sz w:val="20"/>
          <w:szCs w:val="20"/>
          <w:color w:val="auto"/>
        </w:rPr>
      </w:pPr>
      <w:r>
        <w:rPr>
          <w:rFonts w:ascii="Arial" w:cs="Arial" w:eastAsia="Arial" w:hAnsi="Arial"/>
          <w:sz w:val="11"/>
          <w:szCs w:val="11"/>
          <w:color w:val="auto"/>
        </w:rPr>
        <w:t>________________________________</w:t>
      </w:r>
    </w:p>
    <w:p>
      <w:pPr>
        <w:ind w:left="660" w:right="160" w:hanging="328"/>
        <w:spacing w:after="0" w:line="241"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6 for a reconciliation of derivative assets / liabilities, at fair value to their sub-components.</w:t>
      </w:r>
    </w:p>
    <w:p>
      <w:pPr>
        <w:ind w:left="660" w:right="400" w:hanging="328"/>
        <w:spacing w:after="0" w:line="255" w:lineRule="auto"/>
        <w:tabs>
          <w:tab w:leader="none" w:pos="66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Fair Value Measurements</w:t>
      </w:r>
    </w:p>
    <w:p>
      <w:pPr>
        <w:spacing w:after="0" w:line="175" w:lineRule="exact"/>
        <w:rPr>
          <w:sz w:val="20"/>
          <w:szCs w:val="20"/>
          <w:color w:val="auto"/>
        </w:rPr>
      </w:pPr>
    </w:p>
    <w:p>
      <w:pPr>
        <w:jc w:val="both"/>
        <w:ind w:firstLine="445"/>
        <w:spacing w:after="0" w:line="279" w:lineRule="auto"/>
        <w:rPr>
          <w:sz w:val="20"/>
          <w:szCs w:val="20"/>
          <w:color w:val="auto"/>
        </w:rPr>
      </w:pPr>
      <w:r>
        <w:rPr>
          <w:rFonts w:ascii="Arial" w:cs="Arial" w:eastAsia="Arial" w:hAnsi="Arial"/>
          <w:sz w:val="17"/>
          <w:szCs w:val="17"/>
          <w:color w:val="auto"/>
        </w:rPr>
        <w:t>We determine the fair value of financial instruments based on our estimate of the price that would be received to sell the asset or paid to transfer the liability in an orderly transaction between market participants at the measurement date. We utilize a three-level valuation hierarchy for disclosure of fair value measurements based upon the transparency of inputs to the valuation of the instrument as of the measurement date. We categorize a financial instrument within the hierarchy based upon the lowest level of input that is significant to the fair value measurement.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77" w:lineRule="auto"/>
        <w:tabs>
          <w:tab w:leader="none" w:pos="655"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1 Inputs —Quoted prices (unadjusted) for identical unrestricted assets and liabilities in active markets that are accessible at the measurement date.</w:t>
      </w:r>
    </w:p>
    <w:p>
      <w:pPr>
        <w:spacing w:after="0" w:line="116" w:lineRule="exact"/>
        <w:rPr>
          <w:rFonts w:ascii="Arial" w:cs="Arial" w:eastAsia="Arial" w:hAnsi="Arial"/>
          <w:sz w:val="18"/>
          <w:szCs w:val="18"/>
          <w:color w:val="auto"/>
        </w:rPr>
      </w:pPr>
    </w:p>
    <w:p>
      <w:pPr>
        <w:ind w:left="660" w:hanging="328"/>
        <w:spacing w:after="0" w:line="308" w:lineRule="auto"/>
        <w:tabs>
          <w:tab w:leader="none" w:pos="655" w:val="left"/>
        </w:tabs>
        <w:numPr>
          <w:ilvl w:val="0"/>
          <w:numId w:val="14"/>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92" w:lineRule="exact"/>
        <w:rPr>
          <w:rFonts w:ascii="Arial" w:cs="Arial" w:eastAsia="Arial" w:hAnsi="Arial"/>
          <w:sz w:val="17"/>
          <w:szCs w:val="17"/>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right="20" w:firstLine="445"/>
        <w:spacing w:after="0" w:line="277" w:lineRule="auto"/>
        <w:rPr>
          <w:sz w:val="20"/>
          <w:szCs w:val="20"/>
          <w:color w:val="auto"/>
        </w:rPr>
      </w:pPr>
      <w:r>
        <w:rPr>
          <w:rFonts w:ascii="Arial" w:cs="Arial" w:eastAsia="Arial" w:hAnsi="Arial"/>
          <w:sz w:val="18"/>
          <w:szCs w:val="18"/>
          <w:color w:val="auto"/>
        </w:rPr>
        <w:t>We typically obtain price estimates from multiple third-party pricing services and dealers or, if applicable, the registered clearing exchange. The following is a description of the valuation methodologies used for instruments carried at fair value on a recurring basis.</w:t>
      </w:r>
    </w:p>
    <w:p>
      <w:pPr>
        <w:spacing w:after="0" w:line="116"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i w:val="1"/>
          <w:iCs w:val="1"/>
          <w:color w:val="auto"/>
        </w:rPr>
        <w:t xml:space="preserve">U.S. Treasury securities and futures prices </w:t>
      </w:r>
      <w:r>
        <w:rPr>
          <w:rFonts w:ascii="Arial" w:cs="Arial" w:eastAsia="Arial" w:hAnsi="Arial"/>
          <w:sz w:val="18"/>
          <w:szCs w:val="18"/>
          <w:color w:val="auto"/>
        </w:rPr>
        <w:t>- are valued based on quoted prices for identical instruments in active markets and are classified as Level</w:t>
      </w:r>
      <w:r>
        <w:rPr>
          <w:rFonts w:ascii="Arial" w:cs="Arial" w:eastAsia="Arial" w:hAnsi="Arial"/>
          <w:sz w:val="18"/>
          <w:szCs w:val="18"/>
          <w:i w:val="1"/>
          <w:iCs w:val="1"/>
          <w:color w:val="auto"/>
        </w:rPr>
        <w:t xml:space="preserve"> </w:t>
      </w:r>
      <w:r>
        <w:rPr>
          <w:rFonts w:ascii="Arial" w:cs="Arial" w:eastAsia="Arial" w:hAnsi="Arial"/>
          <w:sz w:val="18"/>
          <w:szCs w:val="18"/>
          <w:color w:val="auto"/>
        </w:rPr>
        <w:t>1 assets.</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7"/>
          <w:szCs w:val="17"/>
          <w:i w:val="1"/>
          <w:iCs w:val="1"/>
          <w:color w:val="auto"/>
        </w:rPr>
        <w:t xml:space="preserve">TBA securities </w:t>
      </w:r>
      <w:r>
        <w:rPr>
          <w:rFonts w:ascii="Arial" w:cs="Arial" w:eastAsia="Arial" w:hAnsi="Arial"/>
          <w:sz w:val="17"/>
          <w:szCs w:val="17"/>
          <w:color w:val="auto"/>
        </w:rPr>
        <w:t>- are valued using prices obtained from third-party pricing sources based on pricing models that reference recent trading activity.</w:t>
      </w:r>
    </w:p>
    <w:p>
      <w:pPr>
        <w:spacing w:after="0" w:line="183"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i w:val="1"/>
          <w:iCs w:val="1"/>
          <w:color w:val="auto"/>
        </w:rPr>
        <w:t xml:space="preserve">Interest rate swaps </w:t>
      </w:r>
      <w:r>
        <w:rPr>
          <w:rFonts w:ascii="Arial" w:cs="Arial" w:eastAsia="Arial" w:hAnsi="Arial"/>
          <w:sz w:val="18"/>
          <w:szCs w:val="18"/>
          <w:color w:val="auto"/>
        </w:rPr>
        <w:t>- are valued using the daily settlement price, or fair value, determined by the clearing exchange based on a pricing model that</w:t>
      </w:r>
      <w:r>
        <w:rPr>
          <w:rFonts w:ascii="Arial" w:cs="Arial" w:eastAsia="Arial" w:hAnsi="Arial"/>
          <w:sz w:val="18"/>
          <w:szCs w:val="18"/>
          <w:i w:val="1"/>
          <w:iCs w:val="1"/>
          <w:color w:val="auto"/>
        </w:rPr>
        <w:t xml:space="preserve"> </w:t>
      </w:r>
      <w:r>
        <w:rPr>
          <w:rFonts w:ascii="Arial" w:cs="Arial" w:eastAsia="Arial" w:hAnsi="Arial"/>
          <w:sz w:val="18"/>
          <w:szCs w:val="18"/>
          <w:color w:val="auto"/>
        </w:rPr>
        <w:t>references observable market inputs, including current benchmark rates and the forward yield curve.</w:t>
      </w:r>
    </w:p>
    <w:p>
      <w:pPr>
        <w:spacing w:after="0" w:line="116"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i w:val="1"/>
          <w:iCs w:val="1"/>
          <w:color w:val="auto"/>
        </w:rPr>
        <w:t xml:space="preserve">Interest rate swaptions </w:t>
      </w:r>
      <w:r>
        <w:rPr>
          <w:rFonts w:ascii="Arial" w:cs="Arial" w:eastAsia="Arial" w:hAnsi="Arial"/>
          <w:sz w:val="18"/>
          <w:szCs w:val="18"/>
          <w:color w:val="auto"/>
        </w:rPr>
        <w:t>- are valued using prices obtained from the counterparty and other third-party pricing models. The pricing models are based</w:t>
      </w:r>
      <w:r>
        <w:rPr>
          <w:rFonts w:ascii="Arial" w:cs="Arial" w:eastAsia="Arial" w:hAnsi="Arial"/>
          <w:sz w:val="18"/>
          <w:szCs w:val="18"/>
          <w:i w:val="1"/>
          <w:iCs w:val="1"/>
          <w:color w:val="auto"/>
        </w:rPr>
        <w:t xml:space="preserve"> </w:t>
      </w:r>
      <w:r>
        <w:rPr>
          <w:rFonts w:ascii="Arial" w:cs="Arial" w:eastAsia="Arial" w:hAnsi="Arial"/>
          <w:sz w:val="18"/>
          <w:szCs w:val="18"/>
          <w:color w:val="auto"/>
        </w:rPr>
        <w:t>on the value of the future interest rate swap that we have the option to enter into as well as the remaining length of time that we have to exercise the option based on observable market inputs, adjusted for non-performance risk, if any.</w:t>
      </w:r>
    </w:p>
    <w:p>
      <w:pPr>
        <w:spacing w:after="0" w:line="130" w:lineRule="exact"/>
        <w:rPr>
          <w:sz w:val="20"/>
          <w:szCs w:val="20"/>
          <w:color w:val="auto"/>
        </w:rPr>
      </w:pPr>
    </w:p>
    <w:p>
      <w:pPr>
        <w:jc w:val="both"/>
        <w:ind w:firstLine="445"/>
        <w:spacing w:after="0" w:line="270" w:lineRule="auto"/>
        <w:rPr>
          <w:sz w:val="20"/>
          <w:szCs w:val="20"/>
          <w:color w:val="auto"/>
        </w:rPr>
      </w:pPr>
      <w:r>
        <w:rPr>
          <w:rFonts w:ascii="Arial" w:cs="Arial" w:eastAsia="Arial" w:hAnsi="Arial"/>
          <w:sz w:val="17"/>
          <w:szCs w:val="17"/>
          <w:i w:val="1"/>
          <w:iCs w:val="1"/>
          <w:color w:val="auto"/>
        </w:rPr>
        <w:t xml:space="preserve">Investment securities </w:t>
      </w:r>
      <w:r>
        <w:rPr>
          <w:rFonts w:ascii="Arial" w:cs="Arial" w:eastAsia="Arial" w:hAnsi="Arial"/>
          <w:sz w:val="17"/>
          <w:szCs w:val="17"/>
          <w:color w:val="auto"/>
        </w:rPr>
        <w:t>- are valued based on prices obtained from multiple third-party pricing sources. The pricing sources utilize various valuation</w:t>
      </w:r>
      <w:r>
        <w:rPr>
          <w:rFonts w:ascii="Arial" w:cs="Arial" w:eastAsia="Arial" w:hAnsi="Arial"/>
          <w:sz w:val="17"/>
          <w:szCs w:val="17"/>
          <w:i w:val="1"/>
          <w:iCs w:val="1"/>
          <w:color w:val="auto"/>
        </w:rPr>
        <w:t xml:space="preserve"> </w:t>
      </w:r>
      <w:r>
        <w:rPr>
          <w:rFonts w:ascii="Arial" w:cs="Arial" w:eastAsia="Arial" w:hAnsi="Arial"/>
          <w:sz w:val="17"/>
          <w:szCs w:val="17"/>
          <w:color w:val="auto"/>
        </w:rPr>
        <w:t>approaches, including market and income approaches. For Agency RMBS, the pricing sources primarily utilize a matrix pricing technique that interpolates the estimated fair value based on observed quoted prices for forward contracts in the Agency RMBS "to-be-announced" market ("TBA securities") of the same coupon, maturity and issuer, adjusted to reflect the specific characteristics of the pool of mortgages underlying the Agency security, which may include maximum loan balance, loan vintage, loan-to-value ratio, geography and other characteristics as may be appropriate. For other investment securities, the pricing sources primarily utilize discounted cash flow model-derived pricing techniques to estimate the fair value. Such models incorporate market-based discount rate assumptions based on observable inputs such as recent trading activity, credit data, volatility statistics, benchmark interest rate curves, spread measurements to benchmark curves and other market data that are current as of the measurement date and may include certain unobservable inputs, such as assumptions of future levels of prepayment, defaults and loss severities.</w:t>
      </w:r>
    </w:p>
    <w:p>
      <w:pPr>
        <w:spacing w:after="0" w:line="127"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The availability of observable inputs can be affected by a wide variety of factors, including the type of instrument, whether the instrument is new and not yet established in the marketplace and other characteristics particular to the instrument. We make inquiries of third-party pricing sources to understand the significant inputs and assumptions they used to determine their prices and that they are derived from orderly transactions, particularly during periods of elevated market turbulence and reduced market liquidity.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w:t>
      </w: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21" w:name="page22"/>
    <w:bookmarkEnd w:id="21"/>
    <w:p>
      <w:pPr>
        <w:jc w:val="both"/>
        <w:ind w:right="20"/>
        <w:spacing w:after="0" w:line="277" w:lineRule="auto"/>
        <w:rPr>
          <w:sz w:val="20"/>
          <w:szCs w:val="20"/>
          <w:color w:val="auto"/>
        </w:rPr>
      </w:pPr>
      <w:r>
        <w:rPr>
          <w:rFonts w:ascii="Arial" w:cs="Arial" w:eastAsia="Arial" w:hAnsi="Arial"/>
          <w:sz w:val="18"/>
          <w:szCs w:val="18"/>
          <w:color w:val="auto"/>
        </w:rPr>
        <w:t>procedures and our market knowledge and expertise that the price is significantly different from what observable market data would indicate and we cannot obtain an understanding from the third-party source as to the significant inputs used to determine the price.</w:t>
      </w:r>
    </w:p>
    <w:p>
      <w:pPr>
        <w:spacing w:after="0" w:line="116"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The markets for interest rate swap, swaption and TBA derivatives and for the investment securities that we invest in are considered to be active markets such that participants transact with sufficient frequency and volume to provide transparent pricing information on an ongoing basis. The liquidity of these markets and the similarity of our securities and derivative instruments to those actively traded enable our pricing sources and us to observe quoted prices in the market and utilize those prices as a basis for formulating fair value measurements. Consequently, we classify these instruments as Level 2 inputs in the fair value hierarchy.</w:t>
      </w:r>
    </w:p>
    <w:p>
      <w:pPr>
        <w:spacing w:after="0" w:line="134"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The following table provides a summary of our assets and liabilities that are measured at fair value on a recurring basis, as of September 30, 2020 and December 31, 2019, based on their categorization within the valuation hierarchy (in millions). There were no transfers between valuation hierarchy levels during the periods presented.</w:t>
      </w:r>
    </w:p>
    <w:p>
      <w:pPr>
        <w:spacing w:after="0" w:line="9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6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1"/>
              </w:rPr>
              <w:t>September 30, 2020</w:t>
            </w: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2019</w:t>
            </w: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60" w:type="dxa"/>
            <w:vAlign w:val="bottom"/>
          </w:tcPr>
          <w:p>
            <w:pPr>
              <w:jc w:val="right"/>
              <w:ind w:right="168"/>
              <w:spacing w:after="0"/>
              <w:rPr>
                <w:sz w:val="20"/>
                <w:szCs w:val="20"/>
                <w:color w:val="auto"/>
              </w:rPr>
            </w:pPr>
            <w:r>
              <w:rPr>
                <w:rFonts w:ascii="Arial" w:cs="Arial" w:eastAsia="Arial" w:hAnsi="Arial"/>
                <w:sz w:val="14"/>
                <w:szCs w:val="14"/>
                <w:b w:val="1"/>
                <w:bCs w:val="1"/>
                <w:color w:val="auto"/>
              </w:rPr>
              <w:t>Level 1</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Level 2</w:t>
            </w:r>
          </w:p>
        </w:tc>
        <w:tc>
          <w:tcPr>
            <w:tcW w:w="160" w:type="dxa"/>
            <w:vAlign w:val="bottom"/>
          </w:tcPr>
          <w:p>
            <w:pPr>
              <w:spacing w:after="0"/>
              <w:rPr>
                <w:sz w:val="16"/>
                <w:szCs w:val="16"/>
                <w:color w:val="auto"/>
              </w:rPr>
            </w:pPr>
          </w:p>
        </w:tc>
        <w:tc>
          <w:tcPr>
            <w:tcW w:w="80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ind w:right="188"/>
              <w:spacing w:after="0"/>
              <w:rPr>
                <w:sz w:val="20"/>
                <w:szCs w:val="20"/>
                <w:color w:val="auto"/>
              </w:rPr>
            </w:pPr>
            <w:r>
              <w:rPr>
                <w:rFonts w:ascii="Arial" w:cs="Arial" w:eastAsia="Arial" w:hAnsi="Arial"/>
                <w:sz w:val="14"/>
                <w:szCs w:val="14"/>
                <w:b w:val="1"/>
                <w:bCs w:val="1"/>
                <w:color w:val="auto"/>
              </w:rPr>
              <w:t>Level 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Pr>
          <w:p>
            <w:pPr>
              <w:spacing w:after="0"/>
              <w:rPr>
                <w:sz w:val="16"/>
                <w:szCs w:val="16"/>
                <w:color w:val="auto"/>
              </w:rPr>
            </w:pPr>
          </w:p>
        </w:tc>
        <w:tc>
          <w:tcPr>
            <w:tcW w:w="820" w:type="dxa"/>
            <w:vAlign w:val="bottom"/>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70"/>
        </w:trPr>
        <w:tc>
          <w:tcPr>
            <w:tcW w:w="46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180" w:type="dxa"/>
            <w:vAlign w:val="bottom"/>
            <w:tcBorders>
              <w:top w:val="single" w:sz="8" w:color="auto"/>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2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Agency securities</w:t>
            </w:r>
          </w:p>
        </w:tc>
        <w:tc>
          <w:tcPr>
            <w:tcW w:w="180" w:type="dxa"/>
            <w:vAlign w:val="bottom"/>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66,556</w:t>
            </w:r>
          </w:p>
        </w:tc>
        <w:tc>
          <w:tcPr>
            <w:tcW w:w="12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98,516</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Agency securities transferred to consolidated VIEs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Credit risk transfer securities</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653</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976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securities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512</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U.S. Treasury securities</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97</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rate swaps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Swaptions</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TBA securities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U.S. Treasury futures</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1"/>
        </w:trPr>
        <w:tc>
          <w:tcPr>
            <w:tcW w:w="46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Borders>
              <w:top w:val="single" w:sz="8" w:color="auto"/>
              <w:bottom w:val="single" w:sz="8" w:color="auto"/>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68,174</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111</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100,618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color w:val="auto"/>
              </w:rPr>
              <w:t>Liabilities:</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464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60"/>
              <w:spacing w:after="0"/>
              <w:rPr>
                <w:sz w:val="20"/>
                <w:szCs w:val="20"/>
                <w:color w:val="auto"/>
              </w:rPr>
            </w:pPr>
            <w:r>
              <w:rPr>
                <w:rFonts w:ascii="Arial" w:cs="Arial" w:eastAsia="Arial" w:hAnsi="Arial"/>
                <w:sz w:val="14"/>
                <w:szCs w:val="14"/>
                <w:color w:val="auto"/>
              </w:rPr>
              <w:t>Debt of consolidated VIEs</w:t>
            </w: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3"/>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5"/>
        </w:trPr>
        <w:tc>
          <w:tcPr>
            <w:tcW w:w="4640" w:type="dxa"/>
            <w:vAlign w:val="bottom"/>
          </w:tcPr>
          <w:p>
            <w:pPr>
              <w:ind w:left="160"/>
              <w:spacing w:after="0" w:line="135" w:lineRule="exact"/>
              <w:rPr>
                <w:sz w:val="20"/>
                <w:szCs w:val="20"/>
                <w:color w:val="auto"/>
              </w:rPr>
            </w:pPr>
            <w:r>
              <w:rPr>
                <w:rFonts w:ascii="Arial" w:cs="Arial" w:eastAsia="Arial" w:hAnsi="Arial"/>
                <w:sz w:val="14"/>
                <w:szCs w:val="14"/>
                <w:color w:val="auto"/>
              </w:rPr>
              <w:t>Obligation to return U.S. Treasury securities borrowed under reverse</w:t>
            </w:r>
          </w:p>
        </w:tc>
        <w:tc>
          <w:tcPr>
            <w:tcW w:w="180" w:type="dxa"/>
            <w:vAlign w:val="bottom"/>
          </w:tcPr>
          <w:p>
            <w:pPr>
              <w:spacing w:after="0"/>
              <w:rPr>
                <w:sz w:val="11"/>
                <w:szCs w:val="11"/>
                <w:color w:val="auto"/>
              </w:rPr>
            </w:pPr>
          </w:p>
        </w:tc>
        <w:tc>
          <w:tcPr>
            <w:tcW w:w="760" w:type="dxa"/>
            <w:vAlign w:val="bottom"/>
            <w:vMerge w:val="restart"/>
          </w:tcPr>
          <w:p>
            <w:pPr>
              <w:jc w:val="right"/>
              <w:spacing w:after="0"/>
              <w:rPr>
                <w:sz w:val="20"/>
                <w:szCs w:val="20"/>
                <w:color w:val="auto"/>
              </w:rPr>
            </w:pPr>
            <w:r>
              <w:rPr>
                <w:rFonts w:ascii="Arial" w:cs="Arial" w:eastAsia="Arial" w:hAnsi="Arial"/>
                <w:sz w:val="14"/>
                <w:szCs w:val="14"/>
                <w:color w:val="auto"/>
              </w:rPr>
              <w:t>8,372</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2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1"/>
                <w:szCs w:val="11"/>
                <w:color w:val="auto"/>
              </w:rPr>
            </w:pPr>
          </w:p>
        </w:tc>
        <w:tc>
          <w:tcPr>
            <w:tcW w:w="1020" w:type="dxa"/>
            <w:vAlign w:val="bottom"/>
            <w:gridSpan w:val="2"/>
            <w:vMerge w:val="restart"/>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9,543</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1"/>
                <w:szCs w:val="11"/>
                <w:color w:val="auto"/>
              </w:rPr>
            </w:pPr>
          </w:p>
        </w:tc>
        <w:tc>
          <w:tcPr>
            <w:tcW w:w="820" w:type="dxa"/>
            <w:vAlign w:val="bottom"/>
            <w:vMerge w:val="restart"/>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60"/>
              <w:spacing w:after="0"/>
              <w:rPr>
                <w:sz w:val="20"/>
                <w:szCs w:val="20"/>
                <w:color w:val="auto"/>
              </w:rPr>
            </w:pPr>
            <w:r>
              <w:rPr>
                <w:rFonts w:ascii="Arial" w:cs="Arial" w:eastAsia="Arial" w:hAnsi="Arial"/>
                <w:sz w:val="14"/>
                <w:szCs w:val="14"/>
                <w:color w:val="auto"/>
              </w:rPr>
              <w:t>repurchase agreements</w:t>
            </w:r>
          </w:p>
        </w:tc>
        <w:tc>
          <w:tcPr>
            <w:tcW w:w="18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rate swaps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6"/>
        </w:trPr>
        <w:tc>
          <w:tcPr>
            <w:tcW w:w="4640" w:type="dxa"/>
            <w:vAlign w:val="bottom"/>
          </w:tcPr>
          <w:p>
            <w:pPr>
              <w:ind w:left="180"/>
              <w:spacing w:after="0"/>
              <w:rPr>
                <w:sz w:val="20"/>
                <w:szCs w:val="20"/>
                <w:color w:val="auto"/>
              </w:rPr>
            </w:pPr>
            <w:r>
              <w:rPr>
                <w:rFonts w:ascii="Arial" w:cs="Arial" w:eastAsia="Arial" w:hAnsi="Arial"/>
                <w:sz w:val="14"/>
                <w:szCs w:val="14"/>
                <w:color w:val="auto"/>
              </w:rPr>
              <w:t>TBA securities</w:t>
            </w:r>
          </w:p>
        </w:tc>
        <w:tc>
          <w:tcPr>
            <w:tcW w:w="1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2"/>
        </w:trPr>
        <w:tc>
          <w:tcPr>
            <w:tcW w:w="46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 Treasury futures</w:t>
            </w:r>
          </w:p>
        </w:tc>
        <w:tc>
          <w:tcPr>
            <w:tcW w:w="1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6"/>
                <w:szCs w:val="16"/>
                <w:color w:val="auto"/>
              </w:rPr>
            </w:pPr>
          </w:p>
        </w:tc>
        <w:tc>
          <w:tcPr>
            <w:tcW w:w="820" w:type="dxa"/>
            <w:vAlign w:val="bottom"/>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4640" w:type="dxa"/>
            <w:vAlign w:val="bottom"/>
          </w:tcPr>
          <w:p>
            <w:pPr>
              <w:ind w:left="20"/>
              <w:spacing w:after="0"/>
              <w:rPr>
                <w:sz w:val="20"/>
                <w:szCs w:val="20"/>
                <w:color w:val="auto"/>
              </w:rPr>
            </w:pPr>
            <w:r>
              <w:rPr>
                <w:rFonts w:ascii="Arial" w:cs="Arial" w:eastAsia="Arial" w:hAnsi="Arial"/>
                <w:sz w:val="14"/>
                <w:szCs w:val="14"/>
                <w:color w:val="auto"/>
              </w:rPr>
              <w:t>Total</w:t>
            </w:r>
          </w:p>
        </w:tc>
        <w:tc>
          <w:tcPr>
            <w:tcW w:w="1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8,377</w:t>
            </w:r>
          </w:p>
        </w:tc>
        <w:tc>
          <w:tcPr>
            <w:tcW w:w="40" w:type="dxa"/>
            <w:vAlign w:val="bottom"/>
            <w:tcBorders>
              <w:top w:val="single" w:sz="8" w:color="auto"/>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200</w:t>
            </w:r>
          </w:p>
        </w:tc>
        <w:tc>
          <w:tcPr>
            <w:tcW w:w="120" w:type="dxa"/>
            <w:vAlign w:val="bottom"/>
          </w:tcPr>
          <w:p>
            <w:pPr>
              <w:spacing w:after="0"/>
              <w:rPr>
                <w:sz w:val="15"/>
                <w:szCs w:val="15"/>
                <w:color w:val="auto"/>
              </w:rPr>
            </w:pPr>
          </w:p>
        </w:tc>
        <w:tc>
          <w:tcPr>
            <w:tcW w:w="16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9,543</w:t>
            </w:r>
          </w:p>
        </w:tc>
        <w:tc>
          <w:tcPr>
            <w:tcW w:w="12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234</w:t>
            </w:r>
          </w:p>
        </w:tc>
        <w:tc>
          <w:tcPr>
            <w:tcW w:w="100" w:type="dxa"/>
            <w:vAlign w:val="bottom"/>
          </w:tcPr>
          <w:p>
            <w:pPr>
              <w:spacing w:after="0"/>
              <w:rPr>
                <w:sz w:val="15"/>
                <w:szCs w:val="15"/>
                <w:color w:val="auto"/>
              </w:rPr>
            </w:pPr>
          </w:p>
        </w:tc>
        <w:tc>
          <w:tcPr>
            <w:tcW w:w="18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Excluded from the table above are financial instruments presented in our consolidated financial statements at cost. The fair value of our repurchase agreements approximated cost as of September 30, 2020 and December 31, 2019, as the rates on our outstanding repurchase agreements largely corresponded to prevailing rates observed in the repo market. The fair value of cash and cash equivalents, restricted cash, receivables and other payables were determined to approximate cost as of September 30, 2020 and December 31, 2019 due to their short duration. We estimate the fair value of these instruments carried at cost using "Level 1" or "Level 2" inputs.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Net Income (Loss) Per Common Share</w:t>
      </w:r>
    </w:p>
    <w:p>
      <w:pPr>
        <w:spacing w:after="0" w:line="256"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Basic net income (loss) per common share is computed by dividing (i) net income (loss) available (attributable) to common stockholders by (ii) the sum of our weighted-average number of common shares outstanding and the weighted-average number of vested but not yet issued time and performance-based restricted stock units ("RSUs") outstanding for the period granted under our long-term incentive program to employees and non-employee Board of Directors. Diluted net income (loss) per common share assumes the issuance of all potential common stock equivalents unless the effect is to reduce a loss or increase the income per common share. Our potential common stock equivalents consist of unvested time and performance-based RSUs. The following table presents the computations of basic and diluted net income (loss) per common share for the periods indicated (shares and dollars in millions):</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2" w:name="page23"/>
    <w:bookmarkEnd w:id="22"/>
    <w:tbl>
      <w:tblPr>
        <w:tblLayout w:type="fixed"/>
        <w:tblInd w:w="58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20" w:type="dxa"/>
            <w:vAlign w:val="bottom"/>
            <w:gridSpan w:val="5"/>
          </w:tcPr>
          <w:p>
            <w:pPr>
              <w:ind w:left="1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2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20" w:type="dxa"/>
            <w:vAlign w:val="bottom"/>
            <w:gridSpan w:val="5"/>
          </w:tcPr>
          <w:p>
            <w:pPr>
              <w:ind w:left="34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2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r>
      <w:tr>
        <w:trPr>
          <w:trHeight w:val="183"/>
        </w:trPr>
        <w:tc>
          <w:tcPr>
            <w:tcW w:w="6180" w:type="dxa"/>
            <w:vAlign w:val="bottom"/>
            <w:tcBorders>
              <w:bottom w:val="single" w:sz="8" w:color="CCEEFF"/>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bottom w:val="single" w:sz="8" w:color="CCEEFF"/>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8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r>
      <w:tr>
        <w:trPr>
          <w:trHeight w:val="184"/>
        </w:trPr>
        <w:tc>
          <w:tcPr>
            <w:tcW w:w="6180" w:type="dxa"/>
            <w:vAlign w:val="bottom"/>
            <w:shd w:val="clear" w:color="auto" w:fill="CCEEFF"/>
          </w:tcPr>
          <w:p>
            <w:pPr>
              <w:spacing w:after="0"/>
              <w:rPr>
                <w:sz w:val="20"/>
                <w:szCs w:val="20"/>
                <w:color w:val="auto"/>
              </w:rPr>
            </w:pPr>
            <w:r>
              <w:rPr>
                <w:rFonts w:ascii="Arial" w:cs="Arial" w:eastAsia="Arial" w:hAnsi="Arial"/>
                <w:sz w:val="14"/>
                <w:szCs w:val="14"/>
                <w:color w:val="auto"/>
              </w:rPr>
              <w:t>Weighted average number of common shares issued and outstanding</w:t>
            </w: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552.1</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546.0</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552.9</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539.9</w:t>
            </w:r>
          </w:p>
        </w:tc>
      </w:tr>
      <w:tr>
        <w:trPr>
          <w:trHeight w:val="186"/>
        </w:trPr>
        <w:tc>
          <w:tcPr>
            <w:tcW w:w="618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Weighted average number of fully vested restricted stock units outstanding</w:t>
            </w: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0.4</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0.9</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w:t>
            </w:r>
          </w:p>
        </w:tc>
      </w:tr>
      <w:tr>
        <w:trPr>
          <w:trHeight w:val="186"/>
        </w:trPr>
        <w:tc>
          <w:tcPr>
            <w:tcW w:w="6180" w:type="dxa"/>
            <w:vAlign w:val="bottom"/>
            <w:shd w:val="clear" w:color="auto" w:fill="CCEEFF"/>
          </w:tcPr>
          <w:p>
            <w:pPr>
              <w:spacing w:after="0"/>
              <w:rPr>
                <w:sz w:val="20"/>
                <w:szCs w:val="20"/>
                <w:color w:val="auto"/>
              </w:rPr>
            </w:pPr>
            <w:r>
              <w:rPr>
                <w:rFonts w:ascii="Arial" w:cs="Arial" w:eastAsia="Arial" w:hAnsi="Arial"/>
                <w:sz w:val="14"/>
                <w:szCs w:val="14"/>
                <w:color w:val="auto"/>
              </w:rPr>
              <w:t>Weighted average number of common shares outstanding - basic</w:t>
            </w: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553.2</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546.4</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553.8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540.3</w:t>
            </w:r>
          </w:p>
        </w:tc>
      </w:tr>
      <w:tr>
        <w:trPr>
          <w:trHeight w:val="186"/>
        </w:trPr>
        <w:tc>
          <w:tcPr>
            <w:tcW w:w="6180" w:type="dxa"/>
            <w:vAlign w:val="bottom"/>
          </w:tcPr>
          <w:p>
            <w:pPr>
              <w:spacing w:after="0"/>
              <w:rPr>
                <w:sz w:val="20"/>
                <w:szCs w:val="20"/>
                <w:color w:val="auto"/>
              </w:rPr>
            </w:pPr>
            <w:r>
              <w:rPr>
                <w:rFonts w:ascii="Arial" w:cs="Arial" w:eastAsia="Arial" w:hAnsi="Arial"/>
                <w:sz w:val="14"/>
                <w:szCs w:val="14"/>
                <w:color w:val="auto"/>
              </w:rPr>
              <w:t>Weighted average number of dilutive unvested restricted stock units outstanding</w:t>
            </w:r>
          </w:p>
        </w:tc>
        <w:tc>
          <w:tcPr>
            <w:tcW w:w="1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11"/>
        </w:trPr>
        <w:tc>
          <w:tcPr>
            <w:tcW w:w="61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Weighted average number of common shares outstanding - diluted</w:t>
            </w: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554.3</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546.4</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553.8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540.3</w:t>
            </w:r>
          </w:p>
        </w:tc>
      </w:tr>
      <w:tr>
        <w:trPr>
          <w:trHeight w:val="20"/>
        </w:trPr>
        <w:tc>
          <w:tcPr>
            <w:tcW w:w="6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180" w:type="dxa"/>
            <w:vAlign w:val="bottom"/>
          </w:tcPr>
          <w:p>
            <w:pPr>
              <w:spacing w:after="0"/>
              <w:rPr>
                <w:sz w:val="20"/>
                <w:szCs w:val="20"/>
                <w:color w:val="auto"/>
              </w:rPr>
            </w:pPr>
            <w:r>
              <w:rPr>
                <w:rFonts w:ascii="Arial" w:cs="Arial" w:eastAsia="Arial" w:hAnsi="Arial"/>
                <w:sz w:val="14"/>
                <w:szCs w:val="14"/>
                <w:color w:val="auto"/>
              </w:rPr>
              <w:t>Net income (loss) available (attributable) to common stockholders</w:t>
            </w: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637</w:t>
            </w:r>
          </w:p>
        </w:tc>
        <w:tc>
          <w:tcPr>
            <w:tcW w:w="120" w:type="dxa"/>
            <w:vAlign w:val="bottom"/>
          </w:tcPr>
          <w:p>
            <w:pPr>
              <w:spacing w:after="0"/>
              <w:rPr>
                <w:sz w:val="14"/>
                <w:szCs w:val="14"/>
                <w:color w:val="auto"/>
              </w:rPr>
            </w:pP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(1,112)</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(219)</w:t>
            </w:r>
          </w:p>
        </w:tc>
      </w:tr>
      <w:tr>
        <w:trPr>
          <w:trHeight w:val="20"/>
        </w:trPr>
        <w:tc>
          <w:tcPr>
            <w:tcW w:w="61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08"/>
        </w:trPr>
        <w:tc>
          <w:tcPr>
            <w:tcW w:w="6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Net income (loss) per common share - basic</w:t>
            </w: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1.15</w:t>
            </w:r>
          </w:p>
        </w:tc>
        <w:tc>
          <w:tcPr>
            <w:tcW w:w="1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(2.01)</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(0.41)</w:t>
            </w:r>
          </w:p>
        </w:tc>
      </w:tr>
      <w:tr>
        <w:trPr>
          <w:trHeight w:val="20"/>
        </w:trPr>
        <w:tc>
          <w:tcPr>
            <w:tcW w:w="6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180" w:type="dxa"/>
            <w:vAlign w:val="bottom"/>
          </w:tcPr>
          <w:p>
            <w:pPr>
              <w:spacing w:after="0"/>
              <w:rPr>
                <w:sz w:val="20"/>
                <w:szCs w:val="20"/>
                <w:color w:val="auto"/>
              </w:rPr>
            </w:pPr>
            <w:r>
              <w:rPr>
                <w:rFonts w:ascii="Arial" w:cs="Arial" w:eastAsia="Arial" w:hAnsi="Arial"/>
                <w:sz w:val="14"/>
                <w:szCs w:val="14"/>
                <w:color w:val="auto"/>
              </w:rPr>
              <w:t>Net income (loss) per common share - diluted</w:t>
            </w: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c>
          <w:tcPr>
            <w:tcW w:w="120" w:type="dxa"/>
            <w:vAlign w:val="bottom"/>
          </w:tcPr>
          <w:p>
            <w:pPr>
              <w:spacing w:after="0"/>
              <w:rPr>
                <w:sz w:val="14"/>
                <w:szCs w:val="14"/>
                <w:color w:val="auto"/>
              </w:rPr>
            </w:pPr>
          </w:p>
        </w:tc>
        <w:tc>
          <w:tcPr>
            <w:tcW w:w="1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(0.03)</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(2.01)</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(0.41)</w:t>
            </w:r>
          </w:p>
        </w:tc>
      </w:tr>
      <w:tr>
        <w:trPr>
          <w:trHeight w:val="20"/>
        </w:trPr>
        <w:tc>
          <w:tcPr>
            <w:tcW w:w="6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For the nine months ended September 30, 2020 and for the three and nine months ended September 30, 2019, 1.0 million, 0.7 million and 0.6 million, respectively, of potentially dilutive unvested time and performance based RSUs outstanding were excluded from the computation of diluted net income (loss) per common share because to do so would have been anti-dilutive for the period.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Stockholders' Equity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Stock</w:t>
      </w:r>
    </w:p>
    <w:p>
      <w:pPr>
        <w:spacing w:after="0" w:line="171"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We are authorized to designate and issue up to 10.0 million shares of preferred stock in one or more classes or series. As of September 30, 2020, 13,800, 10,350, 16,100 and 23,000 shares of preferred stock were designated as 7.00%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 respectively, (referred to as "Series C, D, E and F Preferred Stock", respectively). During February 2020, we issued $575 million, or 23,000 shares, of 6.125% Series F Preferred Stock, for net proceeds of $557 million. As of September 30, 2020, 13,000, 9,400, 16,100 and 23,000 shares of Series C, D, E and F Preferred Stock, respectively, were issued and outstanding, with an aggregate carrying value of $1,489 million and aggregate liquidation preference of $1,538 million. Each share of preferred stock is represented by 1,000 depositary shares.</w:t>
      </w:r>
    </w:p>
    <w:p>
      <w:pPr>
        <w:spacing w:after="0" w:line="124" w:lineRule="exact"/>
        <w:rPr>
          <w:sz w:val="20"/>
          <w:szCs w:val="20"/>
          <w:color w:val="auto"/>
        </w:rPr>
      </w:pPr>
    </w:p>
    <w:p>
      <w:pPr>
        <w:jc w:val="both"/>
        <w:ind w:firstLine="405"/>
        <w:spacing w:after="0" w:line="273" w:lineRule="auto"/>
        <w:rPr>
          <w:sz w:val="20"/>
          <w:szCs w:val="20"/>
          <w:color w:val="auto"/>
        </w:rPr>
      </w:pPr>
      <w:r>
        <w:rPr>
          <w:rFonts w:ascii="Arial" w:cs="Arial" w:eastAsia="Arial" w:hAnsi="Arial"/>
          <w:sz w:val="17"/>
          <w:szCs w:val="17"/>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each series of preferred stock ranks on parity with one another.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we may redeem shares at $25.00 per depositary share, plus accumulated and unpaid dividends (whether or not declared), exclusively at our option.</w:t>
      </w:r>
    </w:p>
    <w:p>
      <w:pPr>
        <w:spacing w:after="0" w:line="12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includes a summary of preferred stock depositary shares issued and outstanding as of September 30, 2020 (dollars and shares in millions):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Depositary</w:t>
            </w: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Fixed-to-Floating</w:t>
            </w: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Fixed-to-Floating Rate</w:t>
            </w:r>
          </w:p>
        </w:tc>
        <w:tc>
          <w:tcPr>
            <w:tcW w:w="10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5"/>
              </w:rPr>
              <w:t>Shares</w:t>
            </w: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center"/>
              <w:ind w:right="30"/>
              <w:spacing w:after="0"/>
              <w:rPr>
                <w:sz w:val="20"/>
                <w:szCs w:val="20"/>
                <w:color w:val="auto"/>
              </w:rPr>
            </w:pPr>
            <w:r>
              <w:rPr>
                <w:rFonts w:ascii="Arial" w:cs="Arial" w:eastAsia="Arial" w:hAnsi="Arial"/>
                <w:sz w:val="14"/>
                <w:szCs w:val="14"/>
                <w:b w:val="1"/>
                <w:bCs w:val="1"/>
                <w:color w:val="auto"/>
                <w:w w:val="89"/>
              </w:rPr>
              <w:t>Aggregate</w:t>
            </w: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1"/>
              </w:rPr>
              <w:t>Optional</w:t>
            </w:r>
          </w:p>
        </w:tc>
        <w:tc>
          <w:tcPr>
            <w:tcW w:w="1220" w:type="dxa"/>
            <w:vAlign w:val="bottom"/>
            <w:gridSpan w:val="2"/>
            <w:vMerge w:val="continue"/>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continue"/>
          </w:tcPr>
          <w:p>
            <w:pPr>
              <w:spacing w:after="0"/>
              <w:rPr>
                <w:sz w:val="11"/>
                <w:szCs w:val="11"/>
                <w:color w:val="auto"/>
              </w:rPr>
            </w:pP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83"/>
              </w:rPr>
              <w:t>Issuance</w:t>
            </w:r>
          </w:p>
        </w:tc>
        <w:tc>
          <w:tcPr>
            <w:tcW w:w="114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85"/>
              </w:rPr>
              <w:t>Issued</w:t>
            </w:r>
          </w:p>
        </w:tc>
        <w:tc>
          <w:tcPr>
            <w:tcW w:w="16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1"/>
                <w:szCs w:val="11"/>
                <w:color w:val="auto"/>
              </w:rPr>
            </w:pPr>
          </w:p>
        </w:tc>
        <w:tc>
          <w:tcPr>
            <w:tcW w:w="920" w:type="dxa"/>
            <w:vAlign w:val="bottom"/>
            <w:vMerge w:val="continue"/>
          </w:tcPr>
          <w:p>
            <w:pPr>
              <w:spacing w:after="0"/>
              <w:rPr>
                <w:sz w:val="11"/>
                <w:szCs w:val="11"/>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2"/>
              </w:rPr>
              <w:t>Fixed</w:t>
            </w:r>
          </w:p>
        </w:tc>
        <w:tc>
          <w:tcPr>
            <w:tcW w:w="1160" w:type="dxa"/>
            <w:vAlign w:val="bottom"/>
            <w:gridSpan w:val="2"/>
            <w:vMerge w:val="continue"/>
          </w:tcPr>
          <w:p>
            <w:pPr>
              <w:spacing w:after="0"/>
              <w:rPr>
                <w:sz w:val="11"/>
                <w:szCs w:val="11"/>
                <w:color w:val="auto"/>
              </w:rPr>
            </w:pP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2"/>
              </w:rPr>
              <w:t>Rate</w:t>
            </w:r>
          </w:p>
        </w:tc>
        <w:tc>
          <w:tcPr>
            <w:tcW w:w="12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Floating</w:t>
            </w:r>
          </w:p>
        </w:tc>
        <w:tc>
          <w:tcPr>
            <w:tcW w:w="0" w:type="dxa"/>
            <w:vAlign w:val="bottom"/>
          </w:tcPr>
          <w:p>
            <w:pPr>
              <w:spacing w:after="0"/>
              <w:rPr>
                <w:sz w:val="1"/>
                <w:szCs w:val="1"/>
                <w:color w:val="auto"/>
              </w:rPr>
            </w:pPr>
          </w:p>
        </w:tc>
      </w:tr>
      <w:tr>
        <w:trPr>
          <w:trHeight w:val="135"/>
        </w:trPr>
        <w:tc>
          <w:tcPr>
            <w:tcW w:w="2040" w:type="dxa"/>
            <w:vAlign w:val="bottom"/>
            <w:gridSpan w:val="2"/>
          </w:tcPr>
          <w:p>
            <w:pPr>
              <w:ind w:left="20"/>
              <w:spacing w:after="0" w:line="135" w:lineRule="exact"/>
              <w:rPr>
                <w:sz w:val="20"/>
                <w:szCs w:val="20"/>
                <w:color w:val="auto"/>
              </w:rPr>
            </w:pPr>
            <w:r>
              <w:rPr>
                <w:rFonts w:ascii="Arial" w:cs="Arial" w:eastAsia="Arial" w:hAnsi="Arial"/>
                <w:sz w:val="14"/>
                <w:szCs w:val="14"/>
                <w:b w:val="1"/>
                <w:bCs w:val="1"/>
                <w:color w:val="auto"/>
              </w:rPr>
              <w:t>Cumulative Redeemable</w:t>
            </w:r>
          </w:p>
        </w:tc>
        <w:tc>
          <w:tcPr>
            <w:tcW w:w="1180" w:type="dxa"/>
            <w:vAlign w:val="bottom"/>
            <w:gridSpan w:val="2"/>
            <w:vMerge w:val="continue"/>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6"/>
              </w:rPr>
              <w:t>and</w:t>
            </w: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jc w:val="center"/>
              <w:ind w:right="70"/>
              <w:spacing w:after="0" w:line="135" w:lineRule="exact"/>
              <w:rPr>
                <w:sz w:val="20"/>
                <w:szCs w:val="20"/>
                <w:color w:val="auto"/>
              </w:rPr>
            </w:pPr>
            <w:r>
              <w:rPr>
                <w:rFonts w:ascii="Arial" w:cs="Arial" w:eastAsia="Arial" w:hAnsi="Arial"/>
                <w:sz w:val="14"/>
                <w:szCs w:val="14"/>
                <w:b w:val="1"/>
                <w:bCs w:val="1"/>
                <w:color w:val="auto"/>
                <w:w w:val="92"/>
              </w:rPr>
              <w:t>Liquidation</w:t>
            </w:r>
          </w:p>
        </w:tc>
        <w:tc>
          <w:tcPr>
            <w:tcW w:w="1120" w:type="dxa"/>
            <w:vAlign w:val="bottom"/>
            <w:gridSpan w:val="2"/>
            <w:vMerge w:val="continue"/>
          </w:tcPr>
          <w:p>
            <w:pPr>
              <w:spacing w:after="0"/>
              <w:rPr>
                <w:sz w:val="11"/>
                <w:szCs w:val="11"/>
                <w:color w:val="auto"/>
              </w:rPr>
            </w:pPr>
          </w:p>
        </w:tc>
        <w:tc>
          <w:tcPr>
            <w:tcW w:w="1160" w:type="dxa"/>
            <w:vAlign w:val="bottom"/>
            <w:gridSpan w:val="2"/>
          </w:tcPr>
          <w:p>
            <w:pPr>
              <w:jc w:val="center"/>
              <w:ind w:right="80"/>
              <w:spacing w:after="0" w:line="135" w:lineRule="exact"/>
              <w:rPr>
                <w:sz w:val="20"/>
                <w:szCs w:val="20"/>
                <w:color w:val="auto"/>
              </w:rPr>
            </w:pPr>
            <w:r>
              <w:rPr>
                <w:rFonts w:ascii="Arial" w:cs="Arial" w:eastAsia="Arial" w:hAnsi="Arial"/>
                <w:sz w:val="14"/>
                <w:szCs w:val="14"/>
                <w:b w:val="1"/>
                <w:bCs w:val="1"/>
                <w:color w:val="auto"/>
                <w:w w:val="88"/>
              </w:rPr>
              <w:t>Redemption</w:t>
            </w:r>
          </w:p>
        </w:tc>
        <w:tc>
          <w:tcPr>
            <w:tcW w:w="12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8"/>
              </w:rPr>
              <w:t>Conversion</w:t>
            </w:r>
          </w:p>
        </w:tc>
        <w:tc>
          <w:tcPr>
            <w:tcW w:w="12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1920" w:type="dxa"/>
            <w:vAlign w:val="bottom"/>
            <w:tcBorders>
              <w:bottom w:val="single" w:sz="8" w:color="auto"/>
            </w:tcBorders>
          </w:tcPr>
          <w:p>
            <w:pPr>
              <w:ind w:left="20"/>
              <w:spacing w:after="0" w:line="189" w:lineRule="exact"/>
              <w:rPr>
                <w:sz w:val="20"/>
                <w:szCs w:val="20"/>
                <w:color w:val="auto"/>
              </w:rPr>
            </w:pPr>
            <w:r>
              <w:rPr>
                <w:rFonts w:ascii="Arial" w:cs="Arial" w:eastAsia="Arial" w:hAnsi="Arial"/>
                <w:sz w:val="14"/>
                <w:szCs w:val="14"/>
                <w:b w:val="1"/>
                <w:bCs w:val="1"/>
                <w:color w:val="auto"/>
              </w:rPr>
              <w:t xml:space="preserve">Preferred Stock </w:t>
            </w:r>
            <w:r>
              <w:rPr>
                <w:rFonts w:ascii="Arial" w:cs="Arial" w:eastAsia="Arial" w:hAnsi="Arial"/>
                <w:sz w:val="18"/>
                <w:szCs w:val="18"/>
                <w:b w:val="1"/>
                <w:bCs w:val="1"/>
                <w:color w:val="auto"/>
                <w:vertAlign w:val="superscript"/>
              </w:rPr>
              <w:t>1</w:t>
            </w:r>
          </w:p>
        </w:tc>
        <w:tc>
          <w:tcPr>
            <w:tcW w:w="12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Outstanding</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4"/>
                <w:szCs w:val="14"/>
                <w:b w:val="1"/>
                <w:bCs w:val="1"/>
                <w:color w:val="auto"/>
              </w:rPr>
              <w:t>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50"/>
              <w:spacing w:after="0"/>
              <w:rPr>
                <w:sz w:val="20"/>
                <w:szCs w:val="20"/>
                <w:color w:val="auto"/>
              </w:rPr>
            </w:pPr>
            <w:r>
              <w:rPr>
                <w:rFonts w:ascii="Arial" w:cs="Arial" w:eastAsia="Arial" w:hAnsi="Arial"/>
                <w:sz w:val="14"/>
                <w:szCs w:val="14"/>
                <w:b w:val="1"/>
                <w:bCs w:val="1"/>
                <w:color w:val="auto"/>
                <w:w w:val="88"/>
              </w:rPr>
              <w:t>Preference</w:t>
            </w:r>
          </w:p>
        </w:tc>
        <w:tc>
          <w:tcPr>
            <w:tcW w:w="1020" w:type="dxa"/>
            <w:vAlign w:val="bottom"/>
            <w:tcBorders>
              <w:bottom w:val="single" w:sz="8" w:color="auto"/>
            </w:tcBorders>
          </w:tcPr>
          <w:p>
            <w:pPr>
              <w:jc w:val="center"/>
              <w:ind w:left="70"/>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4"/>
                <w:szCs w:val="14"/>
                <w:b w:val="1"/>
                <w:bCs w:val="1"/>
                <w:color w:val="auto"/>
                <w:w w:val="87"/>
              </w:rPr>
              <w:t xml:space="preserve">Date </w:t>
            </w:r>
            <w:r>
              <w:rPr>
                <w:rFonts w:ascii="Arial" w:cs="Arial" w:eastAsia="Arial" w:hAnsi="Arial"/>
                <w:sz w:val="18"/>
                <w:szCs w:val="18"/>
                <w:b w:val="1"/>
                <w:bCs w:val="1"/>
                <w:color w:val="auto"/>
                <w:w w:val="87"/>
                <w:vertAlign w:val="superscript"/>
              </w:rPr>
              <w:t>2</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Date</w:t>
            </w:r>
          </w:p>
        </w:tc>
        <w:tc>
          <w:tcPr>
            <w:tcW w:w="100" w:type="dxa"/>
            <w:vAlign w:val="bottom"/>
            <w:tcBorders>
              <w:bottom w:val="single" w:sz="8" w:color="CCEEFF"/>
            </w:tcBorders>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Annual Rate</w:t>
            </w:r>
          </w:p>
        </w:tc>
        <w:tc>
          <w:tcPr>
            <w:tcW w:w="0" w:type="dxa"/>
            <w:vAlign w:val="bottom"/>
          </w:tcPr>
          <w:p>
            <w:pPr>
              <w:spacing w:after="0"/>
              <w:rPr>
                <w:sz w:val="1"/>
                <w:szCs w:val="1"/>
                <w:color w:val="auto"/>
              </w:rPr>
            </w:pPr>
          </w:p>
        </w:tc>
      </w:tr>
      <w:tr>
        <w:trPr>
          <w:trHeight w:val="128"/>
        </w:trPr>
        <w:tc>
          <w:tcPr>
            <w:tcW w:w="2040" w:type="dxa"/>
            <w:vAlign w:val="bottom"/>
            <w:gridSpan w:val="2"/>
            <w:vMerge w:val="restart"/>
            <w:shd w:val="clear" w:color="auto" w:fill="CCEEFF"/>
          </w:tcPr>
          <w:p>
            <w:pPr>
              <w:ind w:left="120"/>
              <w:spacing w:after="0"/>
              <w:rPr>
                <w:sz w:val="20"/>
                <w:szCs w:val="20"/>
                <w:color w:val="auto"/>
              </w:rPr>
            </w:pPr>
            <w:r>
              <w:rPr>
                <w:rFonts w:ascii="Arial" w:cs="Arial" w:eastAsia="Arial" w:hAnsi="Arial"/>
                <w:sz w:val="14"/>
                <w:szCs w:val="14"/>
                <w:color w:val="auto"/>
              </w:rPr>
              <w:t>Series C</w:t>
            </w:r>
          </w:p>
        </w:tc>
        <w:tc>
          <w:tcPr>
            <w:tcW w:w="118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August 22, 2017</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13.0</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020" w:type="dxa"/>
            <w:vAlign w:val="bottom"/>
            <w:vMerge w:val="restart"/>
            <w:shd w:val="clear" w:color="auto" w:fill="CCEEFF"/>
          </w:tcPr>
          <w:p>
            <w:pPr>
              <w:jc w:val="center"/>
              <w:ind w:left="70"/>
              <w:spacing w:after="0"/>
              <w:rPr>
                <w:sz w:val="20"/>
                <w:szCs w:val="20"/>
                <w:color w:val="auto"/>
              </w:rPr>
            </w:pPr>
            <w:r>
              <w:rPr>
                <w:rFonts w:ascii="Arial" w:cs="Arial" w:eastAsia="Arial" w:hAnsi="Arial"/>
                <w:sz w:val="14"/>
                <w:szCs w:val="14"/>
                <w:color w:val="auto"/>
                <w:w w:val="92"/>
              </w:rPr>
              <w:t>7.000%</w:t>
            </w:r>
          </w:p>
        </w:tc>
        <w:tc>
          <w:tcPr>
            <w:tcW w:w="10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October 15, 2022</w:t>
            </w:r>
          </w:p>
        </w:tc>
        <w:tc>
          <w:tcPr>
            <w:tcW w:w="12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88"/>
              </w:rPr>
              <w:t>October 15, 2022</w:t>
            </w:r>
          </w:p>
        </w:tc>
        <w:tc>
          <w:tcPr>
            <w:tcW w:w="1220" w:type="dxa"/>
            <w:vAlign w:val="bottom"/>
            <w:shd w:val="clear" w:color="auto" w:fill="CCEEFF"/>
          </w:tcPr>
          <w:p>
            <w:pPr>
              <w:jc w:val="center"/>
              <w:spacing w:after="0" w:line="129"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88"/>
              </w:rPr>
              <w:t>5.111%</w:t>
            </w:r>
          </w:p>
        </w:tc>
        <w:tc>
          <w:tcPr>
            <w:tcW w:w="0" w:type="dxa"/>
            <w:vAlign w:val="bottom"/>
          </w:tcPr>
          <w:p>
            <w:pPr>
              <w:spacing w:after="0"/>
              <w:rPr>
                <w:sz w:val="1"/>
                <w:szCs w:val="1"/>
                <w:color w:val="auto"/>
              </w:rPr>
            </w:pPr>
          </w:p>
        </w:tc>
      </w:tr>
      <w:tr>
        <w:trPr>
          <w:trHeight w:val="80"/>
        </w:trPr>
        <w:tc>
          <w:tcPr>
            <w:tcW w:w="19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20"/>
              <w:spacing w:after="0"/>
              <w:rPr>
                <w:sz w:val="20"/>
                <w:szCs w:val="20"/>
                <w:color w:val="auto"/>
              </w:rPr>
            </w:pPr>
            <w:r>
              <w:rPr>
                <w:rFonts w:ascii="Arial" w:cs="Arial" w:eastAsia="Arial" w:hAnsi="Arial"/>
                <w:sz w:val="14"/>
                <w:szCs w:val="14"/>
                <w:color w:val="auto"/>
              </w:rPr>
              <w:t>Series D</w:t>
            </w: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91"/>
              </w:rPr>
              <w:t>March 6, 2019</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227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235</w:t>
            </w:r>
          </w:p>
        </w:tc>
        <w:tc>
          <w:tcPr>
            <w:tcW w:w="1020" w:type="dxa"/>
            <w:vAlign w:val="bottom"/>
            <w:vMerge w:val="restart"/>
          </w:tcPr>
          <w:p>
            <w:pPr>
              <w:jc w:val="center"/>
              <w:ind w:left="70"/>
              <w:spacing w:after="0"/>
              <w:rPr>
                <w:sz w:val="20"/>
                <w:szCs w:val="20"/>
                <w:color w:val="auto"/>
              </w:rPr>
            </w:pPr>
            <w:r>
              <w:rPr>
                <w:rFonts w:ascii="Arial" w:cs="Arial" w:eastAsia="Arial" w:hAnsi="Arial"/>
                <w:sz w:val="14"/>
                <w:szCs w:val="14"/>
                <w:color w:val="auto"/>
                <w:w w:val="92"/>
              </w:rPr>
              <w:t>6.875%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4"/>
              </w:rPr>
              <w:t>April 15, 2024</w:t>
            </w:r>
          </w:p>
        </w:tc>
        <w:tc>
          <w:tcPr>
            <w:tcW w:w="1220" w:type="dxa"/>
            <w:vAlign w:val="bottom"/>
            <w:gridSpan w:val="2"/>
            <w:vMerge w:val="restart"/>
          </w:tcPr>
          <w:p>
            <w:pPr>
              <w:jc w:val="center"/>
              <w:ind w:right="80"/>
              <w:spacing w:after="0"/>
              <w:rPr>
                <w:sz w:val="20"/>
                <w:szCs w:val="20"/>
                <w:color w:val="auto"/>
              </w:rPr>
            </w:pPr>
            <w:r>
              <w:rPr>
                <w:rFonts w:ascii="Arial" w:cs="Arial" w:eastAsia="Arial" w:hAnsi="Arial"/>
                <w:sz w:val="14"/>
                <w:szCs w:val="14"/>
                <w:color w:val="auto"/>
                <w:w w:val="94"/>
              </w:rPr>
              <w:t>April 15, 2024</w:t>
            </w:r>
          </w:p>
        </w:tc>
        <w:tc>
          <w:tcPr>
            <w:tcW w:w="1220" w:type="dxa"/>
            <w:vAlign w:val="bottom"/>
          </w:tcPr>
          <w:p>
            <w:pPr>
              <w:jc w:val="center"/>
              <w:spacing w:after="0" w:line="135"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color w:val="auto"/>
                <w:w w:val="88"/>
              </w:rPr>
              <w:t>4.332%</w:t>
            </w:r>
          </w:p>
        </w:tc>
        <w:tc>
          <w:tcPr>
            <w:tcW w:w="0" w:type="dxa"/>
            <w:vAlign w:val="bottom"/>
          </w:tcPr>
          <w:p>
            <w:pPr>
              <w:spacing w:after="0"/>
              <w:rPr>
                <w:sz w:val="1"/>
                <w:szCs w:val="1"/>
                <w:color w:val="auto"/>
              </w:rPr>
            </w:pPr>
          </w:p>
        </w:tc>
      </w:tr>
      <w:tr>
        <w:trPr>
          <w:trHeight w:val="74"/>
        </w:trPr>
        <w:tc>
          <w:tcPr>
            <w:tcW w:w="1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2040" w:type="dxa"/>
            <w:vAlign w:val="bottom"/>
            <w:gridSpan w:val="2"/>
            <w:vMerge w:val="restart"/>
            <w:shd w:val="clear" w:color="auto" w:fill="CCEEFF"/>
          </w:tcPr>
          <w:p>
            <w:pPr>
              <w:ind w:left="120"/>
              <w:spacing w:after="0"/>
              <w:rPr>
                <w:sz w:val="20"/>
                <w:szCs w:val="20"/>
                <w:color w:val="auto"/>
              </w:rPr>
            </w:pPr>
            <w:r>
              <w:rPr>
                <w:rFonts w:ascii="Arial" w:cs="Arial" w:eastAsia="Arial" w:hAnsi="Arial"/>
                <w:sz w:val="14"/>
                <w:szCs w:val="14"/>
                <w:color w:val="auto"/>
              </w:rPr>
              <w:t>Series E</w:t>
            </w:r>
          </w:p>
        </w:tc>
        <w:tc>
          <w:tcPr>
            <w:tcW w:w="118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4"/>
                <w:szCs w:val="14"/>
                <w:color w:val="auto"/>
                <w:w w:val="89"/>
              </w:rPr>
              <w:t>October 3, 2019</w:t>
            </w: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390</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403</w:t>
            </w:r>
          </w:p>
        </w:tc>
        <w:tc>
          <w:tcPr>
            <w:tcW w:w="1020" w:type="dxa"/>
            <w:vAlign w:val="bottom"/>
            <w:vMerge w:val="restart"/>
            <w:shd w:val="clear" w:color="auto" w:fill="CCEEFF"/>
          </w:tcPr>
          <w:p>
            <w:pPr>
              <w:jc w:val="center"/>
              <w:ind w:left="70"/>
              <w:spacing w:after="0"/>
              <w:rPr>
                <w:sz w:val="20"/>
                <w:szCs w:val="20"/>
                <w:color w:val="auto"/>
              </w:rPr>
            </w:pPr>
            <w:r>
              <w:rPr>
                <w:rFonts w:ascii="Arial" w:cs="Arial" w:eastAsia="Arial" w:hAnsi="Arial"/>
                <w:sz w:val="14"/>
                <w:szCs w:val="14"/>
                <w:color w:val="auto"/>
                <w:w w:val="92"/>
              </w:rPr>
              <w:t>6.500%</w:t>
            </w:r>
          </w:p>
        </w:tc>
        <w:tc>
          <w:tcPr>
            <w:tcW w:w="10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90"/>
              </w:rPr>
              <w:t>October 15, 2024</w:t>
            </w:r>
          </w:p>
        </w:tc>
        <w:tc>
          <w:tcPr>
            <w:tcW w:w="1220" w:type="dxa"/>
            <w:vAlign w:val="bottom"/>
            <w:gridSpan w:val="2"/>
            <w:vMerge w:val="restart"/>
            <w:shd w:val="clear" w:color="auto" w:fill="CCEEFF"/>
          </w:tcPr>
          <w:p>
            <w:pPr>
              <w:jc w:val="center"/>
              <w:ind w:right="100"/>
              <w:spacing w:after="0"/>
              <w:rPr>
                <w:sz w:val="20"/>
                <w:szCs w:val="20"/>
                <w:color w:val="auto"/>
              </w:rPr>
            </w:pPr>
            <w:r>
              <w:rPr>
                <w:rFonts w:ascii="Arial" w:cs="Arial" w:eastAsia="Arial" w:hAnsi="Arial"/>
                <w:sz w:val="14"/>
                <w:szCs w:val="14"/>
                <w:color w:val="auto"/>
                <w:w w:val="88"/>
              </w:rPr>
              <w:t>October 15, 2024</w:t>
            </w:r>
          </w:p>
        </w:tc>
        <w:tc>
          <w:tcPr>
            <w:tcW w:w="1220" w:type="dxa"/>
            <w:vAlign w:val="bottom"/>
            <w:shd w:val="clear" w:color="auto" w:fill="CCEEFF"/>
          </w:tcPr>
          <w:p>
            <w:pPr>
              <w:jc w:val="center"/>
              <w:spacing w:after="0" w:line="141"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88"/>
              </w:rPr>
              <w:t>4.993%</w:t>
            </w:r>
          </w:p>
        </w:tc>
        <w:tc>
          <w:tcPr>
            <w:tcW w:w="0" w:type="dxa"/>
            <w:vAlign w:val="bottom"/>
          </w:tcPr>
          <w:p>
            <w:pPr>
              <w:spacing w:after="0"/>
              <w:rPr>
                <w:sz w:val="1"/>
                <w:szCs w:val="1"/>
                <w:color w:val="auto"/>
              </w:rPr>
            </w:pPr>
          </w:p>
        </w:tc>
      </w:tr>
      <w:tr>
        <w:trPr>
          <w:trHeight w:val="80"/>
        </w:trPr>
        <w:tc>
          <w:tcPr>
            <w:tcW w:w="19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0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0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1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2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20"/>
              <w:spacing w:after="0"/>
              <w:rPr>
                <w:sz w:val="20"/>
                <w:szCs w:val="20"/>
                <w:color w:val="auto"/>
              </w:rPr>
            </w:pPr>
            <w:r>
              <w:rPr>
                <w:rFonts w:ascii="Arial" w:cs="Arial" w:eastAsia="Arial" w:hAnsi="Arial"/>
                <w:sz w:val="14"/>
                <w:szCs w:val="14"/>
                <w:color w:val="auto"/>
              </w:rPr>
              <w:t>Series F</w:t>
            </w:r>
          </w:p>
        </w:tc>
        <w:tc>
          <w:tcPr>
            <w:tcW w:w="1180" w:type="dxa"/>
            <w:vAlign w:val="bottom"/>
            <w:gridSpan w:val="2"/>
            <w:vMerge w:val="restart"/>
          </w:tcPr>
          <w:p>
            <w:pPr>
              <w:jc w:val="center"/>
              <w:ind w:right="120"/>
              <w:spacing w:after="0"/>
              <w:rPr>
                <w:sz w:val="20"/>
                <w:szCs w:val="20"/>
                <w:color w:val="auto"/>
              </w:rPr>
            </w:pPr>
            <w:r>
              <w:rPr>
                <w:rFonts w:ascii="Arial" w:cs="Arial" w:eastAsia="Arial" w:hAnsi="Arial"/>
                <w:sz w:val="14"/>
                <w:szCs w:val="14"/>
                <w:color w:val="auto"/>
                <w:w w:val="89"/>
              </w:rPr>
              <w:t>February 11, 2020</w:t>
            </w:r>
          </w:p>
        </w:tc>
        <w:tc>
          <w:tcPr>
            <w:tcW w:w="1040" w:type="dxa"/>
            <w:vAlign w:val="bottom"/>
            <w:vMerge w:val="restart"/>
          </w:tcPr>
          <w:p>
            <w:pPr>
              <w:jc w:val="right"/>
              <w:spacing w:after="0"/>
              <w:rPr>
                <w:sz w:val="20"/>
                <w:szCs w:val="20"/>
                <w:color w:val="auto"/>
              </w:rPr>
            </w:pPr>
            <w:r>
              <w:rPr>
                <w:rFonts w:ascii="Arial" w:cs="Arial" w:eastAsia="Arial" w:hAnsi="Arial"/>
                <w:sz w:val="14"/>
                <w:szCs w:val="14"/>
                <w:color w:val="auto"/>
              </w:rPr>
              <w:t>23.0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557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575</w:t>
            </w:r>
          </w:p>
        </w:tc>
        <w:tc>
          <w:tcPr>
            <w:tcW w:w="1020" w:type="dxa"/>
            <w:vAlign w:val="bottom"/>
            <w:vMerge w:val="restart"/>
          </w:tcPr>
          <w:p>
            <w:pPr>
              <w:jc w:val="center"/>
              <w:ind w:left="70"/>
              <w:spacing w:after="0"/>
              <w:rPr>
                <w:sz w:val="20"/>
                <w:szCs w:val="20"/>
                <w:color w:val="auto"/>
              </w:rPr>
            </w:pPr>
            <w:r>
              <w:rPr>
                <w:rFonts w:ascii="Arial" w:cs="Arial" w:eastAsia="Arial" w:hAnsi="Arial"/>
                <w:sz w:val="14"/>
                <w:szCs w:val="14"/>
                <w:color w:val="auto"/>
                <w:w w:val="92"/>
              </w:rPr>
              <w:t>6.125%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4"/>
              </w:rPr>
              <w:t>April 15, 2025</w:t>
            </w:r>
          </w:p>
        </w:tc>
        <w:tc>
          <w:tcPr>
            <w:tcW w:w="1220" w:type="dxa"/>
            <w:vAlign w:val="bottom"/>
            <w:gridSpan w:val="2"/>
            <w:vMerge w:val="restart"/>
          </w:tcPr>
          <w:p>
            <w:pPr>
              <w:jc w:val="center"/>
              <w:ind w:right="80"/>
              <w:spacing w:after="0"/>
              <w:rPr>
                <w:sz w:val="20"/>
                <w:szCs w:val="20"/>
                <w:color w:val="auto"/>
              </w:rPr>
            </w:pPr>
            <w:r>
              <w:rPr>
                <w:rFonts w:ascii="Arial" w:cs="Arial" w:eastAsia="Arial" w:hAnsi="Arial"/>
                <w:sz w:val="14"/>
                <w:szCs w:val="14"/>
                <w:color w:val="auto"/>
                <w:w w:val="94"/>
              </w:rPr>
              <w:t>April 15, 2025</w:t>
            </w:r>
          </w:p>
        </w:tc>
        <w:tc>
          <w:tcPr>
            <w:tcW w:w="1220" w:type="dxa"/>
            <w:vAlign w:val="bottom"/>
          </w:tcPr>
          <w:p>
            <w:pPr>
              <w:jc w:val="center"/>
              <w:spacing w:after="0" w:line="135" w:lineRule="exact"/>
              <w:rPr>
                <w:sz w:val="20"/>
                <w:szCs w:val="20"/>
                <w:color w:val="auto"/>
              </w:rPr>
            </w:pPr>
            <w:r>
              <w:rPr>
                <w:rFonts w:ascii="Arial" w:cs="Arial" w:eastAsia="Arial" w:hAnsi="Arial"/>
                <w:sz w:val="14"/>
                <w:szCs w:val="14"/>
                <w:color w:val="auto"/>
                <w:w w:val="98"/>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Arial" w:cs="Arial" w:eastAsia="Arial" w:hAnsi="Arial"/>
                <w:sz w:val="14"/>
                <w:szCs w:val="14"/>
                <w:color w:val="auto"/>
                <w:w w:val="88"/>
              </w:rPr>
              <w:t>4.697%</w:t>
            </w:r>
          </w:p>
        </w:tc>
        <w:tc>
          <w:tcPr>
            <w:tcW w:w="0" w:type="dxa"/>
            <w:vAlign w:val="bottom"/>
          </w:tcPr>
          <w:p>
            <w:pPr>
              <w:spacing w:after="0"/>
              <w:rPr>
                <w:sz w:val="1"/>
                <w:szCs w:val="1"/>
                <w:color w:val="auto"/>
              </w:rPr>
            </w:pPr>
          </w:p>
        </w:tc>
      </w:tr>
      <w:tr>
        <w:trPr>
          <w:trHeight w:val="74"/>
        </w:trPr>
        <w:tc>
          <w:tcPr>
            <w:tcW w:w="192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08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102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06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12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220" w:type="dxa"/>
            <w:vAlign w:val="bottom"/>
            <w:tcBorders>
              <w:bottom w:val="single" w:sz="8" w:color="CCEEFF"/>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204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4"/>
                <w:szCs w:val="14"/>
                <w:color w:val="auto"/>
              </w:rPr>
              <w:t>Total</w:t>
            </w:r>
          </w:p>
        </w:tc>
        <w:tc>
          <w:tcPr>
            <w:tcW w:w="10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1,538</w:t>
            </w:r>
          </w:p>
        </w:tc>
        <w:tc>
          <w:tcPr>
            <w:tcW w:w="10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Fixed-to-floating rate redeemable preferred stock accrue dividends at an annual fixed rate of the $25.00 liquidation preference per depositary share from the issuance date up to, but not including, the fixed-to-floating rate conversion date; thereafter, dividends will accrue on a floating rate basis equal to 3-month LIBOR plus a fixed spread.</w:t>
      </w:r>
    </w:p>
    <w:p>
      <w:pPr>
        <w:ind w:left="660" w:hanging="328"/>
        <w:spacing w:after="0"/>
        <w:tabs>
          <w:tab w:leader="none" w:pos="660" w:val="left"/>
        </w:tabs>
        <w:numPr>
          <w:ilvl w:val="0"/>
          <w:numId w:val="15"/>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05" w:right="3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i w:val="1"/>
          <w:iCs w:val="1"/>
          <w:color w:val="auto"/>
        </w:rPr>
        <w:t>At-the-Market Offering Program</w:t>
      </w:r>
    </w:p>
    <w:p>
      <w:pPr>
        <w:spacing w:after="0" w:line="171"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During the nine months ended September 30, 2020, we sold 26.7 million shares of our common stock under the sales agreements for proceeds of $439 million, or $16.46 per common share, net of offering costs. As of September 30, 2020, shares of our common stock with an aggregate offering price of $26 million remained authorized for issuance under this program through June 14, 2021.</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color w:val="auto"/>
        </w:rPr>
        <w:t xml:space="preserve">From time-to-time we are authorized by our Board of Directors to repurchase shares of our common stock under certain conditions. In July 2019, our Board of Directors authorized the repurchase of up to $1 billion of our outstanding shares of common stock through December 31, 2020. During the three and nine months ended September 30, 2020, we repurchased 11.0 million and 23.3 million shares, or $154 million and $301 million, respectively, of our common stock for an average repurchase price of $13.95 and $12.92 per common share, respectively, including 0.7 million shares, or $10 million, of share repurchases settling in October 2020 and inclusive of transaction costs. As of September 30, 2020, we had $597 million of common stock remaining available for repurchase. See also Note 11. </w:t>
      </w:r>
      <w:r>
        <w:rPr>
          <w:rFonts w:ascii="Arial" w:cs="Arial" w:eastAsia="Arial" w:hAnsi="Arial"/>
          <w:sz w:val="16"/>
          <w:szCs w:val="16"/>
          <w:i w:val="1"/>
          <w:iCs w:val="1"/>
          <w:color w:val="auto"/>
        </w:rPr>
        <w:t>Subsequent Events</w:t>
      </w:r>
      <w:r>
        <w:rPr>
          <w:rFonts w:ascii="Arial" w:cs="Arial" w:eastAsia="Arial" w:hAnsi="Arial"/>
          <w:sz w:val="16"/>
          <w:szCs w:val="16"/>
          <w:color w:val="auto"/>
        </w:rPr>
        <w:t xml:space="preserve"> for additional information pertaining to our common stock repurchase program.</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 following table summarizes changes to accumulated OCI for the three and nine months ended September 30, 2020 and 2019 (in millions):</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93"/>
              </w:rPr>
              <w:t>Three Months Ended</w:t>
            </w:r>
          </w:p>
        </w:tc>
        <w:tc>
          <w:tcPr>
            <w:tcW w:w="200" w:type="dxa"/>
            <w:vAlign w:val="bottom"/>
          </w:tcPr>
          <w:p>
            <w:pPr>
              <w:spacing w:after="0"/>
              <w:rPr>
                <w:sz w:val="14"/>
                <w:szCs w:val="14"/>
                <w:color w:val="auto"/>
              </w:rPr>
            </w:pPr>
          </w:p>
        </w:tc>
        <w:tc>
          <w:tcPr>
            <w:tcW w:w="170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6"/>
        </w:trPr>
        <w:tc>
          <w:tcPr>
            <w:tcW w:w="7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89"/>
              </w:rPr>
              <w:t>September 30,</w:t>
            </w:r>
          </w:p>
        </w:tc>
        <w:tc>
          <w:tcPr>
            <w:tcW w:w="200" w:type="dxa"/>
            <w:vAlign w:val="bottom"/>
          </w:tcPr>
          <w:p>
            <w:pPr>
              <w:spacing w:after="0"/>
              <w:rPr>
                <w:sz w:val="16"/>
                <w:szCs w:val="16"/>
                <w:color w:val="auto"/>
              </w:rPr>
            </w:pPr>
          </w:p>
        </w:tc>
        <w:tc>
          <w:tcPr>
            <w:tcW w:w="170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84"/>
        </w:trPr>
        <w:tc>
          <w:tcPr>
            <w:tcW w:w="7340" w:type="dxa"/>
            <w:vAlign w:val="bottom"/>
            <w:gridSpan w:val="2"/>
          </w:tcPr>
          <w:p>
            <w:pPr>
              <w:ind w:left="20"/>
              <w:spacing w:after="0"/>
              <w:rPr>
                <w:sz w:val="20"/>
                <w:szCs w:val="20"/>
                <w:color w:val="auto"/>
              </w:rPr>
            </w:pPr>
            <w:r>
              <w:rPr>
                <w:rFonts w:ascii="Arial" w:cs="Arial" w:eastAsia="Arial" w:hAnsi="Arial"/>
                <w:sz w:val="14"/>
                <w:szCs w:val="14"/>
                <w:b w:val="1"/>
                <w:bCs w:val="1"/>
                <w:color w:val="auto"/>
              </w:rPr>
              <w:t>Accumulated Other Comprehensive Income (Loss)</w:t>
            </w:r>
          </w:p>
        </w:tc>
        <w:tc>
          <w:tcPr>
            <w:tcW w:w="2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83"/>
        </w:trPr>
        <w:tc>
          <w:tcPr>
            <w:tcW w:w="7240" w:type="dxa"/>
            <w:vAlign w:val="bottom"/>
            <w:tcBorders>
              <w:top w:val="single" w:sz="8" w:color="auto"/>
            </w:tcBorders>
          </w:tcPr>
          <w:p>
            <w:pPr>
              <w:ind w:left="20"/>
              <w:spacing w:after="0"/>
              <w:rPr>
                <w:sz w:val="20"/>
                <w:szCs w:val="20"/>
                <w:color w:val="auto"/>
              </w:rPr>
            </w:pPr>
            <w:r>
              <w:rPr>
                <w:rFonts w:ascii="Arial" w:cs="Arial" w:eastAsia="Arial" w:hAnsi="Arial"/>
                <w:sz w:val="14"/>
                <w:szCs w:val="14"/>
                <w:b w:val="1"/>
                <w:bCs w:val="1"/>
                <w:color w:val="auto"/>
              </w:rPr>
              <w:t>Beginning Balance</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764</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15"/>
                <w:szCs w:val="15"/>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(943)</w:t>
            </w:r>
          </w:p>
        </w:tc>
        <w:tc>
          <w:tcPr>
            <w:tcW w:w="0" w:type="dxa"/>
            <w:vAlign w:val="bottom"/>
          </w:tcPr>
          <w:p>
            <w:pPr>
              <w:spacing w:after="0"/>
              <w:rPr>
                <w:sz w:val="1"/>
                <w:szCs w:val="1"/>
                <w:color w:val="auto"/>
              </w:rPr>
            </w:pPr>
          </w:p>
        </w:tc>
      </w:tr>
      <w:tr>
        <w:trPr>
          <w:trHeight w:val="190"/>
        </w:trPr>
        <w:tc>
          <w:tcPr>
            <w:tcW w:w="7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OCI before reclassifications</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777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1,016</w:t>
            </w:r>
          </w:p>
        </w:tc>
        <w:tc>
          <w:tcPr>
            <w:tcW w:w="0" w:type="dxa"/>
            <w:vAlign w:val="bottom"/>
          </w:tcPr>
          <w:p>
            <w:pPr>
              <w:spacing w:after="0"/>
              <w:rPr>
                <w:sz w:val="1"/>
                <w:szCs w:val="1"/>
                <w:color w:val="auto"/>
              </w:rPr>
            </w:pPr>
          </w:p>
        </w:tc>
      </w:tr>
      <w:tr>
        <w:trPr>
          <w:trHeight w:val="135"/>
        </w:trPr>
        <w:tc>
          <w:tcPr>
            <w:tcW w:w="7340" w:type="dxa"/>
            <w:vAlign w:val="bottom"/>
            <w:gridSpan w:val="2"/>
          </w:tcPr>
          <w:p>
            <w:pPr>
              <w:ind w:left="180"/>
              <w:spacing w:after="0" w:line="135" w:lineRule="exact"/>
              <w:rPr>
                <w:sz w:val="20"/>
                <w:szCs w:val="20"/>
                <w:color w:val="auto"/>
              </w:rPr>
            </w:pPr>
            <w:r>
              <w:rPr>
                <w:rFonts w:ascii="Arial" w:cs="Arial" w:eastAsia="Arial" w:hAnsi="Arial"/>
                <w:sz w:val="14"/>
                <w:szCs w:val="14"/>
                <w:color w:val="auto"/>
                <w:w w:val="98"/>
              </w:rPr>
              <w:t>Net loss amounts for available-for-sale securities reclassified from accumulated OCI to realized gain (loss) on sale of</w:t>
            </w:r>
          </w:p>
        </w:tc>
        <w:tc>
          <w:tcPr>
            <w:tcW w:w="200" w:type="dxa"/>
            <w:vAlign w:val="bottom"/>
          </w:tcPr>
          <w:p>
            <w:pPr>
              <w:spacing w:after="0"/>
              <w:rPr>
                <w:sz w:val="11"/>
                <w:szCs w:val="11"/>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86"/>
        </w:trPr>
        <w:tc>
          <w:tcPr>
            <w:tcW w:w="7340" w:type="dxa"/>
            <w:vAlign w:val="bottom"/>
            <w:gridSpan w:val="2"/>
          </w:tcPr>
          <w:p>
            <w:pPr>
              <w:ind w:left="180"/>
              <w:spacing w:after="0"/>
              <w:rPr>
                <w:sz w:val="20"/>
                <w:szCs w:val="20"/>
                <w:color w:val="auto"/>
              </w:rPr>
            </w:pPr>
            <w:r>
              <w:rPr>
                <w:rFonts w:ascii="Arial" w:cs="Arial" w:eastAsia="Arial" w:hAnsi="Arial"/>
                <w:sz w:val="14"/>
                <w:szCs w:val="14"/>
                <w:color w:val="auto"/>
              </w:rPr>
              <w:t>investment securities, net</w:t>
            </w:r>
          </w:p>
        </w:tc>
        <w:tc>
          <w:tcPr>
            <w:tcW w:w="200" w:type="dxa"/>
            <w:vAlign w:val="bottom"/>
          </w:tcPr>
          <w:p>
            <w:pPr>
              <w:spacing w:after="0"/>
              <w:rPr>
                <w:sz w:val="16"/>
                <w:szCs w:val="16"/>
                <w:color w:val="auto"/>
              </w:rPr>
            </w:pPr>
          </w:p>
        </w:tc>
        <w:tc>
          <w:tcPr>
            <w:tcW w:w="8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8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73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Ending Balance</w:t>
            </w: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834</w:t>
            </w:r>
          </w:p>
        </w:tc>
        <w:tc>
          <w:tcPr>
            <w:tcW w:w="100" w:type="dxa"/>
            <w:vAlign w:val="bottom"/>
            <w:tcBorders>
              <w:top w:val="single" w:sz="8" w:color="CCEEFF"/>
              <w:bottom w:val="single" w:sz="8" w:color="auto"/>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834</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Dividend Declaration</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On October 8, 2020, our Board of Directors declared a monthly dividend of $0.12 per common share payable on November 11, 2020 to common stockholders of record as of October 31, 2020.</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 Repurchase Program</w:t>
      </w:r>
    </w:p>
    <w:p>
      <w:pPr>
        <w:spacing w:after="0" w:line="171"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On October 22, 2020 our Board of Directors terminated our existing stock repurchase plan (see Note 10) that was due to expire on December 31, 2020 and replaced it with a new plan authorizing us to repurchase up to $1 billion of common stock through December 31, 2021. Under the new plan, we may repurchase shares in the open market or through privately negotiated transactions or pursuant to a trading plan that may be adopted in accordance with Rule 10b5-1 of the Securities Exchange Act of 1934, as amended. Our stock repurchase program may be limited or terminated at any time without prior notice. We intend to repurchase shares under the stock repurchase program only when the repurchase price is less than our then-current estimate of tangible net book value per common share.</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17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September 30, 2020. Our MD&amp;A is presented in six sections:</w:t>
      </w:r>
    </w:p>
    <w:p>
      <w:pPr>
        <w:spacing w:after="0" w:line="65"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Off-Balance Sheet Arrangements</w:t>
      </w:r>
    </w:p>
    <w:p>
      <w:pPr>
        <w:spacing w:after="0" w:line="63"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175"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We are an internally managed Real Estate Investment Trust ("REIT"). We commenced operations on May 20, 2008 following the completion of our initial public offering. Our common stock is traded on The Nasdaq Global Select Market under the symbol "AGNC."</w:t>
      </w:r>
    </w:p>
    <w:p>
      <w:pPr>
        <w:spacing w:after="0" w:line="116" w:lineRule="exact"/>
        <w:rPr>
          <w:sz w:val="20"/>
          <w:szCs w:val="20"/>
          <w:color w:val="auto"/>
        </w:rPr>
      </w:pPr>
    </w:p>
    <w:p>
      <w:pPr>
        <w:jc w:val="both"/>
        <w:ind w:firstLine="405"/>
        <w:spacing w:after="0" w:line="286" w:lineRule="auto"/>
        <w:rPr>
          <w:sz w:val="20"/>
          <w:szCs w:val="20"/>
          <w:color w:val="auto"/>
        </w:rPr>
      </w:pPr>
      <w:r>
        <w:rPr>
          <w:rFonts w:ascii="Arial" w:cs="Arial" w:eastAsia="Arial" w:hAnsi="Arial"/>
          <w:sz w:val="17"/>
          <w:szCs w:val="17"/>
          <w:color w:val="auto"/>
        </w:rPr>
        <w:t>As a REIT, we are required to distribute annually 90% of our taxable income, and we will generally not be subject to U.S. federal or state corporate income tax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11" w:lineRule="exact"/>
        <w:rPr>
          <w:sz w:val="20"/>
          <w:szCs w:val="20"/>
          <w:color w:val="auto"/>
        </w:rPr>
      </w:pPr>
    </w:p>
    <w:p>
      <w:pPr>
        <w:jc w:val="both"/>
        <w:ind w:firstLine="405"/>
        <w:spacing w:after="0" w:line="254" w:lineRule="auto"/>
        <w:rPr>
          <w:sz w:val="20"/>
          <w:szCs w:val="20"/>
          <w:color w:val="auto"/>
        </w:rPr>
      </w:pPr>
      <w:r>
        <w:rPr>
          <w:rFonts w:ascii="Arial" w:cs="Arial" w:eastAsia="Arial" w:hAnsi="Arial"/>
          <w:sz w:val="18"/>
          <w:szCs w:val="18"/>
          <w:color w:val="auto"/>
        </w:rPr>
        <w:t>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Federal National Mortgage Association ("Fannie Mae") and Federal Home Loan Mortgage Corporation ("Freddie Mac," and together with Fannie Mae, the "GSEs"), or by a U.S. Government agency, such as Government National Mortgage Association ("Ginnie Mae"). We also invest in other types of mortgage and mortgage-related residential and commercial mortgage-backed securities where repayment of principal and interest is not guaranteed by a GSE or U.S. Government agency and in other investments in, or related to, the housing, mortgage or real estate markets.</w:t>
      </w:r>
    </w:p>
    <w:p>
      <w:pPr>
        <w:spacing w:after="0" w:line="141" w:lineRule="exact"/>
        <w:rPr>
          <w:sz w:val="20"/>
          <w:szCs w:val="20"/>
          <w:color w:val="auto"/>
        </w:rPr>
      </w:pPr>
    </w:p>
    <w:p>
      <w:pPr>
        <w:jc w:val="both"/>
        <w:ind w:firstLine="405"/>
        <w:spacing w:after="0" w:line="311"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95"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Trends and Recent Market Impacts</w:t>
      </w:r>
    </w:p>
    <w:p>
      <w:pPr>
        <w:spacing w:after="0" w:line="175"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Despite continued uncertainty regarding the COVID-19 virus and the broader macroeconomic outlook, financial markets posted significant gains for the second quarter in a row since the peak of the financial dislocations in March, driven in large part by the monetary support provided by global central banks.</w:t>
      </w:r>
    </w:p>
    <w:p>
      <w:pPr>
        <w:spacing w:after="0" w:line="130" w:lineRule="exact"/>
        <w:rPr>
          <w:sz w:val="20"/>
          <w:szCs w:val="20"/>
          <w:color w:val="auto"/>
        </w:rPr>
      </w:pPr>
    </w:p>
    <w:p>
      <w:pPr>
        <w:jc w:val="both"/>
        <w:ind w:firstLine="405"/>
        <w:spacing w:after="0" w:line="271" w:lineRule="auto"/>
        <w:rPr>
          <w:sz w:val="20"/>
          <w:szCs w:val="20"/>
          <w:color w:val="auto"/>
        </w:rPr>
      </w:pPr>
      <w:r>
        <w:rPr>
          <w:rFonts w:ascii="Arial" w:cs="Arial" w:eastAsia="Arial" w:hAnsi="Arial"/>
          <w:sz w:val="17"/>
          <w:szCs w:val="17"/>
          <w:color w:val="auto"/>
        </w:rPr>
        <w:t>During the third quarter, stable interest rates and incremental purchases of Agency RMBS by the Federal Reserve (the "Fed") of approximately $40 billion per month, supplementing its reinvestment of paydowns on its existing portfolio, were supportive of the Agency mortgage market. As mortgage rates maintain historically low levels, the prepayment risk for mortgage investors remains elevated but appears to have plateaued for several cohorts. The size of our investment portfolio, including TBA securities, for the third quarter was largely unchanged at $97.6 billion as of September 30, 2020, compared to $97.7 billion as of the end of the second quarter. We continued to shift the composition of our portfolio to lower coupon 30- and 15-year TBA securities with our higher coupon holdings concentrated in high quality, specified Agency RMBS pools, which have slower prepayment characteristics than similar coupon generic securities. Inclusive of TBA securities, the weighted average coupon on our fixed rate securities declined to 3.08% as of September 30, 2020 from 3.40% as of June 30, 2020.</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5" w:name="page26"/>
    <w:bookmarkEnd w:id="25"/>
    <w:p>
      <w:pPr>
        <w:jc w:val="both"/>
        <w:ind w:firstLine="405"/>
        <w:spacing w:after="0" w:line="257" w:lineRule="auto"/>
        <w:rPr>
          <w:sz w:val="20"/>
          <w:szCs w:val="20"/>
          <w:color w:val="auto"/>
        </w:rPr>
      </w:pPr>
      <w:r>
        <w:rPr>
          <w:rFonts w:ascii="Arial" w:cs="Arial" w:eastAsia="Arial" w:hAnsi="Arial"/>
          <w:sz w:val="18"/>
          <w:szCs w:val="18"/>
          <w:color w:val="auto"/>
        </w:rPr>
        <w:t>Our investment portfolio outperformed relative to our interest rate hedges during the third quarter. As a result, our tangible net book value per common share increased to $15.88 per share as of September 30, 2020 from $14.92 per share as of June 30, 2020, an increase of 6.4%. The increase in book value was the primary driver of a decline in our “at risk” leverage to 8.8x from 9.2x tangible common equity as of September 30 and June 30, 2020, respectively. Our economic return on tangible common equity was 8.8% for the quarter, which includes both the increase in our tangible net asset value and dividends declared of $0.36 per common share.</w:t>
      </w:r>
    </w:p>
    <w:p>
      <w:pPr>
        <w:spacing w:after="0" w:line="134"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TBA dollar roll market benefited in the third quarter from the combination of heavy origination volume and ongoing Fed purchases. As such, implied financing rates in the dollar roll market were well below comparable repo levels for most coupons. Given these favorable financing terms, we increased our average TBA position to $27.8 billion for the quarter from $15.7 billion for the second quarter. As of September 30, 2020, our TBA position totaled $29.5 billion, or approximately 30% of our investment portfolio.</w:t>
      </w:r>
    </w:p>
    <w:p>
      <w:pPr>
        <w:spacing w:after="0" w:line="133" w:lineRule="exact"/>
        <w:rPr>
          <w:sz w:val="20"/>
          <w:szCs w:val="20"/>
          <w:color w:val="auto"/>
        </w:rPr>
      </w:pPr>
    </w:p>
    <w:p>
      <w:pPr>
        <w:jc w:val="both"/>
        <w:ind w:firstLine="405"/>
        <w:spacing w:after="0" w:line="255" w:lineRule="auto"/>
        <w:rPr>
          <w:sz w:val="20"/>
          <w:szCs w:val="20"/>
          <w:color w:val="auto"/>
        </w:rPr>
      </w:pPr>
      <w:r>
        <w:rPr>
          <w:rFonts w:ascii="Arial" w:cs="Arial" w:eastAsia="Arial" w:hAnsi="Arial"/>
          <w:sz w:val="18"/>
          <w:szCs w:val="18"/>
          <w:color w:val="auto"/>
        </w:rPr>
        <w:t xml:space="preserve">Our weighted average repo rate for the third quarter declined to 0.40% from 0.76% for the second quarter. Our aggregate cost of funds, which includes the implied funding cost associated with our TBA position and interest rate swap costs, declined to 0.15% for the third quarter, compared to 0.88% for the second quarter. The combination of strong TBA dollar roll performance and very low funding rates more than offset lower asset yields on our portfolio for the quarter and drove a significant increase in our net spread and dollar roll income, excluding "catch-up" premium amortization cost, a non-GAAP measure, to $0.81 per common share for the third quarter from $0.58 per common share for the second quarter. (Refer to </w:t>
      </w:r>
      <w:r>
        <w:rPr>
          <w:rFonts w:ascii="Arial" w:cs="Arial" w:eastAsia="Arial" w:hAnsi="Arial"/>
          <w:sz w:val="18"/>
          <w:szCs w:val="18"/>
          <w:i w:val="1"/>
          <w:iCs w:val="1"/>
          <w:color w:val="auto"/>
        </w:rPr>
        <w:t>Results of Operations</w:t>
      </w:r>
      <w:r>
        <w:rPr>
          <w:rFonts w:ascii="Arial" w:cs="Arial" w:eastAsia="Arial" w:hAnsi="Arial"/>
          <w:sz w:val="18"/>
          <w:szCs w:val="18"/>
          <w:color w:val="auto"/>
        </w:rPr>
        <w:t xml:space="preserve"> below for further information regarding non-GAAP measures.)</w:t>
      </w:r>
    </w:p>
    <w:p>
      <w:pPr>
        <w:spacing w:after="0" w:line="138" w:lineRule="exact"/>
        <w:rPr>
          <w:sz w:val="20"/>
          <w:szCs w:val="20"/>
          <w:color w:val="auto"/>
        </w:rPr>
      </w:pPr>
    </w:p>
    <w:p>
      <w:pPr>
        <w:jc w:val="both"/>
        <w:ind w:firstLine="405"/>
        <w:spacing w:after="0" w:line="275" w:lineRule="auto"/>
        <w:rPr>
          <w:sz w:val="20"/>
          <w:szCs w:val="20"/>
          <w:color w:val="auto"/>
        </w:rPr>
      </w:pPr>
      <w:r>
        <w:rPr>
          <w:rFonts w:ascii="Arial" w:cs="Arial" w:eastAsia="Arial" w:hAnsi="Arial"/>
          <w:sz w:val="17"/>
          <w:szCs w:val="17"/>
          <w:color w:val="auto"/>
        </w:rPr>
        <w:t>Our net interest margin, including TBA securities and interest rate swaps and excluding "catch-up" premium amortization, increased to 2.15% for the third quarter from 1.68% for the second quarter. Looking ahead, the Fed's recently announced policy shift to average inflation targeting should cause the current low cost funding environment to persist for a prolonged period and continue to benefit our net interest margin. Notwithstanding this, our net interest margin is likely biased marginally lower, as we expect the implied funding advantage of TBA dollar rolls to contract over time to more modest levels and our average asset yield to decline as portfolio turnover is reinvested at lower prevailing asset yields.</w:t>
      </w:r>
    </w:p>
    <w:p>
      <w:pPr>
        <w:spacing w:after="0" w:line="122" w:lineRule="exact"/>
        <w:rPr>
          <w:sz w:val="20"/>
          <w:szCs w:val="20"/>
          <w:color w:val="auto"/>
        </w:rPr>
      </w:pPr>
    </w:p>
    <w:p>
      <w:pPr>
        <w:jc w:val="both"/>
        <w:ind w:firstLine="405"/>
        <w:spacing w:after="0" w:line="301" w:lineRule="auto"/>
        <w:rPr>
          <w:sz w:val="20"/>
          <w:szCs w:val="20"/>
          <w:color w:val="auto"/>
        </w:rPr>
      </w:pPr>
      <w:r>
        <w:rPr>
          <w:rFonts w:ascii="Arial" w:cs="Arial" w:eastAsia="Arial" w:hAnsi="Arial"/>
          <w:sz w:val="16"/>
          <w:szCs w:val="16"/>
          <w:color w:val="auto"/>
        </w:rPr>
        <w:t>Our investment portfolio, excluding TBA holdings, prepaid at an annualized rate of 24.3% during the third quarter, compared to 19.9% during the second quarter. Our weighted average projected CPR for the remaining life of our securities decreased to 15.9% as of September 30, 2020 from 16.6% as of June 30, 2020 largely due to changes in asset composition. Our liquidity position, consisting of unencumbered Agency RMBS and cash, totaled $5.2 billion at the end of the third quarter, which excludes unencumbered CRT securities, non-Agency securities and assets held at our broker-dealer subsidiary.</w:t>
      </w:r>
    </w:p>
    <w:p>
      <w:pPr>
        <w:spacing w:after="0" w:line="103"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Our interest rate hedge position increased to 71% of our funding liabilities, inclusive of our net TBA position (at cost), as of September 30, 2020, compared to 66% as of June 30, 2020. Our duration gap, which is a measure of the difference between the interest rate sensitivity of our assets and liabilities, inclusive of all of our interest rate hedges, was largely unchanged during the third quarter at 0.0 years as of September 30, 2020 compared to -0.1 year as of June 30, 2020.</w:t>
      </w:r>
    </w:p>
    <w:p>
      <w:pPr>
        <w:spacing w:after="0" w:line="133" w:lineRule="exact"/>
        <w:rPr>
          <w:sz w:val="20"/>
          <w:szCs w:val="20"/>
          <w:color w:val="auto"/>
        </w:rPr>
      </w:pPr>
    </w:p>
    <w:p>
      <w:pPr>
        <w:jc w:val="both"/>
        <w:ind w:firstLine="405"/>
        <w:spacing w:after="0" w:line="272" w:lineRule="auto"/>
        <w:rPr>
          <w:sz w:val="20"/>
          <w:szCs w:val="20"/>
          <w:color w:val="auto"/>
        </w:rPr>
      </w:pPr>
      <w:r>
        <w:rPr>
          <w:rFonts w:ascii="Arial" w:cs="Arial" w:eastAsia="Arial" w:hAnsi="Arial"/>
          <w:sz w:val="17"/>
          <w:szCs w:val="17"/>
          <w:color w:val="auto"/>
        </w:rPr>
        <w:t>Our interest rate swap portfolio totaled $43.0 billion as of September 30, 2020, largely unchanged from $42.1 billion as of June 30, 2020. We continued to alter the composition of our swap portfolio during the third quarter, shifting to SOFR-indexed swaps and extending the maturity profile to 5.3 years as of September 30, 2020 from 5.1 years as of June 30, 2020. SOFR-indexed swaps are expected to highly correlate to changes in repo funding levels. As of September 30, 2020, 69% of our interest rate swaps were indexed to SOFR and the remainder to OIS. As of June 30, 2020, 16%, 79% and 5% of our interest rate swaps were indexed to SOFR, OIS and 3M LIBOR, respectively. Our interest rate swap repositioning in recent quarters also led to a decline in our average swap cost, as the majority of our interest swaps now reflect prevailing market rates. For the third quarter, the average pay rate on our interest rates swaps decreased to 0.15% as of September 30, 2020 from 0.39% as of June 30, 2020.</w:t>
      </w:r>
    </w:p>
    <w:p>
      <w:pPr>
        <w:spacing w:after="0" w:line="123" w:lineRule="exact"/>
        <w:rPr>
          <w:sz w:val="20"/>
          <w:szCs w:val="20"/>
          <w:color w:val="auto"/>
        </w:rPr>
      </w:pPr>
    </w:p>
    <w:p>
      <w:pPr>
        <w:jc w:val="both"/>
        <w:ind w:firstLine="405"/>
        <w:spacing w:after="0" w:line="301" w:lineRule="auto"/>
        <w:rPr>
          <w:sz w:val="20"/>
          <w:szCs w:val="20"/>
          <w:color w:val="auto"/>
        </w:rPr>
      </w:pPr>
      <w:r>
        <w:rPr>
          <w:rFonts w:ascii="Arial" w:cs="Arial" w:eastAsia="Arial" w:hAnsi="Arial"/>
          <w:sz w:val="16"/>
          <w:szCs w:val="16"/>
          <w:color w:val="auto"/>
        </w:rPr>
        <w:t>Although the ongoing economic uncertainties associated with the COVID-19 pandemic and U.S. fiscal policy continue as risks to the financial markets and prepayments will likely remain elevated, our earnings profile should continue to benefit from the broad availability of repo funding at rates near zero, muted interest rate volatility and continued Fed acquisitions of Agency RMBS. As such, in the current environment, we remain optimistic about our ability to generate positive risk-adjusted returns for our stockholders through a combination of dividends and book value growth over the near term.</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i w:val="1"/>
          <w:iCs w:val="1"/>
          <w:color w:val="auto"/>
        </w:rPr>
        <w:t>Market Information</w:t>
      </w:r>
    </w:p>
    <w:p>
      <w:pPr>
        <w:spacing w:after="0" w:line="17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table summarizes interest rates and prices of generic fixed rate Agency RMBS as of each date presented below:</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9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Dec. 31,</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Mar. 31,</w:t>
            </w: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June 30,</w:t>
            </w:r>
          </w:p>
        </w:tc>
        <w:tc>
          <w:tcPr>
            <w:tcW w:w="94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0"/>
              </w:rPr>
              <w:t>Sept. 30, 2020</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Sept. 30, 2020</w:t>
            </w:r>
          </w:p>
        </w:tc>
        <w:tc>
          <w:tcPr>
            <w:tcW w:w="0" w:type="dxa"/>
            <w:vAlign w:val="bottom"/>
          </w:tcPr>
          <w:p>
            <w:pPr>
              <w:spacing w:after="0"/>
              <w:rPr>
                <w:sz w:val="1"/>
                <w:szCs w:val="1"/>
                <w:color w:val="auto"/>
              </w:rPr>
            </w:pPr>
          </w:p>
        </w:tc>
      </w:tr>
      <w:tr>
        <w:trPr>
          <w:trHeight w:val="135"/>
        </w:trPr>
        <w:tc>
          <w:tcPr>
            <w:tcW w:w="4100" w:type="dxa"/>
            <w:vAlign w:val="bottom"/>
            <w:gridSpan w:val="2"/>
            <w:vMerge w:val="restart"/>
          </w:tcPr>
          <w:p>
            <w:pPr>
              <w:ind w:left="108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18"/>
                <w:szCs w:val="18"/>
                <w:b w:val="1"/>
                <w:bCs w:val="1"/>
                <w:color w:val="auto"/>
                <w:vertAlign w:val="superscript"/>
              </w:rPr>
              <w:t>1</w:t>
            </w: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520" w:type="dxa"/>
            <w:vAlign w:val="bottom"/>
          </w:tcPr>
          <w:p>
            <w:pPr>
              <w:spacing w:after="0"/>
              <w:rPr>
                <w:sz w:val="11"/>
                <w:szCs w:val="11"/>
                <w:color w:val="auto"/>
              </w:rPr>
            </w:pPr>
          </w:p>
        </w:tc>
        <w:tc>
          <w:tcPr>
            <w:tcW w:w="800" w:type="dxa"/>
            <w:vAlign w:val="bottom"/>
            <w:gridSpan w:val="2"/>
          </w:tcPr>
          <w:p>
            <w:pPr>
              <w:jc w:val="center"/>
              <w:ind w:right="680"/>
              <w:spacing w:after="0" w:line="135" w:lineRule="exact"/>
              <w:rPr>
                <w:sz w:val="20"/>
                <w:szCs w:val="20"/>
                <w:color w:val="auto"/>
              </w:rPr>
            </w:pPr>
            <w:r>
              <w:rPr>
                <w:rFonts w:ascii="Arial" w:cs="Arial" w:eastAsia="Arial" w:hAnsi="Arial"/>
                <w:sz w:val="14"/>
                <w:szCs w:val="14"/>
                <w:b w:val="1"/>
                <w:bCs w:val="1"/>
                <w:color w:val="auto"/>
                <w:w w:val="76"/>
              </w:rPr>
              <w:t>vs</w:t>
            </w:r>
          </w:p>
        </w:tc>
        <w:tc>
          <w:tcPr>
            <w:tcW w:w="520" w:type="dxa"/>
            <w:vAlign w:val="bottom"/>
          </w:tcPr>
          <w:p>
            <w:pPr>
              <w:spacing w:after="0"/>
              <w:rPr>
                <w:sz w:val="11"/>
                <w:szCs w:val="11"/>
                <w:color w:val="auto"/>
              </w:rPr>
            </w:pPr>
          </w:p>
        </w:tc>
        <w:tc>
          <w:tcPr>
            <w:tcW w:w="640" w:type="dxa"/>
            <w:vAlign w:val="bottom"/>
          </w:tcPr>
          <w:p>
            <w:pPr>
              <w:jc w:val="center"/>
              <w:ind w:right="448"/>
              <w:spacing w:after="0" w:line="135" w:lineRule="exact"/>
              <w:rPr>
                <w:sz w:val="20"/>
                <w:szCs w:val="20"/>
                <w:color w:val="auto"/>
              </w:rPr>
            </w:pPr>
            <w:r>
              <w:rPr>
                <w:rFonts w:ascii="Arial" w:cs="Arial" w:eastAsia="Arial" w:hAnsi="Arial"/>
                <w:sz w:val="14"/>
                <w:szCs w:val="14"/>
                <w:b w:val="1"/>
                <w:bCs w:val="1"/>
                <w:color w:val="auto"/>
                <w:w w:val="76"/>
              </w:rPr>
              <w:t>vs</w:t>
            </w:r>
          </w:p>
        </w:tc>
        <w:tc>
          <w:tcPr>
            <w:tcW w:w="0" w:type="dxa"/>
            <w:vAlign w:val="bottom"/>
          </w:tcPr>
          <w:p>
            <w:pPr>
              <w:spacing w:after="0"/>
              <w:rPr>
                <w:sz w:val="1"/>
                <w:szCs w:val="1"/>
                <w:color w:val="auto"/>
              </w:rPr>
            </w:pPr>
          </w:p>
        </w:tc>
      </w:tr>
      <w:tr>
        <w:trPr>
          <w:trHeight w:val="189"/>
        </w:trPr>
        <w:tc>
          <w:tcPr>
            <w:tcW w:w="4100" w:type="dxa"/>
            <w:vAlign w:val="bottom"/>
            <w:gridSpan w:val="2"/>
            <w:vMerge w:val="continue"/>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6"/>
              </w:rPr>
              <w:t>2020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6"/>
              </w:rPr>
              <w:t>2020</w:t>
            </w:r>
          </w:p>
        </w:tc>
        <w:tc>
          <w:tcPr>
            <w:tcW w:w="160" w:type="dxa"/>
            <w:vAlign w:val="bottom"/>
          </w:tcPr>
          <w:p>
            <w:pPr>
              <w:spacing w:after="0"/>
              <w:rPr>
                <w:sz w:val="16"/>
                <w:szCs w:val="16"/>
                <w:color w:val="auto"/>
              </w:rPr>
            </w:pPr>
          </w:p>
        </w:tc>
        <w:tc>
          <w:tcPr>
            <w:tcW w:w="13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2"/>
              </w:rPr>
              <w:t>June 30, 2020</w:t>
            </w: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Dec. 31, 2019</w:t>
            </w:r>
          </w:p>
        </w:tc>
        <w:tc>
          <w:tcPr>
            <w:tcW w:w="0" w:type="dxa"/>
            <w:vAlign w:val="bottom"/>
          </w:tcPr>
          <w:p>
            <w:pPr>
              <w:spacing w:after="0"/>
              <w:rPr>
                <w:sz w:val="1"/>
                <w:szCs w:val="1"/>
                <w:color w:val="auto"/>
              </w:rPr>
            </w:pPr>
          </w:p>
        </w:tc>
      </w:tr>
      <w:tr>
        <w:trPr>
          <w:trHeight w:val="183"/>
        </w:trPr>
        <w:tc>
          <w:tcPr>
            <w:tcW w:w="3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Target Federal Funds Rate:</w:t>
            </w: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7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6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Target Federal Funds Rate - Upper Band</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2.00%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1.75%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0.25%</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-150</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LIBOR:</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1-Month</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2.02%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1.76%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0.99%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0.16%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0.15%</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-161</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3-Month</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2.09%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1.91%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1.45%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0.30%</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0.23%</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8"/>
        </w:trPr>
        <w:tc>
          <w:tcPr>
            <w:tcW w:w="4100" w:type="dxa"/>
            <w:vAlign w:val="bottom"/>
            <w:gridSpan w:val="2"/>
          </w:tcPr>
          <w:p>
            <w:pPr>
              <w:ind w:left="20"/>
              <w:spacing w:after="0"/>
              <w:rPr>
                <w:sz w:val="20"/>
                <w:szCs w:val="20"/>
                <w:color w:val="auto"/>
              </w:rPr>
            </w:pPr>
            <w:r>
              <w:rPr>
                <w:rFonts w:ascii="Arial" w:cs="Arial" w:eastAsia="Arial" w:hAnsi="Arial"/>
                <w:sz w:val="14"/>
                <w:szCs w:val="14"/>
                <w:b w:val="1"/>
                <w:bCs w:val="1"/>
                <w:color w:val="auto"/>
              </w:rPr>
              <w:t>U.S. Treasury Security Rate: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2-Year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1.62%</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1.57%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0.25%</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0.15%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0.13%</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5-Year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1.54%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1.69%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0.38%</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0.28%</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-141</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10-Year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1.66%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1.92%</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0.67%</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0.66%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0.69%</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30-Year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2.11%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2.39%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1.32%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1.41%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1.46%</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+5</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-93</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Interest Rate Swap Rate:</w:t>
            </w: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2-Year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1.63%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1.70%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0.49%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0.22%</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-148</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5-Year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1.50%</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1.73%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0.52%</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0.33%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0.35%</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6"/>
        </w:trPr>
        <w:tc>
          <w:tcPr>
            <w:tcW w:w="4100" w:type="dxa"/>
            <w:vAlign w:val="bottom"/>
            <w:gridSpan w:val="2"/>
          </w:tcPr>
          <w:p>
            <w:pPr>
              <w:ind w:left="180"/>
              <w:spacing w:after="0"/>
              <w:rPr>
                <w:sz w:val="20"/>
                <w:szCs w:val="20"/>
                <w:color w:val="auto"/>
              </w:rPr>
            </w:pPr>
            <w:r>
              <w:rPr>
                <w:rFonts w:ascii="Arial" w:cs="Arial" w:eastAsia="Arial" w:hAnsi="Arial"/>
                <w:sz w:val="14"/>
                <w:szCs w:val="14"/>
                <w:color w:val="auto"/>
              </w:rPr>
              <w:t>10-Year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1.56%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1.90%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0.72%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0.64%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5"/>
              </w:rPr>
              <w:t>0.71%</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+7</w:t>
            </w:r>
          </w:p>
        </w:tc>
        <w:tc>
          <w:tcPr>
            <w:tcW w:w="800" w:type="dxa"/>
            <w:vAlign w:val="bottom"/>
            <w:gridSpan w:val="2"/>
          </w:tcPr>
          <w:p>
            <w:pPr>
              <w:ind w:left="80"/>
              <w:spacing w:after="0"/>
              <w:rPr>
                <w:sz w:val="20"/>
                <w:szCs w:val="20"/>
                <w:color w:val="auto"/>
              </w:rPr>
            </w:pPr>
            <w:r>
              <w:rPr>
                <w:rFonts w:ascii="Arial" w:cs="Arial" w:eastAsia="Arial" w:hAnsi="Arial"/>
                <w:sz w:val="14"/>
                <w:szCs w:val="14"/>
                <w:color w:val="auto"/>
              </w:rPr>
              <w:t>bps</w:t>
            </w:r>
          </w:p>
        </w:tc>
        <w:tc>
          <w:tcPr>
            <w:tcW w:w="520" w:type="dxa"/>
            <w:vAlign w:val="bottom"/>
          </w:tcPr>
          <w:p>
            <w:pPr>
              <w:jc w:val="right"/>
              <w:spacing w:after="0"/>
              <w:rPr>
                <w:sz w:val="20"/>
                <w:szCs w:val="20"/>
                <w:color w:val="auto"/>
              </w:rPr>
            </w:pPr>
            <w:r>
              <w:rPr>
                <w:rFonts w:ascii="Arial" w:cs="Arial" w:eastAsia="Arial" w:hAnsi="Arial"/>
                <w:sz w:val="14"/>
                <w:szCs w:val="14"/>
                <w:color w:val="auto"/>
              </w:rPr>
              <w:t>-119</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92"/>
        </w:trPr>
        <w:tc>
          <w:tcPr>
            <w:tcW w:w="410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1.71%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2.09%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0.88%</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0.92%</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1.12%</w:t>
            </w:r>
          </w:p>
        </w:tc>
        <w:tc>
          <w:tcPr>
            <w:tcW w:w="16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80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8"/>
        </w:trPr>
        <w:tc>
          <w:tcPr>
            <w:tcW w:w="4100" w:type="dxa"/>
            <w:vAlign w:val="bottom"/>
            <w:gridSpan w:val="2"/>
          </w:tcPr>
          <w:p>
            <w:pPr>
              <w:ind w:left="20"/>
              <w:spacing w:after="0"/>
              <w:rPr>
                <w:sz w:val="20"/>
                <w:szCs w:val="20"/>
                <w:color w:val="auto"/>
              </w:rPr>
            </w:pPr>
            <w:r>
              <w:rPr>
                <w:rFonts w:ascii="Arial" w:cs="Arial" w:eastAsia="Arial" w:hAnsi="Arial"/>
                <w:sz w:val="14"/>
                <w:szCs w:val="14"/>
                <w:b w:val="1"/>
                <w:bCs w:val="1"/>
                <w:color w:val="auto"/>
              </w:rPr>
              <w:t>30-Year Fixed Rate Agency Price: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$95.49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$94.89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$100.91</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$102.33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$103.39</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+$1.06</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+$8.50</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2.5%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3"/>
              </w:rPr>
              <w:t>$99.55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3"/>
              </w:rPr>
              <w:t>$98.89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$103.59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$104.26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$104.90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+$0.64</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+$6.01</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$101.51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$101.42</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$104.83</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$105.33</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$104.75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-$0.58</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+$3.33</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3.5%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$102.58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$102.86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$105.70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$105.18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$105.40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+$0.22</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+$2.54</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$103.77</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$104.01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$106.67</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$105.98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$106.64</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+$0.66</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+$2.63</w:t>
            </w:r>
          </w:p>
        </w:tc>
        <w:tc>
          <w:tcPr>
            <w:tcW w:w="0" w:type="dxa"/>
            <w:vAlign w:val="bottom"/>
          </w:tcPr>
          <w:p>
            <w:pPr>
              <w:spacing w:after="0"/>
              <w:rPr>
                <w:sz w:val="1"/>
                <w:szCs w:val="1"/>
                <w:color w:val="auto"/>
              </w:rPr>
            </w:pPr>
          </w:p>
        </w:tc>
      </w:tr>
      <w:tr>
        <w:trPr>
          <w:trHeight w:val="188"/>
        </w:trPr>
        <w:tc>
          <w:tcPr>
            <w:tcW w:w="4100" w:type="dxa"/>
            <w:vAlign w:val="bottom"/>
            <w:gridSpan w:val="2"/>
          </w:tcPr>
          <w:p>
            <w:pPr>
              <w:ind w:left="20"/>
              <w:spacing w:after="0"/>
              <w:rPr>
                <w:sz w:val="20"/>
                <w:szCs w:val="20"/>
                <w:color w:val="auto"/>
              </w:rPr>
            </w:pPr>
            <w:r>
              <w:rPr>
                <w:rFonts w:ascii="Arial" w:cs="Arial" w:eastAsia="Arial" w:hAnsi="Arial"/>
                <w:sz w:val="14"/>
                <w:szCs w:val="14"/>
                <w:b w:val="1"/>
                <w:bCs w:val="1"/>
                <w:color w:val="auto"/>
              </w:rPr>
              <w:t>15-Year Fixed Rate Agency Price: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$99.11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$98.68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$102.66</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$103.46</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$103.95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+$0.49</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+$5.27</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2.5%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$100.85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$100.91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$103.72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$104.70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$104.44</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0"/>
              </w:rPr>
              <w:t>-$0.26</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+$3.53</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$102.21</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$102.50</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$104.61</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$105.09</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$104.94</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-$0.15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+$2.44</w:t>
            </w:r>
          </w:p>
        </w:tc>
        <w:tc>
          <w:tcPr>
            <w:tcW w:w="0" w:type="dxa"/>
            <w:vAlign w:val="bottom"/>
          </w:tcPr>
          <w:p>
            <w:pPr>
              <w:spacing w:after="0"/>
              <w:rPr>
                <w:sz w:val="1"/>
                <w:szCs w:val="1"/>
                <w:color w:val="auto"/>
              </w:rPr>
            </w:pPr>
          </w:p>
        </w:tc>
      </w:tr>
      <w:tr>
        <w:trPr>
          <w:trHeight w:val="186"/>
        </w:trPr>
        <w:tc>
          <w:tcPr>
            <w:tcW w:w="3940" w:type="dxa"/>
            <w:vAlign w:val="bottom"/>
          </w:tcPr>
          <w:p>
            <w:pPr>
              <w:ind w:left="180"/>
              <w:spacing w:after="0"/>
              <w:rPr>
                <w:sz w:val="20"/>
                <w:szCs w:val="20"/>
                <w:color w:val="auto"/>
              </w:rPr>
            </w:pPr>
            <w:r>
              <w:rPr>
                <w:rFonts w:ascii="Arial" w:cs="Arial" w:eastAsia="Arial" w:hAnsi="Arial"/>
                <w:sz w:val="14"/>
                <w:szCs w:val="14"/>
                <w:color w:val="auto"/>
              </w:rPr>
              <w:t>3.5%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$103.42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$103.69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$105.19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4"/>
              </w:rPr>
              <w:t>$105.06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$105.81</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+$0.75</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color w:val="auto"/>
                <w:w w:val="92"/>
              </w:rPr>
              <w:t>+$2.12</w:t>
            </w: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4.0%</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$104.08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$104.28</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$105.56</w:t>
            </w:r>
          </w:p>
        </w:tc>
        <w:tc>
          <w:tcPr>
            <w:tcW w:w="160" w:type="dxa"/>
            <w:vAlign w:val="bottom"/>
            <w:shd w:val="clear" w:color="auto" w:fill="CCEEFF"/>
          </w:tcPr>
          <w:p>
            <w:pPr>
              <w:spacing w:after="0"/>
              <w:rPr>
                <w:sz w:val="16"/>
                <w:szCs w:val="16"/>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$105.75</w:t>
            </w: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$106.15</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+$0.40</w:t>
            </w:r>
          </w:p>
        </w:tc>
        <w:tc>
          <w:tcPr>
            <w:tcW w:w="160" w:type="dxa"/>
            <w:vAlign w:val="bottom"/>
            <w:shd w:val="clear" w:color="auto" w:fill="CCEEFF"/>
          </w:tcPr>
          <w:p>
            <w:pPr>
              <w:spacing w:after="0"/>
              <w:rPr>
                <w:sz w:val="16"/>
                <w:szCs w:val="16"/>
                <w:color w:val="auto"/>
              </w:rPr>
            </w:pPr>
          </w:p>
        </w:tc>
        <w:tc>
          <w:tcPr>
            <w:tcW w:w="116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+$1.87</w:t>
            </w:r>
          </w:p>
        </w:tc>
        <w:tc>
          <w:tcPr>
            <w:tcW w:w="0" w:type="dxa"/>
            <w:vAlign w:val="bottom"/>
          </w:tcPr>
          <w:p>
            <w:pPr>
              <w:spacing w:after="0"/>
              <w:rPr>
                <w:sz w:val="1"/>
                <w:szCs w:val="1"/>
                <w:color w:val="auto"/>
              </w:rPr>
            </w:pPr>
          </w:p>
        </w:tc>
      </w:tr>
    </w:tbl>
    <w:p>
      <w:pPr>
        <w:spacing w:after="0" w:line="15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135" w:lineRule="exact"/>
        <w:rPr>
          <w:sz w:val="20"/>
          <w:szCs w:val="20"/>
          <w:color w:val="auto"/>
        </w:rPr>
      </w:pPr>
    </w:p>
    <w:p>
      <w:pPr>
        <w:ind w:left="660" w:hanging="328"/>
        <w:spacing w:after="0" w:line="273" w:lineRule="auto"/>
        <w:tabs>
          <w:tab w:leader="none" w:pos="6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and interest rates in the table above were obtained from Barclays. LIBOR rates were obtained from Bloomberg.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FINANCIAL CONDITION</w:t>
      </w:r>
    </w:p>
    <w:p>
      <w:pPr>
        <w:spacing w:after="0" w:line="17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As of September 30, 2020 and December 31, 2019, our investment portfolio consisted of $68.0 billion and $100.4 billion of investment securities, at fair value, respectively, and $29.5 billion and $7.4 billion of TBA securities, at fair value, respectively. The following table is a summary of our investment portfolio as of September 30, 2020 and December 31, 2019 (dollars in millions):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4"/>
          </w:tcPr>
          <w:p>
            <w:pPr>
              <w:ind w:left="100"/>
              <w:spacing w:after="0"/>
              <w:rPr>
                <w:sz w:val="20"/>
                <w:szCs w:val="20"/>
                <w:color w:val="auto"/>
              </w:rPr>
            </w:pPr>
            <w:r>
              <w:rPr>
                <w:rFonts w:ascii="Arial" w:cs="Arial" w:eastAsia="Arial" w:hAnsi="Arial"/>
                <w:sz w:val="14"/>
                <w:szCs w:val="14"/>
                <w:b w:val="1"/>
                <w:bCs w:val="1"/>
                <w:color w:val="auto"/>
              </w:rPr>
              <w:t>September 30, 2020</w:t>
            </w:r>
          </w:p>
        </w:tc>
        <w:tc>
          <w:tcPr>
            <w:tcW w:w="68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December 31, 2019</w:t>
            </w:r>
          </w:p>
        </w:tc>
        <w:tc>
          <w:tcPr>
            <w:tcW w:w="6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5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Portfolio (Includes TBAs)</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tcPr>
          <w:p>
            <w:pPr>
              <w:ind w:left="240"/>
              <w:spacing w:after="0" w:line="135" w:lineRule="exact"/>
              <w:rPr>
                <w:sz w:val="20"/>
                <w:szCs w:val="20"/>
                <w:color w:val="auto"/>
              </w:rPr>
            </w:pPr>
            <w:r>
              <w:rPr>
                <w:rFonts w:ascii="Arial" w:cs="Arial" w:eastAsia="Arial" w:hAnsi="Arial"/>
                <w:sz w:val="14"/>
                <w:szCs w:val="14"/>
                <w:b w:val="1"/>
                <w:bCs w:val="1"/>
                <w:color w:val="auto"/>
              </w:rPr>
              <w:t>Average</w:t>
            </w:r>
          </w:p>
        </w:tc>
        <w:tc>
          <w:tcPr>
            <w:tcW w:w="68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6"/>
              </w:rPr>
              <w:t>Amortized</w:t>
            </w:r>
          </w:p>
        </w:tc>
        <w:tc>
          <w:tcPr>
            <w:tcW w:w="100" w:type="dxa"/>
            <w:vAlign w:val="bottom"/>
          </w:tcPr>
          <w:p>
            <w:pPr>
              <w:spacing w:after="0"/>
              <w:rPr>
                <w:sz w:val="11"/>
                <w:szCs w:val="11"/>
                <w:color w:val="auto"/>
              </w:rPr>
            </w:pPr>
          </w:p>
        </w:tc>
        <w:tc>
          <w:tcPr>
            <w:tcW w:w="8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tcPr>
          <w:p>
            <w:pPr>
              <w:ind w:left="240"/>
              <w:spacing w:after="0" w:line="135" w:lineRule="exact"/>
              <w:rPr>
                <w:sz w:val="20"/>
                <w:szCs w:val="20"/>
                <w:color w:val="auto"/>
              </w:rPr>
            </w:pPr>
            <w:r>
              <w:rPr>
                <w:rFonts w:ascii="Arial" w:cs="Arial" w:eastAsia="Arial" w:hAnsi="Arial"/>
                <w:sz w:val="14"/>
                <w:szCs w:val="14"/>
                <w:b w:val="1"/>
                <w:bCs w:val="1"/>
                <w:color w:val="auto"/>
              </w:rPr>
              <w:t>Average</w:t>
            </w:r>
          </w:p>
        </w:tc>
        <w:tc>
          <w:tcPr>
            <w:tcW w:w="680" w:type="dxa"/>
            <w:vAlign w:val="bottom"/>
            <w:vMerge w:val="restart"/>
          </w:tcPr>
          <w:p>
            <w:pPr>
              <w:jc w:val="right"/>
              <w:ind w:right="18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88"/>
        </w:trPr>
        <w:tc>
          <w:tcPr>
            <w:tcW w:w="35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80" w:type="dxa"/>
            <w:vAlign w:val="bottom"/>
            <w:gridSpan w:val="2"/>
          </w:tcPr>
          <w:p>
            <w:pPr>
              <w:ind w:left="240"/>
              <w:spacing w:after="0"/>
              <w:rPr>
                <w:sz w:val="20"/>
                <w:szCs w:val="20"/>
                <w:color w:val="auto"/>
              </w:rPr>
            </w:pPr>
            <w:r>
              <w:rPr>
                <w:rFonts w:ascii="Arial" w:cs="Arial" w:eastAsia="Arial" w:hAnsi="Arial"/>
                <w:sz w:val="14"/>
                <w:szCs w:val="14"/>
                <w:b w:val="1"/>
                <w:bCs w:val="1"/>
                <w:color w:val="auto"/>
              </w:rPr>
              <w:t>Coupon</w:t>
            </w:r>
          </w:p>
        </w:tc>
        <w:tc>
          <w:tcPr>
            <w:tcW w:w="6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Cost</w:t>
            </w:r>
          </w:p>
        </w:tc>
        <w:tc>
          <w:tcPr>
            <w:tcW w:w="10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1080" w:type="dxa"/>
            <w:vAlign w:val="bottom"/>
            <w:gridSpan w:val="2"/>
          </w:tcPr>
          <w:p>
            <w:pPr>
              <w:ind w:left="240"/>
              <w:spacing w:after="0"/>
              <w:rPr>
                <w:sz w:val="20"/>
                <w:szCs w:val="20"/>
                <w:color w:val="auto"/>
              </w:rPr>
            </w:pPr>
            <w:r>
              <w:rPr>
                <w:rFonts w:ascii="Arial" w:cs="Arial" w:eastAsia="Arial" w:hAnsi="Arial"/>
                <w:sz w:val="14"/>
                <w:szCs w:val="14"/>
                <w:b w:val="1"/>
                <w:bCs w:val="1"/>
                <w:color w:val="auto"/>
              </w:rPr>
              <w:t>Coupon</w:t>
            </w:r>
          </w:p>
        </w:tc>
        <w:tc>
          <w:tcPr>
            <w:tcW w:w="6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33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Fixed rate Agency RMBS and TBA securities:</w:t>
            </w:r>
          </w:p>
        </w:tc>
        <w:tc>
          <w:tcPr>
            <w:tcW w:w="1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7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9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500" w:type="dxa"/>
            <w:vAlign w:val="bottom"/>
            <w:gridSpan w:val="2"/>
          </w:tcPr>
          <w:p>
            <w:pPr>
              <w:ind w:left="140"/>
              <w:spacing w:after="0"/>
              <w:rPr>
                <w:sz w:val="20"/>
                <w:szCs w:val="20"/>
                <w:color w:val="auto"/>
              </w:rPr>
            </w:pPr>
            <w:r>
              <w:rPr>
                <w:rFonts w:ascii="Arial" w:cs="Arial" w:eastAsia="Arial" w:hAnsi="Arial"/>
                <w:sz w:val="14"/>
                <w:szCs w:val="14"/>
                <w:color w:val="auto"/>
              </w:rPr>
              <w:t>≤ 15-year:</w:t>
            </w: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 15-year RMBS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4,772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4,970</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3.12 %</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5 %</w:t>
            </w: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6,140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6,239</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6 %</w:t>
            </w:r>
          </w:p>
        </w:tc>
        <w:tc>
          <w:tcPr>
            <w:tcW w:w="0" w:type="dxa"/>
            <w:vAlign w:val="bottom"/>
          </w:tcPr>
          <w:p>
            <w:pPr>
              <w:spacing w:after="0"/>
              <w:rPr>
                <w:sz w:val="1"/>
                <w:szCs w:val="1"/>
                <w:color w:val="auto"/>
              </w:rPr>
            </w:pPr>
          </w:p>
        </w:tc>
      </w:tr>
      <w:tr>
        <w:trPr>
          <w:trHeight w:val="189"/>
        </w:trPr>
        <w:tc>
          <w:tcPr>
            <w:tcW w:w="3500" w:type="dxa"/>
            <w:vAlign w:val="bottom"/>
            <w:tcBorders>
              <w:bottom w:val="single" w:sz="8" w:color="CCEEFF"/>
            </w:tcBorders>
            <w:gridSpan w:val="2"/>
          </w:tcPr>
          <w:p>
            <w:pPr>
              <w:ind w:left="260"/>
              <w:spacing w:after="0" w:line="189" w:lineRule="exact"/>
              <w:rPr>
                <w:sz w:val="20"/>
                <w:szCs w:val="20"/>
                <w:color w:val="auto"/>
              </w:rPr>
            </w:pPr>
            <w:r>
              <w:rPr>
                <w:rFonts w:ascii="Arial" w:cs="Arial" w:eastAsia="Arial" w:hAnsi="Arial"/>
                <w:sz w:val="14"/>
                <w:szCs w:val="14"/>
                <w:color w:val="auto"/>
              </w:rPr>
              <w:t xml:space="preserve">15-year TBA securities, net </w:t>
            </w:r>
            <w:r>
              <w:rPr>
                <w:rFonts w:ascii="Arial" w:cs="Arial" w:eastAsia="Arial" w:hAnsi="Arial"/>
                <w:sz w:val="18"/>
                <w:szCs w:val="18"/>
                <w:color w:val="auto"/>
                <w:vertAlign w:val="superscript"/>
              </w:rPr>
              <w:t>1</w:t>
            </w: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11,421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11,456</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1.86 %</w:t>
            </w:r>
          </w:p>
        </w:tc>
        <w:tc>
          <w:tcPr>
            <w:tcW w:w="12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12 %</w:t>
            </w: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2,222</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2,226</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2.91 %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2 %</w:t>
            </w:r>
          </w:p>
        </w:tc>
        <w:tc>
          <w:tcPr>
            <w:tcW w:w="0" w:type="dxa"/>
            <w:vAlign w:val="bottom"/>
          </w:tcPr>
          <w:p>
            <w:pPr>
              <w:spacing w:after="0"/>
              <w:rPr>
                <w:sz w:val="1"/>
                <w:szCs w:val="1"/>
                <w:color w:val="auto"/>
              </w:rPr>
            </w:pPr>
          </w:p>
        </w:tc>
      </w:tr>
      <w:tr>
        <w:trPr>
          <w:trHeight w:val="183"/>
        </w:trPr>
        <w:tc>
          <w:tcPr>
            <w:tcW w:w="350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Total ≤ 15-year</w:t>
            </w: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16,193</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16,426</w:t>
            </w: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2.23 %</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17 %</w:t>
            </w: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8,362</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8,465</w:t>
            </w: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3.19 %</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8 %</w:t>
            </w:r>
          </w:p>
        </w:tc>
        <w:tc>
          <w:tcPr>
            <w:tcW w:w="0" w:type="dxa"/>
            <w:vAlign w:val="bottom"/>
          </w:tcPr>
          <w:p>
            <w:pPr>
              <w:spacing w:after="0"/>
              <w:rPr>
                <w:sz w:val="1"/>
                <w:szCs w:val="1"/>
                <w:color w:val="auto"/>
              </w:rPr>
            </w:pPr>
          </w:p>
        </w:tc>
      </w:tr>
      <w:tr>
        <w:trPr>
          <w:trHeight w:val="186"/>
        </w:trPr>
        <w:tc>
          <w:tcPr>
            <w:tcW w:w="3500" w:type="dxa"/>
            <w:vAlign w:val="bottom"/>
            <w:gridSpan w:val="2"/>
          </w:tcPr>
          <w:p>
            <w:pPr>
              <w:ind w:left="100"/>
              <w:spacing w:after="0"/>
              <w:rPr>
                <w:sz w:val="20"/>
                <w:szCs w:val="20"/>
                <w:color w:val="auto"/>
              </w:rPr>
            </w:pPr>
            <w:r>
              <w:rPr>
                <w:rFonts w:ascii="Arial" w:cs="Arial" w:eastAsia="Arial" w:hAnsi="Arial"/>
                <w:sz w:val="14"/>
                <w:szCs w:val="14"/>
                <w:color w:val="auto"/>
              </w:rPr>
              <w:t>20-year RMBS</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2,395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2,445</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2.67 %</w:t>
            </w: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3 %</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752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773</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3.87 %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30-year:</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500" w:type="dxa"/>
            <w:vAlign w:val="bottom"/>
            <w:gridSpan w:val="2"/>
          </w:tcPr>
          <w:p>
            <w:pPr>
              <w:ind w:left="260"/>
              <w:spacing w:after="0"/>
              <w:rPr>
                <w:sz w:val="20"/>
                <w:szCs w:val="20"/>
                <w:color w:val="auto"/>
              </w:rPr>
            </w:pPr>
            <w:r>
              <w:rPr>
                <w:rFonts w:ascii="Arial" w:cs="Arial" w:eastAsia="Arial" w:hAnsi="Arial"/>
                <w:sz w:val="14"/>
                <w:szCs w:val="14"/>
                <w:color w:val="auto"/>
              </w:rPr>
              <w:t>30-year RMBS</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56,140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58,863</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3.63 %</w:t>
            </w:r>
          </w:p>
        </w:tc>
        <w:tc>
          <w:tcPr>
            <w:tcW w:w="12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60 %</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89,483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91,062</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3.67 %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84 %</w:t>
            </w: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60"/>
              <w:spacing w:after="0" w:line="193" w:lineRule="exact"/>
              <w:rPr>
                <w:sz w:val="20"/>
                <w:szCs w:val="20"/>
                <w:color w:val="auto"/>
              </w:rPr>
            </w:pPr>
            <w:r>
              <w:rPr>
                <w:rFonts w:ascii="Arial" w:cs="Arial" w:eastAsia="Arial" w:hAnsi="Arial"/>
                <w:sz w:val="14"/>
                <w:szCs w:val="14"/>
                <w:color w:val="auto"/>
              </w:rPr>
              <w:t xml:space="preserve">30-year TBA securities, net </w:t>
            </w:r>
            <w:r>
              <w:rPr>
                <w:rFonts w:ascii="Arial" w:cs="Arial" w:eastAsia="Arial" w:hAnsi="Arial"/>
                <w:sz w:val="18"/>
                <w:szCs w:val="18"/>
                <w:color w:val="auto"/>
                <w:vertAlign w:val="superscript"/>
              </w:rPr>
              <w:t>1</w:t>
            </w: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18,039</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18,080</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2.19 %</w:t>
            </w:r>
          </w:p>
        </w:tc>
        <w:tc>
          <w:tcPr>
            <w:tcW w:w="12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18 %</w:t>
            </w:r>
          </w:p>
        </w:tc>
        <w:tc>
          <w:tcPr>
            <w:tcW w:w="16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5,182</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5,203</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2.92 %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5 %</w:t>
            </w:r>
          </w:p>
        </w:tc>
        <w:tc>
          <w:tcPr>
            <w:tcW w:w="0" w:type="dxa"/>
            <w:vAlign w:val="bottom"/>
          </w:tcPr>
          <w:p>
            <w:pPr>
              <w:spacing w:after="0"/>
              <w:rPr>
                <w:sz w:val="1"/>
                <w:szCs w:val="1"/>
                <w:color w:val="auto"/>
              </w:rPr>
            </w:pPr>
          </w:p>
        </w:tc>
      </w:tr>
      <w:tr>
        <w:trPr>
          <w:trHeight w:val="179"/>
        </w:trPr>
        <w:tc>
          <w:tcPr>
            <w:tcW w:w="350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Total 30-year</w:t>
            </w: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74,179</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76,943</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3.28 %</w:t>
            </w:r>
          </w:p>
        </w:tc>
        <w:tc>
          <w:tcPr>
            <w:tcW w:w="12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79 %</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94,665</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96,265</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3.63 %</w:t>
            </w:r>
          </w:p>
        </w:tc>
        <w:tc>
          <w:tcPr>
            <w:tcW w:w="100" w:type="dxa"/>
            <w:vAlign w:val="bottom"/>
            <w:tcBorders>
              <w:bottom w:val="single" w:sz="8" w:color="CCEEFF"/>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89 %</w:t>
            </w:r>
          </w:p>
        </w:tc>
        <w:tc>
          <w:tcPr>
            <w:tcW w:w="0" w:type="dxa"/>
            <w:vAlign w:val="bottom"/>
          </w:tcPr>
          <w:p>
            <w:pPr>
              <w:spacing w:after="0"/>
              <w:rPr>
                <w:sz w:val="1"/>
                <w:szCs w:val="1"/>
                <w:color w:val="auto"/>
              </w:rPr>
            </w:pPr>
          </w:p>
        </w:tc>
      </w:tr>
      <w:tr>
        <w:trPr>
          <w:trHeight w:val="18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fixed rate Agency RMBS and TBA securities</w:t>
            </w: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92,767</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95,814</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3.08 %</w:t>
            </w:r>
          </w:p>
        </w:tc>
        <w:tc>
          <w:tcPr>
            <w:tcW w:w="12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98 %</w:t>
            </w:r>
          </w:p>
        </w:tc>
        <w:tc>
          <w:tcPr>
            <w:tcW w:w="16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103,779</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105,503</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3.60 %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98 %</w:t>
            </w:r>
          </w:p>
        </w:tc>
        <w:tc>
          <w:tcPr>
            <w:tcW w:w="0" w:type="dxa"/>
            <w:vAlign w:val="bottom"/>
          </w:tcPr>
          <w:p>
            <w:pPr>
              <w:spacing w:after="0"/>
              <w:rPr>
                <w:sz w:val="1"/>
                <w:szCs w:val="1"/>
                <w:color w:val="auto"/>
              </w:rPr>
            </w:pPr>
          </w:p>
        </w:tc>
      </w:tr>
      <w:tr>
        <w:trPr>
          <w:trHeight w:val="179"/>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Adjustable rate Agency RMBS</w:t>
            </w: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96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99</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2.54 %</w:t>
            </w:r>
          </w:p>
        </w:tc>
        <w:tc>
          <w:tcPr>
            <w:tcW w:w="12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160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3.04 %</w:t>
            </w:r>
          </w:p>
        </w:tc>
        <w:tc>
          <w:tcPr>
            <w:tcW w:w="10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Multifamily</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3.31 %</w:t>
            </w:r>
          </w:p>
        </w:tc>
        <w:tc>
          <w:tcPr>
            <w:tcW w:w="12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 %</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86"/>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CMO Agency RMBS:</w:t>
            </w: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60"/>
              <w:spacing w:after="0"/>
              <w:rPr>
                <w:sz w:val="20"/>
                <w:szCs w:val="20"/>
                <w:color w:val="auto"/>
              </w:rPr>
            </w:pPr>
            <w:r>
              <w:rPr>
                <w:rFonts w:ascii="Arial" w:cs="Arial" w:eastAsia="Arial" w:hAnsi="Arial"/>
                <w:sz w:val="14"/>
                <w:szCs w:val="14"/>
                <w:color w:val="auto"/>
              </w:rPr>
              <w:t>CMO</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341</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3.35 %</w:t>
            </w:r>
          </w:p>
        </w:tc>
        <w:tc>
          <w:tcPr>
            <w:tcW w:w="12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 %</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447</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3.44 %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6"/>
        </w:trPr>
        <w:tc>
          <w:tcPr>
            <w:tcW w:w="3500" w:type="dxa"/>
            <w:vAlign w:val="bottom"/>
            <w:gridSpan w:val="2"/>
          </w:tcPr>
          <w:p>
            <w:pPr>
              <w:ind w:left="260"/>
              <w:spacing w:after="0"/>
              <w:rPr>
                <w:sz w:val="20"/>
                <w:szCs w:val="20"/>
                <w:color w:val="auto"/>
              </w:rPr>
            </w:pPr>
            <w:r>
              <w:rPr>
                <w:rFonts w:ascii="Arial" w:cs="Arial" w:eastAsia="Arial" w:hAnsi="Arial"/>
                <w:sz w:val="14"/>
                <w:szCs w:val="14"/>
                <w:color w:val="auto"/>
              </w:rPr>
              <w:t>Interest-only strips</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66</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5.58 %</w:t>
            </w:r>
          </w:p>
        </w:tc>
        <w:tc>
          <w:tcPr>
            <w:tcW w:w="120" w:type="dxa"/>
            <w:vAlign w:val="bottom"/>
          </w:tcPr>
          <w:p>
            <w:pPr>
              <w:spacing w:after="0"/>
              <w:rPr>
                <w:sz w:val="16"/>
                <w:szCs w:val="16"/>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77</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4.22 %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60"/>
              <w:spacing w:after="0"/>
              <w:rPr>
                <w:sz w:val="20"/>
                <w:szCs w:val="20"/>
                <w:color w:val="auto"/>
              </w:rPr>
            </w:pPr>
            <w:r>
              <w:rPr>
                <w:rFonts w:ascii="Arial" w:cs="Arial" w:eastAsia="Arial" w:hAnsi="Arial"/>
                <w:sz w:val="14"/>
                <w:szCs w:val="14"/>
                <w:color w:val="auto"/>
              </w:rPr>
              <w:t>Principal-only strips</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 %</w:t>
            </w: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 %</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 %</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79"/>
        </w:trPr>
        <w:tc>
          <w:tcPr>
            <w:tcW w:w="35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CMO Agency RMBS</w:t>
            </w:r>
          </w:p>
        </w:tc>
        <w:tc>
          <w:tcPr>
            <w:tcW w:w="120" w:type="dxa"/>
            <w:vAlign w:val="bottom"/>
            <w:tcBorders>
              <w:top w:val="single" w:sz="8" w:color="auto"/>
              <w:bottom w:val="single" w:sz="8" w:color="auto"/>
            </w:tcBorders>
          </w:tcPr>
          <w:p>
            <w:pPr>
              <w:spacing w:after="0"/>
              <w:rPr>
                <w:sz w:val="15"/>
                <w:szCs w:val="15"/>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444</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483</w:t>
            </w:r>
          </w:p>
        </w:tc>
        <w:tc>
          <w:tcPr>
            <w:tcW w:w="10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4.11 %</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 %</w:t>
            </w:r>
          </w:p>
        </w:tc>
        <w:tc>
          <w:tcPr>
            <w:tcW w:w="16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587</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611</w:t>
            </w:r>
          </w:p>
        </w:tc>
        <w:tc>
          <w:tcPr>
            <w:tcW w:w="100" w:type="dxa"/>
            <w:vAlign w:val="bottom"/>
            <w:tcBorders>
              <w:bottom w:val="single" w:sz="8" w:color="CCEEFF"/>
            </w:tcBorders>
          </w:tcPr>
          <w:p>
            <w:pPr>
              <w:spacing w:after="0"/>
              <w:rPr>
                <w:sz w:val="15"/>
                <w:szCs w:val="15"/>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3.48 %</w:t>
            </w:r>
          </w:p>
        </w:tc>
        <w:tc>
          <w:tcPr>
            <w:tcW w:w="10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6"/>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Agency RMBS and TBA securities</w:t>
            </w: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93,324</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96,415</w:t>
            </w:r>
          </w:p>
        </w:tc>
        <w:tc>
          <w:tcPr>
            <w:tcW w:w="100" w:type="dxa"/>
            <w:vAlign w:val="bottom"/>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3.09 %</w:t>
            </w:r>
          </w:p>
        </w:tc>
        <w:tc>
          <w:tcPr>
            <w:tcW w:w="12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99 %</w:t>
            </w:r>
          </w:p>
        </w:tc>
        <w:tc>
          <w:tcPr>
            <w:tcW w:w="16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104,563</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106,316</w:t>
            </w:r>
          </w:p>
        </w:tc>
        <w:tc>
          <w:tcPr>
            <w:tcW w:w="100" w:type="dxa"/>
            <w:vAlign w:val="bottom"/>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3.59 %</w:t>
            </w:r>
          </w:p>
        </w:tc>
        <w:tc>
          <w:tcPr>
            <w:tcW w:w="100" w:type="dxa"/>
            <w:vAlign w:val="bottom"/>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99 %</w:t>
            </w:r>
          </w:p>
        </w:tc>
        <w:tc>
          <w:tcPr>
            <w:tcW w:w="0" w:type="dxa"/>
            <w:vAlign w:val="bottom"/>
          </w:tcPr>
          <w:p>
            <w:pPr>
              <w:spacing w:after="0"/>
              <w:rPr>
                <w:sz w:val="1"/>
                <w:szCs w:val="1"/>
                <w:color w:val="auto"/>
              </w:rPr>
            </w:pPr>
          </w:p>
        </w:tc>
      </w:tr>
      <w:tr>
        <w:trPr>
          <w:trHeight w:val="179"/>
        </w:trPr>
        <w:tc>
          <w:tcPr>
            <w:tcW w:w="3500" w:type="dxa"/>
            <w:vAlign w:val="bottom"/>
            <w:gridSpan w:val="2"/>
          </w:tcPr>
          <w:p>
            <w:pPr>
              <w:ind w:left="20"/>
              <w:spacing w:after="0"/>
              <w:rPr>
                <w:sz w:val="20"/>
                <w:szCs w:val="20"/>
                <w:color w:val="auto"/>
              </w:rPr>
            </w:pPr>
            <w:r>
              <w:rPr>
                <w:rFonts w:ascii="Arial" w:cs="Arial" w:eastAsia="Arial" w:hAnsi="Arial"/>
                <w:sz w:val="14"/>
                <w:szCs w:val="14"/>
                <w:color w:val="auto"/>
              </w:rPr>
              <w:t>Non-Agency RMBS</w:t>
            </w: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172</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177</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4.20 %</w:t>
            </w:r>
          </w:p>
        </w:tc>
        <w:tc>
          <w:tcPr>
            <w:tcW w:w="12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 %</w:t>
            </w: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198</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209</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4.05 %</w:t>
            </w:r>
          </w:p>
        </w:tc>
        <w:tc>
          <w:tcPr>
            <w:tcW w:w="100" w:type="dxa"/>
            <w:vAlign w:val="bottom"/>
          </w:tcPr>
          <w:p>
            <w:pPr>
              <w:spacing w:after="0"/>
              <w:rPr>
                <w:sz w:val="15"/>
                <w:szCs w:val="15"/>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92"/>
        </w:trPr>
        <w:tc>
          <w:tcPr>
            <w:tcW w:w="3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CMBS</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335</w:t>
            </w:r>
          </w:p>
        </w:tc>
        <w:tc>
          <w:tcPr>
            <w:tcW w:w="10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4.13 %</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4.49 %</w:t>
            </w: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86"/>
        </w:trPr>
        <w:tc>
          <w:tcPr>
            <w:tcW w:w="35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CRT</w:t>
            </w: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678</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653</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3.31 %</w:t>
            </w:r>
          </w:p>
        </w:tc>
        <w:tc>
          <w:tcPr>
            <w:tcW w:w="12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1 %</w:t>
            </w: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961</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976</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5.07 %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211"/>
        </w:trPr>
        <w:tc>
          <w:tcPr>
            <w:tcW w:w="35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investment portfolio</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94,484</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97,580</w:t>
            </w: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3.09 %</w:t>
            </w:r>
          </w:p>
        </w:tc>
        <w:tc>
          <w:tcPr>
            <w:tcW w:w="12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106,074</w:t>
            </w:r>
          </w:p>
        </w:tc>
        <w:tc>
          <w:tcPr>
            <w:tcW w:w="10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107,871</w:t>
            </w:r>
          </w:p>
        </w:tc>
        <w:tc>
          <w:tcPr>
            <w:tcW w:w="100" w:type="dxa"/>
            <w:vAlign w:val="bottom"/>
            <w:tcBorders>
              <w:bottom w:val="single" w:sz="8" w:color="CCEEFF"/>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3.61 %</w:t>
            </w:r>
          </w:p>
        </w:tc>
        <w:tc>
          <w:tcPr>
            <w:tcW w:w="10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18"/>
        </w:numPr>
        <w:rPr>
          <w:rFonts w:ascii="Arial" w:cs="Arial" w:eastAsia="Arial" w:hAnsi="Arial"/>
          <w:sz w:val="13"/>
          <w:szCs w:val="13"/>
          <w:color w:val="auto"/>
        </w:rPr>
      </w:pPr>
      <w:r>
        <w:rPr>
          <w:rFonts w:ascii="Arial" w:cs="Arial" w:eastAsia="Arial" w:hAnsi="Arial"/>
          <w:sz w:val="13"/>
          <w:szCs w:val="13"/>
          <w:color w:val="auto"/>
        </w:rPr>
        <w:t>TBA securities are presented net of long and short positions. For further details of our TBA securities refer to Note 6 of the accompanying consolidated financial statements.</w:t>
      </w:r>
    </w:p>
    <w:p>
      <w:pPr>
        <w:spacing w:after="0" w:line="167"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TBA securities are recorded as derivative instruments in our accompanying consolidated financial statements and our TBA dollar roll transactions represent a form of off-balance sheet financing. As of September 30, 2020 and December 31, 2019, our TBA positions had a net carrying value of $76 million and $25 million, respectively, reported in derivative assets /(liabilities) on our accompanying consolidated balance sheets. The net carrying value represents the difference between the fair value of the underlying Agency security in the TBA contract and the contract price to be paid or received for the underlying Agency security.</w:t>
      </w:r>
    </w:p>
    <w:p>
      <w:pPr>
        <w:spacing w:after="0" w:line="134"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As of September 30, 2020 and December 31, 2019, the weighted average yield on our investment securities (excluding TBA securities) was 2.56% and 3.07%, respectively.</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8" w:name="page29"/>
    <w:bookmarkEnd w:id="28"/>
    <w:p>
      <w:pPr>
        <w:ind w:left="460"/>
        <w:spacing w:after="0"/>
        <w:rPr>
          <w:sz w:val="20"/>
          <w:szCs w:val="20"/>
          <w:color w:val="auto"/>
        </w:rPr>
      </w:pPr>
      <w:r>
        <w:rPr>
          <w:rFonts w:ascii="Arial" w:cs="Arial" w:eastAsia="Arial" w:hAnsi="Arial"/>
          <w:sz w:val="16"/>
          <w:szCs w:val="16"/>
          <w:color w:val="auto"/>
        </w:rPr>
        <w:t>The following tables summarize certain characteristics of our fixed rate Agency RMBS portfolio, inclusive of TBAs, as of September 30, 2020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2019 (dollars in millions):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 2020</w:t>
            </w:r>
          </w:p>
        </w:tc>
        <w:tc>
          <w:tcPr>
            <w:tcW w:w="6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Arial" w:cs="Arial" w:eastAsia="Arial" w:hAnsi="Arial"/>
                <w:sz w:val="14"/>
                <w:szCs w:val="14"/>
                <w:b w:val="1"/>
                <w:bCs w:val="1"/>
                <w:color w:val="auto"/>
              </w:rPr>
              <w:t>Excludes Net TBA Position</w:t>
            </w: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Weighted Average</w:t>
            </w: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Fixed Rate Agency RMBS and TBA</w:t>
            </w:r>
          </w:p>
        </w:tc>
        <w:tc>
          <w:tcPr>
            <w:tcW w:w="80" w:type="dxa"/>
            <w:vAlign w:val="bottom"/>
          </w:tcPr>
          <w:p>
            <w:pPr>
              <w:spacing w:after="0"/>
              <w:rPr>
                <w:sz w:val="15"/>
                <w:szCs w:val="15"/>
                <w:color w:val="auto"/>
              </w:rPr>
            </w:pPr>
          </w:p>
        </w:tc>
        <w:tc>
          <w:tcPr>
            <w:tcW w:w="8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Par Value</w:t>
            </w:r>
          </w:p>
        </w:tc>
        <w:tc>
          <w:tcPr>
            <w:tcW w:w="120" w:type="dxa"/>
            <w:vAlign w:val="bottom"/>
          </w:tcPr>
          <w:p>
            <w:pPr>
              <w:spacing w:after="0"/>
              <w:rPr>
                <w:sz w:val="15"/>
                <w:szCs w:val="15"/>
                <w:color w:val="auto"/>
              </w:rPr>
            </w:pPr>
          </w:p>
        </w:tc>
        <w:tc>
          <w:tcPr>
            <w:tcW w:w="94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Amortized</w:t>
            </w:r>
          </w:p>
        </w:tc>
        <w:tc>
          <w:tcPr>
            <w:tcW w:w="90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900" w:type="dxa"/>
            <w:vAlign w:val="bottom"/>
          </w:tcPr>
          <w:p>
            <w:pPr>
              <w:ind w:left="20"/>
              <w:spacing w:after="0"/>
              <w:rPr>
                <w:sz w:val="20"/>
                <w:szCs w:val="20"/>
                <w:color w:val="auto"/>
              </w:rPr>
            </w:pPr>
            <w:r>
              <w:rPr>
                <w:rFonts w:ascii="Arial" w:cs="Arial" w:eastAsia="Arial" w:hAnsi="Arial"/>
                <w:sz w:val="14"/>
                <w:szCs w:val="14"/>
                <w:b w:val="1"/>
                <w:bCs w:val="1"/>
                <w:color w:val="auto"/>
                <w:w w:val="89"/>
              </w:rPr>
              <w:t>Specified Pool</w:t>
            </w:r>
          </w:p>
        </w:tc>
        <w:tc>
          <w:tcPr>
            <w:tcW w:w="220" w:type="dxa"/>
            <w:vAlign w:val="bottom"/>
          </w:tcPr>
          <w:p>
            <w:pPr>
              <w:spacing w:after="0"/>
              <w:rPr>
                <w:sz w:val="15"/>
                <w:szCs w:val="15"/>
                <w:color w:val="auto"/>
              </w:rPr>
            </w:pPr>
          </w:p>
        </w:tc>
        <w:tc>
          <w:tcPr>
            <w:tcW w:w="11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6"/>
              </w:rPr>
              <w:t>Amortized</w:t>
            </w: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 xml:space="preserve">WAC </w:t>
            </w:r>
            <w:r>
              <w:rPr>
                <w:rFonts w:ascii="Arial" w:cs="Arial" w:eastAsia="Arial" w:hAnsi="Arial"/>
                <w:sz w:val="18"/>
                <w:szCs w:val="18"/>
                <w:b w:val="1"/>
                <w:bCs w:val="1"/>
                <w:color w:val="auto"/>
                <w:w w:val="95"/>
                <w:vertAlign w:val="superscript"/>
              </w:rPr>
              <w:t>2</w:t>
            </w:r>
          </w:p>
        </w:tc>
        <w:tc>
          <w:tcPr>
            <w:tcW w:w="140" w:type="dxa"/>
            <w:vAlign w:val="bottom"/>
          </w:tcPr>
          <w:p>
            <w:pPr>
              <w:spacing w:after="0"/>
              <w:rPr>
                <w:sz w:val="15"/>
                <w:szCs w:val="15"/>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Age (Months)</w:t>
            </w:r>
          </w:p>
        </w:tc>
        <w:tc>
          <w:tcPr>
            <w:tcW w:w="900" w:type="dxa"/>
            <w:vAlign w:val="bottom"/>
            <w:gridSpan w:val="2"/>
          </w:tcPr>
          <w:p>
            <w:pPr>
              <w:jc w:val="right"/>
              <w:ind w:right="137"/>
              <w:spacing w:after="0"/>
              <w:rPr>
                <w:sz w:val="20"/>
                <w:szCs w:val="20"/>
                <w:color w:val="auto"/>
              </w:rPr>
            </w:pPr>
            <w:r>
              <w:rPr>
                <w:rFonts w:ascii="Arial" w:cs="Arial" w:eastAsia="Arial" w:hAnsi="Arial"/>
                <w:sz w:val="14"/>
                <w:szCs w:val="14"/>
                <w:b w:val="1"/>
                <w:bCs w:val="1"/>
                <w:color w:val="auto"/>
              </w:rPr>
              <w:t>Projected</w:t>
            </w:r>
          </w:p>
        </w:tc>
        <w:tc>
          <w:tcPr>
            <w:tcW w:w="0" w:type="dxa"/>
            <w:vAlign w:val="bottom"/>
          </w:tcPr>
          <w:p>
            <w:pPr>
              <w:spacing w:after="0"/>
              <w:rPr>
                <w:sz w:val="1"/>
                <w:szCs w:val="1"/>
                <w:color w:val="auto"/>
              </w:rPr>
            </w:pPr>
          </w:p>
        </w:tc>
      </w:tr>
      <w:tr>
        <w:trPr>
          <w:trHeight w:val="189"/>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Securities</w:t>
            </w:r>
          </w:p>
        </w:tc>
        <w:tc>
          <w:tcPr>
            <w:tcW w:w="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ind w:left="220"/>
              <w:spacing w:after="0"/>
              <w:rPr>
                <w:sz w:val="20"/>
                <w:szCs w:val="20"/>
                <w:color w:val="auto"/>
              </w:rPr>
            </w:pPr>
            <w:r>
              <w:rPr>
                <w:rFonts w:ascii="Arial" w:cs="Arial" w:eastAsia="Arial" w:hAnsi="Arial"/>
                <w:sz w:val="14"/>
                <w:szCs w:val="14"/>
                <w:b w:val="1"/>
                <w:bCs w:val="1"/>
                <w:color w:val="auto"/>
              </w:rPr>
              <w:t>Cost</w:t>
            </w:r>
          </w:p>
        </w:tc>
        <w:tc>
          <w:tcPr>
            <w:tcW w:w="900" w:type="dxa"/>
            <w:vAlign w:val="bottom"/>
            <w:gridSpan w:val="3"/>
            <w:vMerge w:val="continue"/>
          </w:tcPr>
          <w:p>
            <w:pPr>
              <w:spacing w:after="0"/>
              <w:rPr>
                <w:sz w:val="16"/>
                <w:szCs w:val="16"/>
                <w:color w:val="auto"/>
              </w:rPr>
            </w:pPr>
          </w:p>
        </w:tc>
        <w:tc>
          <w:tcPr>
            <w:tcW w:w="900" w:type="dxa"/>
            <w:vAlign w:val="bottom"/>
          </w:tcPr>
          <w:p>
            <w:pPr>
              <w:jc w:val="center"/>
              <w:spacing w:after="0" w:line="189" w:lineRule="exact"/>
              <w:rPr>
                <w:sz w:val="20"/>
                <w:szCs w:val="20"/>
                <w:color w:val="auto"/>
              </w:rPr>
            </w:pPr>
            <w:r>
              <w:rPr>
                <w:rFonts w:ascii="Arial" w:cs="Arial" w:eastAsia="Arial" w:hAnsi="Arial"/>
                <w:sz w:val="14"/>
                <w:szCs w:val="14"/>
                <w:b w:val="1"/>
                <w:bCs w:val="1"/>
                <w:color w:val="auto"/>
                <w:w w:val="95"/>
              </w:rPr>
              <w:t xml:space="preserve">% </w:t>
            </w:r>
            <w:r>
              <w:rPr>
                <w:rFonts w:ascii="Arial" w:cs="Arial" w:eastAsia="Arial" w:hAnsi="Arial"/>
                <w:sz w:val="18"/>
                <w:szCs w:val="18"/>
                <w:b w:val="1"/>
                <w:bCs w:val="1"/>
                <w:color w:val="auto"/>
                <w:w w:val="95"/>
                <w:vertAlign w:val="superscript"/>
              </w:rPr>
              <w:t>1</w:t>
            </w:r>
          </w:p>
        </w:tc>
        <w:tc>
          <w:tcPr>
            <w:tcW w:w="220" w:type="dxa"/>
            <w:vAlign w:val="bottom"/>
          </w:tcPr>
          <w:p>
            <w:pPr>
              <w:spacing w:after="0"/>
              <w:rPr>
                <w:sz w:val="16"/>
                <w:szCs w:val="16"/>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Cost Basis</w:t>
            </w:r>
          </w:p>
        </w:tc>
        <w:tc>
          <w:tcPr>
            <w:tcW w:w="6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600" w:type="dxa"/>
            <w:vAlign w:val="bottom"/>
          </w:tcPr>
          <w:p>
            <w:pPr>
              <w:ind w:left="260"/>
              <w:spacing w:after="0"/>
              <w:rPr>
                <w:sz w:val="20"/>
                <w:szCs w:val="20"/>
                <w:color w:val="auto"/>
              </w:rPr>
            </w:pPr>
            <w:r>
              <w:rPr>
                <w:rFonts w:ascii="Arial" w:cs="Arial" w:eastAsia="Arial" w:hAnsi="Arial"/>
                <w:sz w:val="14"/>
                <w:szCs w:val="14"/>
                <w:b w:val="1"/>
                <w:bCs w:val="1"/>
                <w:color w:val="auto"/>
              </w:rPr>
              <w:t>CPR</w:t>
            </w:r>
          </w:p>
        </w:tc>
        <w:tc>
          <w:tcPr>
            <w:tcW w:w="300" w:type="dxa"/>
            <w:vAlign w:val="bottom"/>
          </w:tcPr>
          <w:p>
            <w:pPr>
              <w:jc w:val="right"/>
              <w:ind w:right="237"/>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83"/>
        </w:trPr>
        <w:tc>
          <w:tcPr>
            <w:tcW w:w="22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58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240"/>
              <w:spacing w:after="0"/>
              <w:rPr>
                <w:sz w:val="20"/>
                <w:szCs w:val="20"/>
                <w:color w:val="auto"/>
              </w:rPr>
            </w:pPr>
            <w:r>
              <w:rPr>
                <w:rFonts w:ascii="Arial" w:cs="Arial" w:eastAsia="Arial" w:hAnsi="Arial"/>
                <w:sz w:val="14"/>
                <w:szCs w:val="14"/>
                <w:color w:val="auto"/>
              </w:rPr>
              <w:t>≤ 15-year:</w:t>
            </w: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2.0%</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11,135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11,456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11,493</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103.8%</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2.62%</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1.09%</w:t>
            </w:r>
          </w:p>
        </w:tc>
        <w:tc>
          <w:tcPr>
            <w:tcW w:w="12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center"/>
              <w:ind w:right="120"/>
              <w:spacing w:after="0"/>
              <w:rPr>
                <w:sz w:val="20"/>
                <w:szCs w:val="20"/>
                <w:color w:val="auto"/>
              </w:rPr>
            </w:pPr>
            <w:r>
              <w:rPr>
                <w:rFonts w:ascii="Arial" w:cs="Arial" w:eastAsia="Arial" w:hAnsi="Arial"/>
                <w:sz w:val="14"/>
                <w:szCs w:val="14"/>
                <w:color w:val="auto"/>
                <w:w w:val="99"/>
              </w:rPr>
              <w:t>—</w:t>
            </w: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1,114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1,165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1,164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10%</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104.0%</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3.08%</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1.42%</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22</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1,348</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94%</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101.6%</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3.55%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2.49%</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41</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1,357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1,386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1,474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102.2%</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4.03%</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2.79%</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37</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850</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91%</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4.60%</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2.97%</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16%</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gridSpan w:val="2"/>
          </w:tcPr>
          <w:p>
            <w:pPr>
              <w:ind w:left="340"/>
              <w:spacing w:after="0"/>
              <w:rPr>
                <w:sz w:val="20"/>
                <w:szCs w:val="20"/>
                <w:color w:val="auto"/>
              </w:rPr>
            </w:pPr>
            <w:r>
              <w:rPr>
                <w:rFonts w:ascii="Arial" w:cs="Arial" w:eastAsia="Arial" w:hAnsi="Arial"/>
                <w:sz w:val="14"/>
                <w:szCs w:val="14"/>
                <w:color w:val="auto"/>
              </w:rPr>
              <w:t>≥ 4.5%</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97</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97%</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4.89%</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2.98%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121</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17%</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80" w:type="dxa"/>
            <w:vAlign w:val="bottom"/>
            <w:tcBorders>
              <w:top w:val="single" w:sz="8" w:color="CCEEFF"/>
            </w:tcBorders>
            <w:gridSpan w:val="2"/>
            <w:shd w:val="clear" w:color="auto" w:fill="CCEEFF"/>
          </w:tcPr>
          <w:p>
            <w:pPr>
              <w:ind w:left="220"/>
              <w:spacing w:after="0"/>
              <w:rPr>
                <w:sz w:val="20"/>
                <w:szCs w:val="20"/>
                <w:color w:val="auto"/>
              </w:rPr>
            </w:pPr>
            <w:r>
              <w:rPr>
                <w:rFonts w:ascii="Arial" w:cs="Arial" w:eastAsia="Arial" w:hAnsi="Arial"/>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15,746</w:t>
            </w: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16,193</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spacing w:after="0"/>
              <w:rPr>
                <w:sz w:val="16"/>
                <w:szCs w:val="16"/>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16,426</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23%</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102.6%</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3.69%</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2.33%</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2380" w:type="dxa"/>
            <w:vAlign w:val="bottom"/>
            <w:gridSpan w:val="2"/>
          </w:tcPr>
          <w:p>
            <w:pPr>
              <w:ind w:left="220"/>
              <w:spacing w:after="0"/>
              <w:rPr>
                <w:sz w:val="20"/>
                <w:szCs w:val="20"/>
                <w:color w:val="auto"/>
              </w:rPr>
            </w:pPr>
            <w:r>
              <w:rPr>
                <w:rFonts w:ascii="Arial" w:cs="Arial" w:eastAsia="Arial" w:hAnsi="Arial"/>
                <w:sz w:val="14"/>
                <w:szCs w:val="14"/>
                <w:color w:val="auto"/>
              </w:rPr>
              <w:t>20-year:</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1,697</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1,767</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103.6%</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3.07%</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1.36%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1</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58</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3.78%</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2.14%</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19%</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81%</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101.8%</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2.94%</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164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103.1%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4.45%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3.06%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43</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17%</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104.5%</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5.01%</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3.15%</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18%</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20-year: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2,316</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2,395</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2,445</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25%</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103.4%</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3.42%</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4"/>
                <w:szCs w:val="14"/>
                <w:color w:val="auto"/>
              </w:rPr>
              <w:t>1.79%</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17</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2"/>
        </w:trPr>
        <w:tc>
          <w:tcPr>
            <w:tcW w:w="238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30-year:</w:t>
            </w:r>
          </w:p>
        </w:tc>
        <w:tc>
          <w:tcPr>
            <w:tcW w:w="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13,375</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13,749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13,801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102.8%</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2.92%</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1.60%</w:t>
            </w:r>
          </w:p>
        </w:tc>
        <w:tc>
          <w:tcPr>
            <w:tcW w:w="120" w:type="dxa"/>
            <w:vAlign w:val="bottom"/>
          </w:tcPr>
          <w:p>
            <w:pPr>
              <w:spacing w:after="0"/>
              <w:rPr>
                <w:sz w:val="16"/>
                <w:szCs w:val="16"/>
                <w:color w:val="auto"/>
              </w:rPr>
            </w:pPr>
          </w:p>
        </w:tc>
        <w:tc>
          <w:tcPr>
            <w:tcW w:w="1060" w:type="dxa"/>
            <w:vAlign w:val="bottom"/>
            <w:gridSpan w:val="2"/>
          </w:tcPr>
          <w:p>
            <w:pPr>
              <w:jc w:val="center"/>
              <w:ind w:right="120"/>
              <w:spacing w:after="0"/>
              <w:rPr>
                <w:sz w:val="20"/>
                <w:szCs w:val="20"/>
                <w:color w:val="auto"/>
              </w:rPr>
            </w:pPr>
            <w:r>
              <w:rPr>
                <w:rFonts w:ascii="Arial" w:cs="Arial" w:eastAsia="Arial" w:hAnsi="Arial"/>
                <w:sz w:val="14"/>
                <w:szCs w:val="14"/>
                <w:color w:val="auto"/>
                <w:w w:val="99"/>
              </w:rPr>
              <w:t>—</w:t>
            </w: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88"/>
              </w:rPr>
              <w:t>8%</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2.5%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11,713</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12,254</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12,302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104.5%</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3.40%</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1.61%</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2</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4,131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4,259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4,368</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15%</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3.74%</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2.21%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18%</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6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15,475</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16,131</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16,949</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84%</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104.2%</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4.07%</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2.50%</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61</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60" w:type="dxa"/>
            <w:vAlign w:val="bottom"/>
          </w:tcPr>
          <w:p>
            <w:pPr>
              <w:ind w:left="34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17,014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17,784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18,841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93%</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104.5%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4.51%</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2.86%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17%</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9,514</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10,682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105.1%</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5.01%</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3.14%</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19%</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30-year</w:t>
            </w:r>
          </w:p>
        </w:tc>
        <w:tc>
          <w:tcPr>
            <w:tcW w:w="8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71,222</w:t>
            </w:r>
          </w:p>
        </w:tc>
        <w:tc>
          <w:tcPr>
            <w:tcW w:w="120" w:type="dxa"/>
            <w:vAlign w:val="bottom"/>
            <w:tcBorders>
              <w:bottom w:val="single" w:sz="8" w:color="CCEEFF"/>
            </w:tcBorders>
          </w:tcPr>
          <w:p>
            <w:pPr>
              <w:spacing w:after="0"/>
              <w:rPr>
                <w:sz w:val="15"/>
                <w:szCs w:val="15"/>
                <w:color w:val="auto"/>
              </w:rPr>
            </w:pPr>
          </w:p>
        </w:tc>
        <w:tc>
          <w:tcPr>
            <w:tcW w:w="12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74,179</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76,943</w:t>
            </w:r>
          </w:p>
        </w:tc>
        <w:tc>
          <w:tcPr>
            <w:tcW w:w="120" w:type="dxa"/>
            <w:vAlign w:val="bottom"/>
            <w:tcBorders>
              <w:bottom w:val="single" w:sz="8" w:color="CCEEFF"/>
            </w:tcBorders>
          </w:tcPr>
          <w:p>
            <w:pPr>
              <w:spacing w:after="0"/>
              <w:rPr>
                <w:sz w:val="15"/>
                <w:szCs w:val="15"/>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56%</w:t>
            </w:r>
          </w:p>
        </w:tc>
        <w:tc>
          <w:tcPr>
            <w:tcW w:w="220" w:type="dxa"/>
            <w:vAlign w:val="bottom"/>
            <w:tcBorders>
              <w:bottom w:val="single" w:sz="8" w:color="CCEEFF"/>
            </w:tcBorders>
          </w:tcPr>
          <w:p>
            <w:pPr>
              <w:spacing w:after="0"/>
              <w:rPr>
                <w:sz w:val="15"/>
                <w:szCs w:val="15"/>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104.4%</w:t>
            </w:r>
          </w:p>
        </w:tc>
        <w:tc>
          <w:tcPr>
            <w:tcW w:w="120" w:type="dxa"/>
            <w:vAlign w:val="bottom"/>
            <w:tcBorders>
              <w:bottom w:val="single" w:sz="8" w:color="CCEEFF"/>
            </w:tcBorders>
          </w:tcPr>
          <w:p>
            <w:pPr>
              <w:spacing w:after="0"/>
              <w:rPr>
                <w:sz w:val="15"/>
                <w:szCs w:val="15"/>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5"/>
              </w:rPr>
              <w:t>4.23%</w:t>
            </w:r>
          </w:p>
        </w:tc>
        <w:tc>
          <w:tcPr>
            <w:tcW w:w="140" w:type="dxa"/>
            <w:vAlign w:val="bottom"/>
            <w:tcBorders>
              <w:bottom w:val="single" w:sz="8" w:color="CCEEFF"/>
            </w:tcBorders>
          </w:tcPr>
          <w:p>
            <w:pPr>
              <w:spacing w:after="0"/>
              <w:rPr>
                <w:sz w:val="15"/>
                <w:szCs w:val="15"/>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4"/>
                <w:szCs w:val="14"/>
                <w:color w:val="auto"/>
              </w:rPr>
              <w:t>2.58%</w:t>
            </w:r>
          </w:p>
        </w:tc>
        <w:tc>
          <w:tcPr>
            <w:tcW w:w="120" w:type="dxa"/>
            <w:vAlign w:val="bottom"/>
            <w:tcBorders>
              <w:bottom w:val="single" w:sz="8" w:color="CCEEFF"/>
            </w:tcBorders>
          </w:tcPr>
          <w:p>
            <w:pPr>
              <w:spacing w:after="0"/>
              <w:rPr>
                <w:sz w:val="15"/>
                <w:szCs w:val="15"/>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89"/>
              </w:rPr>
              <w:t>42</w:t>
            </w:r>
          </w:p>
        </w:tc>
        <w:tc>
          <w:tcPr>
            <w:tcW w:w="100" w:type="dxa"/>
            <w:vAlign w:val="bottom"/>
            <w:tcBorders>
              <w:bottom w:val="single" w:sz="8" w:color="CCEEFF"/>
            </w:tcBorders>
          </w:tcPr>
          <w:p>
            <w:pPr>
              <w:spacing w:after="0"/>
              <w:rPr>
                <w:sz w:val="15"/>
                <w:szCs w:val="15"/>
                <w:color w:val="auto"/>
              </w:rPr>
            </w:pPr>
          </w:p>
        </w:tc>
        <w:tc>
          <w:tcPr>
            <w:tcW w:w="600" w:type="dxa"/>
            <w:vAlign w:val="bottom"/>
            <w:tcBorders>
              <w:top w:val="single" w:sz="8" w:color="auto"/>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16%</w:t>
            </w:r>
          </w:p>
        </w:tc>
        <w:tc>
          <w:tcPr>
            <w:tcW w:w="300" w:type="dxa"/>
            <w:vAlign w:val="bottom"/>
            <w:tcBorders>
              <w:top w:val="single" w:sz="8" w:color="auto"/>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1"/>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fixed rate</w:t>
            </w: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89,284</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92,767</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95,814</w:t>
            </w:r>
          </w:p>
        </w:tc>
        <w:tc>
          <w:tcPr>
            <w:tcW w:w="12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49%</w:t>
            </w:r>
          </w:p>
        </w:tc>
        <w:tc>
          <w:tcPr>
            <w:tcW w:w="22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104.2%</w:t>
            </w:r>
          </w:p>
        </w:tc>
        <w:tc>
          <w:tcPr>
            <w:tcW w:w="12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4.16%</w:t>
            </w:r>
          </w:p>
        </w:tc>
        <w:tc>
          <w:tcPr>
            <w:tcW w:w="1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2.53%</w:t>
            </w:r>
          </w:p>
        </w:tc>
        <w:tc>
          <w:tcPr>
            <w:tcW w:w="12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40</w:t>
            </w:r>
          </w:p>
        </w:tc>
        <w:tc>
          <w:tcPr>
            <w:tcW w:w="100" w:type="dxa"/>
            <w:vAlign w:val="bottom"/>
            <w:tcBorders>
              <w:bottom w:val="single" w:sz="8" w:color="CCEEFF"/>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16%</w:t>
            </w:r>
          </w:p>
        </w:tc>
        <w:tc>
          <w:tcPr>
            <w:tcW w:w="300" w:type="dxa"/>
            <w:vAlign w:val="bottom"/>
            <w:tcBorders>
              <w:bottom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jc w:val="both"/>
        <w:ind w:left="660" w:hanging="328"/>
        <w:spacing w:after="0" w:line="241" w:lineRule="auto"/>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Specified pools include pools backed by lower balance loans with original loan balances of up to $200K, HARP pools (defined as pools that were issued between May 2009 and December 2018 and backed by 100% refinance loans with original LTVs ≥ 80%), and pools backed by loans 100% originated in New York and Puerto Rico. As of September 30, 2020, lower balance specified pools had a weighted average original loan balance of $115,000 and $117,000 for 15-year and 30-year securities, respectively, and HARP pools had a weighted average original LTV of 126% and 137% for 15-year and 30-year securities, respectively.</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September 30,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92"/>
        </w:trPr>
        <w:tc>
          <w:tcPr>
            <w:tcW w:w="2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December 31, 2019</w:t>
            </w:r>
          </w:p>
        </w:tc>
        <w:tc>
          <w:tcPr>
            <w:tcW w:w="6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Arial" w:cs="Arial" w:eastAsia="Arial" w:hAnsi="Arial"/>
                <w:sz w:val="14"/>
                <w:szCs w:val="14"/>
                <w:b w:val="1"/>
                <w:bCs w:val="1"/>
                <w:color w:val="auto"/>
              </w:rPr>
              <w:t>Excludes Net TBA Position</w:t>
            </w:r>
          </w:p>
        </w:tc>
        <w:tc>
          <w:tcPr>
            <w:tcW w:w="6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Weighted Average</w:t>
            </w: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60" w:type="dxa"/>
            <w:vAlign w:val="bottom"/>
            <w:gridSpan w:val="2"/>
          </w:tcPr>
          <w:p>
            <w:pPr>
              <w:ind w:left="20"/>
              <w:spacing w:after="0" w:line="122" w:lineRule="exact"/>
              <w:rPr>
                <w:sz w:val="20"/>
                <w:szCs w:val="20"/>
                <w:color w:val="auto"/>
              </w:rPr>
            </w:pPr>
            <w:r>
              <w:rPr>
                <w:rFonts w:ascii="Arial" w:cs="Arial" w:eastAsia="Arial" w:hAnsi="Arial"/>
                <w:sz w:val="14"/>
                <w:szCs w:val="14"/>
                <w:b w:val="1"/>
                <w:bCs w:val="1"/>
                <w:color w:val="auto"/>
              </w:rPr>
              <w:t>Fixed Rate Agency RMBS and</w:t>
            </w:r>
          </w:p>
        </w:tc>
        <w:tc>
          <w:tcPr>
            <w:tcW w:w="80" w:type="dxa"/>
            <w:vAlign w:val="bottom"/>
          </w:tcPr>
          <w:p>
            <w:pPr>
              <w:spacing w:after="0"/>
              <w:rPr>
                <w:sz w:val="10"/>
                <w:szCs w:val="10"/>
                <w:color w:val="auto"/>
              </w:rPr>
            </w:pPr>
          </w:p>
        </w:tc>
        <w:tc>
          <w:tcPr>
            <w:tcW w:w="8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Par Value</w:t>
            </w:r>
          </w:p>
        </w:tc>
        <w:tc>
          <w:tcPr>
            <w:tcW w:w="120" w:type="dxa"/>
            <w:vAlign w:val="bottom"/>
          </w:tcPr>
          <w:p>
            <w:pPr>
              <w:spacing w:after="0"/>
              <w:rPr>
                <w:sz w:val="10"/>
                <w:szCs w:val="10"/>
                <w:color w:val="auto"/>
              </w:rPr>
            </w:pPr>
          </w:p>
        </w:tc>
        <w:tc>
          <w:tcPr>
            <w:tcW w:w="940" w:type="dxa"/>
            <w:vAlign w:val="bottom"/>
            <w:gridSpan w:val="2"/>
          </w:tcPr>
          <w:p>
            <w:pPr>
              <w:ind w:left="40"/>
              <w:spacing w:after="0" w:line="122" w:lineRule="exact"/>
              <w:rPr>
                <w:sz w:val="20"/>
                <w:szCs w:val="20"/>
                <w:color w:val="auto"/>
              </w:rPr>
            </w:pPr>
            <w:r>
              <w:rPr>
                <w:rFonts w:ascii="Arial" w:cs="Arial" w:eastAsia="Arial" w:hAnsi="Arial"/>
                <w:sz w:val="14"/>
                <w:szCs w:val="14"/>
                <w:b w:val="1"/>
                <w:bCs w:val="1"/>
                <w:color w:val="auto"/>
              </w:rPr>
              <w:t>Amortized</w:t>
            </w:r>
          </w:p>
        </w:tc>
        <w:tc>
          <w:tcPr>
            <w:tcW w:w="92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900" w:type="dxa"/>
            <w:vAlign w:val="bottom"/>
          </w:tcPr>
          <w:p>
            <w:pPr>
              <w:ind w:left="20"/>
              <w:spacing w:after="0" w:line="122" w:lineRule="exact"/>
              <w:rPr>
                <w:sz w:val="20"/>
                <w:szCs w:val="20"/>
                <w:color w:val="auto"/>
              </w:rPr>
            </w:pPr>
            <w:r>
              <w:rPr>
                <w:rFonts w:ascii="Arial" w:cs="Arial" w:eastAsia="Arial" w:hAnsi="Arial"/>
                <w:sz w:val="14"/>
                <w:szCs w:val="14"/>
                <w:b w:val="1"/>
                <w:bCs w:val="1"/>
                <w:color w:val="auto"/>
                <w:w w:val="89"/>
              </w:rPr>
              <w:t>Specified Pool</w:t>
            </w:r>
          </w:p>
        </w:tc>
        <w:tc>
          <w:tcPr>
            <w:tcW w:w="220" w:type="dxa"/>
            <w:vAlign w:val="bottom"/>
          </w:tcPr>
          <w:p>
            <w:pPr>
              <w:spacing w:after="0"/>
              <w:rPr>
                <w:sz w:val="10"/>
                <w:szCs w:val="10"/>
                <w:color w:val="auto"/>
              </w:rPr>
            </w:pPr>
          </w:p>
        </w:tc>
        <w:tc>
          <w:tcPr>
            <w:tcW w:w="1160" w:type="dxa"/>
            <w:vAlign w:val="bottom"/>
            <w:gridSpan w:val="2"/>
          </w:tcPr>
          <w:p>
            <w:pPr>
              <w:jc w:val="center"/>
              <w:ind w:right="140"/>
              <w:spacing w:after="0" w:line="122" w:lineRule="exact"/>
              <w:rPr>
                <w:sz w:val="20"/>
                <w:szCs w:val="20"/>
                <w:color w:val="auto"/>
              </w:rPr>
            </w:pPr>
            <w:r>
              <w:rPr>
                <w:rFonts w:ascii="Arial" w:cs="Arial" w:eastAsia="Arial" w:hAnsi="Arial"/>
                <w:sz w:val="14"/>
                <w:szCs w:val="14"/>
                <w:b w:val="1"/>
                <w:bCs w:val="1"/>
                <w:color w:val="auto"/>
                <w:w w:val="96"/>
              </w:rPr>
              <w:t>Amortized</w:t>
            </w:r>
          </w:p>
        </w:tc>
        <w:tc>
          <w:tcPr>
            <w:tcW w:w="6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 xml:space="preserve">WAC </w:t>
            </w:r>
            <w:r>
              <w:rPr>
                <w:rFonts w:ascii="Arial" w:cs="Arial" w:eastAsia="Arial" w:hAnsi="Arial"/>
                <w:sz w:val="18"/>
                <w:szCs w:val="18"/>
                <w:b w:val="1"/>
                <w:bCs w:val="1"/>
                <w:color w:val="auto"/>
                <w:w w:val="95"/>
                <w:vertAlign w:val="superscript"/>
              </w:rPr>
              <w:t>2</w:t>
            </w:r>
          </w:p>
        </w:tc>
        <w:tc>
          <w:tcPr>
            <w:tcW w:w="140" w:type="dxa"/>
            <w:vAlign w:val="bottom"/>
          </w:tcPr>
          <w:p>
            <w:pPr>
              <w:spacing w:after="0"/>
              <w:rPr>
                <w:sz w:val="10"/>
                <w:szCs w:val="10"/>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Age (Months)</w:t>
            </w:r>
          </w:p>
        </w:tc>
        <w:tc>
          <w:tcPr>
            <w:tcW w:w="900" w:type="dxa"/>
            <w:vAlign w:val="bottom"/>
            <w:gridSpan w:val="2"/>
          </w:tcPr>
          <w:p>
            <w:pPr>
              <w:jc w:val="right"/>
              <w:ind w:right="137"/>
              <w:spacing w:after="0" w:line="122" w:lineRule="exact"/>
              <w:rPr>
                <w:sz w:val="20"/>
                <w:szCs w:val="20"/>
                <w:color w:val="auto"/>
              </w:rPr>
            </w:pPr>
            <w:r>
              <w:rPr>
                <w:rFonts w:ascii="Arial" w:cs="Arial" w:eastAsia="Arial" w:hAnsi="Arial"/>
                <w:sz w:val="14"/>
                <w:szCs w:val="14"/>
                <w:b w:val="1"/>
                <w:bCs w:val="1"/>
                <w:color w:val="auto"/>
              </w:rPr>
              <w:t>Projected</w:t>
            </w:r>
          </w:p>
        </w:tc>
        <w:tc>
          <w:tcPr>
            <w:tcW w:w="0" w:type="dxa"/>
            <w:vAlign w:val="bottom"/>
          </w:tcPr>
          <w:p>
            <w:pPr>
              <w:spacing w:after="0"/>
              <w:rPr>
                <w:sz w:val="1"/>
                <w:szCs w:val="1"/>
                <w:color w:val="auto"/>
              </w:rPr>
            </w:pPr>
          </w:p>
        </w:tc>
      </w:tr>
      <w:tr>
        <w:trPr>
          <w:trHeight w:val="189"/>
        </w:trPr>
        <w:tc>
          <w:tcPr>
            <w:tcW w:w="2360" w:type="dxa"/>
            <w:vAlign w:val="bottom"/>
            <w:gridSpan w:val="2"/>
          </w:tcPr>
          <w:p>
            <w:pPr>
              <w:ind w:left="20"/>
              <w:spacing w:after="0"/>
              <w:rPr>
                <w:sz w:val="20"/>
                <w:szCs w:val="20"/>
                <w:color w:val="auto"/>
              </w:rPr>
            </w:pPr>
            <w:r>
              <w:rPr>
                <w:rFonts w:ascii="Arial" w:cs="Arial" w:eastAsia="Arial" w:hAnsi="Arial"/>
                <w:sz w:val="14"/>
                <w:szCs w:val="14"/>
                <w:b w:val="1"/>
                <w:bCs w:val="1"/>
                <w:color w:val="auto"/>
              </w:rPr>
              <w:t>TBA Securities</w:t>
            </w:r>
          </w:p>
        </w:tc>
        <w:tc>
          <w:tcPr>
            <w:tcW w:w="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ind w:left="220"/>
              <w:spacing w:after="0"/>
              <w:rPr>
                <w:sz w:val="20"/>
                <w:szCs w:val="20"/>
                <w:color w:val="auto"/>
              </w:rPr>
            </w:pPr>
            <w:r>
              <w:rPr>
                <w:rFonts w:ascii="Arial" w:cs="Arial" w:eastAsia="Arial" w:hAnsi="Arial"/>
                <w:sz w:val="14"/>
                <w:szCs w:val="14"/>
                <w:b w:val="1"/>
                <w:bCs w:val="1"/>
                <w:color w:val="auto"/>
              </w:rPr>
              <w:t>Cost</w:t>
            </w:r>
          </w:p>
        </w:tc>
        <w:tc>
          <w:tcPr>
            <w:tcW w:w="920" w:type="dxa"/>
            <w:vAlign w:val="bottom"/>
            <w:gridSpan w:val="3"/>
            <w:vMerge w:val="continue"/>
          </w:tcPr>
          <w:p>
            <w:pPr>
              <w:spacing w:after="0"/>
              <w:rPr>
                <w:sz w:val="16"/>
                <w:szCs w:val="16"/>
                <w:color w:val="auto"/>
              </w:rPr>
            </w:pPr>
          </w:p>
        </w:tc>
        <w:tc>
          <w:tcPr>
            <w:tcW w:w="900" w:type="dxa"/>
            <w:vAlign w:val="bottom"/>
          </w:tcPr>
          <w:p>
            <w:pPr>
              <w:jc w:val="center"/>
              <w:spacing w:after="0" w:line="189" w:lineRule="exact"/>
              <w:rPr>
                <w:sz w:val="20"/>
                <w:szCs w:val="20"/>
                <w:color w:val="auto"/>
              </w:rPr>
            </w:pPr>
            <w:r>
              <w:rPr>
                <w:rFonts w:ascii="Arial" w:cs="Arial" w:eastAsia="Arial" w:hAnsi="Arial"/>
                <w:sz w:val="21"/>
                <w:szCs w:val="21"/>
                <w:b w:val="1"/>
                <w:bCs w:val="1"/>
                <w:color w:val="auto"/>
                <w:vertAlign w:val="subscript"/>
              </w:rPr>
              <w:t>%</w:t>
            </w:r>
            <w:r>
              <w:rPr>
                <w:rFonts w:ascii="Arial" w:cs="Arial" w:eastAsia="Arial" w:hAnsi="Arial"/>
                <w:sz w:val="8"/>
                <w:szCs w:val="8"/>
                <w:b w:val="1"/>
                <w:bCs w:val="1"/>
                <w:color w:val="auto"/>
              </w:rPr>
              <w:t xml:space="preserve"> 1</w:t>
            </w:r>
          </w:p>
        </w:tc>
        <w:tc>
          <w:tcPr>
            <w:tcW w:w="220" w:type="dxa"/>
            <w:vAlign w:val="bottom"/>
          </w:tcPr>
          <w:p>
            <w:pPr>
              <w:spacing w:after="0"/>
              <w:rPr>
                <w:sz w:val="16"/>
                <w:szCs w:val="16"/>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8"/>
              </w:rPr>
              <w:t>Cost Basis</w:t>
            </w:r>
          </w:p>
        </w:tc>
        <w:tc>
          <w:tcPr>
            <w:tcW w:w="6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600" w:type="dxa"/>
            <w:vAlign w:val="bottom"/>
          </w:tcPr>
          <w:p>
            <w:pPr>
              <w:ind w:left="260"/>
              <w:spacing w:after="0"/>
              <w:rPr>
                <w:sz w:val="20"/>
                <w:szCs w:val="20"/>
                <w:color w:val="auto"/>
              </w:rPr>
            </w:pPr>
            <w:r>
              <w:rPr>
                <w:rFonts w:ascii="Arial" w:cs="Arial" w:eastAsia="Arial" w:hAnsi="Arial"/>
                <w:sz w:val="14"/>
                <w:szCs w:val="14"/>
                <w:b w:val="1"/>
                <w:bCs w:val="1"/>
                <w:color w:val="auto"/>
              </w:rPr>
              <w:t>CPR</w:t>
            </w:r>
          </w:p>
        </w:tc>
        <w:tc>
          <w:tcPr>
            <w:tcW w:w="300" w:type="dxa"/>
            <w:vAlign w:val="bottom"/>
          </w:tcPr>
          <w:p>
            <w:pPr>
              <w:jc w:val="right"/>
              <w:ind w:right="237"/>
              <w:spacing w:after="0"/>
              <w:rPr>
                <w:sz w:val="20"/>
                <w:szCs w:val="20"/>
                <w:color w:val="auto"/>
              </w:rPr>
            </w:pPr>
            <w:r>
              <w:rPr>
                <w:rFonts w:ascii="Arial" w:cs="Arial" w:eastAsia="Arial" w:hAnsi="Arial"/>
                <w:sz w:val="5"/>
                <w:szCs w:val="5"/>
                <w:b w:val="1"/>
                <w:bCs w:val="1"/>
                <w:color w:val="auto"/>
                <w:w w:val="70"/>
              </w:rPr>
              <w:t>3</w:t>
            </w:r>
          </w:p>
        </w:tc>
        <w:tc>
          <w:tcPr>
            <w:tcW w:w="0" w:type="dxa"/>
            <w:vAlign w:val="bottom"/>
          </w:tcPr>
          <w:p>
            <w:pPr>
              <w:spacing w:after="0"/>
              <w:rPr>
                <w:sz w:val="1"/>
                <w:szCs w:val="1"/>
                <w:color w:val="auto"/>
              </w:rPr>
            </w:pPr>
          </w:p>
        </w:tc>
      </w:tr>
      <w:tr>
        <w:trPr>
          <w:trHeight w:val="183"/>
        </w:trPr>
        <w:tc>
          <w:tcPr>
            <w:tcW w:w="22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680" w:type="dxa"/>
            <w:vAlign w:val="bottom"/>
            <w:tcBorders>
              <w:top w:val="single" w:sz="8" w:color="auto"/>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360" w:type="dxa"/>
            <w:vAlign w:val="bottom"/>
            <w:gridSpan w:val="2"/>
          </w:tcPr>
          <w:p>
            <w:pPr>
              <w:ind w:left="220"/>
              <w:spacing w:after="0"/>
              <w:rPr>
                <w:sz w:val="20"/>
                <w:szCs w:val="20"/>
                <w:color w:val="auto"/>
              </w:rPr>
            </w:pPr>
            <w:r>
              <w:rPr>
                <w:rFonts w:ascii="Arial" w:cs="Arial" w:eastAsia="Arial" w:hAnsi="Arial"/>
                <w:sz w:val="14"/>
                <w:szCs w:val="14"/>
                <w:color w:val="auto"/>
              </w:rPr>
              <w:t>≤ 15-year:</w:t>
            </w:r>
          </w:p>
        </w:tc>
        <w:tc>
          <w:tcPr>
            <w:tcW w:w="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3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2.5%</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1,735</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1,738</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40%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101.0%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2.98%</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2.11%</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86</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40" w:type="dxa"/>
            <w:vAlign w:val="bottom"/>
          </w:tcPr>
          <w:p>
            <w:pPr>
              <w:ind w:left="340"/>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2,985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3,041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3,067</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59%</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101.7%</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3.52%</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2.45%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58</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10%</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2,299</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2,354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2,401</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71%</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102.2%</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4.04%</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2.86%</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25</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40" w:type="dxa"/>
            <w:vAlign w:val="bottom"/>
          </w:tcPr>
          <w:p>
            <w:pPr>
              <w:ind w:left="34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1,075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1,109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1,135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84%</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103.1%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4.60%</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3.05%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26</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98%</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103.5%</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4.87%</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3.00%</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111</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gridSpan w:val="2"/>
          </w:tcPr>
          <w:p>
            <w:pPr>
              <w:ind w:left="340"/>
              <w:spacing w:after="0"/>
              <w:rPr>
                <w:sz w:val="20"/>
                <w:szCs w:val="20"/>
                <w:color w:val="auto"/>
              </w:rPr>
            </w:pPr>
            <w:r>
              <w:rPr>
                <w:rFonts w:ascii="Arial" w:cs="Arial" w:eastAsia="Arial" w:hAnsi="Arial"/>
                <w:sz w:val="14"/>
                <w:szCs w:val="14"/>
                <w:color w:val="auto"/>
              </w:rPr>
              <w:t>≥ 5.0%</w:t>
            </w: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101.9%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6.55%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4.55%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146</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8,197</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8,362</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spacing w:after="0"/>
              <w:rPr>
                <w:sz w:val="16"/>
                <w:szCs w:val="16"/>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8,465</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63%</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102.0%</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3.82%</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2.65%</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2360" w:type="dxa"/>
            <w:vAlign w:val="bottom"/>
            <w:gridSpan w:val="2"/>
          </w:tcPr>
          <w:p>
            <w:pPr>
              <w:ind w:left="180"/>
              <w:spacing w:after="0"/>
              <w:rPr>
                <w:sz w:val="20"/>
                <w:szCs w:val="20"/>
                <w:color w:val="auto"/>
              </w:rPr>
            </w:pPr>
            <w:r>
              <w:rPr>
                <w:rFonts w:ascii="Arial" w:cs="Arial" w:eastAsia="Arial" w:hAnsi="Arial"/>
                <w:sz w:val="14"/>
                <w:szCs w:val="14"/>
                <w:color w:val="auto"/>
              </w:rPr>
              <w:t>20-year:</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297</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81%</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102.0%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4.05%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2.97%</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12%</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40" w:type="dxa"/>
            <w:vAlign w:val="bottom"/>
          </w:tcPr>
          <w:p>
            <w:pPr>
              <w:ind w:left="340"/>
              <w:spacing w:after="0"/>
              <w:rPr>
                <w:sz w:val="20"/>
                <w:szCs w:val="20"/>
                <w:color w:val="auto"/>
              </w:rPr>
            </w:pPr>
            <w:r>
              <w:rPr>
                <w:rFonts w:ascii="Arial" w:cs="Arial" w:eastAsia="Arial" w:hAnsi="Arial"/>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196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209</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92%</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103.3%</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4.45%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3.18%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34</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4.5%</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104.8%</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5.00%</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3.23%</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15%</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gridSpan w:val="2"/>
          </w:tcPr>
          <w:p>
            <w:pPr>
              <w:ind w:left="340"/>
              <w:spacing w:after="0"/>
              <w:rPr>
                <w:sz w:val="20"/>
                <w:szCs w:val="20"/>
                <w:color w:val="auto"/>
              </w:rPr>
            </w:pPr>
            <w:r>
              <w:rPr>
                <w:rFonts w:ascii="Arial" w:cs="Arial" w:eastAsia="Arial" w:hAnsi="Arial"/>
                <w:sz w:val="14"/>
                <w:szCs w:val="14"/>
                <w:color w:val="auto"/>
              </w:rPr>
              <w:t>≥ 5.0%</w:t>
            </w: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8"/>
              </w:rPr>
              <w:t>—%</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5.95%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3.33%</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141</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18%</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20-year: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675</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696</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spacing w:after="0"/>
              <w:rPr>
                <w:sz w:val="16"/>
                <w:szCs w:val="16"/>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717</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90%</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103.2%</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4.40%</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3.05%</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2360" w:type="dxa"/>
            <w:vAlign w:val="bottom"/>
            <w:gridSpan w:val="2"/>
          </w:tcPr>
          <w:p>
            <w:pPr>
              <w:ind w:left="180"/>
              <w:spacing w:after="0"/>
              <w:rPr>
                <w:sz w:val="20"/>
                <w:szCs w:val="20"/>
                <w:color w:val="auto"/>
              </w:rPr>
            </w:pPr>
            <w:r>
              <w:rPr>
                <w:rFonts w:ascii="Arial" w:cs="Arial" w:eastAsia="Arial" w:hAnsi="Arial"/>
                <w:sz w:val="14"/>
                <w:szCs w:val="14"/>
                <w:color w:val="auto"/>
              </w:rPr>
              <w:t>30-year:</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36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 3.0%</w:t>
            </w: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27,864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28,218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28,252</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3%</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101.4%</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3.85%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2.73%</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8</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88"/>
              </w:rPr>
              <w:t>9%</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40" w:type="dxa"/>
            <w:vAlign w:val="bottom"/>
          </w:tcPr>
          <w:p>
            <w:pPr>
              <w:ind w:left="340"/>
              <w:spacing w:after="0"/>
              <w:rPr>
                <w:sz w:val="20"/>
                <w:szCs w:val="20"/>
                <w:color w:val="auto"/>
              </w:rPr>
            </w:pPr>
            <w:r>
              <w:rPr>
                <w:rFonts w:ascii="Arial" w:cs="Arial" w:eastAsia="Arial" w:hAnsi="Arial"/>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23,760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24,525</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24,902</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60%</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103.3%</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4.05%</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2.97%</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49</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10%</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4.0%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26,934</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28,062</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28,795</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84%</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104.2%</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4.51%</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3.25%</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37</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240" w:type="dxa"/>
            <w:vAlign w:val="bottom"/>
          </w:tcPr>
          <w:p>
            <w:pPr>
              <w:ind w:left="340"/>
              <w:spacing w:after="0"/>
              <w:rPr>
                <w:sz w:val="20"/>
                <w:szCs w:val="20"/>
                <w:color w:val="auto"/>
              </w:rPr>
            </w:pPr>
            <w:r>
              <w:rPr>
                <w:rFonts w:ascii="Arial" w:cs="Arial" w:eastAsia="Arial" w:hAnsi="Arial"/>
                <w:sz w:val="14"/>
                <w:szCs w:val="14"/>
                <w:color w:val="auto"/>
              </w:rPr>
              <w:t>4.5%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12,730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13,381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13,831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93%</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105.1%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4.98%</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3.45%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89"/>
              </w:rPr>
              <w:t>23</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22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5.0%</w:t>
            </w: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410</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94%</w:t>
            </w:r>
          </w:p>
        </w:tc>
        <w:tc>
          <w:tcPr>
            <w:tcW w:w="1260" w:type="dxa"/>
            <w:vAlign w:val="bottom"/>
            <w:gridSpan w:val="2"/>
            <w:shd w:val="clear" w:color="auto" w:fill="CCEEFF"/>
          </w:tcPr>
          <w:p>
            <w:pPr>
              <w:jc w:val="center"/>
              <w:ind w:left="148"/>
              <w:spacing w:after="0"/>
              <w:rPr>
                <w:sz w:val="20"/>
                <w:szCs w:val="20"/>
                <w:color w:val="auto"/>
              </w:rPr>
            </w:pPr>
            <w:r>
              <w:rPr>
                <w:rFonts w:ascii="Arial" w:cs="Arial" w:eastAsia="Arial" w:hAnsi="Arial"/>
                <w:sz w:val="14"/>
                <w:szCs w:val="14"/>
                <w:color w:val="auto"/>
                <w:w w:val="92"/>
              </w:rPr>
              <w:t>108.0%</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5.50%</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3.28%</w:t>
            </w: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39</w:t>
            </w:r>
          </w:p>
        </w:tc>
        <w:tc>
          <w:tcPr>
            <w:tcW w:w="100" w:type="dxa"/>
            <w:vAlign w:val="bottom"/>
            <w:shd w:val="clear" w:color="auto" w:fill="CCEEFF"/>
          </w:tcPr>
          <w:p>
            <w:pPr>
              <w:spacing w:after="0"/>
              <w:rPr>
                <w:sz w:val="16"/>
                <w:szCs w:val="16"/>
                <w:color w:val="auto"/>
              </w:rPr>
            </w:pPr>
          </w:p>
        </w:tc>
        <w:tc>
          <w:tcPr>
            <w:tcW w:w="600" w:type="dxa"/>
            <w:vAlign w:val="bottom"/>
            <w:shd w:val="clear" w:color="auto" w:fill="CCEEFF"/>
          </w:tcPr>
          <w:p>
            <w:pPr>
              <w:jc w:val="center"/>
              <w:ind w:left="228"/>
              <w:spacing w:after="0"/>
              <w:rPr>
                <w:sz w:val="20"/>
                <w:szCs w:val="20"/>
                <w:color w:val="auto"/>
              </w:rPr>
            </w:pPr>
            <w:r>
              <w:rPr>
                <w:rFonts w:ascii="Arial" w:cs="Arial" w:eastAsia="Arial" w:hAnsi="Arial"/>
                <w:sz w:val="14"/>
                <w:szCs w:val="14"/>
                <w:color w:val="auto"/>
                <w:w w:val="92"/>
              </w:rPr>
              <w:t>14%</w:t>
            </w:r>
          </w:p>
        </w:tc>
        <w:tc>
          <w:tcPr>
            <w:tcW w:w="3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gridSpan w:val="2"/>
          </w:tcPr>
          <w:p>
            <w:pPr>
              <w:ind w:left="340"/>
              <w:spacing w:after="0"/>
              <w:rPr>
                <w:sz w:val="20"/>
                <w:szCs w:val="20"/>
                <w:color w:val="auto"/>
              </w:rPr>
            </w:pPr>
            <w:r>
              <w:rPr>
                <w:rFonts w:ascii="Arial" w:cs="Arial" w:eastAsia="Arial" w:hAnsi="Arial"/>
                <w:sz w:val="14"/>
                <w:szCs w:val="14"/>
                <w:color w:val="auto"/>
              </w:rPr>
              <w:t>≥ 5.5%</w:t>
            </w:r>
          </w:p>
        </w:tc>
        <w:tc>
          <w:tcPr>
            <w:tcW w:w="8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69</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49%</w:t>
            </w:r>
          </w:p>
        </w:tc>
        <w:tc>
          <w:tcPr>
            <w:tcW w:w="1260" w:type="dxa"/>
            <w:vAlign w:val="bottom"/>
            <w:gridSpan w:val="2"/>
          </w:tcPr>
          <w:p>
            <w:pPr>
              <w:jc w:val="center"/>
              <w:ind w:left="148"/>
              <w:spacing w:after="0"/>
              <w:rPr>
                <w:sz w:val="20"/>
                <w:szCs w:val="20"/>
                <w:color w:val="auto"/>
              </w:rPr>
            </w:pPr>
            <w:r>
              <w:rPr>
                <w:rFonts w:ascii="Arial" w:cs="Arial" w:eastAsia="Arial" w:hAnsi="Arial"/>
                <w:sz w:val="14"/>
                <w:szCs w:val="14"/>
                <w:color w:val="auto"/>
                <w:w w:val="92"/>
              </w:rPr>
              <w:t>109.6%</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Arial" w:cs="Arial" w:eastAsia="Arial" w:hAnsi="Arial"/>
                <w:sz w:val="14"/>
                <w:szCs w:val="14"/>
                <w:color w:val="auto"/>
                <w:w w:val="95"/>
              </w:rPr>
              <w:t>6.18%</w:t>
            </w:r>
          </w:p>
        </w:tc>
        <w:tc>
          <w:tcPr>
            <w:tcW w:w="860" w:type="dxa"/>
            <w:vAlign w:val="bottom"/>
            <w:gridSpan w:val="2"/>
          </w:tcPr>
          <w:p>
            <w:pPr>
              <w:ind w:left="320"/>
              <w:spacing w:after="0"/>
              <w:rPr>
                <w:sz w:val="20"/>
                <w:szCs w:val="20"/>
                <w:color w:val="auto"/>
              </w:rPr>
            </w:pPr>
            <w:r>
              <w:rPr>
                <w:rFonts w:ascii="Arial" w:cs="Arial" w:eastAsia="Arial" w:hAnsi="Arial"/>
                <w:sz w:val="14"/>
                <w:szCs w:val="14"/>
                <w:color w:val="auto"/>
              </w:rPr>
              <w:t>3.33%</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94"/>
              </w:rPr>
              <w:t>158</w:t>
            </w:r>
          </w:p>
        </w:tc>
        <w:tc>
          <w:tcPr>
            <w:tcW w:w="100" w:type="dxa"/>
            <w:vAlign w:val="bottom"/>
          </w:tcPr>
          <w:p>
            <w:pPr>
              <w:spacing w:after="0"/>
              <w:rPr>
                <w:sz w:val="16"/>
                <w:szCs w:val="16"/>
                <w:color w:val="auto"/>
              </w:rPr>
            </w:pPr>
          </w:p>
        </w:tc>
        <w:tc>
          <w:tcPr>
            <w:tcW w:w="600" w:type="dxa"/>
            <w:vAlign w:val="bottom"/>
          </w:tcPr>
          <w:p>
            <w:pPr>
              <w:jc w:val="center"/>
              <w:ind w:left="228"/>
              <w:spacing w:after="0"/>
              <w:rPr>
                <w:sz w:val="20"/>
                <w:szCs w:val="20"/>
                <w:color w:val="auto"/>
              </w:rPr>
            </w:pPr>
            <w:r>
              <w:rPr>
                <w:rFonts w:ascii="Arial" w:cs="Arial" w:eastAsia="Arial" w:hAnsi="Arial"/>
                <w:sz w:val="14"/>
                <w:szCs w:val="14"/>
                <w:color w:val="auto"/>
                <w:w w:val="92"/>
              </w:rPr>
              <w:t>13%</w:t>
            </w: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360" w:type="dxa"/>
            <w:vAlign w:val="bottom"/>
            <w:tcBorders>
              <w:top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30-year</w:t>
            </w: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91,731</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94,665</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bottom w:val="single" w:sz="8" w:color="auto"/>
            </w:tcBorders>
            <w:shd w:val="clear" w:color="auto" w:fill="CCEEFF"/>
          </w:tcPr>
          <w:p>
            <w:pPr>
              <w:spacing w:after="0"/>
              <w:rPr>
                <w:sz w:val="16"/>
                <w:szCs w:val="16"/>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96,265</w:t>
            </w: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55%</w:t>
            </w:r>
          </w:p>
        </w:tc>
        <w:tc>
          <w:tcPr>
            <w:tcW w:w="220" w:type="dxa"/>
            <w:vAlign w:val="bottom"/>
            <w:tcBorders>
              <w:top w:val="single" w:sz="8" w:color="CCEEFF"/>
            </w:tcBorders>
            <w:shd w:val="clear" w:color="auto" w:fill="CCEEFF"/>
          </w:tcPr>
          <w:p>
            <w:pPr>
              <w:spacing w:after="0"/>
              <w:rPr>
                <w:sz w:val="16"/>
                <w:szCs w:val="16"/>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103.3%</w:t>
            </w:r>
          </w:p>
        </w:tc>
        <w:tc>
          <w:tcPr>
            <w:tcW w:w="12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4.29%</w:t>
            </w:r>
          </w:p>
        </w:tc>
        <w:tc>
          <w:tcPr>
            <w:tcW w:w="140" w:type="dxa"/>
            <w:vAlign w:val="bottom"/>
            <w:tcBorders>
              <w:top w:val="single" w:sz="8" w:color="CCEEFF"/>
            </w:tcBorders>
            <w:shd w:val="clear" w:color="auto" w:fill="CCEEFF"/>
          </w:tcPr>
          <w:p>
            <w:pPr>
              <w:spacing w:after="0"/>
              <w:rPr>
                <w:sz w:val="16"/>
                <w:szCs w:val="16"/>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3.07%</w:t>
            </w:r>
          </w:p>
        </w:tc>
        <w:tc>
          <w:tcPr>
            <w:tcW w:w="12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31</w:t>
            </w:r>
          </w:p>
        </w:tc>
        <w:tc>
          <w:tcPr>
            <w:tcW w:w="100" w:type="dxa"/>
            <w:vAlign w:val="bottom"/>
            <w:tcBorders>
              <w:top w:val="single" w:sz="8" w:color="CCEEFF"/>
            </w:tcBorders>
            <w:shd w:val="clear" w:color="auto" w:fill="CCEEFF"/>
          </w:tcPr>
          <w:p>
            <w:pPr>
              <w:spacing w:after="0"/>
              <w:rPr>
                <w:sz w:val="16"/>
                <w:szCs w:val="16"/>
                <w:color w:val="auto"/>
              </w:rPr>
            </w:pPr>
          </w:p>
        </w:tc>
        <w:tc>
          <w:tcPr>
            <w:tcW w:w="600" w:type="dxa"/>
            <w:vAlign w:val="bottom"/>
            <w:tcBorders>
              <w:top w:val="single" w:sz="8" w:color="auto"/>
              <w:bottom w:val="single" w:sz="8" w:color="auto"/>
            </w:tcBorders>
            <w:shd w:val="clear" w:color="auto" w:fill="CCEEFF"/>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Borders>
              <w:top w:val="single" w:sz="8" w:color="auto"/>
              <w:bottom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236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 fixed rate</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100,603</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103,723</w:t>
            </w:r>
          </w:p>
        </w:tc>
        <w:tc>
          <w:tcPr>
            <w:tcW w:w="100" w:type="dxa"/>
            <w:vAlign w:val="bottom"/>
          </w:tcPr>
          <w:p>
            <w:pPr>
              <w:spacing w:after="0"/>
              <w:rPr>
                <w:sz w:val="15"/>
                <w:szCs w:val="15"/>
                <w:color w:val="auto"/>
              </w:rPr>
            </w:pPr>
          </w:p>
        </w:tc>
        <w:tc>
          <w:tcPr>
            <w:tcW w:w="1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105,447</w:t>
            </w:r>
          </w:p>
        </w:tc>
        <w:tc>
          <w:tcPr>
            <w:tcW w:w="120" w:type="dxa"/>
            <w:vAlign w:val="bottom"/>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56%</w:t>
            </w:r>
          </w:p>
        </w:tc>
        <w:tc>
          <w:tcPr>
            <w:tcW w:w="220" w:type="dxa"/>
            <w:vAlign w:val="bottom"/>
          </w:tcPr>
          <w:p>
            <w:pPr>
              <w:spacing w:after="0"/>
              <w:rPr>
                <w:sz w:val="15"/>
                <w:szCs w:val="15"/>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103.3%</w:t>
            </w:r>
          </w:p>
        </w:tc>
        <w:tc>
          <w:tcPr>
            <w:tcW w:w="120" w:type="dxa"/>
            <w:vAlign w:val="bottom"/>
          </w:tcPr>
          <w:p>
            <w:pPr>
              <w:spacing w:after="0"/>
              <w:rPr>
                <w:sz w:val="15"/>
                <w:szCs w:val="15"/>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4.26%</w:t>
            </w:r>
          </w:p>
        </w:tc>
        <w:tc>
          <w:tcPr>
            <w:tcW w:w="140" w:type="dxa"/>
            <w:vAlign w:val="bottom"/>
          </w:tcPr>
          <w:p>
            <w:pPr>
              <w:spacing w:after="0"/>
              <w:rPr>
                <w:sz w:val="15"/>
                <w:szCs w:val="15"/>
                <w:color w:val="auto"/>
              </w:rPr>
            </w:pPr>
          </w:p>
        </w:tc>
        <w:tc>
          <w:tcPr>
            <w:tcW w:w="72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3.04%</w:t>
            </w:r>
          </w:p>
        </w:tc>
        <w:tc>
          <w:tcPr>
            <w:tcW w:w="120" w:type="dxa"/>
            <w:vAlign w:val="bottom"/>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32</w:t>
            </w:r>
          </w:p>
        </w:tc>
        <w:tc>
          <w:tcPr>
            <w:tcW w:w="100" w:type="dxa"/>
            <w:vAlign w:val="bottom"/>
          </w:tcPr>
          <w:p>
            <w:pPr>
              <w:spacing w:after="0"/>
              <w:rPr>
                <w:sz w:val="15"/>
                <w:szCs w:val="15"/>
                <w:color w:val="auto"/>
              </w:rPr>
            </w:pPr>
          </w:p>
        </w:tc>
        <w:tc>
          <w:tcPr>
            <w:tcW w:w="600" w:type="dxa"/>
            <w:vAlign w:val="bottom"/>
            <w:tcBorders>
              <w:bottom w:val="single" w:sz="8" w:color="auto"/>
            </w:tcBorders>
          </w:tcPr>
          <w:p>
            <w:pPr>
              <w:jc w:val="center"/>
              <w:ind w:left="228"/>
              <w:spacing w:after="0"/>
              <w:rPr>
                <w:sz w:val="20"/>
                <w:szCs w:val="20"/>
                <w:color w:val="auto"/>
              </w:rPr>
            </w:pPr>
            <w:r>
              <w:rPr>
                <w:rFonts w:ascii="Arial" w:cs="Arial" w:eastAsia="Arial" w:hAnsi="Arial"/>
                <w:sz w:val="14"/>
                <w:szCs w:val="14"/>
                <w:color w:val="auto"/>
                <w:w w:val="92"/>
              </w:rPr>
              <w:t>11%</w:t>
            </w:r>
          </w:p>
        </w:tc>
        <w:tc>
          <w:tcPr>
            <w:tcW w:w="3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50"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60" w:lineRule="auto"/>
        <w:tabs>
          <w:tab w:leader="none" w:pos="660" w:val="left"/>
        </w:tabs>
        <w:numPr>
          <w:ilvl w:val="0"/>
          <w:numId w:val="20"/>
        </w:numPr>
        <w:rPr>
          <w:rFonts w:ascii="Arial" w:cs="Arial" w:eastAsia="Arial" w:hAnsi="Arial"/>
          <w:sz w:val="13"/>
          <w:szCs w:val="13"/>
          <w:color w:val="auto"/>
        </w:rPr>
      </w:pPr>
      <w:r>
        <w:rPr>
          <w:rFonts w:ascii="Arial" w:cs="Arial" w:eastAsia="Arial" w:hAnsi="Arial"/>
          <w:sz w:val="13"/>
          <w:szCs w:val="13"/>
          <w:color w:val="auto"/>
        </w:rPr>
        <w:t>See Note 1 of preceding table for specified pool composition. As of December 31, 2019, lower balance specified pools had a weighted average original loan balance of $115,000 and $118,000 for 15-year and 30-year securities, respectively, and HARP pools had a weighted average original LTV of 119% and 136% for 15-year and 30-year securities, respectively.</w:t>
      </w:r>
    </w:p>
    <w:p>
      <w:pPr>
        <w:ind w:left="660" w:hanging="328"/>
        <w:spacing w:after="0"/>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WAC represents the weighted average coupon of the underlying collateral.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2019.</w:t>
      </w:r>
    </w:p>
    <w:p>
      <w:pPr>
        <w:spacing w:after="0" w:line="15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of September 30, 2020 and December 31, 2019, our investments in CRT and non-Agency securities had the following credit ratings: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8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September 30, 2020</w:t>
            </w: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December 31, 2019</w:t>
            </w: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189"/>
        </w:trPr>
        <w:tc>
          <w:tcPr>
            <w:tcW w:w="4040" w:type="dxa"/>
            <w:vAlign w:val="bottom"/>
            <w:gridSpan w:val="2"/>
          </w:tcPr>
          <w:p>
            <w:pPr>
              <w:ind w:left="20"/>
              <w:spacing w:after="0" w:line="189" w:lineRule="exact"/>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18"/>
                <w:szCs w:val="18"/>
                <w:b w:val="1"/>
                <w:bCs w:val="1"/>
                <w:color w:val="auto"/>
                <w:vertAlign w:val="superscript"/>
              </w:rPr>
              <w:t>1</w:t>
            </w:r>
          </w:p>
        </w:tc>
        <w:tc>
          <w:tcPr>
            <w:tcW w:w="220" w:type="dxa"/>
            <w:vAlign w:val="bottom"/>
          </w:tcPr>
          <w:p>
            <w:pPr>
              <w:spacing w:after="0"/>
              <w:rPr>
                <w:sz w:val="16"/>
                <w:szCs w:val="16"/>
                <w:color w:val="auto"/>
              </w:rPr>
            </w:pPr>
          </w:p>
        </w:tc>
        <w:tc>
          <w:tcPr>
            <w:tcW w:w="880" w:type="dxa"/>
            <w:vAlign w:val="bottom"/>
          </w:tcPr>
          <w:p>
            <w:pPr>
              <w:jc w:val="right"/>
              <w:ind w:right="288"/>
              <w:spacing w:after="0" w:line="189" w:lineRule="exact"/>
              <w:rPr>
                <w:sz w:val="20"/>
                <w:szCs w:val="20"/>
                <w:color w:val="auto"/>
              </w:rPr>
            </w:pPr>
            <w:r>
              <w:rPr>
                <w:rFonts w:ascii="Arial" w:cs="Arial" w:eastAsia="Arial" w:hAnsi="Arial"/>
                <w:sz w:val="14"/>
                <w:szCs w:val="14"/>
                <w:b w:val="1"/>
                <w:bCs w:val="1"/>
                <w:color w:val="auto"/>
              </w:rPr>
              <w:t xml:space="preserve">CRT </w:t>
            </w:r>
            <w:r>
              <w:rPr>
                <w:rFonts w:ascii="Arial" w:cs="Arial" w:eastAsia="Arial" w:hAnsi="Arial"/>
                <w:sz w:val="18"/>
                <w:szCs w:val="18"/>
                <w:b w:val="1"/>
                <w:bCs w:val="1"/>
                <w:color w:val="auto"/>
                <w:vertAlign w:val="superscript"/>
              </w:rPr>
              <w:t>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rPr>
              <w:t>RMBS</w:t>
            </w:r>
          </w:p>
        </w:tc>
        <w:tc>
          <w:tcPr>
            <w:tcW w:w="22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ind w:right="288"/>
              <w:spacing w:after="0" w:line="189" w:lineRule="exact"/>
              <w:rPr>
                <w:sz w:val="20"/>
                <w:szCs w:val="20"/>
                <w:color w:val="auto"/>
              </w:rPr>
            </w:pPr>
            <w:r>
              <w:rPr>
                <w:rFonts w:ascii="Arial" w:cs="Arial" w:eastAsia="Arial" w:hAnsi="Arial"/>
                <w:sz w:val="14"/>
                <w:szCs w:val="14"/>
                <w:b w:val="1"/>
                <w:bCs w:val="1"/>
                <w:color w:val="auto"/>
              </w:rPr>
              <w:t xml:space="preserve">CRT </w:t>
            </w:r>
            <w:r>
              <w:rPr>
                <w:rFonts w:ascii="Arial" w:cs="Arial" w:eastAsia="Arial" w:hAnsi="Arial"/>
                <w:sz w:val="18"/>
                <w:szCs w:val="18"/>
                <w:b w:val="1"/>
                <w:bCs w:val="1"/>
                <w:color w:val="auto"/>
                <w:vertAlign w:val="superscript"/>
              </w:rPr>
              <w:t>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rPr>
              <w:t>RMBS</w:t>
            </w:r>
          </w:p>
        </w:tc>
        <w:tc>
          <w:tcPr>
            <w:tcW w:w="220" w:type="dxa"/>
            <w:vAlign w:val="bottom"/>
          </w:tcPr>
          <w:p>
            <w:pPr>
              <w:spacing w:after="0"/>
              <w:rPr>
                <w:sz w:val="16"/>
                <w:szCs w:val="16"/>
                <w:color w:val="auto"/>
              </w:rPr>
            </w:pPr>
          </w:p>
        </w:tc>
        <w:tc>
          <w:tcPr>
            <w:tcW w:w="880" w:type="dxa"/>
            <w:vAlign w:val="bottom"/>
          </w:tcPr>
          <w:p>
            <w:pPr>
              <w:jc w:val="right"/>
              <w:ind w:right="268"/>
              <w:spacing w:after="0"/>
              <w:rPr>
                <w:sz w:val="20"/>
                <w:szCs w:val="20"/>
                <w:color w:val="auto"/>
              </w:rPr>
            </w:pPr>
            <w:r>
              <w:rPr>
                <w:rFonts w:ascii="Arial" w:cs="Arial" w:eastAsia="Arial" w:hAnsi="Arial"/>
                <w:sz w:val="14"/>
                <w:szCs w:val="14"/>
                <w:b w:val="1"/>
                <w:bCs w:val="1"/>
                <w:color w:val="auto"/>
              </w:rPr>
              <w:t>CMBS</w:t>
            </w:r>
          </w:p>
        </w:tc>
      </w:tr>
      <w:tr>
        <w:trPr>
          <w:trHeight w:val="183"/>
        </w:trPr>
        <w:tc>
          <w:tcPr>
            <w:tcW w:w="38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AAA</w:t>
            </w:r>
          </w:p>
        </w:tc>
        <w:tc>
          <w:tcPr>
            <w:tcW w:w="2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2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w:t>
            </w:r>
          </w:p>
        </w:tc>
      </w:tr>
      <w:tr>
        <w:trPr>
          <w:trHeight w:val="186"/>
        </w:trPr>
        <w:tc>
          <w:tcPr>
            <w:tcW w:w="4040" w:type="dxa"/>
            <w:vAlign w:val="bottom"/>
            <w:gridSpan w:val="2"/>
          </w:tcPr>
          <w:p>
            <w:pPr>
              <w:ind w:left="20"/>
              <w:spacing w:after="0"/>
              <w:rPr>
                <w:sz w:val="20"/>
                <w:szCs w:val="20"/>
                <w:color w:val="auto"/>
              </w:rPr>
            </w:pPr>
            <w:r>
              <w:rPr>
                <w:rFonts w:ascii="Arial" w:cs="Arial" w:eastAsia="Arial" w:hAnsi="Arial"/>
                <w:sz w:val="14"/>
                <w:szCs w:val="14"/>
                <w:color w:val="auto"/>
              </w:rPr>
              <w:t>AA</w:t>
            </w: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181</w:t>
            </w: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214</w:t>
            </w:r>
          </w:p>
        </w:tc>
      </w:tr>
      <w:tr>
        <w:trPr>
          <w:trHeight w:val="192"/>
        </w:trPr>
        <w:tc>
          <w:tcPr>
            <w:tcW w:w="4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w:t>
            </w: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2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r>
      <w:tr>
        <w:trPr>
          <w:trHeight w:val="186"/>
        </w:trPr>
        <w:tc>
          <w:tcPr>
            <w:tcW w:w="4040" w:type="dxa"/>
            <w:vAlign w:val="bottom"/>
            <w:gridSpan w:val="2"/>
          </w:tcPr>
          <w:p>
            <w:pPr>
              <w:ind w:left="20"/>
              <w:spacing w:after="0"/>
              <w:rPr>
                <w:sz w:val="20"/>
                <w:szCs w:val="20"/>
                <w:color w:val="auto"/>
              </w:rPr>
            </w:pPr>
            <w:r>
              <w:rPr>
                <w:rFonts w:ascii="Arial" w:cs="Arial" w:eastAsia="Arial" w:hAnsi="Arial"/>
                <w:sz w:val="14"/>
                <w:szCs w:val="14"/>
                <w:color w:val="auto"/>
              </w:rPr>
              <w:t>BBB</w:t>
            </w: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55</w:t>
            </w: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67</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69</w:t>
            </w:r>
          </w:p>
        </w:tc>
      </w:tr>
      <w:tr>
        <w:trPr>
          <w:trHeight w:val="192"/>
        </w:trPr>
        <w:tc>
          <w:tcPr>
            <w:tcW w:w="4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BB</w:t>
            </w: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2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r>
        <w:trPr>
          <w:trHeight w:val="186"/>
        </w:trPr>
        <w:tc>
          <w:tcPr>
            <w:tcW w:w="4040" w:type="dxa"/>
            <w:vAlign w:val="bottom"/>
            <w:gridSpan w:val="2"/>
          </w:tcPr>
          <w:p>
            <w:pPr>
              <w:ind w:left="20"/>
              <w:spacing w:after="0"/>
              <w:rPr>
                <w:sz w:val="20"/>
                <w:szCs w:val="20"/>
                <w:color w:val="auto"/>
              </w:rPr>
            </w:pPr>
            <w:r>
              <w:rPr>
                <w:rFonts w:ascii="Arial" w:cs="Arial" w:eastAsia="Arial" w:hAnsi="Arial"/>
                <w:sz w:val="14"/>
                <w:szCs w:val="14"/>
                <w:color w:val="auto"/>
              </w:rPr>
              <w:t>B</w:t>
            </w: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252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w:t>
            </w:r>
          </w:p>
        </w:tc>
        <w:tc>
          <w:tcPr>
            <w:tcW w:w="2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308</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40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Not Rated</w:t>
            </w: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3"/>
        </w:trPr>
        <w:tc>
          <w:tcPr>
            <w:tcW w:w="4040" w:type="dxa"/>
            <w:vAlign w:val="bottom"/>
            <w:gridSpan w:val="2"/>
          </w:tcPr>
          <w:p>
            <w:pPr>
              <w:ind w:left="20"/>
              <w:spacing w:after="0"/>
              <w:rPr>
                <w:sz w:val="20"/>
                <w:szCs w:val="20"/>
                <w:color w:val="auto"/>
              </w:rPr>
            </w:pPr>
            <w:r>
              <w:rPr>
                <w:rFonts w:ascii="Arial" w:cs="Arial" w:eastAsia="Arial" w:hAnsi="Arial"/>
                <w:sz w:val="14"/>
                <w:szCs w:val="14"/>
                <w:color w:val="auto"/>
              </w:rPr>
              <w:t>Total</w:t>
            </w: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653</w:t>
            </w:r>
          </w:p>
        </w:tc>
        <w:tc>
          <w:tcPr>
            <w:tcW w:w="100" w:type="dxa"/>
            <w:vAlign w:val="bottom"/>
          </w:tcPr>
          <w:p>
            <w:pPr>
              <w:spacing w:after="0"/>
              <w:rPr>
                <w:sz w:val="15"/>
                <w:szCs w:val="15"/>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177</w:t>
            </w:r>
          </w:p>
        </w:tc>
        <w:tc>
          <w:tcPr>
            <w:tcW w:w="100" w:type="dxa"/>
            <w:vAlign w:val="bottom"/>
          </w:tcPr>
          <w:p>
            <w:pPr>
              <w:spacing w:after="0"/>
              <w:rPr>
                <w:sz w:val="15"/>
                <w:szCs w:val="15"/>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335</w:t>
            </w:r>
          </w:p>
        </w:tc>
        <w:tc>
          <w:tcPr>
            <w:tcW w:w="200" w:type="dxa"/>
            <w:vAlign w:val="bottom"/>
          </w:tcPr>
          <w:p>
            <w:pPr>
              <w:spacing w:after="0"/>
              <w:rPr>
                <w:sz w:val="15"/>
                <w:szCs w:val="15"/>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976</w:t>
            </w:r>
          </w:p>
        </w:tc>
        <w:tc>
          <w:tcPr>
            <w:tcW w:w="100" w:type="dxa"/>
            <w:vAlign w:val="bottom"/>
          </w:tcPr>
          <w:p>
            <w:pPr>
              <w:spacing w:after="0"/>
              <w:rPr>
                <w:sz w:val="15"/>
                <w:szCs w:val="15"/>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209</w:t>
            </w:r>
          </w:p>
        </w:tc>
        <w:tc>
          <w:tcPr>
            <w:tcW w:w="100" w:type="dxa"/>
            <w:vAlign w:val="bottom"/>
          </w:tcPr>
          <w:p>
            <w:pPr>
              <w:spacing w:after="0"/>
              <w:rPr>
                <w:sz w:val="15"/>
                <w:szCs w:val="15"/>
                <w:color w:val="auto"/>
              </w:rPr>
            </w:pPr>
          </w:p>
        </w:tc>
        <w:tc>
          <w:tcPr>
            <w:tcW w:w="2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370</w:t>
            </w:r>
          </w:p>
        </w:tc>
      </w:tr>
      <w:tr>
        <w:trPr>
          <w:trHeight w:val="20"/>
        </w:trPr>
        <w:tc>
          <w:tcPr>
            <w:tcW w:w="3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right="20" w:hanging="328"/>
        <w:spacing w:after="0" w:line="241" w:lineRule="auto"/>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ind w:left="660" w:hanging="328"/>
        <w:spacing w:after="0" w:line="255" w:lineRule="auto"/>
        <w:tabs>
          <w:tab w:leader="none" w:pos="6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CRT securities reference the performance of loans underlying Agency RMBS issued by Fannie Mae or Freddie Mac, each of which were subject to Fannie Mae and Freddie Mac's underwriting standards.</w:t>
      </w: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9"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33" w:lineRule="exact"/>
        <w:rPr>
          <w:sz w:val="20"/>
          <w:szCs w:val="20"/>
          <w:color w:val="auto"/>
        </w:rPr>
      </w:pPr>
    </w:p>
    <w:p>
      <w:pPr>
        <w:jc w:val="both"/>
        <w:ind w:firstLine="486"/>
        <w:spacing w:after="0" w:line="296" w:lineRule="auto"/>
        <w:rPr>
          <w:sz w:val="20"/>
          <w:szCs w:val="20"/>
          <w:color w:val="auto"/>
        </w:rPr>
      </w:pPr>
      <w:r>
        <w:rPr>
          <w:rFonts w:ascii="Arial" w:cs="Arial" w:eastAsia="Arial" w:hAnsi="Arial"/>
          <w:sz w:val="16"/>
          <w:szCs w:val="16"/>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 and interest rate swap periodic income/(cost). "Net spread and dollar roll income, excluding "catch-up" premium amortization" includes (i) the components of economic interest income and economic interest expense and other interest and dividend income (referred to as "adjusted net interest and dollar roll income"), less (ii) total operating expenses (GAAP measure).</w:t>
      </w:r>
    </w:p>
    <w:p>
      <w:pPr>
        <w:spacing w:after="0" w:line="107"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33" w:lineRule="exact"/>
        <w:rPr>
          <w:sz w:val="20"/>
          <w:szCs w:val="20"/>
          <w:color w:val="auto"/>
        </w:rPr>
      </w:pPr>
    </w:p>
    <w:p>
      <w:pPr>
        <w:jc w:val="both"/>
        <w:ind w:firstLine="486"/>
        <w:spacing w:after="0" w:line="269" w:lineRule="auto"/>
        <w:rPr>
          <w:sz w:val="20"/>
          <w:szCs w:val="20"/>
          <w:color w:val="auto"/>
        </w:rPr>
      </w:pPr>
      <w:r>
        <w:rPr>
          <w:rFonts w:ascii="Arial" w:cs="Arial" w:eastAsia="Arial" w:hAnsi="Arial"/>
          <w:sz w:val="17"/>
          <w:szCs w:val="17"/>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we are required to distribute to maintain our REIT qualification status.</w:t>
      </w:r>
    </w:p>
    <w:p>
      <w:pPr>
        <w:spacing w:after="0" w:line="131"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Selected Financial Data</w:t>
      </w:r>
    </w:p>
    <w:p>
      <w:pPr>
        <w:spacing w:after="0" w:line="252"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The following selected financial data is derived from our interim consolidated financial statements and the notes thereto. The tables below present our condensed consolidated balance sheets as of September 30, 2020 and December 31, 2019 and our condensed consolidated statements of comprehensive income and key statistics for the three and nine months ended September 30, 2020 and 2019 (in millions, except per share amounts):</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6460" w:type="dxa"/>
            <w:vAlign w:val="bottom"/>
            <w:gridSpan w:val="2"/>
          </w:tcPr>
          <w:p>
            <w:pPr>
              <w:ind w:left="20"/>
              <w:spacing w:after="0"/>
              <w:rPr>
                <w:sz w:val="20"/>
                <w:szCs w:val="20"/>
                <w:color w:val="auto"/>
              </w:rPr>
            </w:pPr>
            <w:r>
              <w:rPr>
                <w:rFonts w:ascii="Arial" w:cs="Arial" w:eastAsia="Arial" w:hAnsi="Arial"/>
                <w:sz w:val="14"/>
                <w:szCs w:val="14"/>
                <w:b w:val="1"/>
                <w:bCs w:val="1"/>
                <w:color w:val="auto"/>
              </w:rPr>
              <w:t>($ in Millions, Except Per Share Amounts)</w:t>
            </w: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64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Balance Sheet Data</w:t>
            </w:r>
          </w:p>
        </w:tc>
        <w:tc>
          <w:tcPr>
            <w:tcW w:w="2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4"/>
          </w:tcPr>
          <w:p>
            <w:pPr>
              <w:jc w:val="right"/>
              <w:ind w:right="100"/>
              <w:spacing w:after="0" w:line="147" w:lineRule="exact"/>
              <w:rPr>
                <w:sz w:val="20"/>
                <w:szCs w:val="20"/>
                <w:color w:val="auto"/>
              </w:rPr>
            </w:pPr>
            <w:r>
              <w:rPr>
                <w:rFonts w:ascii="Arial" w:cs="Arial" w:eastAsia="Arial" w:hAnsi="Arial"/>
                <w:sz w:val="14"/>
                <w:szCs w:val="14"/>
                <w:b w:val="1"/>
                <w:bCs w:val="1"/>
                <w:color w:val="auto"/>
              </w:rPr>
              <w:t>September 30,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0" w:type="dxa"/>
            <w:vAlign w:val="bottom"/>
            <w:gridSpan w:val="4"/>
            <w:vMerge w:val="restart"/>
          </w:tcPr>
          <w:p>
            <w:pPr>
              <w:jc w:val="right"/>
              <w:ind w:right="39"/>
              <w:spacing w:after="0"/>
              <w:rPr>
                <w:sz w:val="20"/>
                <w:szCs w:val="20"/>
                <w:color w:val="auto"/>
              </w:rPr>
            </w:pPr>
            <w:r>
              <w:rPr>
                <w:rFonts w:ascii="Arial" w:cs="Arial" w:eastAsia="Arial" w:hAnsi="Arial"/>
                <w:sz w:val="14"/>
                <w:szCs w:val="14"/>
                <w:b w:val="1"/>
                <w:bCs w:val="1"/>
                <w:color w:val="auto"/>
                <w:w w:val="99"/>
              </w:rPr>
              <w:t>December 31, 2019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6460" w:type="dxa"/>
            <w:vAlign w:val="bottom"/>
            <w:tcBorders>
              <w:bottom w:val="single" w:sz="8" w:color="auto"/>
            </w:tcBorders>
            <w:gridSpan w:val="2"/>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0" w:type="dxa"/>
            <w:vAlign w:val="bottom"/>
            <w:tcBorders>
              <w:bottom w:val="single" w:sz="8" w:color="auto"/>
            </w:tcBorders>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20" w:type="dxa"/>
            <w:vAlign w:val="bottom"/>
            <w:gridSpan w:val="7"/>
          </w:tcPr>
          <w:p>
            <w:pPr>
              <w:ind w:left="100"/>
              <w:spacing w:after="0"/>
              <w:rPr>
                <w:sz w:val="20"/>
                <w:szCs w:val="20"/>
                <w:color w:val="auto"/>
              </w:rPr>
            </w:pPr>
            <w:r>
              <w:rPr>
                <w:rFonts w:ascii="Arial" w:cs="Arial" w:eastAsia="Arial" w:hAnsi="Arial"/>
                <w:sz w:val="16"/>
                <w:szCs w:val="16"/>
                <w:color w:val="auto"/>
              </w:rPr>
              <w:t>(Unaudited)</w:t>
            </w: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64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Investment securities, at fair value</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680" w:type="dxa"/>
            <w:vAlign w:val="bottom"/>
            <w:gridSpan w:val="3"/>
            <w:shd w:val="clear" w:color="auto" w:fill="CCEEFF"/>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5"/>
              </w:rPr>
              <w:t>68,044</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100,442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6460" w:type="dxa"/>
            <w:vAlign w:val="bottom"/>
            <w:gridSpan w:val="2"/>
          </w:tcPr>
          <w:p>
            <w:pPr>
              <w:ind w:left="20"/>
              <w:spacing w:after="0"/>
              <w:rPr>
                <w:sz w:val="20"/>
                <w:szCs w:val="20"/>
                <w:color w:val="auto"/>
              </w:rPr>
            </w:pPr>
            <w:r>
              <w:rPr>
                <w:rFonts w:ascii="Arial" w:cs="Arial" w:eastAsia="Arial" w:hAnsi="Arial"/>
                <w:sz w:val="16"/>
                <w:szCs w:val="16"/>
                <w:color w:val="auto"/>
              </w:rPr>
              <w:t>Total assets</w:t>
            </w: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w w:val="85"/>
              </w:rPr>
              <w:t>79,968</w:t>
            </w:r>
          </w:p>
        </w:tc>
        <w:tc>
          <w:tcPr>
            <w:tcW w:w="380" w:type="dxa"/>
            <w:vAlign w:val="bottom"/>
            <w:gridSpan w:val="3"/>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113,082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64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Repurchase agreements and other debt</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680" w:type="dxa"/>
            <w:vAlign w:val="bottom"/>
            <w:gridSpan w:val="3"/>
            <w:shd w:val="clear" w:color="auto" w:fill="CCEEFF"/>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5"/>
              </w:rPr>
              <w:t>54,758</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89,410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6460" w:type="dxa"/>
            <w:vAlign w:val="bottom"/>
            <w:gridSpan w:val="2"/>
          </w:tcPr>
          <w:p>
            <w:pPr>
              <w:ind w:left="20"/>
              <w:spacing w:after="0"/>
              <w:rPr>
                <w:sz w:val="20"/>
                <w:szCs w:val="20"/>
                <w:color w:val="auto"/>
              </w:rPr>
            </w:pPr>
            <w:r>
              <w:rPr>
                <w:rFonts w:ascii="Arial" w:cs="Arial" w:eastAsia="Arial" w:hAnsi="Arial"/>
                <w:sz w:val="16"/>
                <w:szCs w:val="16"/>
                <w:color w:val="auto"/>
              </w:rPr>
              <w:t>Total liabilities</w:t>
            </w: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w w:val="85"/>
              </w:rPr>
              <w:t>69,248</w:t>
            </w:r>
          </w:p>
        </w:tc>
        <w:tc>
          <w:tcPr>
            <w:tcW w:w="380" w:type="dxa"/>
            <w:vAlign w:val="bottom"/>
            <w:gridSpan w:val="3"/>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102,041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64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stockholders' equity</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680" w:type="dxa"/>
            <w:vAlign w:val="bottom"/>
            <w:gridSpan w:val="3"/>
            <w:shd w:val="clear" w:color="auto" w:fill="CCEEFF"/>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5"/>
              </w:rPr>
              <w:t>10,720</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gridSpan w:val="2"/>
          </w:tcPr>
          <w:p>
            <w:pPr>
              <w:ind w:left="20"/>
              <w:spacing w:after="0" w:line="216" w:lineRule="exact"/>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1"/>
                <w:szCs w:val="21"/>
                <w:color w:val="auto"/>
                <w:vertAlign w:val="superscript"/>
              </w:rPr>
              <w:t>1</w:t>
            </w: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16.84</w:t>
            </w:r>
          </w:p>
        </w:tc>
        <w:tc>
          <w:tcPr>
            <w:tcW w:w="380" w:type="dxa"/>
            <w:vAlign w:val="bottom"/>
            <w:gridSpan w:val="3"/>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gridSpan w:val="2"/>
            <w:shd w:val="clear" w:color="auto" w:fill="CCEEFF"/>
          </w:tcPr>
          <w:p>
            <w:pPr>
              <w:ind w:left="20"/>
              <w:spacing w:after="0" w:line="216" w:lineRule="exact"/>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1"/>
                <w:szCs w:val="21"/>
                <w:color w:val="auto"/>
                <w:vertAlign w:val="superscript"/>
              </w:rPr>
              <w:t>2</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268"/>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15.88</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6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20" w:type="dxa"/>
            <w:vAlign w:val="bottom"/>
            <w:gridSpan w:val="6"/>
          </w:tcPr>
          <w:p>
            <w:pPr>
              <w:jc w:val="right"/>
              <w:ind w:right="408"/>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20" w:type="dxa"/>
            <w:vAlign w:val="bottom"/>
            <w:gridSpan w:val="7"/>
          </w:tcPr>
          <w:p>
            <w:pPr>
              <w:jc w:val="right"/>
              <w:ind w:right="359"/>
              <w:spacing w:after="0"/>
              <w:rPr>
                <w:sz w:val="20"/>
                <w:szCs w:val="20"/>
                <w:color w:val="auto"/>
              </w:rPr>
            </w:pPr>
            <w:r>
              <w:rPr>
                <w:rFonts w:ascii="Arial" w:cs="Arial" w:eastAsia="Arial" w:hAnsi="Arial"/>
                <w:sz w:val="14"/>
                <w:szCs w:val="14"/>
                <w:b w:val="1"/>
                <w:bCs w:val="1"/>
                <w:color w:val="auto"/>
              </w:rPr>
              <w:t>Nine Months Ended</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6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5"/>
          </w:tcPr>
          <w:p>
            <w:pPr>
              <w:jc w:val="right"/>
              <w:ind w:right="539"/>
              <w:spacing w:after="0"/>
              <w:rPr>
                <w:sz w:val="20"/>
                <w:szCs w:val="20"/>
                <w:color w:val="auto"/>
              </w:rPr>
            </w:pPr>
            <w:r>
              <w:rPr>
                <w:rFonts w:ascii="Arial" w:cs="Arial" w:eastAsia="Arial" w:hAnsi="Arial"/>
                <w:sz w:val="14"/>
                <w:szCs w:val="14"/>
                <w:b w:val="1"/>
                <w:bCs w:val="1"/>
                <w:color w:val="auto"/>
                <w:w w:val="89"/>
              </w:rPr>
              <w:t>September 30,</w:t>
            </w: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63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Statement of Comprehensive Income Data (Unaudited)</w:t>
            </w: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gridSpan w:val="3"/>
          </w:tcPr>
          <w:p>
            <w:pPr>
              <w:jc w:val="right"/>
              <w:ind w:right="328"/>
              <w:spacing w:after="0"/>
              <w:rPr>
                <w:sz w:val="20"/>
                <w:szCs w:val="20"/>
                <w:color w:val="auto"/>
              </w:rPr>
            </w:pPr>
            <w:r>
              <w:rPr>
                <w:rFonts w:ascii="Arial" w:cs="Arial" w:eastAsia="Arial" w:hAnsi="Arial"/>
                <w:sz w:val="14"/>
                <w:szCs w:val="14"/>
                <w:b w:val="1"/>
                <w:bCs w:val="1"/>
                <w:color w:val="auto"/>
                <w:w w:val="83"/>
              </w:rPr>
              <w:t>2019</w:t>
            </w: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1"/>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364</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shd w:val="clear" w:color="auto" w:fill="CCEEFF"/>
          </w:tcPr>
          <w:p>
            <w:pPr>
              <w:jc w:val="right"/>
              <w:spacing w:after="0"/>
              <w:rPr>
                <w:sz w:val="20"/>
                <w:szCs w:val="20"/>
                <w:color w:val="auto"/>
              </w:rPr>
            </w:pPr>
            <w:r>
              <w:rPr>
                <w:rFonts w:ascii="Arial" w:cs="Arial" w:eastAsia="Arial" w:hAnsi="Arial"/>
                <w:sz w:val="16"/>
                <w:szCs w:val="16"/>
                <w:color w:val="auto"/>
              </w:rPr>
              <w:t>676</w:t>
            </w:r>
          </w:p>
        </w:tc>
        <w:tc>
          <w:tcPr>
            <w:tcW w:w="380" w:type="dxa"/>
            <w:vAlign w:val="bottom"/>
            <w:gridSpan w:val="2"/>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840" w:type="dxa"/>
            <w:vAlign w:val="bottom"/>
            <w:gridSpan w:val="4"/>
            <w:shd w:val="clear" w:color="auto" w:fill="CCEEFF"/>
          </w:tcPr>
          <w:p>
            <w:pPr>
              <w:jc w:val="right"/>
              <w:ind w:right="8"/>
              <w:spacing w:after="0"/>
              <w:rPr>
                <w:sz w:val="20"/>
                <w:szCs w:val="20"/>
                <w:color w:val="auto"/>
              </w:rPr>
            </w:pPr>
            <w:r>
              <w:rPr>
                <w:rFonts w:ascii="Arial" w:cs="Arial" w:eastAsia="Arial" w:hAnsi="Arial"/>
                <w:sz w:val="16"/>
                <w:szCs w:val="16"/>
                <w:color w:val="auto"/>
              </w:rPr>
              <w:t>1,284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2,074</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480" w:type="dxa"/>
            <w:vAlign w:val="bottom"/>
            <w:tcBorders>
              <w:bottom w:val="single" w:sz="8" w:color="CCEEFF"/>
            </w:tcBorders>
            <w:gridSpan w:val="3"/>
          </w:tcPr>
          <w:p>
            <w:pPr>
              <w:ind w:left="20"/>
              <w:spacing w:after="0"/>
              <w:rPr>
                <w:sz w:val="20"/>
                <w:szCs w:val="20"/>
                <w:color w:val="auto"/>
              </w:rPr>
            </w:pPr>
            <w:r>
              <w:rPr>
                <w:rFonts w:ascii="Arial" w:cs="Arial" w:eastAsia="Arial" w:hAnsi="Arial"/>
                <w:sz w:val="14"/>
                <w:szCs w:val="14"/>
                <w:color w:val="auto"/>
              </w:rPr>
              <w:t>Interest expense</w:t>
            </w: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w:t>
            </w:r>
          </w:p>
        </w:tc>
        <w:tc>
          <w:tcPr>
            <w:tcW w:w="120" w:type="dxa"/>
            <w:vAlign w:val="bottom"/>
            <w:tcBorders>
              <w:bottom w:val="single" w:sz="8" w:color="CCEEFF"/>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557</w:t>
            </w:r>
          </w:p>
        </w:tc>
        <w:tc>
          <w:tcPr>
            <w:tcW w:w="1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6"/>
                <w:szCs w:val="16"/>
                <w:color w:val="auto"/>
              </w:rPr>
              <w:t>622</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1,668</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302</w:t>
            </w:r>
          </w:p>
        </w:tc>
        <w:tc>
          <w:tcPr>
            <w:tcW w:w="12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119</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gridSpan w:val="3"/>
            <w:shd w:val="clear" w:color="auto" w:fill="CCEEFF"/>
          </w:tcPr>
          <w:p>
            <w:pPr>
              <w:jc w:val="right"/>
              <w:ind w:right="8"/>
              <w:spacing w:after="0"/>
              <w:rPr>
                <w:sz w:val="20"/>
                <w:szCs w:val="20"/>
                <w:color w:val="auto"/>
              </w:rPr>
            </w:pPr>
            <w:r>
              <w:rPr>
                <w:rFonts w:ascii="Arial" w:cs="Arial" w:eastAsia="Arial" w:hAnsi="Arial"/>
                <w:sz w:val="16"/>
                <w:szCs w:val="16"/>
                <w:color w:val="auto"/>
              </w:rPr>
              <w:t>662</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406</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Other gain (loss), net</w:t>
            </w: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381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(104)</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(1,635)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12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gridSpan w:val="3"/>
            <w:shd w:val="clear" w:color="auto" w:fill="CCEEFF"/>
          </w:tcPr>
          <w:p>
            <w:pPr>
              <w:jc w:val="right"/>
              <w:ind w:right="8"/>
              <w:spacing w:after="0"/>
              <w:rPr>
                <w:sz w:val="20"/>
                <w:szCs w:val="20"/>
                <w:color w:val="auto"/>
              </w:rPr>
            </w:pPr>
            <w:r>
              <w:rPr>
                <w:rFonts w:ascii="Arial" w:cs="Arial" w:eastAsia="Arial" w:hAnsi="Arial"/>
                <w:sz w:val="16"/>
                <w:szCs w:val="16"/>
                <w:color w:val="auto"/>
              </w:rPr>
              <w:t>68</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Net income (loss)</w:t>
            </w: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662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(1,041)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gridSpan w:val="3"/>
            <w:shd w:val="clear" w:color="auto" w:fill="CCEEFF"/>
          </w:tcPr>
          <w:p>
            <w:pPr>
              <w:jc w:val="right"/>
              <w:ind w:right="8"/>
              <w:spacing w:after="0"/>
              <w:rPr>
                <w:sz w:val="20"/>
                <w:szCs w:val="20"/>
                <w:color w:val="auto"/>
              </w:rPr>
            </w:pPr>
            <w:r>
              <w:rPr>
                <w:rFonts w:ascii="Arial" w:cs="Arial" w:eastAsia="Arial" w:hAnsi="Arial"/>
                <w:sz w:val="16"/>
                <w:szCs w:val="16"/>
                <w:color w:val="auto"/>
              </w:rPr>
              <w:t>71</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637</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(17)</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(1,112)</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6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6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Net income (loss)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662</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(4)</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(1,041)</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Other comprehensive income, net</w:t>
            </w: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w:t>
            </w:r>
          </w:p>
        </w:tc>
        <w:tc>
          <w:tcPr>
            <w:tcW w:w="12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246</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gridSpan w:val="3"/>
            <w:shd w:val="clear" w:color="auto" w:fill="CCEEFF"/>
          </w:tcPr>
          <w:p>
            <w:pPr>
              <w:jc w:val="right"/>
              <w:ind w:right="8"/>
              <w:spacing w:after="0"/>
              <w:rPr>
                <w:sz w:val="20"/>
                <w:szCs w:val="20"/>
                <w:color w:val="auto"/>
              </w:rPr>
            </w:pPr>
            <w:r>
              <w:rPr>
                <w:rFonts w:ascii="Arial" w:cs="Arial" w:eastAsia="Arial" w:hAnsi="Arial"/>
                <w:sz w:val="16"/>
                <w:szCs w:val="16"/>
                <w:color w:val="auto"/>
              </w:rPr>
              <w:t>737</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1,025</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Comprehensive income (loss)</w:t>
            </w: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732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242</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80" w:type="dxa"/>
            <w:vAlign w:val="bottom"/>
            <w:gridSpan w:val="3"/>
          </w:tcPr>
          <w:p>
            <w:pPr>
              <w:jc w:val="right"/>
              <w:spacing w:after="0"/>
              <w:rPr>
                <w:sz w:val="20"/>
                <w:szCs w:val="20"/>
                <w:color w:val="auto"/>
              </w:rPr>
            </w:pPr>
            <w:r>
              <w:rPr>
                <w:rFonts w:ascii="Arial" w:cs="Arial" w:eastAsia="Arial" w:hAnsi="Arial"/>
                <w:sz w:val="16"/>
                <w:szCs w:val="16"/>
                <w:color w:val="auto"/>
                <w:w w:val="85"/>
              </w:rPr>
              <w:t>(304)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842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80" w:type="dxa"/>
            <w:vAlign w:val="bottom"/>
            <w:gridSpan w:val="3"/>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12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12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gridSpan w:val="3"/>
            <w:shd w:val="clear" w:color="auto" w:fill="CCEEFF"/>
          </w:tcPr>
          <w:p>
            <w:pPr>
              <w:jc w:val="right"/>
              <w:ind w:right="8"/>
              <w:spacing w:after="0"/>
              <w:rPr>
                <w:sz w:val="20"/>
                <w:szCs w:val="20"/>
                <w:color w:val="auto"/>
              </w:rPr>
            </w:pPr>
            <w:r>
              <w:rPr>
                <w:rFonts w:ascii="Arial" w:cs="Arial" w:eastAsia="Arial" w:hAnsi="Arial"/>
                <w:sz w:val="16"/>
                <w:szCs w:val="16"/>
                <w:color w:val="auto"/>
              </w:rPr>
              <w:t>71</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707</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229</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380" w:type="dxa"/>
            <w:vAlign w:val="bottom"/>
            <w:gridSpan w:val="3"/>
          </w:tcPr>
          <w:p>
            <w:pPr>
              <w:jc w:val="right"/>
              <w:spacing w:after="0"/>
              <w:rPr>
                <w:sz w:val="20"/>
                <w:szCs w:val="20"/>
                <w:color w:val="auto"/>
              </w:rPr>
            </w:pPr>
            <w:r>
              <w:rPr>
                <w:rFonts w:ascii="Arial" w:cs="Arial" w:eastAsia="Arial" w:hAnsi="Arial"/>
                <w:sz w:val="16"/>
                <w:szCs w:val="16"/>
                <w:color w:val="auto"/>
                <w:w w:val="85"/>
              </w:rPr>
              <w:t>(375)</w:t>
            </w:r>
          </w:p>
        </w:tc>
        <w:tc>
          <w:tcPr>
            <w:tcW w:w="10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806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6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shd w:val="clear" w:color="auto" w:fill="CCEEFF"/>
          </w:tcPr>
          <w:p>
            <w:pPr>
              <w:spacing w:after="0"/>
              <w:rPr>
                <w:sz w:val="19"/>
                <w:szCs w:val="19"/>
                <w:color w:val="auto"/>
              </w:rPr>
            </w:pPr>
          </w:p>
        </w:tc>
        <w:tc>
          <w:tcPr>
            <w:tcW w:w="6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553.2</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546.4</w:t>
            </w:r>
          </w:p>
        </w:tc>
        <w:tc>
          <w:tcPr>
            <w:tcW w:w="1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gridSpan w:val="4"/>
          </w:tcPr>
          <w:p>
            <w:pPr>
              <w:jc w:val="right"/>
              <w:ind w:right="8"/>
              <w:spacing w:after="0"/>
              <w:rPr>
                <w:sz w:val="20"/>
                <w:szCs w:val="20"/>
                <w:color w:val="auto"/>
              </w:rPr>
            </w:pPr>
            <w:r>
              <w:rPr>
                <w:rFonts w:ascii="Arial" w:cs="Arial" w:eastAsia="Arial" w:hAnsi="Arial"/>
                <w:sz w:val="16"/>
                <w:szCs w:val="16"/>
                <w:color w:val="auto"/>
              </w:rPr>
              <w:t>553.8</w:t>
            </w:r>
          </w:p>
        </w:tc>
        <w:tc>
          <w:tcPr>
            <w:tcW w:w="1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540.3</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6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64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6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554.3</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546.4</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spacing w:after="0"/>
              <w:rPr>
                <w:sz w:val="20"/>
                <w:szCs w:val="20"/>
                <w:color w:val="auto"/>
              </w:rPr>
            </w:pPr>
          </w:p>
        </w:tc>
        <w:tc>
          <w:tcPr>
            <w:tcW w:w="840" w:type="dxa"/>
            <w:vAlign w:val="bottom"/>
            <w:tcBorders>
              <w:bottom w:val="single" w:sz="8" w:color="auto"/>
            </w:tcBorders>
            <w:gridSpan w:val="4"/>
            <w:shd w:val="clear" w:color="auto" w:fill="CCEEFF"/>
          </w:tcPr>
          <w:p>
            <w:pPr>
              <w:jc w:val="right"/>
              <w:ind w:right="8"/>
              <w:spacing w:after="0"/>
              <w:rPr>
                <w:sz w:val="20"/>
                <w:szCs w:val="20"/>
                <w:color w:val="auto"/>
              </w:rPr>
            </w:pPr>
            <w:r>
              <w:rPr>
                <w:rFonts w:ascii="Arial" w:cs="Arial" w:eastAsia="Arial" w:hAnsi="Arial"/>
                <w:sz w:val="16"/>
                <w:szCs w:val="16"/>
                <w:color w:val="auto"/>
              </w:rPr>
              <w:t>553.8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540.3</w:t>
            </w:r>
          </w:p>
        </w:tc>
        <w:tc>
          <w:tcPr>
            <w:tcW w:w="20" w:type="dxa"/>
            <w:vAlign w:val="bottom"/>
            <w:tcBorders>
              <w:bottom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38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gridSpan w:val="3"/>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gridSpan w:val="4"/>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1.15</w:t>
            </w:r>
          </w:p>
        </w:tc>
        <w:tc>
          <w:tcPr>
            <w:tcW w:w="120" w:type="dxa"/>
            <w:vAlign w:val="bottom"/>
          </w:tcPr>
          <w:p>
            <w:pPr>
              <w:spacing w:after="0"/>
              <w:rPr>
                <w:sz w:val="16"/>
                <w:szCs w:val="16"/>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(0.03)</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(2.01)</w:t>
            </w:r>
          </w:p>
        </w:tc>
        <w:tc>
          <w:tcPr>
            <w:tcW w:w="100" w:type="dxa"/>
            <w:vAlign w:val="bottom"/>
          </w:tcPr>
          <w:p>
            <w:pPr>
              <w:spacing w:after="0"/>
              <w:rPr>
                <w:sz w:val="16"/>
                <w:szCs w:val="16"/>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(0.41)</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6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4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1.15</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(0.03)</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(2.01)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(0.41)</w:t>
            </w:r>
          </w:p>
        </w:tc>
        <w:tc>
          <w:tcPr>
            <w:tcW w:w="20" w:type="dxa"/>
            <w:vAlign w:val="bottom"/>
            <w:tcBorders>
              <w:bottom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3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gridSpan w:val="4"/>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Comprehensive income (loss) per common share - basic</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1.28</w:t>
            </w:r>
          </w:p>
        </w:tc>
        <w:tc>
          <w:tcPr>
            <w:tcW w:w="120" w:type="dxa"/>
            <w:vAlign w:val="bottom"/>
          </w:tcPr>
          <w:p>
            <w:pPr>
              <w:spacing w:after="0"/>
              <w:rPr>
                <w:sz w:val="16"/>
                <w:szCs w:val="16"/>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0.42</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840" w:type="dxa"/>
            <w:vAlign w:val="bottom"/>
            <w:gridSpan w:val="4"/>
          </w:tcPr>
          <w:p>
            <w:pPr>
              <w:jc w:val="right"/>
              <w:spacing w:after="0"/>
              <w:rPr>
                <w:sz w:val="20"/>
                <w:szCs w:val="20"/>
                <w:color w:val="auto"/>
              </w:rPr>
            </w:pPr>
            <w:r>
              <w:rPr>
                <w:rFonts w:ascii="Arial" w:cs="Arial" w:eastAsia="Arial" w:hAnsi="Arial"/>
                <w:sz w:val="16"/>
                <w:szCs w:val="16"/>
                <w:color w:val="auto"/>
              </w:rPr>
              <w:t>(0.68)</w:t>
            </w:r>
          </w:p>
        </w:tc>
        <w:tc>
          <w:tcPr>
            <w:tcW w:w="100" w:type="dxa"/>
            <w:vAlign w:val="bottom"/>
          </w:tcPr>
          <w:p>
            <w:pPr>
              <w:spacing w:after="0"/>
              <w:rPr>
                <w:sz w:val="16"/>
                <w:szCs w:val="16"/>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1.49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63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4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Comprehensive income (loss) per common share - diluted</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1.28</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tcBorders>
              <w:bottom w:val="single" w:sz="8" w:color="auto"/>
            </w:tcBorders>
            <w:gridSpan w:val="3"/>
            <w:shd w:val="clear" w:color="auto" w:fill="CCEEFF"/>
          </w:tcPr>
          <w:p>
            <w:pPr>
              <w:jc w:val="right"/>
              <w:spacing w:after="0"/>
              <w:rPr>
                <w:sz w:val="20"/>
                <w:szCs w:val="20"/>
                <w:color w:val="auto"/>
              </w:rPr>
            </w:pPr>
            <w:r>
              <w:rPr>
                <w:rFonts w:ascii="Arial" w:cs="Arial" w:eastAsia="Arial" w:hAnsi="Arial"/>
                <w:sz w:val="16"/>
                <w:szCs w:val="16"/>
                <w:color w:val="auto"/>
              </w:rPr>
              <w:t>0.42</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6"/>
                <w:szCs w:val="16"/>
                <w:color w:val="auto"/>
              </w:rPr>
              <w:t>(0.68)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1.49</w:t>
            </w:r>
          </w:p>
        </w:tc>
        <w:tc>
          <w:tcPr>
            <w:tcW w:w="20" w:type="dxa"/>
            <w:vAlign w:val="bottom"/>
            <w:tcBorders>
              <w:bottom w:val="single" w:sz="8" w:color="auto"/>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3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480" w:type="dxa"/>
            <w:vAlign w:val="bottom"/>
            <w:gridSpan w:val="3"/>
          </w:tcPr>
          <w:p>
            <w:pPr>
              <w:ind w:left="20"/>
              <w:spacing w:after="0"/>
              <w:rPr>
                <w:sz w:val="20"/>
                <w:szCs w:val="20"/>
                <w:color w:val="auto"/>
              </w:rPr>
            </w:pPr>
            <w:r>
              <w:rPr>
                <w:rFonts w:ascii="Arial" w:cs="Arial" w:eastAsia="Arial" w:hAnsi="Arial"/>
                <w:sz w:val="14"/>
                <w:szCs w:val="14"/>
                <w:color w:val="auto"/>
              </w:rPr>
              <w:t>Dividends declared per common share</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0.36</w:t>
            </w:r>
          </w:p>
        </w:tc>
        <w:tc>
          <w:tcPr>
            <w:tcW w:w="120" w:type="dxa"/>
            <w:vAlign w:val="bottom"/>
          </w:tcPr>
          <w:p>
            <w:pPr>
              <w:spacing w:after="0"/>
              <w:rPr>
                <w:sz w:val="16"/>
                <w:szCs w:val="16"/>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680" w:type="dxa"/>
            <w:vAlign w:val="bottom"/>
            <w:gridSpan w:val="3"/>
          </w:tcPr>
          <w:p>
            <w:pPr>
              <w:jc w:val="right"/>
              <w:spacing w:after="0"/>
              <w:rPr>
                <w:sz w:val="20"/>
                <w:szCs w:val="20"/>
                <w:color w:val="auto"/>
              </w:rPr>
            </w:pPr>
            <w:r>
              <w:rPr>
                <w:rFonts w:ascii="Arial" w:cs="Arial" w:eastAsia="Arial" w:hAnsi="Arial"/>
                <w:sz w:val="16"/>
                <w:szCs w:val="16"/>
                <w:color w:val="auto"/>
              </w:rPr>
              <w:t>0.48</w:t>
            </w:r>
          </w:p>
        </w:tc>
        <w:tc>
          <w:tcPr>
            <w:tcW w:w="38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6"/>
                <w:szCs w:val="16"/>
                <w:color w:val="auto"/>
              </w:rPr>
            </w:pPr>
          </w:p>
        </w:tc>
        <w:tc>
          <w:tcPr>
            <w:tcW w:w="380" w:type="dxa"/>
            <w:vAlign w:val="bottom"/>
            <w:gridSpan w:val="3"/>
          </w:tcPr>
          <w:p>
            <w:pPr>
              <w:jc w:val="right"/>
              <w:ind w:right="8"/>
              <w:spacing w:after="0"/>
              <w:rPr>
                <w:sz w:val="20"/>
                <w:szCs w:val="20"/>
                <w:color w:val="auto"/>
              </w:rPr>
            </w:pPr>
            <w:r>
              <w:rPr>
                <w:rFonts w:ascii="Arial" w:cs="Arial" w:eastAsia="Arial" w:hAnsi="Arial"/>
                <w:sz w:val="16"/>
                <w:szCs w:val="16"/>
                <w:color w:val="auto"/>
                <w:w w:val="89"/>
              </w:rPr>
              <w:t>1.20</w:t>
            </w:r>
          </w:p>
        </w:tc>
        <w:tc>
          <w:tcPr>
            <w:tcW w:w="100" w:type="dxa"/>
            <w:vAlign w:val="bottom"/>
          </w:tcPr>
          <w:p>
            <w:pPr>
              <w:spacing w:after="0"/>
              <w:rPr>
                <w:sz w:val="16"/>
                <w:szCs w:val="16"/>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1.52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83185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927" w:right="359" w:bottom="1440" w:gutter="0" w:footer="0" w:header="0"/>
        </w:sectPr>
      </w:pPr>
    </w:p>
    <w:bookmarkStart w:id="32" w:name="page33"/>
    <w:bookmarkEnd w:id="32"/>
    <w:tbl>
      <w:tblPr>
        <w:tblLayout w:type="fixed"/>
        <w:tblInd w:w="40" w:type="dxa"/>
        <w:tblCellMar>
          <w:top w:w="0" w:type="dxa"/>
          <w:left w:w="0" w:type="dxa"/>
          <w:bottom w:w="0" w:type="dxa"/>
          <w:right w:w="0" w:type="dxa"/>
        </w:tblCellMar>
      </w:tblPr>
      <w:tr>
        <w:trPr>
          <w:trHeight w:val="161"/>
        </w:trPr>
        <w:tc>
          <w:tcPr>
            <w:tcW w:w="5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40" w:type="dxa"/>
            <w:vAlign w:val="bottom"/>
            <w:gridSpan w:val="5"/>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280" w:type="dxa"/>
            <w:vAlign w:val="bottom"/>
          </w:tcPr>
          <w:p>
            <w:pPr>
              <w:spacing w:after="0"/>
              <w:rPr>
                <w:sz w:val="14"/>
                <w:szCs w:val="14"/>
                <w:color w:val="auto"/>
              </w:rPr>
            </w:pPr>
          </w:p>
        </w:tc>
        <w:tc>
          <w:tcPr>
            <w:tcW w:w="2220" w:type="dxa"/>
            <w:vAlign w:val="bottom"/>
            <w:gridSpan w:val="4"/>
          </w:tcPr>
          <w:p>
            <w:pPr>
              <w:jc w:val="right"/>
              <w:ind w:right="480"/>
              <w:spacing w:after="0"/>
              <w:rPr>
                <w:sz w:val="20"/>
                <w:szCs w:val="20"/>
                <w:color w:val="auto"/>
              </w:rPr>
            </w:pPr>
            <w:r>
              <w:rPr>
                <w:rFonts w:ascii="Arial" w:cs="Arial" w:eastAsia="Arial" w:hAnsi="Arial"/>
                <w:sz w:val="14"/>
                <w:szCs w:val="14"/>
                <w:b w:val="1"/>
                <w:bCs w:val="1"/>
                <w:color w:val="auto"/>
              </w:rPr>
              <w:t>Nine Months Ended</w:t>
            </w:r>
          </w:p>
        </w:tc>
      </w:tr>
      <w:tr>
        <w:trPr>
          <w:trHeight w:val="186"/>
        </w:trPr>
        <w:tc>
          <w:tcPr>
            <w:tcW w:w="5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4"/>
          </w:tcPr>
          <w:p>
            <w:pPr>
              <w:jc w:val="right"/>
              <w:ind w:right="660"/>
              <w:spacing w:after="0"/>
              <w:rPr>
                <w:sz w:val="20"/>
                <w:szCs w:val="20"/>
                <w:color w:val="auto"/>
              </w:rPr>
            </w:pPr>
            <w:r>
              <w:rPr>
                <w:rFonts w:ascii="Arial" w:cs="Arial" w:eastAsia="Arial" w:hAnsi="Arial"/>
                <w:sz w:val="14"/>
                <w:szCs w:val="14"/>
                <w:b w:val="1"/>
                <w:bCs w:val="1"/>
                <w:color w:val="auto"/>
              </w:rPr>
              <w:t>September 30,</w:t>
            </w:r>
          </w:p>
        </w:tc>
      </w:tr>
      <w:tr>
        <w:trPr>
          <w:trHeight w:val="184"/>
        </w:trPr>
        <w:tc>
          <w:tcPr>
            <w:tcW w:w="59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Other Data (Unaudited) *</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w w:val="96"/>
              </w:rPr>
              <w:t>2019</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2019</w:t>
            </w:r>
          </w:p>
        </w:tc>
      </w:tr>
      <w:tr>
        <w:trPr>
          <w:trHeight w:val="211"/>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investment securities - at par</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61,398</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89,741</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75,108</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88,783</w:t>
            </w:r>
          </w:p>
        </w:tc>
      </w:tr>
      <w:tr>
        <w:trPr>
          <w:trHeight w:val="213"/>
        </w:trPr>
        <w:tc>
          <w:tcPr>
            <w:tcW w:w="6060" w:type="dxa"/>
            <w:vAlign w:val="bottom"/>
            <w:gridSpan w:val="2"/>
          </w:tcPr>
          <w:p>
            <w:pPr>
              <w:ind w:left="20"/>
              <w:spacing w:after="0"/>
              <w:rPr>
                <w:sz w:val="20"/>
                <w:szCs w:val="20"/>
                <w:color w:val="auto"/>
              </w:rPr>
            </w:pPr>
            <w:r>
              <w:rPr>
                <w:rFonts w:ascii="Arial" w:cs="Arial" w:eastAsia="Arial" w:hAnsi="Arial"/>
                <w:sz w:val="14"/>
                <w:szCs w:val="14"/>
                <w:color w:val="auto"/>
              </w:rPr>
              <w:t>Average investment securities - at cost</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122"/>
              <w:spacing w:after="0"/>
              <w:rPr>
                <w:sz w:val="20"/>
                <w:szCs w:val="20"/>
                <w:color w:val="auto"/>
              </w:rPr>
            </w:pPr>
            <w:r>
              <w:rPr>
                <w:rFonts w:ascii="Arial" w:cs="Arial" w:eastAsia="Arial" w:hAnsi="Arial"/>
                <w:sz w:val="16"/>
                <w:szCs w:val="16"/>
                <w:color w:val="auto"/>
              </w:rPr>
              <w:t>63,893</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120"/>
              <w:spacing w:after="0"/>
              <w:rPr>
                <w:sz w:val="20"/>
                <w:szCs w:val="20"/>
                <w:color w:val="auto"/>
              </w:rPr>
            </w:pPr>
            <w:r>
              <w:rPr>
                <w:rFonts w:ascii="Arial" w:cs="Arial" w:eastAsia="Arial" w:hAnsi="Arial"/>
                <w:sz w:val="16"/>
                <w:szCs w:val="16"/>
                <w:color w:val="auto"/>
              </w:rPr>
              <w:t>92,764</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22"/>
              <w:spacing w:after="0"/>
              <w:rPr>
                <w:sz w:val="20"/>
                <w:szCs w:val="20"/>
                <w:color w:val="auto"/>
              </w:rPr>
            </w:pPr>
            <w:r>
              <w:rPr>
                <w:rFonts w:ascii="Arial" w:cs="Arial" w:eastAsia="Arial" w:hAnsi="Arial"/>
                <w:sz w:val="16"/>
                <w:szCs w:val="16"/>
                <w:color w:val="auto"/>
              </w:rPr>
              <w:t>77,783</w:t>
            </w:r>
          </w:p>
        </w:tc>
        <w:tc>
          <w:tcPr>
            <w:tcW w:w="12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120"/>
              <w:spacing w:after="0"/>
              <w:rPr>
                <w:sz w:val="20"/>
                <w:szCs w:val="20"/>
                <w:color w:val="auto"/>
              </w:rPr>
            </w:pPr>
            <w:r>
              <w:rPr>
                <w:rFonts w:ascii="Arial" w:cs="Arial" w:eastAsia="Arial" w:hAnsi="Arial"/>
                <w:sz w:val="16"/>
                <w:szCs w:val="16"/>
                <w:color w:val="auto"/>
              </w:rPr>
              <w:t>91,736</w:t>
            </w:r>
          </w:p>
        </w:tc>
      </w:tr>
      <w:tr>
        <w:trPr>
          <w:trHeight w:val="219"/>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net TBA portfolio - at cost</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27,785</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10,146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17,017</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10,012</w:t>
            </w:r>
          </w:p>
        </w:tc>
      </w:tr>
      <w:tr>
        <w:trPr>
          <w:trHeight w:val="213"/>
        </w:trPr>
        <w:tc>
          <w:tcPr>
            <w:tcW w:w="6060" w:type="dxa"/>
            <w:vAlign w:val="bottom"/>
            <w:gridSpan w:val="2"/>
          </w:tcPr>
          <w:p>
            <w:pPr>
              <w:ind w:left="20"/>
              <w:spacing w:after="0"/>
              <w:rPr>
                <w:sz w:val="20"/>
                <w:szCs w:val="20"/>
                <w:color w:val="auto"/>
              </w:rPr>
            </w:pPr>
            <w:r>
              <w:rPr>
                <w:rFonts w:ascii="Arial" w:cs="Arial" w:eastAsia="Arial" w:hAnsi="Arial"/>
                <w:sz w:val="14"/>
                <w:szCs w:val="14"/>
                <w:color w:val="auto"/>
              </w:rPr>
              <w:t>Average total assets - at fair value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122"/>
              <w:spacing w:after="0"/>
              <w:rPr>
                <w:sz w:val="20"/>
                <w:szCs w:val="20"/>
                <w:color w:val="auto"/>
              </w:rPr>
            </w:pPr>
            <w:r>
              <w:rPr>
                <w:rFonts w:ascii="Arial" w:cs="Arial" w:eastAsia="Arial" w:hAnsi="Arial"/>
                <w:sz w:val="16"/>
                <w:szCs w:val="16"/>
                <w:color w:val="auto"/>
              </w:rPr>
              <w:t>80,058</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120"/>
              <w:spacing w:after="0"/>
              <w:rPr>
                <w:sz w:val="20"/>
                <w:szCs w:val="20"/>
                <w:color w:val="auto"/>
              </w:rPr>
            </w:pPr>
            <w:r>
              <w:rPr>
                <w:rFonts w:ascii="Arial" w:cs="Arial" w:eastAsia="Arial" w:hAnsi="Arial"/>
                <w:sz w:val="16"/>
                <w:szCs w:val="16"/>
                <w:color w:val="auto"/>
                <w:w w:val="93"/>
              </w:rPr>
              <w:t>104,819</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22"/>
              <w:spacing w:after="0"/>
              <w:rPr>
                <w:sz w:val="20"/>
                <w:szCs w:val="20"/>
                <w:color w:val="auto"/>
              </w:rPr>
            </w:pPr>
            <w:r>
              <w:rPr>
                <w:rFonts w:ascii="Arial" w:cs="Arial" w:eastAsia="Arial" w:hAnsi="Arial"/>
                <w:sz w:val="16"/>
                <w:szCs w:val="16"/>
                <w:color w:val="auto"/>
              </w:rPr>
              <w:t>93,541</w:t>
            </w:r>
          </w:p>
        </w:tc>
        <w:tc>
          <w:tcPr>
            <w:tcW w:w="12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120"/>
              <w:spacing w:after="0"/>
              <w:rPr>
                <w:sz w:val="20"/>
                <w:szCs w:val="20"/>
                <w:color w:val="auto"/>
              </w:rPr>
            </w:pPr>
            <w:r>
              <w:rPr>
                <w:rFonts w:ascii="Arial" w:cs="Arial" w:eastAsia="Arial" w:hAnsi="Arial"/>
                <w:sz w:val="16"/>
                <w:szCs w:val="16"/>
                <w:color w:val="auto"/>
              </w:rPr>
              <w:t>111,059</w:t>
            </w:r>
          </w:p>
        </w:tc>
      </w:tr>
      <w:tr>
        <w:trPr>
          <w:trHeight w:val="219"/>
        </w:trPr>
        <w:tc>
          <w:tcPr>
            <w:tcW w:w="6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repurchase agreements and other debt outstanding </w:t>
            </w:r>
            <w:r>
              <w:rPr>
                <w:rFonts w:ascii="Arial" w:cs="Arial" w:eastAsia="Arial" w:hAnsi="Arial"/>
                <w:sz w:val="18"/>
                <w:szCs w:val="18"/>
                <w:color w:val="auto"/>
                <w:vertAlign w:val="superscript"/>
              </w:rPr>
              <w:t>3</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61,008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87,938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74,649</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85,406</w:t>
            </w:r>
          </w:p>
        </w:tc>
      </w:tr>
      <w:tr>
        <w:trPr>
          <w:trHeight w:val="216"/>
        </w:trPr>
        <w:tc>
          <w:tcPr>
            <w:tcW w:w="6060" w:type="dxa"/>
            <w:vAlign w:val="bottom"/>
            <w:gridSpan w:val="2"/>
          </w:tcPr>
          <w:p>
            <w:pPr>
              <w:ind w:left="2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18"/>
                <w:szCs w:val="18"/>
                <w:color w:val="auto"/>
                <w:vertAlign w:val="superscript"/>
              </w:rPr>
              <w:t>4</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122"/>
              <w:spacing w:after="0"/>
              <w:rPr>
                <w:sz w:val="20"/>
                <w:szCs w:val="20"/>
                <w:color w:val="auto"/>
              </w:rPr>
            </w:pPr>
            <w:r>
              <w:rPr>
                <w:rFonts w:ascii="Arial" w:cs="Arial" w:eastAsia="Arial" w:hAnsi="Arial"/>
                <w:sz w:val="16"/>
                <w:szCs w:val="16"/>
                <w:color w:val="auto"/>
              </w:rPr>
              <w:t>10,527</w:t>
            </w:r>
          </w:p>
        </w:tc>
        <w:tc>
          <w:tcPr>
            <w:tcW w:w="10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120"/>
              <w:spacing w:after="0"/>
              <w:rPr>
                <w:sz w:val="20"/>
                <w:szCs w:val="20"/>
                <w:color w:val="auto"/>
              </w:rPr>
            </w:pPr>
            <w:r>
              <w:rPr>
                <w:rFonts w:ascii="Arial" w:cs="Arial" w:eastAsia="Arial" w:hAnsi="Arial"/>
                <w:sz w:val="16"/>
                <w:szCs w:val="16"/>
                <w:color w:val="auto"/>
              </w:rPr>
              <w:t>10,347</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22"/>
              <w:spacing w:after="0"/>
              <w:rPr>
                <w:sz w:val="20"/>
                <w:szCs w:val="20"/>
                <w:color w:val="auto"/>
              </w:rPr>
            </w:pPr>
            <w:r>
              <w:rPr>
                <w:rFonts w:ascii="Arial" w:cs="Arial" w:eastAsia="Arial" w:hAnsi="Arial"/>
                <w:sz w:val="16"/>
                <w:szCs w:val="16"/>
                <w:color w:val="auto"/>
              </w:rPr>
              <w:t>10,595</w:t>
            </w:r>
          </w:p>
        </w:tc>
        <w:tc>
          <w:tcPr>
            <w:tcW w:w="120" w:type="dxa"/>
            <w:vAlign w:val="bottom"/>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120"/>
              <w:spacing w:after="0"/>
              <w:rPr>
                <w:sz w:val="20"/>
                <w:szCs w:val="20"/>
                <w:color w:val="auto"/>
              </w:rPr>
            </w:pPr>
            <w:r>
              <w:rPr>
                <w:rFonts w:ascii="Arial" w:cs="Arial" w:eastAsia="Arial" w:hAnsi="Arial"/>
                <w:sz w:val="16"/>
                <w:szCs w:val="16"/>
                <w:color w:val="auto"/>
              </w:rPr>
              <w:t>10,277</w:t>
            </w:r>
          </w:p>
        </w:tc>
      </w:tr>
    </w:tbl>
    <w:p>
      <w:pPr>
        <w:spacing w:after="0" w:line="9"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5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18"/>
                <w:szCs w:val="18"/>
                <w:color w:val="auto"/>
                <w:vertAlign w:val="superscript"/>
              </w:rPr>
              <w:t>5</w:t>
            </w:r>
          </w:p>
        </w:tc>
        <w:tc>
          <w:tcPr>
            <w:tcW w:w="2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8.9:1</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10.0:1</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9.1:1</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9.8:1</w:t>
            </w:r>
          </w:p>
        </w:tc>
      </w:tr>
      <w:tr>
        <w:trPr>
          <w:trHeight w:val="216"/>
        </w:trPr>
        <w:tc>
          <w:tcPr>
            <w:tcW w:w="5320" w:type="dxa"/>
            <w:vAlign w:val="bottom"/>
          </w:tcPr>
          <w:p>
            <w:pPr>
              <w:ind w:left="20"/>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18"/>
                <w:szCs w:val="18"/>
                <w:color w:val="auto"/>
                <w:vertAlign w:val="superscript"/>
              </w:rPr>
              <w:t>6</w:t>
            </w:r>
          </w:p>
        </w:tc>
        <w:tc>
          <w:tcPr>
            <w:tcW w:w="2340" w:type="dxa"/>
            <w:vAlign w:val="bottom"/>
          </w:tcPr>
          <w:p>
            <w:pPr>
              <w:jc w:val="right"/>
              <w:ind w:right="339"/>
              <w:spacing w:after="0"/>
              <w:rPr>
                <w:sz w:val="20"/>
                <w:szCs w:val="20"/>
                <w:color w:val="auto"/>
              </w:rPr>
            </w:pPr>
            <w:r>
              <w:rPr>
                <w:rFonts w:ascii="Arial" w:cs="Arial" w:eastAsia="Arial" w:hAnsi="Arial"/>
                <w:sz w:val="16"/>
                <w:szCs w:val="16"/>
                <w:color w:val="auto"/>
              </w:rPr>
              <w:t>8.8:1</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9.8:1</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8.8:1</w:t>
            </w:r>
          </w:p>
        </w:tc>
        <w:tc>
          <w:tcPr>
            <w:tcW w:w="920" w:type="dxa"/>
            <w:vAlign w:val="bottom"/>
          </w:tcPr>
          <w:p>
            <w:pPr>
              <w:jc w:val="right"/>
              <w:spacing w:after="0"/>
              <w:rPr>
                <w:sz w:val="20"/>
                <w:szCs w:val="20"/>
                <w:color w:val="auto"/>
              </w:rPr>
            </w:pPr>
            <w:r>
              <w:rPr>
                <w:rFonts w:ascii="Arial" w:cs="Arial" w:eastAsia="Arial" w:hAnsi="Arial"/>
                <w:sz w:val="16"/>
                <w:szCs w:val="16"/>
                <w:color w:val="auto"/>
              </w:rPr>
              <w:t>9.8:1</w:t>
            </w:r>
          </w:p>
        </w:tc>
      </w:tr>
      <w:tr>
        <w:trPr>
          <w:trHeight w:val="216"/>
        </w:trPr>
        <w:tc>
          <w:tcPr>
            <w:tcW w:w="5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 xml:space="preserve">Economic return on tangible common equity </w:t>
            </w:r>
            <w:r>
              <w:rPr>
                <w:rFonts w:ascii="Arial" w:cs="Arial" w:eastAsia="Arial" w:hAnsi="Arial"/>
                <w:sz w:val="18"/>
                <w:szCs w:val="18"/>
                <w:color w:val="auto"/>
                <w:vertAlign w:val="superscript"/>
              </w:rPr>
              <w:t>7</w:t>
            </w:r>
          </w:p>
        </w:tc>
        <w:tc>
          <w:tcPr>
            <w:tcW w:w="2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8.8 %</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2.7 %</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(3.3)%</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9.1 %</w:t>
            </w:r>
          </w:p>
        </w:tc>
      </w:tr>
      <w:tr>
        <w:trPr>
          <w:trHeight w:val="213"/>
        </w:trPr>
        <w:tc>
          <w:tcPr>
            <w:tcW w:w="5320" w:type="dxa"/>
            <w:vAlign w:val="bottom"/>
          </w:tcPr>
          <w:p>
            <w:pPr>
              <w:ind w:left="20"/>
              <w:spacing w:after="0"/>
              <w:rPr>
                <w:sz w:val="20"/>
                <w:szCs w:val="20"/>
                <w:color w:val="auto"/>
              </w:rPr>
            </w:pPr>
            <w:r>
              <w:rPr>
                <w:rFonts w:ascii="Arial" w:cs="Arial" w:eastAsia="Arial" w:hAnsi="Arial"/>
                <w:sz w:val="14"/>
                <w:szCs w:val="14"/>
                <w:color w:val="auto"/>
              </w:rPr>
              <w:t>Expenses % of average total assets</w:t>
            </w:r>
          </w:p>
        </w:tc>
        <w:tc>
          <w:tcPr>
            <w:tcW w:w="2340" w:type="dxa"/>
            <w:vAlign w:val="bottom"/>
          </w:tcPr>
          <w:p>
            <w:pPr>
              <w:jc w:val="right"/>
              <w:ind w:right="339"/>
              <w:spacing w:after="0"/>
              <w:rPr>
                <w:sz w:val="20"/>
                <w:szCs w:val="20"/>
                <w:color w:val="auto"/>
              </w:rPr>
            </w:pPr>
            <w:r>
              <w:rPr>
                <w:rFonts w:ascii="Arial" w:cs="Arial" w:eastAsia="Arial" w:hAnsi="Arial"/>
                <w:sz w:val="16"/>
                <w:szCs w:val="16"/>
                <w:color w:val="auto"/>
              </w:rPr>
              <w:t>0.10 %</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0.07 %</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0.10 %</w:t>
            </w:r>
          </w:p>
        </w:tc>
        <w:tc>
          <w:tcPr>
            <w:tcW w:w="920" w:type="dxa"/>
            <w:vAlign w:val="bottom"/>
          </w:tcPr>
          <w:p>
            <w:pPr>
              <w:jc w:val="right"/>
              <w:spacing w:after="0"/>
              <w:rPr>
                <w:sz w:val="20"/>
                <w:szCs w:val="20"/>
                <w:color w:val="auto"/>
              </w:rPr>
            </w:pPr>
            <w:r>
              <w:rPr>
                <w:rFonts w:ascii="Arial" w:cs="Arial" w:eastAsia="Arial" w:hAnsi="Arial"/>
                <w:sz w:val="16"/>
                <w:szCs w:val="16"/>
                <w:color w:val="auto"/>
              </w:rPr>
              <w:t>0.07 %</w:t>
            </w:r>
          </w:p>
        </w:tc>
      </w:tr>
      <w:tr>
        <w:trPr>
          <w:trHeight w:val="219"/>
        </w:trPr>
        <w:tc>
          <w:tcPr>
            <w:tcW w:w="5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Expenses % of average assets, including average net TBA position</w:t>
            </w:r>
          </w:p>
        </w:tc>
        <w:tc>
          <w:tcPr>
            <w:tcW w:w="234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0.08 %</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0.07 %</w:t>
            </w:r>
          </w:p>
        </w:tc>
        <w:tc>
          <w:tcPr>
            <w:tcW w:w="130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0.08 %</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0.06 %</w:t>
            </w:r>
          </w:p>
        </w:tc>
      </w:tr>
      <w:tr>
        <w:trPr>
          <w:trHeight w:val="210"/>
        </w:trPr>
        <w:tc>
          <w:tcPr>
            <w:tcW w:w="5320" w:type="dxa"/>
            <w:vAlign w:val="bottom"/>
          </w:tcPr>
          <w:p>
            <w:pPr>
              <w:ind w:left="20"/>
              <w:spacing w:after="0"/>
              <w:rPr>
                <w:sz w:val="20"/>
                <w:szCs w:val="20"/>
                <w:color w:val="auto"/>
              </w:rPr>
            </w:pPr>
            <w:r>
              <w:rPr>
                <w:rFonts w:ascii="Arial" w:cs="Arial" w:eastAsia="Arial" w:hAnsi="Arial"/>
                <w:sz w:val="14"/>
                <w:szCs w:val="14"/>
                <w:color w:val="auto"/>
              </w:rPr>
              <w:t>Expenses % of average stockholders' equity</w:t>
            </w:r>
          </w:p>
        </w:tc>
        <w:tc>
          <w:tcPr>
            <w:tcW w:w="2340" w:type="dxa"/>
            <w:vAlign w:val="bottom"/>
          </w:tcPr>
          <w:p>
            <w:pPr>
              <w:jc w:val="right"/>
              <w:ind w:right="339"/>
              <w:spacing w:after="0"/>
              <w:rPr>
                <w:sz w:val="20"/>
                <w:szCs w:val="20"/>
                <w:color w:val="auto"/>
              </w:rPr>
            </w:pPr>
            <w:r>
              <w:rPr>
                <w:rFonts w:ascii="Arial" w:cs="Arial" w:eastAsia="Arial" w:hAnsi="Arial"/>
                <w:sz w:val="16"/>
                <w:szCs w:val="16"/>
                <w:color w:val="auto"/>
              </w:rPr>
              <w:t>0.80 %</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0.73 %</w:t>
            </w:r>
          </w:p>
        </w:tc>
        <w:tc>
          <w:tcPr>
            <w:tcW w:w="1300" w:type="dxa"/>
            <w:vAlign w:val="bottom"/>
          </w:tcPr>
          <w:p>
            <w:pPr>
              <w:jc w:val="right"/>
              <w:ind w:right="339"/>
              <w:spacing w:after="0"/>
              <w:rPr>
                <w:sz w:val="20"/>
                <w:szCs w:val="20"/>
                <w:color w:val="auto"/>
              </w:rPr>
            </w:pPr>
            <w:r>
              <w:rPr>
                <w:rFonts w:ascii="Arial" w:cs="Arial" w:eastAsia="Arial" w:hAnsi="Arial"/>
                <w:sz w:val="16"/>
                <w:szCs w:val="16"/>
                <w:color w:val="auto"/>
              </w:rPr>
              <w:t>0.86 %</w:t>
            </w:r>
          </w:p>
        </w:tc>
        <w:tc>
          <w:tcPr>
            <w:tcW w:w="920" w:type="dxa"/>
            <w:vAlign w:val="bottom"/>
          </w:tcPr>
          <w:p>
            <w:pPr>
              <w:jc w:val="right"/>
              <w:spacing w:after="0"/>
              <w:rPr>
                <w:sz w:val="20"/>
                <w:szCs w:val="20"/>
                <w:color w:val="auto"/>
              </w:rPr>
            </w:pPr>
            <w:r>
              <w:rPr>
                <w:rFonts w:ascii="Arial" w:cs="Arial" w:eastAsia="Arial" w:hAnsi="Arial"/>
                <w:sz w:val="16"/>
                <w:szCs w:val="16"/>
                <w:color w:val="auto"/>
              </w:rPr>
              <w:t>0.75 %</w:t>
            </w:r>
          </w:p>
        </w:tc>
      </w:tr>
    </w:tbl>
    <w:p>
      <w:pPr>
        <w:spacing w:after="0" w:line="102"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34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w:t>
      </w:r>
    </w:p>
    <w:p>
      <w:pPr>
        <w:spacing w:after="0" w:line="1" w:lineRule="exact"/>
        <w:rPr>
          <w:sz w:val="20"/>
          <w:szCs w:val="20"/>
          <w:color w:val="auto"/>
        </w:rPr>
      </w:pPr>
    </w:p>
    <w:p>
      <w:pPr>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Net book value per common share is calculated as total stockholders' equity, less preferred stock liquidation preference, divided by number of common shares outstanding as of period end.</w:t>
      </w: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Amount excludes U.S. Treasury repurchase agreements and TBA contracts. Other debt includes debt of consolidated VIEs.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tangible net book value "at risk" leverage is calculated by dividing the sum of daily weighted average mortgage borrowings outstanding (Agency and non-Agency MBS repurchase agreements, other debt and TBA securities (at cost)) for the period by the sum of average stockholders' equity adjusted to exclude goodwill for the period. Leverage excludes U.S. Treasury repurchase agreements.</w:t>
      </w:r>
    </w:p>
    <w:p>
      <w:pPr>
        <w:spacing w:after="0" w:line="1" w:lineRule="exact"/>
        <w:rPr>
          <w:rFonts w:ascii="Arial" w:cs="Arial" w:eastAsia="Arial" w:hAnsi="Arial"/>
          <w:sz w:val="14"/>
          <w:szCs w:val="14"/>
          <w:color w:val="auto"/>
        </w:rPr>
      </w:pPr>
    </w:p>
    <w:p>
      <w:pPr>
        <w:ind w:left="660" w:right="20" w:hanging="328"/>
        <w:spacing w:after="0" w:line="241"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"At risk" leverage as of period end is calculated by dividing the sum of mortgage borrowings outstanding and receivable/payable for unsettled investment securities as of period end (at cost) by the sum of total stockholders' equity adjusted to exclude goodwill as of period end. Leverage excludes U.S. Treasury repurchase agreements.</w:t>
      </w:r>
    </w:p>
    <w:p>
      <w:pPr>
        <w:ind w:left="660" w:right="20" w:hanging="328"/>
        <w:spacing w:after="0" w:line="255" w:lineRule="auto"/>
        <w:tabs>
          <w:tab w:leader="none" w:pos="6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per share of common stock during the period over beginning tangible net book value per common share.</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Income and Asset Yields</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 following table summarizes our economic interest income (a non-GAAP measure) for the three and nine months ended September 30, 2020 and 2019, which includes the combination of interest income (a GAAP measure) on our holdings reported as investment securities on our consolidated balance sheets, adjusted to exclude estimated "catch-up" premium amortization adjustments for the cumulative effect from prior reporting periods of changes in our CPR forecast, and implied interest income on our TBA securities (dollars in millions):</w:t>
      </w:r>
    </w:p>
    <w:p>
      <w:pPr>
        <w:spacing w:after="0" w:line="97"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9"/>
          </w:tcPr>
          <w:p>
            <w:pPr>
              <w:jc w:val="right"/>
              <w:ind w:right="60"/>
              <w:spacing w:after="0"/>
              <w:rPr>
                <w:sz w:val="20"/>
                <w:szCs w:val="20"/>
                <w:color w:val="auto"/>
              </w:rPr>
            </w:pPr>
            <w:r>
              <w:rPr>
                <w:rFonts w:ascii="Arial" w:cs="Arial" w:eastAsia="Arial" w:hAnsi="Arial"/>
                <w:sz w:val="14"/>
                <w:szCs w:val="14"/>
                <w:b w:val="1"/>
                <w:bCs w:val="1"/>
                <w:color w:val="auto"/>
              </w:rPr>
              <w:t>Three Months Ended September 30,</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9"/>
          </w:tcPr>
          <w:p>
            <w:pPr>
              <w:ind w:left="600"/>
              <w:spacing w:after="0"/>
              <w:rPr>
                <w:sz w:val="20"/>
                <w:szCs w:val="20"/>
                <w:color w:val="auto"/>
              </w:rPr>
            </w:pPr>
            <w:r>
              <w:rPr>
                <w:rFonts w:ascii="Arial" w:cs="Arial" w:eastAsia="Arial" w:hAnsi="Arial"/>
                <w:sz w:val="14"/>
                <w:szCs w:val="14"/>
                <w:b w:val="1"/>
                <w:bCs w:val="1"/>
                <w:color w:val="auto"/>
                <w:w w:val="95"/>
              </w:rPr>
              <w:t>Nine Months Ended September 30,</w:t>
            </w:r>
          </w:p>
        </w:tc>
        <w:tc>
          <w:tcPr>
            <w:tcW w:w="6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9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2020</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2019</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3"/>
          </w:tcPr>
          <w:p>
            <w:pPr>
              <w:ind w:left="600"/>
              <w:spacing w:after="0"/>
              <w:rPr>
                <w:sz w:val="20"/>
                <w:szCs w:val="20"/>
                <w:color w:val="auto"/>
              </w:rPr>
            </w:pPr>
            <w:r>
              <w:rPr>
                <w:rFonts w:ascii="Arial" w:cs="Arial" w:eastAsia="Arial" w:hAnsi="Arial"/>
                <w:sz w:val="14"/>
                <w:szCs w:val="14"/>
                <w:b w:val="1"/>
                <w:bCs w:val="1"/>
                <w:color w:val="auto"/>
              </w:rPr>
              <w:t>2020</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2019</w:t>
            </w:r>
          </w:p>
        </w:tc>
        <w:tc>
          <w:tcPr>
            <w:tcW w:w="6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1"/>
        </w:trPr>
        <w:tc>
          <w:tcPr>
            <w:tcW w:w="3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gridSpan w:val="3"/>
          </w:tcPr>
          <w:p>
            <w:pPr>
              <w:jc w:val="right"/>
              <w:ind w:right="420"/>
              <w:spacing w:after="0"/>
              <w:rPr>
                <w:sz w:val="20"/>
                <w:szCs w:val="20"/>
                <w:color w:val="auto"/>
              </w:rPr>
            </w:pPr>
            <w:r>
              <w:rPr>
                <w:rFonts w:ascii="Arial" w:cs="Arial" w:eastAsia="Arial" w:hAnsi="Arial"/>
                <w:sz w:val="14"/>
                <w:szCs w:val="14"/>
                <w:b w:val="1"/>
                <w:bCs w:val="1"/>
                <w:color w:val="auto"/>
                <w:w w:val="98"/>
              </w:rPr>
              <w:t>Amount</w:t>
            </w: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gridSpan w:val="3"/>
          </w:tcPr>
          <w:p>
            <w:pPr>
              <w:jc w:val="right"/>
              <w:ind w:right="460"/>
              <w:spacing w:after="0"/>
              <w:rPr>
                <w:sz w:val="20"/>
                <w:szCs w:val="20"/>
                <w:color w:val="auto"/>
              </w:rPr>
            </w:pPr>
            <w:r>
              <w:rPr>
                <w:rFonts w:ascii="Arial" w:cs="Arial" w:eastAsia="Arial" w:hAnsi="Arial"/>
                <w:sz w:val="14"/>
                <w:szCs w:val="14"/>
                <w:b w:val="1"/>
                <w:bCs w:val="1"/>
                <w:color w:val="auto"/>
                <w:w w:val="98"/>
              </w:rPr>
              <w:t>Amount</w:t>
            </w:r>
          </w:p>
        </w:tc>
        <w:tc>
          <w:tcPr>
            <w:tcW w:w="62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gridSpan w:val="3"/>
          </w:tcPr>
          <w:p>
            <w:pPr>
              <w:ind w:left="40"/>
              <w:spacing w:after="0"/>
              <w:rPr>
                <w:sz w:val="20"/>
                <w:szCs w:val="20"/>
                <w:color w:val="auto"/>
              </w:rPr>
            </w:pPr>
            <w:r>
              <w:rPr>
                <w:rFonts w:ascii="Arial" w:cs="Arial" w:eastAsia="Arial" w:hAnsi="Arial"/>
                <w:sz w:val="14"/>
                <w:szCs w:val="14"/>
                <w:b w:val="1"/>
                <w:bCs w:val="1"/>
                <w:color w:val="auto"/>
              </w:rPr>
              <w:t>Amount</w:t>
            </w: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8"/>
              </w:rPr>
              <w:t>Amount</w:t>
            </w:r>
          </w:p>
        </w:tc>
        <w:tc>
          <w:tcPr>
            <w:tcW w:w="640" w:type="dxa"/>
            <w:vAlign w:val="bottom"/>
          </w:tcPr>
          <w:p>
            <w:pPr>
              <w:jc w:val="right"/>
              <w:ind w:right="16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67"/>
        </w:trPr>
        <w:tc>
          <w:tcPr>
            <w:tcW w:w="3940" w:type="dxa"/>
            <w:vAlign w:val="bottom"/>
          </w:tcPr>
          <w:p>
            <w:pPr>
              <w:ind w:left="20"/>
              <w:spacing w:after="0"/>
              <w:rPr>
                <w:sz w:val="20"/>
                <w:szCs w:val="20"/>
                <w:color w:val="auto"/>
              </w:rPr>
            </w:pPr>
            <w:r>
              <w:rPr>
                <w:rFonts w:ascii="Arial" w:cs="Arial" w:eastAsia="Arial" w:hAnsi="Arial"/>
                <w:sz w:val="14"/>
                <w:szCs w:val="14"/>
                <w:color w:val="auto"/>
              </w:rPr>
              <w:t>Interest income:</w:t>
            </w:r>
          </w:p>
        </w:tc>
        <w:tc>
          <w:tcPr>
            <w:tcW w:w="1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39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573</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3.73 %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868</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2,100</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3.72 %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2,591</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3.87 %</w:t>
            </w:r>
          </w:p>
        </w:tc>
        <w:tc>
          <w:tcPr>
            <w:tcW w:w="0" w:type="dxa"/>
            <w:vAlign w:val="bottom"/>
          </w:tcPr>
          <w:p>
            <w:pPr>
              <w:spacing w:after="0"/>
              <w:rPr>
                <w:sz w:val="1"/>
                <w:szCs w:val="1"/>
                <w:color w:val="auto"/>
              </w:rPr>
            </w:pPr>
          </w:p>
        </w:tc>
      </w:tr>
      <w:tr>
        <w:trPr>
          <w:trHeight w:val="186"/>
        </w:trPr>
        <w:tc>
          <w:tcPr>
            <w:tcW w:w="394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Net premium amortization</w:t>
            </w: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(209)</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(1.45)%</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(192)</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(0.96)%</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(816)</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(1.52)%</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(517)</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(0.86)%</w:t>
            </w:r>
          </w:p>
        </w:tc>
        <w:tc>
          <w:tcPr>
            <w:tcW w:w="0" w:type="dxa"/>
            <w:vAlign w:val="bottom"/>
          </w:tcPr>
          <w:p>
            <w:pPr>
              <w:spacing w:after="0"/>
              <w:rPr>
                <w:sz w:val="1"/>
                <w:szCs w:val="1"/>
                <w:color w:val="auto"/>
              </w:rPr>
            </w:pPr>
          </w:p>
        </w:tc>
      </w:tr>
      <w:tr>
        <w:trPr>
          <w:trHeight w:val="186"/>
        </w:trPr>
        <w:tc>
          <w:tcPr>
            <w:tcW w:w="3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364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676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1,284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2,074</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3.01 %</w:t>
            </w:r>
          </w:p>
        </w:tc>
        <w:tc>
          <w:tcPr>
            <w:tcW w:w="0" w:type="dxa"/>
            <w:vAlign w:val="bottom"/>
          </w:tcPr>
          <w:p>
            <w:pPr>
              <w:spacing w:after="0"/>
              <w:rPr>
                <w:sz w:val="1"/>
                <w:szCs w:val="1"/>
                <w:color w:val="auto"/>
              </w:rPr>
            </w:pPr>
          </w:p>
        </w:tc>
      </w:tr>
      <w:tr>
        <w:trPr>
          <w:trHeight w:val="135"/>
        </w:trPr>
        <w:tc>
          <w:tcPr>
            <w:tcW w:w="3940" w:type="dxa"/>
            <w:vAlign w:val="bottom"/>
          </w:tcPr>
          <w:p>
            <w:pPr>
              <w:ind w:left="80"/>
              <w:spacing w:after="0" w:line="135" w:lineRule="exact"/>
              <w:rPr>
                <w:sz w:val="20"/>
                <w:szCs w:val="20"/>
                <w:color w:val="auto"/>
              </w:rPr>
            </w:pPr>
            <w:r>
              <w:rPr>
                <w:rFonts w:ascii="Arial" w:cs="Arial" w:eastAsia="Arial" w:hAnsi="Arial"/>
                <w:sz w:val="14"/>
                <w:szCs w:val="14"/>
                <w:color w:val="auto"/>
                <w:w w:val="96"/>
              </w:rPr>
              <w:t>Estimated "catch-up" premium amortization cost (benefit) due to</w:t>
            </w:r>
          </w:p>
        </w:tc>
        <w:tc>
          <w:tcPr>
            <w:tcW w:w="140" w:type="dxa"/>
            <w:vAlign w:val="bottom"/>
          </w:tcPr>
          <w:p>
            <w:pPr>
              <w:spacing w:after="0"/>
              <w:rPr>
                <w:sz w:val="11"/>
                <w:szCs w:val="11"/>
                <w:color w:val="auto"/>
              </w:rPr>
            </w:pPr>
          </w:p>
        </w:tc>
        <w:tc>
          <w:tcPr>
            <w:tcW w:w="700" w:type="dxa"/>
            <w:vAlign w:val="bottom"/>
            <w:vMerge w:val="restart"/>
          </w:tcPr>
          <w:p>
            <w:pPr>
              <w:jc w:val="right"/>
              <w:ind w:right="108"/>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0.31 %</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vMerge w:val="restart"/>
          </w:tcPr>
          <w:p>
            <w:pPr>
              <w:jc w:val="right"/>
              <w:ind w:right="108"/>
              <w:spacing w:after="0"/>
              <w:rPr>
                <w:sz w:val="20"/>
                <w:szCs w:val="20"/>
                <w:color w:val="auto"/>
              </w:rPr>
            </w:pPr>
            <w:r>
              <w:rPr>
                <w:rFonts w:ascii="Arial" w:cs="Arial" w:eastAsia="Arial" w:hAnsi="Arial"/>
                <w:sz w:val="14"/>
                <w:szCs w:val="14"/>
                <w:color w:val="auto"/>
              </w:rPr>
              <w:t>55</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color w:val="auto"/>
              </w:rPr>
              <w:t>0.24 %</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jc w:val="right"/>
              <w:ind w:right="108"/>
              <w:spacing w:after="0"/>
              <w:rPr>
                <w:sz w:val="20"/>
                <w:szCs w:val="20"/>
                <w:color w:val="auto"/>
              </w:rPr>
            </w:pPr>
            <w:r>
              <w:rPr>
                <w:rFonts w:ascii="Arial" w:cs="Arial" w:eastAsia="Arial" w:hAnsi="Arial"/>
                <w:sz w:val="14"/>
                <w:szCs w:val="14"/>
                <w:color w:val="auto"/>
              </w:rPr>
              <w:t>350</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0.60 %</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jc w:val="right"/>
              <w:ind w:right="108"/>
              <w:spacing w:after="0"/>
              <w:rPr>
                <w:sz w:val="20"/>
                <w:szCs w:val="20"/>
                <w:color w:val="auto"/>
              </w:rPr>
            </w:pPr>
            <w:r>
              <w:rPr>
                <w:rFonts w:ascii="Arial" w:cs="Arial" w:eastAsia="Arial" w:hAnsi="Arial"/>
                <w:sz w:val="14"/>
                <w:szCs w:val="14"/>
                <w:color w:val="auto"/>
              </w:rPr>
              <w:t>152</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color w:val="auto"/>
              </w:rPr>
              <w:t>0.23 %</w:t>
            </w:r>
          </w:p>
        </w:tc>
        <w:tc>
          <w:tcPr>
            <w:tcW w:w="0" w:type="dxa"/>
            <w:vAlign w:val="bottom"/>
          </w:tcPr>
          <w:p>
            <w:pPr>
              <w:spacing w:after="0"/>
              <w:rPr>
                <w:sz w:val="1"/>
                <w:szCs w:val="1"/>
                <w:color w:val="auto"/>
              </w:rPr>
            </w:pPr>
          </w:p>
        </w:tc>
      </w:tr>
      <w:tr>
        <w:trPr>
          <w:trHeight w:val="186"/>
        </w:trPr>
        <w:tc>
          <w:tcPr>
            <w:tcW w:w="394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change in CPR forecast</w:t>
            </w: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414</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731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1,634</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2.80 %</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2,226</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0" w:type="dxa"/>
            <w:vAlign w:val="bottom"/>
          </w:tcPr>
          <w:p>
            <w:pPr>
              <w:spacing w:after="0"/>
              <w:rPr>
                <w:sz w:val="1"/>
                <w:szCs w:val="1"/>
                <w:color w:val="auto"/>
              </w:rPr>
            </w:pPr>
          </w:p>
        </w:tc>
      </w:tr>
      <w:tr>
        <w:trPr>
          <w:trHeight w:val="189"/>
        </w:trPr>
        <w:tc>
          <w:tcPr>
            <w:tcW w:w="3940" w:type="dxa"/>
            <w:vAlign w:val="bottom"/>
            <w:tcBorders>
              <w:bottom w:val="single" w:sz="8" w:color="CCEEFF"/>
            </w:tcBorders>
          </w:tcPr>
          <w:p>
            <w:pPr>
              <w:ind w:left="100"/>
              <w:spacing w:after="0" w:line="189" w:lineRule="exact"/>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18"/>
                <w:szCs w:val="18"/>
                <w:color w:val="auto"/>
                <w:vertAlign w:val="superscript"/>
              </w:rPr>
              <w:t>1,2</w:t>
            </w:r>
          </w:p>
        </w:tc>
        <w:tc>
          <w:tcPr>
            <w:tcW w:w="14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114</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1.64 %</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3.19 %</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236</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1.86 %</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248</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3.28 %</w:t>
            </w:r>
          </w:p>
        </w:tc>
        <w:tc>
          <w:tcPr>
            <w:tcW w:w="0" w:type="dxa"/>
            <w:vAlign w:val="bottom"/>
          </w:tcPr>
          <w:p>
            <w:pPr>
              <w:spacing w:after="0"/>
              <w:rPr>
                <w:sz w:val="1"/>
                <w:szCs w:val="1"/>
                <w:color w:val="auto"/>
              </w:rPr>
            </w:pPr>
          </w:p>
        </w:tc>
      </w:tr>
      <w:tr>
        <w:trPr>
          <w:trHeight w:val="115"/>
        </w:trPr>
        <w:tc>
          <w:tcPr>
            <w:tcW w:w="3940" w:type="dxa"/>
            <w:vAlign w:val="bottom"/>
            <w:shd w:val="clear" w:color="auto" w:fill="CCEEFF"/>
          </w:tcPr>
          <w:p>
            <w:pPr>
              <w:ind w:left="20"/>
              <w:spacing w:after="0" w:line="115" w:lineRule="exact"/>
              <w:rPr>
                <w:sz w:val="20"/>
                <w:szCs w:val="20"/>
                <w:color w:val="auto"/>
              </w:rPr>
            </w:pPr>
            <w:r>
              <w:rPr>
                <w:rFonts w:ascii="Arial" w:cs="Arial" w:eastAsia="Arial" w:hAnsi="Arial"/>
                <w:sz w:val="13"/>
                <w:szCs w:val="13"/>
                <w:color w:val="auto"/>
              </w:rPr>
              <w:t>Economic interest income, excluding "catch-up" amortization</w:t>
            </w: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528</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100" w:type="dxa"/>
            <w:vAlign w:val="bottom"/>
            <w:shd w:val="clear" w:color="auto" w:fill="CCEEFF"/>
          </w:tcPr>
          <w:p>
            <w:pPr>
              <w:spacing w:after="0"/>
              <w:rPr>
                <w:sz w:val="10"/>
                <w:szCs w:val="10"/>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812</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3.16 %</w:t>
            </w:r>
          </w:p>
        </w:tc>
        <w:tc>
          <w:tcPr>
            <w:tcW w:w="100" w:type="dxa"/>
            <w:vAlign w:val="bottom"/>
            <w:shd w:val="clear" w:color="auto" w:fill="CCEEFF"/>
          </w:tcPr>
          <w:p>
            <w:pPr>
              <w:spacing w:after="0"/>
              <w:rPr>
                <w:sz w:val="10"/>
                <w:szCs w:val="10"/>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1,870</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2.63 %</w:t>
            </w:r>
          </w:p>
        </w:tc>
        <w:tc>
          <w:tcPr>
            <w:tcW w:w="100" w:type="dxa"/>
            <w:vAlign w:val="bottom"/>
            <w:shd w:val="clear" w:color="auto" w:fill="CCEEFF"/>
          </w:tcPr>
          <w:p>
            <w:pPr>
              <w:spacing w:after="0"/>
              <w:rPr>
                <w:sz w:val="10"/>
                <w:szCs w:val="10"/>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2,474</w:t>
            </w:r>
          </w:p>
        </w:tc>
        <w:tc>
          <w:tcPr>
            <w:tcW w:w="1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3.24 %</w:t>
            </w:r>
          </w:p>
        </w:tc>
        <w:tc>
          <w:tcPr>
            <w:tcW w:w="0" w:type="dxa"/>
            <w:vAlign w:val="bottom"/>
          </w:tcPr>
          <w:p>
            <w:pPr>
              <w:spacing w:after="0"/>
              <w:rPr>
                <w:sz w:val="1"/>
                <w:szCs w:val="1"/>
                <w:color w:val="auto"/>
              </w:rPr>
            </w:pPr>
          </w:p>
        </w:tc>
      </w:tr>
      <w:tr>
        <w:trPr>
          <w:trHeight w:val="182"/>
        </w:trPr>
        <w:tc>
          <w:tcPr>
            <w:tcW w:w="3940" w:type="dxa"/>
            <w:vAlign w:val="bottom"/>
            <w:tcBorders>
              <w:bottom w:val="single" w:sz="8" w:color="CCEEFF"/>
            </w:tcBorders>
            <w:shd w:val="clear" w:color="auto" w:fill="CCEEFF"/>
          </w:tcPr>
          <w:p>
            <w:pPr>
              <w:ind w:left="20"/>
              <w:spacing w:after="0" w:line="162" w:lineRule="exact"/>
              <w:rPr>
                <w:sz w:val="20"/>
                <w:szCs w:val="20"/>
                <w:color w:val="auto"/>
              </w:rPr>
            </w:pPr>
            <w:r>
              <w:rPr>
                <w:rFonts w:ascii="Arial" w:cs="Arial" w:eastAsia="Arial" w:hAnsi="Arial"/>
                <w:sz w:val="14"/>
                <w:szCs w:val="14"/>
                <w:color w:val="auto"/>
              </w:rPr>
              <w:t xml:space="preserve">(non-GAAP measure) </w:t>
            </w:r>
            <w:r>
              <w:rPr>
                <w:rFonts w:ascii="Arial" w:cs="Arial" w:eastAsia="Arial" w:hAnsi="Arial"/>
                <w:sz w:val="18"/>
                <w:szCs w:val="18"/>
                <w:color w:val="auto"/>
                <w:vertAlign w:val="superscript"/>
              </w:rPr>
              <w:t>3</w:t>
            </w:r>
          </w:p>
        </w:tc>
        <w:tc>
          <w:tcPr>
            <w:tcW w:w="14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6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940" w:type="dxa"/>
            <w:vAlign w:val="bottom"/>
            <w:shd w:val="clear" w:color="auto" w:fill="CCEEFF"/>
          </w:tcPr>
          <w:p>
            <w:pPr>
              <w:ind w:left="20"/>
              <w:spacing w:after="0" w:line="135" w:lineRule="exact"/>
              <w:rPr>
                <w:sz w:val="20"/>
                <w:szCs w:val="20"/>
                <w:color w:val="auto"/>
              </w:rPr>
            </w:pPr>
            <w:r>
              <w:rPr>
                <w:rFonts w:ascii="Arial" w:cs="Arial" w:eastAsia="Arial" w:hAnsi="Arial"/>
                <w:sz w:val="14"/>
                <w:szCs w:val="14"/>
                <w:color w:val="auto"/>
                <w:w w:val="98"/>
              </w:rPr>
              <w:t>Weighted average actual portfolio CPR for investment securities</w:t>
            </w:r>
          </w:p>
        </w:tc>
        <w:tc>
          <w:tcPr>
            <w:tcW w:w="14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24.3 %</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18.0 %</w:t>
            </w: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3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held during the period</w:t>
            </w:r>
          </w:p>
        </w:tc>
        <w:tc>
          <w:tcPr>
            <w:tcW w:w="14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940" w:type="dxa"/>
            <w:vAlign w:val="bottom"/>
          </w:tcPr>
          <w:p>
            <w:pPr>
              <w:ind w:left="20"/>
              <w:spacing w:after="0" w:line="135" w:lineRule="exact"/>
              <w:rPr>
                <w:sz w:val="20"/>
                <w:szCs w:val="20"/>
                <w:color w:val="auto"/>
              </w:rPr>
            </w:pPr>
            <w:r>
              <w:rPr>
                <w:rFonts w:ascii="Arial" w:cs="Arial" w:eastAsia="Arial" w:hAnsi="Arial"/>
                <w:sz w:val="14"/>
                <w:szCs w:val="14"/>
                <w:color w:val="auto"/>
              </w:rPr>
              <w:t>Weighted average projected CPR for the remaining life of</w:t>
            </w:r>
          </w:p>
        </w:tc>
        <w:tc>
          <w:tcPr>
            <w:tcW w:w="14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15.9 %</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vMerge w:val="restart"/>
          </w:tcPr>
          <w:p>
            <w:pPr>
              <w:jc w:val="right"/>
              <w:spacing w:after="0"/>
              <w:rPr>
                <w:sz w:val="20"/>
                <w:szCs w:val="20"/>
                <w:color w:val="auto"/>
              </w:rPr>
            </w:pPr>
            <w:r>
              <w:rPr>
                <w:rFonts w:ascii="Arial" w:cs="Arial" w:eastAsia="Arial" w:hAnsi="Arial"/>
                <w:sz w:val="14"/>
                <w:szCs w:val="14"/>
                <w:color w:val="auto"/>
              </w:rPr>
              <w:t>13.4 %</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15.9 %</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13.4 %</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3940" w:type="dxa"/>
            <w:vAlign w:val="bottom"/>
          </w:tcPr>
          <w:p>
            <w:pPr>
              <w:ind w:left="20"/>
              <w:spacing w:after="0"/>
              <w:rPr>
                <w:sz w:val="20"/>
                <w:szCs w:val="20"/>
                <w:color w:val="auto"/>
              </w:rPr>
            </w:pPr>
            <w:r>
              <w:rPr>
                <w:rFonts w:ascii="Arial" w:cs="Arial" w:eastAsia="Arial" w:hAnsi="Arial"/>
                <w:sz w:val="14"/>
                <w:szCs w:val="14"/>
                <w:color w:val="auto"/>
              </w:rPr>
              <w:t>investment securities held as of period end</w:t>
            </w:r>
          </w:p>
        </w:tc>
        <w:tc>
          <w:tcPr>
            <w:tcW w:w="14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940" w:type="dxa"/>
            <w:vAlign w:val="bottom"/>
            <w:shd w:val="clear" w:color="auto" w:fill="CCEEFF"/>
          </w:tcPr>
          <w:p>
            <w:pPr>
              <w:ind w:left="20"/>
              <w:spacing w:after="0" w:line="193" w:lineRule="exact"/>
              <w:rPr>
                <w:sz w:val="20"/>
                <w:szCs w:val="20"/>
                <w:color w:val="auto"/>
              </w:rPr>
            </w:pPr>
            <w:r>
              <w:rPr>
                <w:rFonts w:ascii="Arial" w:cs="Arial" w:eastAsia="Arial" w:hAnsi="Arial"/>
                <w:sz w:val="14"/>
                <w:szCs w:val="14"/>
                <w:color w:val="auto"/>
              </w:rPr>
              <w:t xml:space="preserve">Average 30-year fixed rate mortgage rate as of period end </w:t>
            </w:r>
            <w:r>
              <w:rPr>
                <w:rFonts w:ascii="Arial" w:cs="Arial" w:eastAsia="Arial" w:hAnsi="Arial"/>
                <w:sz w:val="18"/>
                <w:szCs w:val="18"/>
                <w:color w:val="auto"/>
                <w:vertAlign w:val="superscript"/>
              </w:rPr>
              <w:t>4</w:t>
            </w:r>
          </w:p>
        </w:tc>
        <w:tc>
          <w:tcPr>
            <w:tcW w:w="14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2.90 %</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3.64 %</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2.90 %</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3.64 %</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3940" w:type="dxa"/>
            <w:vAlign w:val="bottom"/>
          </w:tcPr>
          <w:p>
            <w:pPr>
              <w:ind w:left="20"/>
              <w:spacing w:after="0"/>
              <w:rPr>
                <w:sz w:val="20"/>
                <w:szCs w:val="20"/>
                <w:color w:val="auto"/>
              </w:rPr>
            </w:pPr>
            <w:r>
              <w:rPr>
                <w:rFonts w:ascii="Arial" w:cs="Arial" w:eastAsia="Arial" w:hAnsi="Arial"/>
                <w:sz w:val="14"/>
                <w:szCs w:val="14"/>
                <w:color w:val="auto"/>
              </w:rPr>
              <w:t>10-year U.S. Treasury rate as of period end</w:t>
            </w:r>
          </w:p>
        </w:tc>
        <w:tc>
          <w:tcPr>
            <w:tcW w:w="14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0.69 %</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1.66 %</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0.69 %</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1.66 %</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10" w:right="339" w:bottom="1440" w:gutter="0" w:footer="0" w:header="0"/>
        </w:sectPr>
      </w:pPr>
    </w:p>
    <w:bookmarkStart w:id="33" w:name="page34"/>
    <w:bookmarkEnd w:id="33"/>
    <w:p>
      <w:pPr>
        <w:ind w:left="60"/>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Expense 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w:t>
      </w:r>
      <w:r>
        <w:rPr>
          <w:rFonts w:ascii="Arial" w:cs="Arial" w:eastAsia="Arial" w:hAnsi="Arial"/>
          <w:sz w:val="14"/>
          <w:szCs w:val="14"/>
          <w:i w:val="1"/>
          <w:iCs w:val="1"/>
          <w:color w:val="auto"/>
        </w:rPr>
        <w:t xml:space="preserve"> </w:t>
      </w:r>
      <w:r>
        <w:rPr>
          <w:rFonts w:ascii="Arial" w:cs="Arial" w:eastAsia="Arial" w:hAnsi="Arial"/>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2" w:lineRule="exact"/>
        <w:rPr>
          <w:rFonts w:ascii="Arial" w:cs="Arial" w:eastAsia="Arial" w:hAnsi="Arial"/>
          <w:sz w:val="13"/>
          <w:szCs w:val="13"/>
          <w:color w:val="auto"/>
        </w:rPr>
      </w:pPr>
    </w:p>
    <w:p>
      <w:pPr>
        <w:ind w:left="660" w:hanging="328"/>
        <w:spacing w:after="0"/>
        <w:tabs>
          <w:tab w:leader="none" w:pos="66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Source: Freddie Mac Primary Fixed Mortgage Rate Mortgage Market Survey</w:t>
      </w:r>
    </w:p>
    <w:p>
      <w:pPr>
        <w:spacing w:after="0" w:line="15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The principal elements impacting our economic interest income are the size of our average investment portfolio and the yield (actual and implied) on our securities. The following table includes a summary of the estimated impact of each of these elements on our economic interest income for the three and nine months ended September 30, 2020 compared to the prior year period (in millions):</w:t>
      </w:r>
    </w:p>
    <w:p>
      <w:pPr>
        <w:spacing w:after="0" w:line="16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0628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06285" cy="8890"/>
                    </a:xfrm>
                    <a:prstGeom prst="rect">
                      <a:avLst/>
                    </a:prstGeom>
                    <a:noFill/>
                  </pic:spPr>
                </pic:pic>
              </a:graphicData>
            </a:graphic>
          </wp:anchor>
        </w:drawing>
      </w:r>
    </w:p>
    <w:p>
      <w:pPr>
        <w:spacing w:after="0" w:line="2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Periods ended September 30, 2020 vs. September 30, 2019</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2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2680" w:type="dxa"/>
            <w:vAlign w:val="bottom"/>
            <w:tcBorders>
              <w:top w:val="single" w:sz="8" w:color="auto"/>
              <w:bottom w:val="single" w:sz="8" w:color="auto"/>
            </w:tcBorders>
            <w:gridSpan w:val="4"/>
          </w:tcPr>
          <w:p>
            <w:pPr>
              <w:jc w:val="right"/>
              <w:ind w:right="608"/>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131"/>
        </w:trPr>
        <w:tc>
          <w:tcPr>
            <w:tcW w:w="6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8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92"/>
              </w:rPr>
              <w:t>Total Increase /</w:t>
            </w: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31" w:lineRule="exact"/>
              <w:rPr>
                <w:sz w:val="20"/>
                <w:szCs w:val="20"/>
                <w:color w:val="auto"/>
              </w:rPr>
            </w:pPr>
            <w:r>
              <w:rPr>
                <w:rFonts w:ascii="Arial" w:cs="Arial" w:eastAsia="Arial" w:hAnsi="Arial"/>
                <w:sz w:val="14"/>
                <w:szCs w:val="14"/>
                <w:b w:val="1"/>
                <w:bCs w:val="1"/>
                <w:color w:val="auto"/>
                <w:w w:val="97"/>
              </w:rPr>
              <w:t>Portfolio</w:t>
            </w:r>
          </w:p>
        </w:tc>
        <w:tc>
          <w:tcPr>
            <w:tcW w:w="320" w:type="dxa"/>
            <w:vAlign w:val="bottom"/>
          </w:tcPr>
          <w:p>
            <w:pPr>
              <w:spacing w:after="0"/>
              <w:rPr>
                <w:sz w:val="11"/>
                <w:szCs w:val="11"/>
                <w:color w:val="auto"/>
              </w:rPr>
            </w:pPr>
          </w:p>
        </w:tc>
        <w:tc>
          <w:tcPr>
            <w:tcW w:w="1120" w:type="dxa"/>
            <w:vAlign w:val="bottom"/>
          </w:tcPr>
          <w:p>
            <w:pPr>
              <w:jc w:val="right"/>
              <w:ind w:right="488"/>
              <w:spacing w:after="0" w:line="131" w:lineRule="exact"/>
              <w:rPr>
                <w:sz w:val="20"/>
                <w:szCs w:val="20"/>
                <w:color w:val="auto"/>
              </w:rPr>
            </w:pPr>
            <w:r>
              <w:rPr>
                <w:rFonts w:ascii="Arial" w:cs="Arial" w:eastAsia="Arial" w:hAnsi="Arial"/>
                <w:sz w:val="14"/>
                <w:szCs w:val="14"/>
                <w:b w:val="1"/>
                <w:bCs w:val="1"/>
                <w:color w:val="auto"/>
              </w:rPr>
              <w:t>Asset</w:t>
            </w:r>
          </w:p>
        </w:tc>
        <w:tc>
          <w:tcPr>
            <w:tcW w:w="0" w:type="dxa"/>
            <w:vAlign w:val="bottom"/>
          </w:tcPr>
          <w:p>
            <w:pPr>
              <w:spacing w:after="0"/>
              <w:rPr>
                <w:sz w:val="1"/>
                <w:szCs w:val="1"/>
                <w:color w:val="auto"/>
              </w:rPr>
            </w:pPr>
          </w:p>
        </w:tc>
      </w:tr>
      <w:tr>
        <w:trPr>
          <w:trHeight w:val="180"/>
        </w:trPr>
        <w:tc>
          <w:tcPr>
            <w:tcW w:w="6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260" w:type="dxa"/>
            <w:vAlign w:val="bottom"/>
          </w:tcPr>
          <w:p>
            <w:pPr>
              <w:spacing w:after="0"/>
              <w:rPr>
                <w:sz w:val="15"/>
                <w:szCs w:val="15"/>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Size</w:t>
            </w:r>
          </w:p>
        </w:tc>
        <w:tc>
          <w:tcPr>
            <w:tcW w:w="320" w:type="dxa"/>
            <w:vAlign w:val="bottom"/>
          </w:tcPr>
          <w:p>
            <w:pPr>
              <w:spacing w:after="0"/>
              <w:rPr>
                <w:sz w:val="15"/>
                <w:szCs w:val="15"/>
                <w:color w:val="auto"/>
              </w:rPr>
            </w:pPr>
          </w:p>
        </w:tc>
        <w:tc>
          <w:tcPr>
            <w:tcW w:w="1120" w:type="dxa"/>
            <w:vAlign w:val="bottom"/>
          </w:tcPr>
          <w:p>
            <w:pPr>
              <w:jc w:val="right"/>
              <w:ind w:right="488"/>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92"/>
        </w:trPr>
        <w:tc>
          <w:tcPr>
            <w:tcW w:w="6720" w:type="dxa"/>
            <w:vAlign w:val="bottom"/>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6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0" w:type="dxa"/>
            <w:vAlign w:val="bottom"/>
          </w:tcPr>
          <w:p>
            <w:pPr>
              <w:spacing w:after="0"/>
              <w:rPr>
                <w:sz w:val="1"/>
                <w:szCs w:val="1"/>
                <w:color w:val="auto"/>
              </w:rPr>
            </w:pPr>
          </w:p>
        </w:tc>
      </w:tr>
      <w:tr>
        <w:trPr>
          <w:trHeight w:val="186"/>
        </w:trPr>
        <w:tc>
          <w:tcPr>
            <w:tcW w:w="6720" w:type="dxa"/>
            <w:vAlign w:val="bottom"/>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6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6"/>
        </w:trPr>
        <w:tc>
          <w:tcPr>
            <w:tcW w:w="6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60" w:type="dxa"/>
            <w:vAlign w:val="bottom"/>
            <w:tcBorders>
              <w:top w:val="single" w:sz="8" w:color="auto"/>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186"/>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(108)</w:t>
            </w:r>
          </w:p>
        </w:tc>
        <w:tc>
          <w:tcPr>
            <w:tcW w:w="0" w:type="dxa"/>
            <w:vAlign w:val="bottom"/>
          </w:tcPr>
          <w:p>
            <w:pPr>
              <w:spacing w:after="0"/>
              <w:rPr>
                <w:sz w:val="1"/>
                <w:szCs w:val="1"/>
                <w:color w:val="auto"/>
              </w:rPr>
            </w:pPr>
          </w:p>
        </w:tc>
      </w:tr>
      <w:tr>
        <w:trPr>
          <w:trHeight w:val="211"/>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(284)</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w:t>
            </w:r>
          </w:p>
        </w:tc>
        <w:tc>
          <w:tcPr>
            <w:tcW w:w="0" w:type="dxa"/>
            <w:vAlign w:val="bottom"/>
          </w:tcPr>
          <w:p>
            <w:pPr>
              <w:spacing w:after="0"/>
              <w:rPr>
                <w:sz w:val="1"/>
                <w:szCs w:val="1"/>
                <w:color w:val="auto"/>
              </w:rPr>
            </w:pPr>
          </w:p>
        </w:tc>
      </w:tr>
      <w:tr>
        <w:trPr>
          <w:trHeight w:val="20"/>
        </w:trPr>
        <w:tc>
          <w:tcPr>
            <w:tcW w:w="67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b w:val="1"/>
                <w:bCs w:val="1"/>
                <w:color w:val="auto"/>
              </w:rPr>
              <w:t>Nine months ended:</w:t>
            </w: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672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6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(790)</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(475)</w:t>
            </w:r>
          </w:p>
        </w:tc>
        <w:tc>
          <w:tcPr>
            <w:tcW w:w="0" w:type="dxa"/>
            <w:vAlign w:val="bottom"/>
          </w:tcPr>
          <w:p>
            <w:pPr>
              <w:spacing w:after="0"/>
              <w:rPr>
                <w:sz w:val="1"/>
                <w:szCs w:val="1"/>
                <w:color w:val="auto"/>
              </w:rPr>
            </w:pPr>
          </w:p>
        </w:tc>
      </w:tr>
      <w:tr>
        <w:trPr>
          <w:trHeight w:val="186"/>
        </w:trPr>
        <w:tc>
          <w:tcPr>
            <w:tcW w:w="6720" w:type="dxa"/>
            <w:vAlign w:val="bottom"/>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6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198</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198</w:t>
            </w:r>
          </w:p>
        </w:tc>
        <w:tc>
          <w:tcPr>
            <w:tcW w:w="0" w:type="dxa"/>
            <w:vAlign w:val="bottom"/>
          </w:tcPr>
          <w:p>
            <w:pPr>
              <w:spacing w:after="0"/>
              <w:rPr>
                <w:sz w:val="1"/>
                <w:szCs w:val="1"/>
                <w:color w:val="auto"/>
              </w:rPr>
            </w:pPr>
          </w:p>
        </w:tc>
      </w:tr>
      <w:tr>
        <w:trPr>
          <w:trHeight w:val="186"/>
        </w:trPr>
        <w:tc>
          <w:tcPr>
            <w:tcW w:w="6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60" w:type="dxa"/>
            <w:vAlign w:val="bottom"/>
            <w:tcBorders>
              <w:top w:val="single" w:sz="8" w:color="auto"/>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(592)</w:t>
            </w:r>
          </w:p>
        </w:tc>
        <w:tc>
          <w:tcPr>
            <w:tcW w:w="12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(315)</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(277)</w:t>
            </w:r>
          </w:p>
        </w:tc>
        <w:tc>
          <w:tcPr>
            <w:tcW w:w="0" w:type="dxa"/>
            <w:vAlign w:val="bottom"/>
          </w:tcPr>
          <w:p>
            <w:pPr>
              <w:spacing w:after="0"/>
              <w:rPr>
                <w:sz w:val="1"/>
                <w:szCs w:val="1"/>
                <w:color w:val="auto"/>
              </w:rPr>
            </w:pPr>
          </w:p>
        </w:tc>
      </w:tr>
      <w:tr>
        <w:trPr>
          <w:trHeight w:val="186"/>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174</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w:t>
            </w:r>
          </w:p>
        </w:tc>
        <w:tc>
          <w:tcPr>
            <w:tcW w:w="0" w:type="dxa"/>
            <w:vAlign w:val="bottom"/>
          </w:tcPr>
          <w:p>
            <w:pPr>
              <w:spacing w:after="0"/>
              <w:rPr>
                <w:sz w:val="1"/>
                <w:szCs w:val="1"/>
                <w:color w:val="auto"/>
              </w:rPr>
            </w:pPr>
          </w:p>
        </w:tc>
      </w:tr>
      <w:tr>
        <w:trPr>
          <w:trHeight w:val="211"/>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(604)</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bottom w:val="single" w:sz="8" w:color="CCEEFF"/>
            </w:tcBorders>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(463)</w:t>
            </w:r>
          </w:p>
        </w:tc>
        <w:tc>
          <w:tcPr>
            <w:tcW w:w="0" w:type="dxa"/>
            <w:vAlign w:val="bottom"/>
          </w:tcPr>
          <w:p>
            <w:pPr>
              <w:spacing w:after="0"/>
              <w:rPr>
                <w:sz w:val="1"/>
                <w:szCs w:val="1"/>
                <w:color w:val="auto"/>
              </w:rPr>
            </w:pP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Our average investment portfolio, inclusive of TBAs (at cost), decreased -11% and -7% for the three and nine months ended September 30, 2020, respectively, compared to the prior year periods primarily due to lower operating leverage. The decrease in our average asset yield for the three and nine months ended September 30, 2020 was due to the combination of changes in asset composition and higher premium amortization cost resulting from faster prepayment expectations.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71"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repurchase agreements and other debt used to fund our investment securities and net TBA position (at cost) (together referred to as "mortgage borrowings") and our net receivable/payable for unsettled investment securities, divided by our total stockholders' equity adjusted to exclude goodwill and other intangible assets.</w:t>
      </w:r>
    </w:p>
    <w:p>
      <w:pPr>
        <w:spacing w:after="0" w:line="95" w:lineRule="exact"/>
        <w:rPr>
          <w:sz w:val="20"/>
          <w:szCs w:val="20"/>
          <w:color w:val="auto"/>
        </w:rPr>
      </w:pPr>
    </w:p>
    <w:p>
      <w:pPr>
        <w:jc w:val="both"/>
        <w:ind w:firstLine="445"/>
        <w:spacing w:after="0" w:line="293" w:lineRule="auto"/>
        <w:rPr>
          <w:sz w:val="20"/>
          <w:szCs w:val="20"/>
          <w:color w:val="auto"/>
        </w:rPr>
      </w:pPr>
      <w:r>
        <w:rPr>
          <w:rFonts w:ascii="Arial" w:cs="Arial" w:eastAsia="Arial" w:hAnsi="Arial"/>
          <w:sz w:val="16"/>
          <w:szCs w:val="16"/>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6"/>
          <w:szCs w:val="16"/>
          <w:i w:val="1"/>
          <w:iCs w:val="1"/>
          <w:color w:val="auto"/>
        </w:rPr>
        <w:t xml:space="preserve">Liquidity and Capital Resources </w:t>
      </w:r>
      <w:r>
        <w:rPr>
          <w:rFonts w:ascii="Arial" w:cs="Arial" w:eastAsia="Arial" w:hAnsi="Arial"/>
          <w:sz w:val="16"/>
          <w:szCs w:val="16"/>
          <w:color w:val="auto"/>
        </w:rPr>
        <w:t>for further discussion of TBA securities and dollar roll transactions). Repurchase agreements used to fund short-term</w:t>
      </w:r>
      <w:r>
        <w:rPr>
          <w:rFonts w:ascii="Arial" w:cs="Arial" w:eastAsia="Arial" w:hAnsi="Arial"/>
          <w:sz w:val="16"/>
          <w:szCs w:val="16"/>
          <w:i w:val="1"/>
          <w:iCs w:val="1"/>
          <w:color w:val="auto"/>
        </w:rPr>
        <w:t xml:space="preserve"> </w:t>
      </w:r>
      <w:r>
        <w:rPr>
          <w:rFonts w:ascii="Arial" w:cs="Arial" w:eastAsia="Arial" w:hAnsi="Arial"/>
          <w:sz w:val="16"/>
          <w:szCs w:val="16"/>
          <w:color w:val="auto"/>
        </w:rPr>
        <w:t>investments in U.S. Treasury securities ("U.S. Treasury repo") are excluded from our measure of leverage due to the temporary and highly liquid nature of these investments. The following table presents a summary of our leverage ratios for the periods listed (dollars in millions):</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34" w:name="page35"/>
    <w:bookmarkEnd w:id="34"/>
    <w:tbl>
      <w:tblPr>
        <w:tblLayout w:type="fixed"/>
        <w:tblInd w:w="60" w:type="dxa"/>
        <w:tblCellMar>
          <w:top w:w="0" w:type="dxa"/>
          <w:left w:w="0" w:type="dxa"/>
          <w:bottom w:w="0" w:type="dxa"/>
          <w:right w:w="0" w:type="dxa"/>
        </w:tblCellMar>
      </w:tblPr>
      <w:tr>
        <w:trPr>
          <w:trHeight w:val="149"/>
        </w:trPr>
        <w:tc>
          <w:tcPr>
            <w:tcW w:w="3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960" w:type="dxa"/>
            <w:vAlign w:val="bottom"/>
            <w:gridSpan w:val="6"/>
          </w:tcPr>
          <w:p>
            <w:pPr>
              <w:jc w:val="center"/>
              <w:ind w:left="470"/>
              <w:spacing w:after="0"/>
              <w:rPr>
                <w:sz w:val="20"/>
                <w:szCs w:val="20"/>
                <w:color w:val="auto"/>
              </w:rPr>
            </w:pPr>
            <w:r>
              <w:rPr>
                <w:rFonts w:ascii="Arial" w:cs="Arial" w:eastAsia="Arial" w:hAnsi="Arial"/>
                <w:sz w:val="13"/>
                <w:szCs w:val="13"/>
                <w:b w:val="1"/>
                <w:bCs w:val="1"/>
                <w:color w:val="auto"/>
                <w:w w:val="84"/>
              </w:rPr>
              <w:t>Repurchase Agreements</w:t>
            </w: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700" w:type="dxa"/>
            <w:vAlign w:val="bottom"/>
            <w:gridSpan w:val="4"/>
          </w:tcPr>
          <w:p>
            <w:pPr>
              <w:jc w:val="right"/>
              <w:ind w:right="390"/>
              <w:spacing w:after="0"/>
              <w:rPr>
                <w:sz w:val="20"/>
                <w:szCs w:val="20"/>
                <w:color w:val="auto"/>
              </w:rPr>
            </w:pPr>
            <w:r>
              <w:rPr>
                <w:rFonts w:ascii="Arial" w:cs="Arial" w:eastAsia="Arial" w:hAnsi="Arial"/>
                <w:sz w:val="13"/>
                <w:szCs w:val="13"/>
                <w:b w:val="1"/>
                <w:bCs w:val="1"/>
                <w:color w:val="auto"/>
              </w:rPr>
              <w:t>Net TBA Position</w:t>
            </w:r>
          </w:p>
        </w:tc>
        <w:tc>
          <w:tcPr>
            <w:tcW w:w="1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0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87"/>
              </w:rPr>
              <w:t>Tangible Net Book</w:t>
            </w:r>
          </w:p>
        </w:tc>
        <w:tc>
          <w:tcPr>
            <w:tcW w:w="0" w:type="dxa"/>
            <w:vAlign w:val="bottom"/>
          </w:tcPr>
          <w:p>
            <w:pPr>
              <w:spacing w:after="0"/>
              <w:rPr>
                <w:sz w:val="1"/>
                <w:szCs w:val="1"/>
                <w:color w:val="auto"/>
              </w:rPr>
            </w:pPr>
          </w:p>
        </w:tc>
      </w:tr>
      <w:tr>
        <w:trPr>
          <w:trHeight w:val="122"/>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00" w:type="dxa"/>
            <w:vAlign w:val="bottom"/>
            <w:gridSpan w:val="4"/>
          </w:tcPr>
          <w:p>
            <w:pPr>
              <w:jc w:val="center"/>
              <w:spacing w:after="0" w:line="122" w:lineRule="exact"/>
              <w:rPr>
                <w:sz w:val="20"/>
                <w:szCs w:val="20"/>
                <w:color w:val="auto"/>
              </w:rPr>
            </w:pPr>
            <w:r>
              <w:rPr>
                <w:rFonts w:ascii="Arial" w:cs="Arial" w:eastAsia="Arial" w:hAnsi="Arial"/>
                <w:sz w:val="11"/>
                <w:szCs w:val="11"/>
                <w:b w:val="1"/>
                <w:bCs w:val="1"/>
                <w:color w:val="auto"/>
              </w:rPr>
              <w:t xml:space="preserve">and Other Debt </w:t>
            </w:r>
            <w:r>
              <w:rPr>
                <w:rFonts w:ascii="Arial" w:cs="Arial" w:eastAsia="Arial" w:hAnsi="Arial"/>
                <w:sz w:val="14"/>
                <w:szCs w:val="14"/>
                <w:b w:val="1"/>
                <w:bCs w:val="1"/>
                <w:color w:val="auto"/>
                <w:vertAlign w:val="superscript"/>
              </w:rPr>
              <w:t>1</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700" w:type="dxa"/>
            <w:vAlign w:val="bottom"/>
            <w:gridSpan w:val="4"/>
          </w:tcPr>
          <w:p>
            <w:pPr>
              <w:jc w:val="right"/>
              <w:ind w:right="470"/>
              <w:spacing w:after="0" w:line="122" w:lineRule="exact"/>
              <w:rPr>
                <w:sz w:val="20"/>
                <w:szCs w:val="20"/>
                <w:color w:val="auto"/>
              </w:rPr>
            </w:pPr>
            <w:r>
              <w:rPr>
                <w:rFonts w:ascii="Arial" w:cs="Arial" w:eastAsia="Arial" w:hAnsi="Arial"/>
                <w:sz w:val="11"/>
                <w:szCs w:val="11"/>
                <w:b w:val="1"/>
                <w:bCs w:val="1"/>
                <w:color w:val="auto"/>
              </w:rPr>
              <w:t xml:space="preserve">Long/(Short) </w:t>
            </w:r>
            <w:r>
              <w:rPr>
                <w:rFonts w:ascii="Arial" w:cs="Arial" w:eastAsia="Arial" w:hAnsi="Arial"/>
                <w:sz w:val="14"/>
                <w:szCs w:val="14"/>
                <w:b w:val="1"/>
                <w:bCs w:val="1"/>
                <w:color w:val="auto"/>
                <w:vertAlign w:val="superscript"/>
              </w:rPr>
              <w:t>2</w:t>
            </w:r>
          </w:p>
        </w:tc>
        <w:tc>
          <w:tcPr>
            <w:tcW w:w="1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34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400" w:type="dxa"/>
            <w:vAlign w:val="bottom"/>
            <w:gridSpan w:val="2"/>
            <w:vMerge w:val="restart"/>
          </w:tcPr>
          <w:p>
            <w:pPr>
              <w:jc w:val="center"/>
              <w:ind w:right="120"/>
              <w:spacing w:after="0" w:line="108" w:lineRule="exact"/>
              <w:rPr>
                <w:sz w:val="20"/>
                <w:szCs w:val="20"/>
                <w:color w:val="auto"/>
              </w:rPr>
            </w:pPr>
            <w:r>
              <w:rPr>
                <w:rFonts w:ascii="Arial" w:cs="Arial" w:eastAsia="Arial" w:hAnsi="Arial"/>
                <w:sz w:val="12"/>
                <w:szCs w:val="12"/>
                <w:b w:val="1"/>
                <w:bCs w:val="1"/>
                <w:color w:val="auto"/>
                <w:w w:val="94"/>
              </w:rPr>
              <w:t>Average Tangible Net</w:t>
            </w:r>
          </w:p>
        </w:tc>
        <w:tc>
          <w:tcPr>
            <w:tcW w:w="1300" w:type="dxa"/>
            <w:vAlign w:val="bottom"/>
            <w:vMerge w:val="restart"/>
          </w:tcPr>
          <w:p>
            <w:pPr>
              <w:jc w:val="center"/>
              <w:spacing w:after="0" w:line="108" w:lineRule="exact"/>
              <w:rPr>
                <w:sz w:val="20"/>
                <w:szCs w:val="20"/>
                <w:color w:val="auto"/>
              </w:rPr>
            </w:pPr>
            <w:r>
              <w:rPr>
                <w:rFonts w:ascii="Arial" w:cs="Arial" w:eastAsia="Arial" w:hAnsi="Arial"/>
                <w:sz w:val="12"/>
                <w:szCs w:val="12"/>
                <w:b w:val="1"/>
                <w:bCs w:val="1"/>
                <w:color w:val="auto"/>
                <w:w w:val="99"/>
              </w:rPr>
              <w:t>Value "At Risk"</w:t>
            </w:r>
          </w:p>
        </w:tc>
        <w:tc>
          <w:tcPr>
            <w:tcW w:w="0" w:type="dxa"/>
            <w:vAlign w:val="bottom"/>
          </w:tcPr>
          <w:p>
            <w:pPr>
              <w:spacing w:after="0"/>
              <w:rPr>
                <w:sz w:val="1"/>
                <w:szCs w:val="1"/>
                <w:color w:val="auto"/>
              </w:rPr>
            </w:pPr>
          </w:p>
        </w:tc>
      </w:tr>
      <w:tr>
        <w:trPr>
          <w:trHeight w:val="34"/>
        </w:trPr>
        <w:tc>
          <w:tcPr>
            <w:tcW w:w="3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gridSpan w:val="2"/>
            <w:vMerge w:val="continue"/>
          </w:tcPr>
          <w:p>
            <w:pPr>
              <w:spacing w:after="0"/>
              <w:rPr>
                <w:sz w:val="2"/>
                <w:szCs w:val="2"/>
                <w:color w:val="auto"/>
              </w:rPr>
            </w:pPr>
          </w:p>
        </w:tc>
        <w:tc>
          <w:tcPr>
            <w:tcW w:w="130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w w:val="90"/>
              </w:rPr>
              <w:t>Average Daily</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3"/>
              </w:rPr>
              <w:t>Maximum</w:t>
            </w:r>
          </w:p>
        </w:tc>
        <w:tc>
          <w:tcPr>
            <w:tcW w:w="160" w:type="dxa"/>
            <w:vAlign w:val="bottom"/>
          </w:tcPr>
          <w:p>
            <w:pPr>
              <w:spacing w:after="0"/>
              <w:rPr>
                <w:sz w:val="10"/>
                <w:szCs w:val="10"/>
                <w:color w:val="auto"/>
              </w:rPr>
            </w:pPr>
          </w:p>
        </w:tc>
        <w:tc>
          <w:tcPr>
            <w:tcW w:w="820" w:type="dxa"/>
            <w:vAlign w:val="bottom"/>
            <w:gridSpan w:val="2"/>
            <w:vMerge w:val="restart"/>
          </w:tcPr>
          <w:p>
            <w:pPr>
              <w:jc w:val="center"/>
              <w:ind w:right="280"/>
              <w:spacing w:after="0"/>
              <w:rPr>
                <w:sz w:val="20"/>
                <w:szCs w:val="20"/>
                <w:color w:val="auto"/>
              </w:rPr>
            </w:pPr>
            <w:r>
              <w:rPr>
                <w:rFonts w:ascii="Arial" w:cs="Arial" w:eastAsia="Arial" w:hAnsi="Arial"/>
                <w:sz w:val="13"/>
                <w:szCs w:val="13"/>
                <w:b w:val="1"/>
                <w:bCs w:val="1"/>
                <w:color w:val="auto"/>
                <w:w w:val="86"/>
              </w:rPr>
              <w:t>Ending</w:t>
            </w:r>
          </w:p>
        </w:tc>
        <w:tc>
          <w:tcPr>
            <w:tcW w:w="960" w:type="dxa"/>
            <w:vAlign w:val="bottom"/>
            <w:gridSpan w:val="3"/>
            <w:vMerge w:val="restart"/>
          </w:tcPr>
          <w:p>
            <w:pPr>
              <w:jc w:val="center"/>
              <w:ind w:right="120"/>
              <w:spacing w:after="0"/>
              <w:rPr>
                <w:sz w:val="20"/>
                <w:szCs w:val="20"/>
                <w:color w:val="auto"/>
              </w:rPr>
            </w:pPr>
            <w:r>
              <w:rPr>
                <w:rFonts w:ascii="Arial" w:cs="Arial" w:eastAsia="Arial" w:hAnsi="Arial"/>
                <w:sz w:val="13"/>
                <w:szCs w:val="13"/>
                <w:b w:val="1"/>
                <w:bCs w:val="1"/>
                <w:color w:val="auto"/>
                <w:w w:val="88"/>
              </w:rPr>
              <w:t>Average Daily</w:t>
            </w:r>
          </w:p>
        </w:tc>
        <w:tc>
          <w:tcPr>
            <w:tcW w:w="160" w:type="dxa"/>
            <w:vAlign w:val="bottom"/>
          </w:tcPr>
          <w:p>
            <w:pPr>
              <w:spacing w:after="0"/>
              <w:rPr>
                <w:sz w:val="10"/>
                <w:szCs w:val="10"/>
                <w:color w:val="auto"/>
              </w:rPr>
            </w:pPr>
          </w:p>
        </w:tc>
        <w:tc>
          <w:tcPr>
            <w:tcW w:w="720" w:type="dxa"/>
            <w:vAlign w:val="bottom"/>
            <w:vMerge w:val="restart"/>
          </w:tcPr>
          <w:p>
            <w:pPr>
              <w:jc w:val="right"/>
              <w:ind w:right="190"/>
              <w:spacing w:after="0"/>
              <w:rPr>
                <w:sz w:val="20"/>
                <w:szCs w:val="20"/>
                <w:color w:val="auto"/>
              </w:rPr>
            </w:pPr>
            <w:r>
              <w:rPr>
                <w:rFonts w:ascii="Arial" w:cs="Arial" w:eastAsia="Arial" w:hAnsi="Arial"/>
                <w:sz w:val="13"/>
                <w:szCs w:val="13"/>
                <w:b w:val="1"/>
                <w:bCs w:val="1"/>
                <w:color w:val="auto"/>
                <w:w w:val="99"/>
              </w:rPr>
              <w:t>Ending</w:t>
            </w: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84"/>
              </w:rPr>
              <w:t>Book Value</w:t>
            </w:r>
          </w:p>
        </w:tc>
        <w:tc>
          <w:tcPr>
            <w:tcW w:w="13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Leverage</w:t>
            </w:r>
          </w:p>
        </w:tc>
        <w:tc>
          <w:tcPr>
            <w:tcW w:w="0" w:type="dxa"/>
            <w:vAlign w:val="bottom"/>
          </w:tcPr>
          <w:p>
            <w:pPr>
              <w:spacing w:after="0"/>
              <w:rPr>
                <w:sz w:val="1"/>
                <w:szCs w:val="1"/>
                <w:color w:val="auto"/>
              </w:rPr>
            </w:pPr>
          </w:p>
        </w:tc>
      </w:tr>
      <w:tr>
        <w:trPr>
          <w:trHeight w:val="121"/>
        </w:trPr>
        <w:tc>
          <w:tcPr>
            <w:tcW w:w="356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Quarter Ended</w:t>
            </w: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960" w:type="dxa"/>
            <w:vAlign w:val="bottom"/>
            <w:gridSpan w:val="3"/>
            <w:vMerge w:val="continue"/>
          </w:tcPr>
          <w:p>
            <w:pPr>
              <w:spacing w:after="0"/>
              <w:rPr>
                <w:sz w:val="10"/>
                <w:szCs w:val="10"/>
                <w:color w:val="auto"/>
              </w:rPr>
            </w:pPr>
          </w:p>
        </w:tc>
        <w:tc>
          <w:tcPr>
            <w:tcW w:w="16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91"/>
              </w:rPr>
              <w:t>"At Risk" Leverage</w:t>
            </w:r>
          </w:p>
        </w:tc>
        <w:tc>
          <w:tcPr>
            <w:tcW w:w="13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78"/>
              </w:rPr>
              <w:t>as of</w:t>
            </w:r>
          </w:p>
        </w:tc>
        <w:tc>
          <w:tcPr>
            <w:tcW w:w="0" w:type="dxa"/>
            <w:vAlign w:val="bottom"/>
          </w:tcPr>
          <w:p>
            <w:pPr>
              <w:spacing w:after="0"/>
              <w:rPr>
                <w:sz w:val="1"/>
                <w:szCs w:val="1"/>
                <w:color w:val="auto"/>
              </w:rPr>
            </w:pPr>
          </w:p>
        </w:tc>
      </w:tr>
      <w:tr>
        <w:trPr>
          <w:trHeight w:val="176"/>
        </w:trPr>
        <w:tc>
          <w:tcPr>
            <w:tcW w:w="35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tcPr>
          <w:p>
            <w:pPr>
              <w:jc w:val="right"/>
              <w:ind w:right="130"/>
              <w:spacing w:after="0"/>
              <w:rPr>
                <w:sz w:val="20"/>
                <w:szCs w:val="20"/>
                <w:color w:val="auto"/>
              </w:rPr>
            </w:pPr>
            <w:r>
              <w:rPr>
                <w:rFonts w:ascii="Arial" w:cs="Arial" w:eastAsia="Arial" w:hAnsi="Arial"/>
                <w:sz w:val="13"/>
                <w:szCs w:val="13"/>
                <w:b w:val="1"/>
                <w:bCs w:val="1"/>
                <w:color w:val="auto"/>
                <w:w w:val="97"/>
              </w:rPr>
              <w:t>Amount</w:t>
            </w:r>
          </w:p>
        </w:tc>
        <w:tc>
          <w:tcPr>
            <w:tcW w:w="120" w:type="dxa"/>
            <w:vAlign w:val="bottom"/>
          </w:tcPr>
          <w:p>
            <w:pPr>
              <w:spacing w:after="0"/>
              <w:rPr>
                <w:sz w:val="15"/>
                <w:szCs w:val="15"/>
                <w:color w:val="auto"/>
              </w:rPr>
            </w:pPr>
          </w:p>
        </w:tc>
        <w:tc>
          <w:tcPr>
            <w:tcW w:w="980" w:type="dxa"/>
            <w:vAlign w:val="bottom"/>
            <w:gridSpan w:val="3"/>
          </w:tcPr>
          <w:p>
            <w:pPr>
              <w:jc w:val="center"/>
              <w:ind w:right="120"/>
              <w:spacing w:after="0"/>
              <w:rPr>
                <w:sz w:val="20"/>
                <w:szCs w:val="20"/>
                <w:color w:val="auto"/>
              </w:rPr>
            </w:pPr>
            <w:r>
              <w:rPr>
                <w:rFonts w:ascii="Arial" w:cs="Arial" w:eastAsia="Arial" w:hAnsi="Arial"/>
                <w:sz w:val="13"/>
                <w:szCs w:val="13"/>
                <w:b w:val="1"/>
                <w:bCs w:val="1"/>
                <w:color w:val="auto"/>
                <w:w w:val="88"/>
              </w:rPr>
              <w:t>Daily Amount</w:t>
            </w:r>
          </w:p>
        </w:tc>
        <w:tc>
          <w:tcPr>
            <w:tcW w:w="160" w:type="dxa"/>
            <w:vAlign w:val="bottom"/>
          </w:tcPr>
          <w:p>
            <w:pPr>
              <w:spacing w:after="0"/>
              <w:rPr>
                <w:sz w:val="15"/>
                <w:szCs w:val="15"/>
                <w:color w:val="auto"/>
              </w:rPr>
            </w:pPr>
          </w:p>
        </w:tc>
        <w:tc>
          <w:tcPr>
            <w:tcW w:w="82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9"/>
              </w:rPr>
              <w:t>Amount</w:t>
            </w:r>
          </w:p>
        </w:tc>
        <w:tc>
          <w:tcPr>
            <w:tcW w:w="140" w:type="dxa"/>
            <w:vAlign w:val="bottom"/>
          </w:tcPr>
          <w:p>
            <w:pPr>
              <w:spacing w:after="0"/>
              <w:rPr>
                <w:sz w:val="15"/>
                <w:szCs w:val="15"/>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9"/>
              </w:rPr>
              <w:t>Amount</w:t>
            </w:r>
          </w:p>
        </w:tc>
        <w:tc>
          <w:tcPr>
            <w:tcW w:w="160" w:type="dxa"/>
            <w:vAlign w:val="bottom"/>
          </w:tcPr>
          <w:p>
            <w:pPr>
              <w:spacing w:after="0"/>
              <w:rPr>
                <w:sz w:val="15"/>
                <w:szCs w:val="15"/>
                <w:color w:val="auto"/>
              </w:rPr>
            </w:pPr>
          </w:p>
        </w:tc>
        <w:tc>
          <w:tcPr>
            <w:tcW w:w="720" w:type="dxa"/>
            <w:vAlign w:val="bottom"/>
          </w:tcPr>
          <w:p>
            <w:pPr>
              <w:jc w:val="right"/>
              <w:ind w:right="150"/>
              <w:spacing w:after="0"/>
              <w:rPr>
                <w:sz w:val="20"/>
                <w:szCs w:val="20"/>
                <w:color w:val="auto"/>
              </w:rPr>
            </w:pPr>
            <w:r>
              <w:rPr>
                <w:rFonts w:ascii="Arial" w:cs="Arial" w:eastAsia="Arial" w:hAnsi="Arial"/>
                <w:sz w:val="13"/>
                <w:szCs w:val="13"/>
                <w:b w:val="1"/>
                <w:bCs w:val="1"/>
                <w:color w:val="auto"/>
                <w:w w:val="97"/>
              </w:rPr>
              <w:t>Amount</w:t>
            </w:r>
          </w:p>
        </w:tc>
        <w:tc>
          <w:tcPr>
            <w:tcW w:w="100" w:type="dxa"/>
            <w:vAlign w:val="bottom"/>
          </w:tcPr>
          <w:p>
            <w:pPr>
              <w:spacing w:after="0"/>
              <w:rPr>
                <w:sz w:val="15"/>
                <w:szCs w:val="15"/>
                <w:color w:val="auto"/>
              </w:rPr>
            </w:pPr>
          </w:p>
        </w:tc>
        <w:tc>
          <w:tcPr>
            <w:tcW w:w="1400" w:type="dxa"/>
            <w:vAlign w:val="bottom"/>
            <w:gridSpan w:val="2"/>
          </w:tcPr>
          <w:p>
            <w:pPr>
              <w:jc w:val="center"/>
              <w:ind w:right="120"/>
              <w:spacing w:after="0" w:line="175" w:lineRule="exact"/>
              <w:rPr>
                <w:sz w:val="20"/>
                <w:szCs w:val="20"/>
                <w:color w:val="auto"/>
              </w:rPr>
            </w:pPr>
            <w:r>
              <w:rPr>
                <w:rFonts w:ascii="Arial" w:cs="Arial" w:eastAsia="Arial" w:hAnsi="Arial"/>
                <w:sz w:val="13"/>
                <w:szCs w:val="13"/>
                <w:b w:val="1"/>
                <w:bCs w:val="1"/>
                <w:color w:val="auto"/>
                <w:w w:val="88"/>
              </w:rPr>
              <w:t xml:space="preserve">during the Period </w:t>
            </w:r>
            <w:r>
              <w:rPr>
                <w:rFonts w:ascii="Arial" w:cs="Arial" w:eastAsia="Arial" w:hAnsi="Arial"/>
                <w:sz w:val="16"/>
                <w:szCs w:val="16"/>
                <w:b w:val="1"/>
                <w:bCs w:val="1"/>
                <w:color w:val="auto"/>
                <w:w w:val="88"/>
                <w:vertAlign w:val="superscript"/>
              </w:rPr>
              <w:t>3</w:t>
            </w:r>
          </w:p>
        </w:tc>
        <w:tc>
          <w:tcPr>
            <w:tcW w:w="1300" w:type="dxa"/>
            <w:vAlign w:val="bottom"/>
          </w:tcPr>
          <w:p>
            <w:pPr>
              <w:jc w:val="center"/>
              <w:spacing w:after="0" w:line="175" w:lineRule="exact"/>
              <w:rPr>
                <w:sz w:val="20"/>
                <w:szCs w:val="20"/>
                <w:color w:val="auto"/>
              </w:rPr>
            </w:pPr>
            <w:r>
              <w:rPr>
                <w:rFonts w:ascii="Arial" w:cs="Arial" w:eastAsia="Arial" w:hAnsi="Arial"/>
                <w:sz w:val="13"/>
                <w:szCs w:val="13"/>
                <w:b w:val="1"/>
                <w:bCs w:val="1"/>
                <w:color w:val="auto"/>
                <w:w w:val="86"/>
              </w:rPr>
              <w:t xml:space="preserve">Period End </w:t>
            </w:r>
            <w:r>
              <w:rPr>
                <w:rFonts w:ascii="Arial" w:cs="Arial" w:eastAsia="Arial" w:hAnsi="Arial"/>
                <w:sz w:val="16"/>
                <w:szCs w:val="16"/>
                <w:b w:val="1"/>
                <w:bCs w:val="1"/>
                <w:color w:val="auto"/>
                <w:w w:val="86"/>
                <w:vertAlign w:val="superscript"/>
              </w:rPr>
              <w:t>4</w:t>
            </w:r>
          </w:p>
        </w:tc>
        <w:tc>
          <w:tcPr>
            <w:tcW w:w="0" w:type="dxa"/>
            <w:vAlign w:val="bottom"/>
          </w:tcPr>
          <w:p>
            <w:pPr>
              <w:spacing w:after="0"/>
              <w:rPr>
                <w:sz w:val="1"/>
                <w:szCs w:val="1"/>
                <w:color w:val="auto"/>
              </w:rPr>
            </w:pPr>
          </w:p>
        </w:tc>
      </w:tr>
      <w:tr>
        <w:trPr>
          <w:trHeight w:val="183"/>
        </w:trPr>
        <w:tc>
          <w:tcPr>
            <w:tcW w:w="34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September 30, 2020</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61,008</w:t>
            </w:r>
          </w:p>
        </w:tc>
        <w:tc>
          <w:tcPr>
            <w:tcW w:w="1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69,628</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54,558</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27,785</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29,460</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8.9:1</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8.8:1</w:t>
            </w:r>
          </w:p>
        </w:tc>
        <w:tc>
          <w:tcPr>
            <w:tcW w:w="0" w:type="dxa"/>
            <w:vAlign w:val="bottom"/>
          </w:tcPr>
          <w:p>
            <w:pPr>
              <w:spacing w:after="0"/>
              <w:rPr>
                <w:sz w:val="1"/>
                <w:szCs w:val="1"/>
                <w:color w:val="auto"/>
              </w:rPr>
            </w:pPr>
          </w:p>
        </w:tc>
      </w:tr>
      <w:tr>
        <w:trPr>
          <w:trHeight w:val="186"/>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June 30, 2020</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69,552</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72,399</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69,370</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1"/>
              <w:spacing w:after="0"/>
              <w:rPr>
                <w:sz w:val="20"/>
                <w:szCs w:val="20"/>
                <w:color w:val="auto"/>
              </w:rPr>
            </w:pPr>
            <w:r>
              <w:rPr>
                <w:rFonts w:ascii="Arial" w:cs="Arial" w:eastAsia="Arial" w:hAnsi="Arial"/>
                <w:sz w:val="14"/>
                <w:szCs w:val="14"/>
                <w:color w:val="auto"/>
              </w:rPr>
              <w:t>15,662</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20,413</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89"/>
              </w:rPr>
              <w:t>8.8:1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9.2:1</w:t>
            </w:r>
          </w:p>
        </w:tc>
        <w:tc>
          <w:tcPr>
            <w:tcW w:w="0" w:type="dxa"/>
            <w:vAlign w:val="bottom"/>
          </w:tcPr>
          <w:p>
            <w:pPr>
              <w:spacing w:after="0"/>
              <w:rPr>
                <w:sz w:val="1"/>
                <w:szCs w:val="1"/>
                <w:color w:val="auto"/>
              </w:rPr>
            </w:pPr>
          </w:p>
        </w:tc>
      </w:tr>
      <w:tr>
        <w:trPr>
          <w:trHeight w:val="192"/>
        </w:trPr>
        <w:tc>
          <w:tcPr>
            <w:tcW w:w="3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March 31, 2020</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93,538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104,773</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63,241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7,487</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20,648</w:t>
            </w:r>
          </w:p>
        </w:tc>
        <w:tc>
          <w:tcPr>
            <w:tcW w:w="140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89"/>
              </w:rPr>
              <w:t>9.9:1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9.4:1</w:t>
            </w:r>
          </w:p>
        </w:tc>
        <w:tc>
          <w:tcPr>
            <w:tcW w:w="0" w:type="dxa"/>
            <w:vAlign w:val="bottom"/>
          </w:tcPr>
          <w:p>
            <w:pPr>
              <w:spacing w:after="0"/>
              <w:rPr>
                <w:sz w:val="1"/>
                <w:szCs w:val="1"/>
                <w:color w:val="auto"/>
              </w:rPr>
            </w:pPr>
          </w:p>
        </w:tc>
      </w:tr>
      <w:tr>
        <w:trPr>
          <w:trHeight w:val="186"/>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December 31, 2019</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88,677</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92,672</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89,313</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1"/>
              <w:spacing w:after="0"/>
              <w:rPr>
                <w:sz w:val="20"/>
                <w:szCs w:val="20"/>
                <w:color w:val="auto"/>
              </w:rPr>
            </w:pPr>
            <w:r>
              <w:rPr>
                <w:rFonts w:ascii="Arial" w:cs="Arial" w:eastAsia="Arial" w:hAnsi="Arial"/>
                <w:sz w:val="14"/>
                <w:szCs w:val="14"/>
                <w:color w:val="auto"/>
              </w:rPr>
              <w:t>7,038</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7,404</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89"/>
              </w:rPr>
              <w:t>9.5:1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9.4:1</w:t>
            </w:r>
          </w:p>
        </w:tc>
        <w:tc>
          <w:tcPr>
            <w:tcW w:w="0" w:type="dxa"/>
            <w:vAlign w:val="bottom"/>
          </w:tcPr>
          <w:p>
            <w:pPr>
              <w:spacing w:after="0"/>
              <w:rPr>
                <w:sz w:val="1"/>
                <w:szCs w:val="1"/>
                <w:color w:val="auto"/>
              </w:rPr>
            </w:pPr>
          </w:p>
        </w:tc>
      </w:tr>
      <w:tr>
        <w:trPr>
          <w:trHeight w:val="192"/>
        </w:trPr>
        <w:tc>
          <w:tcPr>
            <w:tcW w:w="3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September 30, 2019</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87,938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92,420</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90,462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10,146</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1,820</w:t>
            </w:r>
          </w:p>
        </w:tc>
        <w:tc>
          <w:tcPr>
            <w:tcW w:w="140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92"/>
              </w:rPr>
              <w:t>10.0:1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9.8:1</w:t>
            </w:r>
          </w:p>
        </w:tc>
        <w:tc>
          <w:tcPr>
            <w:tcW w:w="0" w:type="dxa"/>
            <w:vAlign w:val="bottom"/>
          </w:tcPr>
          <w:p>
            <w:pPr>
              <w:spacing w:after="0"/>
              <w:rPr>
                <w:sz w:val="1"/>
                <w:szCs w:val="1"/>
                <w:color w:val="auto"/>
              </w:rPr>
            </w:pPr>
          </w:p>
        </w:tc>
      </w:tr>
      <w:tr>
        <w:trPr>
          <w:trHeight w:val="186"/>
        </w:trPr>
        <w:tc>
          <w:tcPr>
            <w:tcW w:w="3560" w:type="dxa"/>
            <w:vAlign w:val="bottom"/>
            <w:gridSpan w:val="2"/>
          </w:tcPr>
          <w:p>
            <w:pPr>
              <w:ind w:left="20"/>
              <w:spacing w:after="0"/>
              <w:rPr>
                <w:sz w:val="20"/>
                <w:szCs w:val="20"/>
                <w:color w:val="auto"/>
              </w:rPr>
            </w:pPr>
            <w:r>
              <w:rPr>
                <w:rFonts w:ascii="Arial" w:cs="Arial" w:eastAsia="Arial" w:hAnsi="Arial"/>
                <w:sz w:val="14"/>
                <w:szCs w:val="14"/>
                <w:color w:val="auto"/>
              </w:rPr>
              <w:t>June 30, 2019</w:t>
            </w:r>
          </w:p>
        </w:tc>
        <w:tc>
          <w:tcPr>
            <w:tcW w:w="160" w:type="dxa"/>
            <w:vAlign w:val="bottom"/>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86,147</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9"/>
              <w:spacing w:after="0"/>
              <w:rPr>
                <w:sz w:val="20"/>
                <w:szCs w:val="20"/>
                <w:color w:val="auto"/>
              </w:rPr>
            </w:pPr>
            <w:r>
              <w:rPr>
                <w:rFonts w:ascii="Arial" w:cs="Arial" w:eastAsia="Arial" w:hAnsi="Arial"/>
                <w:sz w:val="14"/>
                <w:szCs w:val="14"/>
                <w:color w:val="auto"/>
              </w:rPr>
              <w:t>86,969</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85,367</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11,864</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11,086</w:t>
            </w:r>
          </w:p>
        </w:tc>
        <w:tc>
          <w:tcPr>
            <w:tcW w:w="1400" w:type="dxa"/>
            <w:vAlign w:val="bottom"/>
            <w:gridSpan w:val="2"/>
          </w:tcPr>
          <w:p>
            <w:pPr>
              <w:jc w:val="center"/>
              <w:ind w:left="8"/>
              <w:spacing w:after="0"/>
              <w:rPr>
                <w:sz w:val="20"/>
                <w:szCs w:val="20"/>
                <w:color w:val="auto"/>
              </w:rPr>
            </w:pPr>
            <w:r>
              <w:rPr>
                <w:rFonts w:ascii="Arial" w:cs="Arial" w:eastAsia="Arial" w:hAnsi="Arial"/>
                <w:sz w:val="14"/>
                <w:szCs w:val="14"/>
                <w:color w:val="auto"/>
                <w:w w:val="92"/>
              </w:rPr>
              <w:t>10.0:1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6"/>
              </w:rPr>
              <w:t>9.8:1</w:t>
            </w:r>
          </w:p>
        </w:tc>
        <w:tc>
          <w:tcPr>
            <w:tcW w:w="0" w:type="dxa"/>
            <w:vAlign w:val="bottom"/>
          </w:tcPr>
          <w:p>
            <w:pPr>
              <w:spacing w:after="0"/>
              <w:rPr>
                <w:sz w:val="1"/>
                <w:szCs w:val="1"/>
                <w:color w:val="auto"/>
              </w:rPr>
            </w:pPr>
          </w:p>
        </w:tc>
      </w:tr>
      <w:tr>
        <w:trPr>
          <w:trHeight w:val="192"/>
        </w:trPr>
        <w:tc>
          <w:tcPr>
            <w:tcW w:w="35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March 31, 2019</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82,070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87,877</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86,590</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8,002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6,885</w:t>
            </w:r>
          </w:p>
        </w:tc>
        <w:tc>
          <w:tcPr>
            <w:tcW w:w="140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89"/>
              </w:rPr>
              <w:t>9.3:1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9.4:1</w:t>
            </w: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pacing w:after="0" w:line="1" w:lineRule="exact"/>
        <w:rPr>
          <w:rFonts w:ascii="Arial" w:cs="Arial" w:eastAsia="Arial" w:hAnsi="Arial"/>
          <w:sz w:val="14"/>
          <w:szCs w:val="14"/>
          <w:color w:val="auto"/>
        </w:rPr>
      </w:pPr>
    </w:p>
    <w:p>
      <w:pPr>
        <w:ind w:left="660" w:hanging="328"/>
        <w:spacing w:after="0"/>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Average tangible net book value "at risk" leverage during the period represents the sum of our daily weighted average repurchase agreements and other debt used to fund acquisitions of investment securities and net TBA position outstanding divided by the sum of our average month-ended stockholders' equity, adjusted to exclude goodwill.</w:t>
      </w:r>
    </w:p>
    <w:p>
      <w:pPr>
        <w:jc w:val="both"/>
        <w:ind w:left="660" w:hanging="328"/>
        <w:spacing w:after="0" w:line="248" w:lineRule="auto"/>
        <w:tabs>
          <w:tab w:leader="none" w:pos="66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Tangible net book value "at risk" leverage as of period end represents the sum of our repurchase agreements and other debt used to fund acquisitions of investments securities, net TBA position (at cost) and net receivable/payable for unsettled investment securities outstanding as of period end divided by total stockholders' equity, adjusted to exclude goodwill as of period end.</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Economic Interest Expense and Aggregate Cost of Funds</w:t>
      </w:r>
    </w:p>
    <w:p>
      <w:pPr>
        <w:spacing w:after="0" w:line="171" w:lineRule="exact"/>
        <w:rPr>
          <w:sz w:val="20"/>
          <w:szCs w:val="20"/>
          <w:color w:val="auto"/>
        </w:rPr>
      </w:pPr>
    </w:p>
    <w:p>
      <w:pPr>
        <w:jc w:val="both"/>
        <w:ind w:firstLine="405"/>
        <w:spacing w:after="0" w:line="295" w:lineRule="auto"/>
        <w:rPr>
          <w:sz w:val="20"/>
          <w:szCs w:val="20"/>
          <w:color w:val="auto"/>
        </w:rPr>
      </w:pPr>
      <w:r>
        <w:rPr>
          <w:rFonts w:ascii="Arial" w:cs="Arial" w:eastAsia="Arial" w:hAnsi="Arial"/>
          <w:sz w:val="16"/>
          <w:szCs w:val="16"/>
          <w:color w:val="auto"/>
        </w:rPr>
        <w:t>The following table summarizes our economic interest expense and aggregate cost of funds (non-GAAP measures) for the three and nine months ended September 30, 2020 and 2019 (dollars in millions), which includes the combination of interest expense on Agency repurchase agreements and other debt (GAAP measure), implied financing cost (benefit) of our TBA securities and interest rate swap periodic interest cost (income):</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80" w:type="dxa"/>
            <w:vAlign w:val="bottom"/>
            <w:gridSpan w:val="11"/>
          </w:tcPr>
          <w:p>
            <w:pPr>
              <w:ind w:left="520"/>
              <w:spacing w:after="0"/>
              <w:rPr>
                <w:sz w:val="20"/>
                <w:szCs w:val="20"/>
                <w:color w:val="auto"/>
              </w:rPr>
            </w:pPr>
            <w:r>
              <w:rPr>
                <w:rFonts w:ascii="Arial" w:cs="Arial" w:eastAsia="Arial" w:hAnsi="Arial"/>
                <w:sz w:val="14"/>
                <w:szCs w:val="14"/>
                <w:b w:val="1"/>
                <w:bCs w:val="1"/>
                <w:color w:val="auto"/>
              </w:rPr>
              <w:t>Three Months Ended September 30,</w:t>
            </w:r>
          </w:p>
        </w:tc>
        <w:tc>
          <w:tcPr>
            <w:tcW w:w="120" w:type="dxa"/>
            <w:vAlign w:val="bottom"/>
          </w:tcPr>
          <w:p>
            <w:pPr>
              <w:spacing w:after="0"/>
              <w:rPr>
                <w:sz w:val="16"/>
                <w:szCs w:val="16"/>
                <w:color w:val="auto"/>
              </w:rPr>
            </w:pPr>
          </w:p>
        </w:tc>
        <w:tc>
          <w:tcPr>
            <w:tcW w:w="2800" w:type="dxa"/>
            <w:vAlign w:val="bottom"/>
            <w:gridSpan w:val="9"/>
          </w:tcPr>
          <w:p>
            <w:pPr>
              <w:ind w:left="620"/>
              <w:spacing w:after="0"/>
              <w:rPr>
                <w:sz w:val="20"/>
                <w:szCs w:val="20"/>
                <w:color w:val="auto"/>
              </w:rPr>
            </w:pPr>
            <w:r>
              <w:rPr>
                <w:rFonts w:ascii="Arial" w:cs="Arial" w:eastAsia="Arial" w:hAnsi="Arial"/>
                <w:sz w:val="14"/>
                <w:szCs w:val="14"/>
                <w:b w:val="1"/>
                <w:bCs w:val="1"/>
                <w:color w:val="auto"/>
                <w:w w:val="93"/>
              </w:rPr>
              <w:t>Nine Months Ended September 30,</w:t>
            </w: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2020</w:t>
            </w:r>
          </w:p>
        </w:tc>
        <w:tc>
          <w:tcPr>
            <w:tcW w:w="66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2019</w:t>
            </w:r>
          </w:p>
        </w:tc>
        <w:tc>
          <w:tcPr>
            <w:tcW w:w="660" w:type="dxa"/>
            <w:vAlign w:val="bottom"/>
            <w:tcBorders>
              <w:top w:val="single" w:sz="8" w:color="auto"/>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gridSpan w:val="3"/>
          </w:tcPr>
          <w:p>
            <w:pPr>
              <w:ind w:left="620"/>
              <w:spacing w:after="0"/>
              <w:rPr>
                <w:sz w:val="20"/>
                <w:szCs w:val="20"/>
                <w:color w:val="auto"/>
              </w:rPr>
            </w:pPr>
            <w:r>
              <w:rPr>
                <w:rFonts w:ascii="Arial" w:cs="Arial" w:eastAsia="Arial" w:hAnsi="Arial"/>
                <w:sz w:val="14"/>
                <w:szCs w:val="14"/>
                <w:b w:val="1"/>
                <w:bCs w:val="1"/>
                <w:color w:val="auto"/>
                <w:w w:val="96"/>
              </w:rPr>
              <w:t>2020</w:t>
            </w:r>
          </w:p>
        </w:tc>
        <w:tc>
          <w:tcPr>
            <w:tcW w:w="700" w:type="dxa"/>
            <w:vAlign w:val="bottom"/>
            <w:tcBorders>
              <w:top w:val="single" w:sz="8" w:color="auto"/>
              <w:bottom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2019</w:t>
            </w:r>
          </w:p>
        </w:tc>
        <w:tc>
          <w:tcPr>
            <w:tcW w:w="680" w:type="dxa"/>
            <w:vAlign w:val="bottom"/>
            <w:tcBorders>
              <w:top w:val="single" w:sz="8" w:color="auto"/>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40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Economic Interest Expense and Aggregate Cost of Funds </w:t>
            </w:r>
            <w:r>
              <w:rPr>
                <w:rFonts w:ascii="Arial" w:cs="Arial" w:eastAsia="Arial" w:hAnsi="Arial"/>
                <w:sz w:val="18"/>
                <w:szCs w:val="18"/>
                <w:b w:val="1"/>
                <w:bCs w:val="1"/>
                <w:color w:val="auto"/>
                <w:vertAlign w:val="superscript"/>
              </w:rPr>
              <w:t>1</w:t>
            </w:r>
          </w:p>
        </w:tc>
        <w:tc>
          <w:tcPr>
            <w:tcW w:w="100" w:type="dxa"/>
            <w:vAlign w:val="bottom"/>
          </w:tcPr>
          <w:p>
            <w:pPr>
              <w:spacing w:after="0"/>
              <w:rPr>
                <w:sz w:val="11"/>
                <w:szCs w:val="11"/>
                <w:color w:val="auto"/>
              </w:rPr>
            </w:pPr>
          </w:p>
        </w:tc>
        <w:tc>
          <w:tcPr>
            <w:tcW w:w="920" w:type="dxa"/>
            <w:vAlign w:val="bottom"/>
            <w:gridSpan w:val="3"/>
            <w:vMerge w:val="restart"/>
          </w:tcPr>
          <w:p>
            <w:pPr>
              <w:jc w:val="right"/>
              <w:ind w:right="400"/>
              <w:spacing w:after="0"/>
              <w:rPr>
                <w:sz w:val="20"/>
                <w:szCs w:val="20"/>
                <w:color w:val="auto"/>
              </w:rPr>
            </w:pPr>
            <w:r>
              <w:rPr>
                <w:rFonts w:ascii="Arial" w:cs="Arial" w:eastAsia="Arial" w:hAnsi="Arial"/>
                <w:sz w:val="14"/>
                <w:szCs w:val="14"/>
                <w:b w:val="1"/>
                <w:bCs w:val="1"/>
                <w:color w:val="auto"/>
                <w:w w:val="94"/>
              </w:rPr>
              <w:t>Amount</w:t>
            </w:r>
          </w:p>
        </w:tc>
        <w:tc>
          <w:tcPr>
            <w:tcW w:w="660" w:type="dxa"/>
            <w:vAlign w:val="bottom"/>
          </w:tcPr>
          <w:p>
            <w:pPr>
              <w:jc w:val="center"/>
              <w:ind w:right="108"/>
              <w:spacing w:after="0" w:line="130" w:lineRule="exact"/>
              <w:rPr>
                <w:sz w:val="20"/>
                <w:szCs w:val="20"/>
                <w:color w:val="auto"/>
              </w:rPr>
            </w:pPr>
            <w:r>
              <w:rPr>
                <w:rFonts w:ascii="Arial" w:cs="Arial" w:eastAsia="Arial" w:hAnsi="Arial"/>
                <w:sz w:val="14"/>
                <w:szCs w:val="14"/>
                <w:b w:val="1"/>
                <w:bCs w:val="1"/>
                <w:color w:val="auto"/>
                <w:w w:val="91"/>
              </w:rPr>
              <w:t>Cost of</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gridSpan w:val="3"/>
            <w:vMerge w:val="restart"/>
          </w:tcPr>
          <w:p>
            <w:pPr>
              <w:jc w:val="right"/>
              <w:ind w:right="400"/>
              <w:spacing w:after="0"/>
              <w:rPr>
                <w:sz w:val="20"/>
                <w:szCs w:val="20"/>
                <w:color w:val="auto"/>
              </w:rPr>
            </w:pPr>
            <w:r>
              <w:rPr>
                <w:rFonts w:ascii="Arial" w:cs="Arial" w:eastAsia="Arial" w:hAnsi="Arial"/>
                <w:sz w:val="14"/>
                <w:szCs w:val="14"/>
                <w:b w:val="1"/>
                <w:bCs w:val="1"/>
                <w:color w:val="auto"/>
                <w:w w:val="94"/>
              </w:rPr>
              <w:t>Amount</w:t>
            </w:r>
          </w:p>
        </w:tc>
        <w:tc>
          <w:tcPr>
            <w:tcW w:w="660" w:type="dxa"/>
            <w:vAlign w:val="bottom"/>
          </w:tcPr>
          <w:p>
            <w:pPr>
              <w:jc w:val="center"/>
              <w:ind w:right="108"/>
              <w:spacing w:after="0" w:line="130" w:lineRule="exact"/>
              <w:rPr>
                <w:sz w:val="20"/>
                <w:szCs w:val="20"/>
                <w:color w:val="auto"/>
              </w:rPr>
            </w:pPr>
            <w:r>
              <w:rPr>
                <w:rFonts w:ascii="Arial" w:cs="Arial" w:eastAsia="Arial" w:hAnsi="Arial"/>
                <w:sz w:val="14"/>
                <w:szCs w:val="14"/>
                <w:b w:val="1"/>
                <w:bCs w:val="1"/>
                <w:color w:val="auto"/>
                <w:w w:val="91"/>
              </w:rPr>
              <w:t>Cost of</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Amount</w:t>
            </w:r>
          </w:p>
        </w:tc>
        <w:tc>
          <w:tcPr>
            <w:tcW w:w="700" w:type="dxa"/>
            <w:vAlign w:val="bottom"/>
          </w:tcPr>
          <w:p>
            <w:pPr>
              <w:jc w:val="center"/>
              <w:ind w:right="108"/>
              <w:spacing w:after="0" w:line="130" w:lineRule="exact"/>
              <w:rPr>
                <w:sz w:val="20"/>
                <w:szCs w:val="20"/>
                <w:color w:val="auto"/>
              </w:rPr>
            </w:pPr>
            <w:r>
              <w:rPr>
                <w:rFonts w:ascii="Arial" w:cs="Arial" w:eastAsia="Arial" w:hAnsi="Arial"/>
                <w:sz w:val="14"/>
                <w:szCs w:val="14"/>
                <w:b w:val="1"/>
                <w:bCs w:val="1"/>
                <w:color w:val="auto"/>
                <w:w w:val="91"/>
              </w:rPr>
              <w:t>Cost 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gridSpan w:val="3"/>
            <w:vMerge w:val="restart"/>
          </w:tcPr>
          <w:p>
            <w:pPr>
              <w:jc w:val="right"/>
              <w:ind w:right="440"/>
              <w:spacing w:after="0"/>
              <w:rPr>
                <w:sz w:val="20"/>
                <w:szCs w:val="20"/>
                <w:color w:val="auto"/>
              </w:rPr>
            </w:pPr>
            <w:r>
              <w:rPr>
                <w:rFonts w:ascii="Arial" w:cs="Arial" w:eastAsia="Arial" w:hAnsi="Arial"/>
                <w:sz w:val="14"/>
                <w:szCs w:val="14"/>
                <w:b w:val="1"/>
                <w:bCs w:val="1"/>
                <w:color w:val="auto"/>
                <w:w w:val="94"/>
              </w:rPr>
              <w:t>Amount</w:t>
            </w:r>
          </w:p>
        </w:tc>
        <w:tc>
          <w:tcPr>
            <w:tcW w:w="680" w:type="dxa"/>
            <w:vAlign w:val="bottom"/>
          </w:tcPr>
          <w:p>
            <w:pPr>
              <w:jc w:val="right"/>
              <w:ind w:right="148"/>
              <w:spacing w:after="0" w:line="130" w:lineRule="exact"/>
              <w:rPr>
                <w:sz w:val="20"/>
                <w:szCs w:val="20"/>
                <w:color w:val="auto"/>
              </w:rPr>
            </w:pPr>
            <w:r>
              <w:rPr>
                <w:rFonts w:ascii="Arial" w:cs="Arial" w:eastAsia="Arial" w:hAnsi="Arial"/>
                <w:sz w:val="14"/>
                <w:szCs w:val="14"/>
                <w:b w:val="1"/>
                <w:bCs w:val="1"/>
                <w:color w:val="auto"/>
                <w:w w:val="91"/>
              </w:rPr>
              <w:t>Cost of</w:t>
            </w:r>
          </w:p>
        </w:tc>
        <w:tc>
          <w:tcPr>
            <w:tcW w:w="0" w:type="dxa"/>
            <w:vAlign w:val="bottom"/>
          </w:tcPr>
          <w:p>
            <w:pPr>
              <w:spacing w:after="0"/>
              <w:rPr>
                <w:sz w:val="1"/>
                <w:szCs w:val="1"/>
                <w:color w:val="auto"/>
              </w:rPr>
            </w:pPr>
          </w:p>
        </w:tc>
      </w:tr>
      <w:tr>
        <w:trPr>
          <w:trHeight w:val="189"/>
        </w:trPr>
        <w:tc>
          <w:tcPr>
            <w:tcW w:w="406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gridSpan w:val="3"/>
            <w:vMerge w:val="continue"/>
          </w:tcPr>
          <w:p>
            <w:pPr>
              <w:spacing w:after="0"/>
              <w:rPr>
                <w:sz w:val="16"/>
                <w:szCs w:val="16"/>
                <w:color w:val="auto"/>
              </w:rPr>
            </w:pPr>
          </w:p>
        </w:tc>
        <w:tc>
          <w:tcPr>
            <w:tcW w:w="7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Funds</w:t>
            </w:r>
          </w:p>
        </w:tc>
        <w:tc>
          <w:tcPr>
            <w:tcW w:w="100" w:type="dxa"/>
            <w:vAlign w:val="bottom"/>
          </w:tcPr>
          <w:p>
            <w:pPr>
              <w:spacing w:after="0"/>
              <w:rPr>
                <w:sz w:val="16"/>
                <w:szCs w:val="16"/>
                <w:color w:val="auto"/>
              </w:rPr>
            </w:pPr>
          </w:p>
        </w:tc>
        <w:tc>
          <w:tcPr>
            <w:tcW w:w="920" w:type="dxa"/>
            <w:vAlign w:val="bottom"/>
            <w:gridSpan w:val="3"/>
            <w:vMerge w:val="continue"/>
          </w:tcPr>
          <w:p>
            <w:pPr>
              <w:spacing w:after="0"/>
              <w:rPr>
                <w:sz w:val="16"/>
                <w:szCs w:val="16"/>
                <w:color w:val="auto"/>
              </w:rPr>
            </w:pPr>
          </w:p>
        </w:tc>
        <w:tc>
          <w:tcPr>
            <w:tcW w:w="7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Funds</w:t>
            </w:r>
          </w:p>
        </w:tc>
        <w:tc>
          <w:tcPr>
            <w:tcW w:w="120" w:type="dxa"/>
            <w:vAlign w:val="bottom"/>
          </w:tcPr>
          <w:p>
            <w:pPr>
              <w:spacing w:after="0"/>
              <w:rPr>
                <w:sz w:val="16"/>
                <w:szCs w:val="16"/>
                <w:color w:val="auto"/>
              </w:rPr>
            </w:pPr>
          </w:p>
        </w:tc>
        <w:tc>
          <w:tcPr>
            <w:tcW w:w="940" w:type="dxa"/>
            <w:vAlign w:val="bottom"/>
            <w:gridSpan w:val="3"/>
            <w:vMerge w:val="continue"/>
          </w:tcPr>
          <w:p>
            <w:pPr>
              <w:spacing w:after="0"/>
              <w:rPr>
                <w:sz w:val="16"/>
                <w:szCs w:val="16"/>
                <w:color w:val="auto"/>
              </w:rPr>
            </w:pPr>
          </w:p>
        </w:tc>
        <w:tc>
          <w:tcPr>
            <w:tcW w:w="7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Funds</w:t>
            </w:r>
          </w:p>
        </w:tc>
        <w:tc>
          <w:tcPr>
            <w:tcW w:w="120" w:type="dxa"/>
            <w:vAlign w:val="bottom"/>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80" w:type="dxa"/>
            <w:vAlign w:val="bottom"/>
          </w:tcPr>
          <w:p>
            <w:pPr>
              <w:jc w:val="right"/>
              <w:ind w:right="168"/>
              <w:spacing w:after="0"/>
              <w:rPr>
                <w:sz w:val="20"/>
                <w:szCs w:val="20"/>
                <w:color w:val="auto"/>
              </w:rPr>
            </w:pPr>
            <w:r>
              <w:rPr>
                <w:rFonts w:ascii="Arial" w:cs="Arial" w:eastAsia="Arial" w:hAnsi="Arial"/>
                <w:sz w:val="14"/>
                <w:szCs w:val="14"/>
                <w:b w:val="1"/>
                <w:bCs w:val="1"/>
                <w:color w:val="auto"/>
                <w:w w:val="99"/>
              </w:rPr>
              <w:t>Funds</w:t>
            </w:r>
          </w:p>
        </w:tc>
        <w:tc>
          <w:tcPr>
            <w:tcW w:w="0" w:type="dxa"/>
            <w:vAlign w:val="bottom"/>
          </w:tcPr>
          <w:p>
            <w:pPr>
              <w:spacing w:after="0"/>
              <w:rPr>
                <w:sz w:val="1"/>
                <w:szCs w:val="1"/>
                <w:color w:val="auto"/>
              </w:rPr>
            </w:pPr>
          </w:p>
        </w:tc>
      </w:tr>
      <w:tr>
        <w:trPr>
          <w:trHeight w:val="129"/>
        </w:trPr>
        <w:tc>
          <w:tcPr>
            <w:tcW w:w="3940" w:type="dxa"/>
            <w:vAlign w:val="bottom"/>
            <w:tcBorders>
              <w:top w:val="single" w:sz="8" w:color="auto"/>
            </w:tcBorders>
            <w:shd w:val="clear" w:color="auto" w:fill="CCEEFF"/>
          </w:tcPr>
          <w:p>
            <w:pPr>
              <w:ind w:left="20"/>
              <w:spacing w:after="0" w:line="129" w:lineRule="exact"/>
              <w:rPr>
                <w:sz w:val="20"/>
                <w:szCs w:val="20"/>
                <w:color w:val="auto"/>
              </w:rPr>
            </w:pPr>
            <w:r>
              <w:rPr>
                <w:rFonts w:ascii="Arial" w:cs="Arial" w:eastAsia="Arial" w:hAnsi="Arial"/>
                <w:sz w:val="14"/>
                <w:szCs w:val="14"/>
                <w:color w:val="auto"/>
                <w:w w:val="96"/>
              </w:rPr>
              <w:t>Repurchase agreement and other debt - interest expense (GAAP</w:t>
            </w:r>
          </w:p>
        </w:tc>
        <w:tc>
          <w:tcPr>
            <w:tcW w:w="1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vMerge w:val="restart"/>
            <w:shd w:val="clear" w:color="auto" w:fill="CCEEFF"/>
          </w:tcPr>
          <w:p>
            <w:pPr>
              <w:jc w:val="center"/>
              <w:ind w:left="308"/>
              <w:spacing w:after="0"/>
              <w:rPr>
                <w:sz w:val="20"/>
                <w:szCs w:val="20"/>
                <w:color w:val="auto"/>
              </w:rPr>
            </w:pPr>
            <w:r>
              <w:rPr>
                <w:rFonts w:ascii="Arial" w:cs="Arial" w:eastAsia="Arial" w:hAnsi="Arial"/>
                <w:sz w:val="14"/>
                <w:szCs w:val="14"/>
                <w:color w:val="auto"/>
                <w:w w:val="89"/>
              </w:rPr>
              <w:t>62</w:t>
            </w:r>
          </w:p>
        </w:tc>
        <w:tc>
          <w:tcPr>
            <w:tcW w:w="10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0.40 %</w:t>
            </w:r>
          </w:p>
        </w:tc>
        <w:tc>
          <w:tcPr>
            <w:tcW w:w="1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557</w:t>
            </w:r>
          </w:p>
        </w:tc>
        <w:tc>
          <w:tcPr>
            <w:tcW w:w="10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auto"/>
            </w:tcBorders>
            <w:shd w:val="clear" w:color="auto" w:fill="CCEEFF"/>
          </w:tcPr>
          <w:p>
            <w:pPr>
              <w:spacing w:after="0"/>
              <w:rPr>
                <w:sz w:val="11"/>
                <w:szCs w:val="11"/>
                <w:color w:val="auto"/>
              </w:rPr>
            </w:pPr>
          </w:p>
        </w:tc>
        <w:tc>
          <w:tcPr>
            <w:tcW w:w="6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2.48 %</w:t>
            </w:r>
          </w:p>
        </w:tc>
        <w:tc>
          <w:tcPr>
            <w:tcW w:w="10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622</w:t>
            </w:r>
          </w:p>
        </w:tc>
        <w:tc>
          <w:tcPr>
            <w:tcW w:w="100" w:type="dxa"/>
            <w:vAlign w:val="bottom"/>
            <w:tcBorders>
              <w:top w:val="single" w:sz="8" w:color="CCEEFF"/>
            </w:tcBorders>
            <w:shd w:val="clear" w:color="auto" w:fill="CCEEFF"/>
          </w:tcPr>
          <w:p>
            <w:pPr>
              <w:spacing w:after="0"/>
              <w:rPr>
                <w:sz w:val="11"/>
                <w:szCs w:val="11"/>
                <w:color w:val="auto"/>
              </w:rPr>
            </w:pPr>
          </w:p>
        </w:tc>
        <w:tc>
          <w:tcPr>
            <w:tcW w:w="18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1.09 %</w:t>
            </w:r>
          </w:p>
        </w:tc>
        <w:tc>
          <w:tcPr>
            <w:tcW w:w="8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1,668</w:t>
            </w:r>
          </w:p>
        </w:tc>
        <w:tc>
          <w:tcPr>
            <w:tcW w:w="100" w:type="dxa"/>
            <w:vAlign w:val="bottom"/>
            <w:tcBorders>
              <w:top w:val="single" w:sz="8" w:color="CCEEFF"/>
            </w:tcBorders>
            <w:shd w:val="clear" w:color="auto" w:fill="CCEEFF"/>
          </w:tcPr>
          <w:p>
            <w:pPr>
              <w:spacing w:after="0"/>
              <w:rPr>
                <w:sz w:val="11"/>
                <w:szCs w:val="11"/>
                <w:color w:val="auto"/>
              </w:rPr>
            </w:pPr>
          </w:p>
        </w:tc>
        <w:tc>
          <w:tcPr>
            <w:tcW w:w="200" w:type="dxa"/>
            <w:vAlign w:val="bottom"/>
            <w:tcBorders>
              <w:top w:val="single" w:sz="8" w:color="auto"/>
            </w:tcBorders>
            <w:shd w:val="clear" w:color="auto" w:fill="CCEEFF"/>
          </w:tcPr>
          <w:p>
            <w:pPr>
              <w:spacing w:after="0"/>
              <w:rPr>
                <w:sz w:val="11"/>
                <w:szCs w:val="11"/>
                <w:color w:val="auto"/>
              </w:rPr>
            </w:pPr>
          </w:p>
        </w:tc>
        <w:tc>
          <w:tcPr>
            <w:tcW w:w="68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4"/>
                <w:szCs w:val="14"/>
                <w:color w:val="auto"/>
              </w:rPr>
              <w:t>2.58 %</w:t>
            </w:r>
          </w:p>
        </w:tc>
        <w:tc>
          <w:tcPr>
            <w:tcW w:w="0" w:type="dxa"/>
            <w:vAlign w:val="bottom"/>
          </w:tcPr>
          <w:p>
            <w:pPr>
              <w:spacing w:after="0"/>
              <w:rPr>
                <w:sz w:val="1"/>
                <w:szCs w:val="1"/>
                <w:color w:val="auto"/>
              </w:rPr>
            </w:pPr>
          </w:p>
        </w:tc>
      </w:tr>
      <w:tr>
        <w:trPr>
          <w:trHeight w:val="189"/>
        </w:trPr>
        <w:tc>
          <w:tcPr>
            <w:tcW w:w="40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measure)</w:t>
            </w:r>
          </w:p>
        </w:tc>
        <w:tc>
          <w:tcPr>
            <w:tcW w:w="100" w:type="dxa"/>
            <w:vAlign w:val="bottom"/>
            <w:vMerge w:val="continue"/>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60" w:type="dxa"/>
            <w:vAlign w:val="bottom"/>
            <w:tcBorders>
              <w:bottom w:val="single" w:sz="8" w:color="CCEEFF"/>
            </w:tcBorders>
            <w:gridSpan w:val="2"/>
          </w:tcPr>
          <w:p>
            <w:pPr>
              <w:ind w:left="20"/>
              <w:spacing w:after="0" w:line="189" w:lineRule="exact"/>
              <w:rPr>
                <w:sz w:val="20"/>
                <w:szCs w:val="20"/>
                <w:color w:val="auto"/>
              </w:rPr>
            </w:pPr>
            <w:r>
              <w:rPr>
                <w:rFonts w:ascii="Arial" w:cs="Arial" w:eastAsia="Arial" w:hAnsi="Arial"/>
                <w:sz w:val="14"/>
                <w:szCs w:val="14"/>
                <w:color w:val="auto"/>
              </w:rPr>
              <w:t xml:space="preserve">TBA dollar roll income - implied interest expense (benefit) </w:t>
            </w:r>
            <w:r>
              <w:rPr>
                <w:rFonts w:ascii="Arial" w:cs="Arial" w:eastAsia="Arial" w:hAnsi="Arial"/>
                <w:sz w:val="18"/>
                <w:szCs w:val="18"/>
                <w:color w:val="auto"/>
                <w:vertAlign w:val="superscript"/>
              </w:rPr>
              <w:t>2,3</w:t>
            </w: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center"/>
              <w:ind w:left="288"/>
              <w:spacing w:after="0"/>
              <w:rPr>
                <w:sz w:val="20"/>
                <w:szCs w:val="20"/>
                <w:color w:val="auto"/>
              </w:rPr>
            </w:pPr>
            <w:r>
              <w:rPr>
                <w:rFonts w:ascii="Arial" w:cs="Arial" w:eastAsia="Arial" w:hAnsi="Arial"/>
                <w:sz w:val="14"/>
                <w:szCs w:val="14"/>
                <w:color w:val="auto"/>
                <w:w w:val="96"/>
              </w:rPr>
              <w:t>(41)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(0.58)%</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2.00 %</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178</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2.32 %</w:t>
            </w:r>
          </w:p>
        </w:tc>
        <w:tc>
          <w:tcPr>
            <w:tcW w:w="0" w:type="dxa"/>
            <w:vAlign w:val="bottom"/>
          </w:tcPr>
          <w:p>
            <w:pPr>
              <w:spacing w:after="0"/>
              <w:rPr>
                <w:sz w:val="1"/>
                <w:szCs w:val="1"/>
                <w:color w:val="auto"/>
              </w:rPr>
            </w:pPr>
          </w:p>
        </w:tc>
      </w:tr>
      <w:tr>
        <w:trPr>
          <w:trHeight w:val="115"/>
        </w:trPr>
        <w:tc>
          <w:tcPr>
            <w:tcW w:w="4060" w:type="dxa"/>
            <w:vAlign w:val="bottom"/>
            <w:gridSpan w:val="2"/>
            <w:shd w:val="clear" w:color="auto" w:fill="CCEEFF"/>
          </w:tcPr>
          <w:p>
            <w:pPr>
              <w:ind w:left="180"/>
              <w:spacing w:after="0" w:line="115" w:lineRule="exact"/>
              <w:rPr>
                <w:sz w:val="20"/>
                <w:szCs w:val="20"/>
                <w:color w:val="auto"/>
              </w:rPr>
            </w:pPr>
            <w:r>
              <w:rPr>
                <w:rFonts w:ascii="Arial" w:cs="Arial" w:eastAsia="Arial" w:hAnsi="Arial"/>
                <w:sz w:val="13"/>
                <w:szCs w:val="13"/>
                <w:color w:val="auto"/>
              </w:rPr>
              <w:t>Economic interest expense - before interest rate swap periodic</w:t>
            </w:r>
          </w:p>
        </w:tc>
        <w:tc>
          <w:tcPr>
            <w:tcW w:w="10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center"/>
              <w:ind w:left="308"/>
              <w:spacing w:after="0"/>
              <w:rPr>
                <w:sz w:val="20"/>
                <w:szCs w:val="20"/>
                <w:color w:val="auto"/>
              </w:rPr>
            </w:pPr>
            <w:r>
              <w:rPr>
                <w:rFonts w:ascii="Arial" w:cs="Arial" w:eastAsia="Arial" w:hAnsi="Arial"/>
                <w:sz w:val="14"/>
                <w:szCs w:val="14"/>
                <w:color w:val="auto"/>
                <w:w w:val="89"/>
              </w:rPr>
              <w:t>21</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0.09 %</w:t>
            </w:r>
          </w:p>
        </w:tc>
        <w:tc>
          <w:tcPr>
            <w:tcW w:w="1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609</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2.43 %</w:t>
            </w: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609</w:t>
            </w:r>
          </w:p>
        </w:tc>
        <w:tc>
          <w:tcPr>
            <w:tcW w:w="10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0.87 %</w:t>
            </w:r>
          </w:p>
        </w:tc>
        <w:tc>
          <w:tcPr>
            <w:tcW w:w="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1,846</w:t>
            </w:r>
          </w:p>
        </w:tc>
        <w:tc>
          <w:tcPr>
            <w:tcW w:w="10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2.55 %</w:t>
            </w:r>
          </w:p>
        </w:tc>
        <w:tc>
          <w:tcPr>
            <w:tcW w:w="0" w:type="dxa"/>
            <w:vAlign w:val="bottom"/>
          </w:tcPr>
          <w:p>
            <w:pPr>
              <w:spacing w:after="0"/>
              <w:rPr>
                <w:sz w:val="1"/>
                <w:szCs w:val="1"/>
                <w:color w:val="auto"/>
              </w:rPr>
            </w:pPr>
          </w:p>
        </w:tc>
      </w:tr>
      <w:tr>
        <w:trPr>
          <w:trHeight w:val="189"/>
        </w:trPr>
        <w:tc>
          <w:tcPr>
            <w:tcW w:w="4060" w:type="dxa"/>
            <w:vAlign w:val="bottom"/>
            <w:gridSpan w:val="2"/>
            <w:shd w:val="clear" w:color="auto" w:fill="CCEEFF"/>
          </w:tcPr>
          <w:p>
            <w:pPr>
              <w:ind w:left="180"/>
              <w:spacing w:after="0" w:line="189" w:lineRule="exact"/>
              <w:rPr>
                <w:sz w:val="20"/>
                <w:szCs w:val="20"/>
                <w:color w:val="auto"/>
              </w:rPr>
            </w:pPr>
            <w:r>
              <w:rPr>
                <w:rFonts w:ascii="Arial" w:cs="Arial" w:eastAsia="Arial" w:hAnsi="Arial"/>
                <w:sz w:val="14"/>
                <w:szCs w:val="14"/>
                <w:color w:val="auto"/>
              </w:rPr>
              <w:t xml:space="preserve">cost (income), net </w:t>
            </w:r>
            <w:r>
              <w:rPr>
                <w:rFonts w:ascii="Arial" w:cs="Arial" w:eastAsia="Arial" w:hAnsi="Arial"/>
                <w:sz w:val="18"/>
                <w:szCs w:val="18"/>
                <w:color w:val="auto"/>
                <w:vertAlign w:val="superscript"/>
              </w:rPr>
              <w:t>4</w:t>
            </w:r>
          </w:p>
        </w:tc>
        <w:tc>
          <w:tcPr>
            <w:tcW w:w="100" w:type="dxa"/>
            <w:vAlign w:val="bottom"/>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60" w:type="dxa"/>
            <w:vAlign w:val="bottom"/>
            <w:tcBorders>
              <w:bottom w:val="single" w:sz="8" w:color="CCEEFF"/>
            </w:tcBorders>
            <w:gridSpan w:val="2"/>
          </w:tcPr>
          <w:p>
            <w:pPr>
              <w:ind w:left="20"/>
              <w:spacing w:after="0" w:line="189" w:lineRule="exact"/>
              <w:rPr>
                <w:sz w:val="20"/>
                <w:szCs w:val="20"/>
                <w:color w:val="auto"/>
              </w:rPr>
            </w:pPr>
            <w:r>
              <w:rPr>
                <w:rFonts w:ascii="Arial" w:cs="Arial" w:eastAsia="Arial" w:hAnsi="Arial"/>
                <w:sz w:val="14"/>
                <w:szCs w:val="14"/>
                <w:color w:val="auto"/>
              </w:rPr>
              <w:t xml:space="preserve">Interest rate swap periodic interest cost (income), net </w:t>
            </w:r>
            <w:r>
              <w:rPr>
                <w:rFonts w:ascii="Arial" w:cs="Arial" w:eastAsia="Arial" w:hAnsi="Arial"/>
                <w:sz w:val="18"/>
                <w:szCs w:val="18"/>
                <w:color w:val="auto"/>
                <w:vertAlign w:val="superscript"/>
              </w:rPr>
              <w:t>2,5</w:t>
            </w: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center"/>
              <w:ind w:left="308"/>
              <w:spacing w:after="0"/>
              <w:rPr>
                <w:sz w:val="20"/>
                <w:szCs w:val="20"/>
                <w:color w:val="auto"/>
              </w:rPr>
            </w:pPr>
            <w:r>
              <w:rPr>
                <w:rFonts w:ascii="Arial" w:cs="Arial" w:eastAsia="Arial" w:hAnsi="Arial"/>
                <w:sz w:val="14"/>
                <w:szCs w:val="14"/>
                <w:color w:val="auto"/>
                <w:w w:val="89"/>
              </w:rPr>
              <w:t>13</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0.06 %</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(146)</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(0.58)%</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0.06 %</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(317)</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(0.44)%</w:t>
            </w:r>
          </w:p>
        </w:tc>
        <w:tc>
          <w:tcPr>
            <w:tcW w:w="0" w:type="dxa"/>
            <w:vAlign w:val="bottom"/>
          </w:tcPr>
          <w:p>
            <w:pPr>
              <w:spacing w:after="0"/>
              <w:rPr>
                <w:sz w:val="1"/>
                <w:szCs w:val="1"/>
                <w:color w:val="auto"/>
              </w:rPr>
            </w:pPr>
          </w:p>
        </w:tc>
      </w:tr>
      <w:tr>
        <w:trPr>
          <w:trHeight w:val="208"/>
        </w:trPr>
        <w:tc>
          <w:tcPr>
            <w:tcW w:w="40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 economic interest expense (non-GAAP measure)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shd w:val="clear" w:color="auto" w:fill="CCEEFF"/>
          </w:tcPr>
          <w:p>
            <w:pPr>
              <w:jc w:val="center"/>
              <w:ind w:left="308"/>
              <w:spacing w:after="0"/>
              <w:rPr>
                <w:sz w:val="20"/>
                <w:szCs w:val="20"/>
                <w:color w:val="auto"/>
              </w:rPr>
            </w:pPr>
            <w:r>
              <w:rPr>
                <w:rFonts w:ascii="Arial" w:cs="Arial" w:eastAsia="Arial" w:hAnsi="Arial"/>
                <w:sz w:val="14"/>
                <w:szCs w:val="14"/>
                <w:color w:val="auto"/>
                <w:w w:val="89"/>
              </w:rPr>
              <w:t>34</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0.15 %</w:t>
            </w:r>
          </w:p>
        </w:tc>
        <w:tc>
          <w:tcPr>
            <w:tcW w:w="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463</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1.85 %</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650</w:t>
            </w: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0.93 %</w:t>
            </w:r>
          </w:p>
        </w:tc>
        <w:tc>
          <w:tcPr>
            <w:tcW w:w="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1,529</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2.11 %</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 w:lineRule="exact"/>
        <w:rPr>
          <w:rFonts w:ascii="Arial" w:cs="Arial" w:eastAsia="Arial" w:hAnsi="Arial"/>
          <w:sz w:val="14"/>
          <w:szCs w:val="14"/>
          <w:color w:val="auto"/>
        </w:rPr>
      </w:pPr>
    </w:p>
    <w:p>
      <w:pPr>
        <w:jc w:val="both"/>
        <w:ind w:left="660" w:hanging="328"/>
        <w:spacing w:after="0" w:line="241"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The implied funding cost (benefit)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(benefit)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60" w:hanging="328"/>
        <w:spacing w:after="0" w:line="241" w:lineRule="auto"/>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Interest rate swap periodic interest (income) cost is measured as a percent of average mortgage borrowings outstanding for the period.</w:t>
      </w:r>
    </w:p>
    <w:p>
      <w:pPr>
        <w:spacing w:after="0" w:line="236" w:lineRule="exact"/>
        <w:rPr>
          <w:sz w:val="20"/>
          <w:szCs w:val="20"/>
          <w:color w:val="auto"/>
        </w:rPr>
      </w:pPr>
    </w:p>
    <w:p>
      <w:pPr>
        <w:jc w:val="both"/>
        <w:ind w:firstLine="445"/>
        <w:spacing w:after="0" w:line="279" w:lineRule="auto"/>
        <w:rPr>
          <w:sz w:val="20"/>
          <w:szCs w:val="20"/>
          <w:color w:val="auto"/>
        </w:rPr>
      </w:pPr>
      <w:r>
        <w:rPr>
          <w:rFonts w:ascii="Arial" w:cs="Arial" w:eastAsia="Arial" w:hAnsi="Arial"/>
          <w:sz w:val="17"/>
          <w:szCs w:val="17"/>
          <w:color w:val="auto"/>
        </w:rPr>
        <w:t>The principal elements impacting our economic interest expense are (i) the size of our average mortgage borrowings and interest rate swap portfolio outstanding during the period, (ii) the average interest rate (actual and implied) on our mortgage borrowings and (iii) the average net interest rate paid/received on our interest rate swaps. The following table includes a summary of the estimated impact of these elements on our economic interest expense for the three and nine months ended September 30, 2020 compared to the prior year period (in millions):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35" w:name="page36"/>
    <w:bookmarkEnd w:id="35"/>
    <w:p>
      <w:pPr>
        <w:jc w:val="center"/>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23495</wp:posOffset>
            </wp:positionV>
            <wp:extent cx="670369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703695" cy="8255"/>
                    </a:xfrm>
                    <a:prstGeom prst="rect">
                      <a:avLst/>
                    </a:prstGeom>
                    <a:noFill/>
                  </pic:spPr>
                </pic:pic>
              </a:graphicData>
            </a:graphic>
          </wp:anchor>
        </w:drawing>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Periods ended September 30, 2020 vs. September 30, 2019</w:t>
      </w:r>
    </w:p>
    <w:p>
      <w:pPr>
        <w:spacing w:after="0" w:line="25" w:lineRule="exact"/>
        <w:rPr>
          <w:sz w:val="20"/>
          <w:szCs w:val="20"/>
          <w:color w:val="auto"/>
        </w:rPr>
      </w:pPr>
    </w:p>
    <w:tbl>
      <w:tblPr>
        <w:tblLayout w:type="fixed"/>
        <w:tblInd w:w="340" w:type="dxa"/>
        <w:tblCellMar>
          <w:top w:w="0" w:type="dxa"/>
          <w:left w:w="0" w:type="dxa"/>
          <w:bottom w:w="0" w:type="dxa"/>
          <w:right w:w="0" w:type="dxa"/>
        </w:tblCellMar>
      </w:tblPr>
      <w:tr>
        <w:trPr>
          <w:trHeight w:val="192"/>
        </w:trPr>
        <w:tc>
          <w:tcPr>
            <w:tcW w:w="62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2740" w:type="dxa"/>
            <w:vAlign w:val="bottom"/>
            <w:tcBorders>
              <w:top w:val="single" w:sz="8" w:color="auto"/>
              <w:bottom w:val="single" w:sz="8" w:color="auto"/>
            </w:tcBorders>
            <w:gridSpan w:val="4"/>
          </w:tcPr>
          <w:p>
            <w:pPr>
              <w:jc w:val="right"/>
              <w:ind w:right="548"/>
              <w:spacing w:after="0"/>
              <w:rPr>
                <w:sz w:val="20"/>
                <w:szCs w:val="20"/>
                <w:color w:val="auto"/>
              </w:rPr>
            </w:pPr>
            <w:r>
              <w:rPr>
                <w:rFonts w:ascii="Arial" w:cs="Arial" w:eastAsia="Arial" w:hAnsi="Arial"/>
                <w:sz w:val="14"/>
                <w:szCs w:val="14"/>
                <w:b w:val="1"/>
                <w:bCs w:val="1"/>
                <w:color w:val="auto"/>
              </w:rPr>
              <w:t>Due to Change in Average</w:t>
            </w:r>
          </w:p>
        </w:tc>
      </w:tr>
      <w:tr>
        <w:trPr>
          <w:trHeight w:val="131"/>
        </w:trPr>
        <w:tc>
          <w:tcPr>
            <w:tcW w:w="6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40" w:type="dxa"/>
            <w:vAlign w:val="bottom"/>
            <w:gridSpan w:val="2"/>
          </w:tcPr>
          <w:p>
            <w:pPr>
              <w:jc w:val="center"/>
              <w:ind w:right="240"/>
              <w:spacing w:after="0" w:line="131" w:lineRule="exact"/>
              <w:rPr>
                <w:sz w:val="20"/>
                <w:szCs w:val="20"/>
                <w:color w:val="auto"/>
              </w:rPr>
            </w:pPr>
            <w:r>
              <w:rPr>
                <w:rFonts w:ascii="Arial" w:cs="Arial" w:eastAsia="Arial" w:hAnsi="Arial"/>
                <w:sz w:val="14"/>
                <w:szCs w:val="14"/>
                <w:b w:val="1"/>
                <w:bCs w:val="1"/>
                <w:color w:val="auto"/>
                <w:w w:val="92"/>
              </w:rPr>
              <w:t>Total Increase /</w:t>
            </w:r>
          </w:p>
        </w:tc>
        <w:tc>
          <w:tcPr>
            <w:tcW w:w="120" w:type="dxa"/>
            <w:vAlign w:val="bottom"/>
          </w:tcPr>
          <w:p>
            <w:pPr>
              <w:spacing w:after="0"/>
              <w:rPr>
                <w:sz w:val="11"/>
                <w:szCs w:val="11"/>
                <w:color w:val="auto"/>
              </w:rPr>
            </w:pPr>
          </w:p>
        </w:tc>
        <w:tc>
          <w:tcPr>
            <w:tcW w:w="1360" w:type="dxa"/>
            <w:vAlign w:val="bottom"/>
            <w:gridSpan w:val="2"/>
          </w:tcPr>
          <w:p>
            <w:pPr>
              <w:jc w:val="center"/>
              <w:ind w:right="220"/>
              <w:spacing w:after="0" w:line="131" w:lineRule="exact"/>
              <w:rPr>
                <w:sz w:val="20"/>
                <w:szCs w:val="20"/>
                <w:color w:val="auto"/>
              </w:rPr>
            </w:pPr>
            <w:r>
              <w:rPr>
                <w:rFonts w:ascii="Arial" w:cs="Arial" w:eastAsia="Arial" w:hAnsi="Arial"/>
                <w:sz w:val="14"/>
                <w:szCs w:val="14"/>
                <w:b w:val="1"/>
                <w:bCs w:val="1"/>
                <w:color w:val="auto"/>
                <w:w w:val="92"/>
              </w:rPr>
              <w:t>Borrowing / Swap</w:t>
            </w:r>
          </w:p>
        </w:tc>
        <w:tc>
          <w:tcPr>
            <w:tcW w:w="120" w:type="dxa"/>
            <w:vAlign w:val="bottom"/>
          </w:tcPr>
          <w:p>
            <w:pPr>
              <w:spacing w:after="0"/>
              <w:rPr>
                <w:sz w:val="11"/>
                <w:szCs w:val="11"/>
                <w:color w:val="auto"/>
              </w:rPr>
            </w:pPr>
          </w:p>
        </w:tc>
        <w:tc>
          <w:tcPr>
            <w:tcW w:w="1260" w:type="dxa"/>
            <w:vAlign w:val="bottom"/>
          </w:tcPr>
          <w:p>
            <w:pPr>
              <w:jc w:val="right"/>
              <w:ind w:right="68"/>
              <w:spacing w:after="0" w:line="131" w:lineRule="exact"/>
              <w:rPr>
                <w:sz w:val="20"/>
                <w:szCs w:val="20"/>
                <w:color w:val="auto"/>
              </w:rPr>
            </w:pPr>
            <w:r>
              <w:rPr>
                <w:rFonts w:ascii="Arial" w:cs="Arial" w:eastAsia="Arial" w:hAnsi="Arial"/>
                <w:sz w:val="14"/>
                <w:szCs w:val="14"/>
                <w:b w:val="1"/>
                <w:bCs w:val="1"/>
                <w:color w:val="auto"/>
                <w:w w:val="92"/>
              </w:rPr>
              <w:t>Borrowing / Swap</w:t>
            </w:r>
          </w:p>
        </w:tc>
      </w:tr>
      <w:tr>
        <w:trPr>
          <w:trHeight w:val="188"/>
        </w:trPr>
        <w:tc>
          <w:tcPr>
            <w:tcW w:w="6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(Decrease)</w:t>
            </w:r>
          </w:p>
        </w:tc>
        <w:tc>
          <w:tcPr>
            <w:tcW w:w="120" w:type="dxa"/>
            <w:vAlign w:val="bottom"/>
          </w:tcPr>
          <w:p>
            <w:pPr>
              <w:spacing w:after="0"/>
              <w:rPr>
                <w:sz w:val="16"/>
                <w:szCs w:val="16"/>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Balance</w:t>
            </w:r>
          </w:p>
        </w:tc>
        <w:tc>
          <w:tcPr>
            <w:tcW w:w="120" w:type="dxa"/>
            <w:vAlign w:val="bottom"/>
          </w:tcPr>
          <w:p>
            <w:pPr>
              <w:spacing w:after="0"/>
              <w:rPr>
                <w:sz w:val="16"/>
                <w:szCs w:val="16"/>
                <w:color w:val="auto"/>
              </w:rPr>
            </w:pPr>
          </w:p>
        </w:tc>
        <w:tc>
          <w:tcPr>
            <w:tcW w:w="1260" w:type="dxa"/>
            <w:vAlign w:val="bottom"/>
          </w:tcPr>
          <w:p>
            <w:pPr>
              <w:jc w:val="right"/>
              <w:ind w:right="468"/>
              <w:spacing w:after="0"/>
              <w:rPr>
                <w:sz w:val="20"/>
                <w:szCs w:val="20"/>
                <w:color w:val="auto"/>
              </w:rPr>
            </w:pPr>
            <w:r>
              <w:rPr>
                <w:rFonts w:ascii="Arial" w:cs="Arial" w:eastAsia="Arial" w:hAnsi="Arial"/>
                <w:sz w:val="14"/>
                <w:szCs w:val="14"/>
                <w:b w:val="1"/>
                <w:bCs w:val="1"/>
                <w:color w:val="auto"/>
              </w:rPr>
              <w:t>Rate</w:t>
            </w:r>
          </w:p>
        </w:tc>
      </w:tr>
      <w:tr>
        <w:trPr>
          <w:trHeight w:val="170"/>
        </w:trPr>
        <w:tc>
          <w:tcPr>
            <w:tcW w:w="62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Borders>
              <w:top w:val="single" w:sz="8" w:color="auto"/>
            </w:tcBorders>
            <w:shd w:val="clear" w:color="auto" w:fill="CCEEFF"/>
          </w:tcPr>
          <w:p>
            <w:pPr>
              <w:spacing w:after="0"/>
              <w:rPr>
                <w:sz w:val="14"/>
                <w:szCs w:val="14"/>
                <w:color w:val="auto"/>
              </w:rPr>
            </w:pPr>
          </w:p>
        </w:tc>
        <w:tc>
          <w:tcPr>
            <w:tcW w:w="12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1260" w:type="dxa"/>
            <w:vAlign w:val="bottom"/>
            <w:tcBorders>
              <w:top w:val="single" w:sz="8" w:color="auto"/>
            </w:tcBorders>
            <w:shd w:val="clear" w:color="auto" w:fill="CCEEFF"/>
          </w:tcPr>
          <w:p>
            <w:pPr>
              <w:spacing w:after="0"/>
              <w:rPr>
                <w:sz w:val="14"/>
                <w:szCs w:val="14"/>
                <w:color w:val="auto"/>
              </w:rPr>
            </w:pPr>
          </w:p>
        </w:tc>
      </w:tr>
      <w:tr>
        <w:trPr>
          <w:trHeight w:val="186"/>
        </w:trPr>
        <w:tc>
          <w:tcPr>
            <w:tcW w:w="622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(495)</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(170)</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(325)</w:t>
            </w:r>
          </w:p>
        </w:tc>
      </w:tr>
      <w:tr>
        <w:trPr>
          <w:trHeight w:val="192"/>
        </w:trPr>
        <w:tc>
          <w:tcPr>
            <w:tcW w:w="6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w:t>
            </w:r>
          </w:p>
        </w:tc>
      </w:tr>
      <w:tr>
        <w:trPr>
          <w:trHeight w:val="186"/>
        </w:trPr>
        <w:tc>
          <w:tcPr>
            <w:tcW w:w="62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159</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69</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w:t>
            </w:r>
          </w:p>
        </w:tc>
      </w:tr>
      <w:tr>
        <w:trPr>
          <w:trHeight w:val="211"/>
        </w:trPr>
        <w:tc>
          <w:tcPr>
            <w:tcW w:w="6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(429)</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(418)</w:t>
            </w:r>
          </w:p>
        </w:tc>
      </w:tr>
      <w:tr>
        <w:trPr>
          <w:trHeight w:val="20"/>
        </w:trPr>
        <w:tc>
          <w:tcPr>
            <w:tcW w:w="6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189"/>
        </w:trPr>
        <w:tc>
          <w:tcPr>
            <w:tcW w:w="62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Nine months ended:</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r>
      <w:tr>
        <w:trPr>
          <w:trHeight w:val="186"/>
        </w:trPr>
        <w:tc>
          <w:tcPr>
            <w:tcW w:w="6220" w:type="dxa"/>
            <w:vAlign w:val="bottom"/>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(1,046)</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(210)</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(836)</w:t>
            </w:r>
          </w:p>
        </w:tc>
      </w:tr>
      <w:tr>
        <w:trPr>
          <w:trHeight w:val="192"/>
        </w:trPr>
        <w:tc>
          <w:tcPr>
            <w:tcW w:w="62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expense</w:t>
            </w: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(191)</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125</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r>
      <w:tr>
        <w:trPr>
          <w:trHeight w:val="186"/>
        </w:trPr>
        <w:tc>
          <w:tcPr>
            <w:tcW w:w="62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Interest rate swap periodic interest income/cost</w:t>
            </w: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358</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324</w:t>
            </w:r>
          </w:p>
        </w:tc>
      </w:tr>
      <w:tr>
        <w:trPr>
          <w:trHeight w:val="211"/>
        </w:trPr>
        <w:tc>
          <w:tcPr>
            <w:tcW w:w="6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expense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(879)</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(828)</w:t>
            </w:r>
          </w:p>
        </w:tc>
      </w:tr>
      <w:tr>
        <w:trPr>
          <w:trHeight w:val="20"/>
        </w:trPr>
        <w:tc>
          <w:tcPr>
            <w:tcW w:w="6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Our average mortgage borrowings, inclusive of TBAs, decreased by -9% and -4% for the three and nine months ended September 30, 2020, respectively, largely due to lower operating leverage. The decline in our average interest rate (actual and implied) on our mortgage borrowings these periods was due to lower short-term interest rates.</w:t>
      </w:r>
    </w:p>
    <w:p>
      <w:pPr>
        <w:spacing w:after="0" w:line="130"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Additionally, during the nine months ended September 30, 2020, we terminated $3.7 billion of longer-dated repurchase agreements and replaced them with shorter duration repurchase agreements at lower prevailing market rates. We recognized losses on debt extinguishment totaling $146 million in other gain (loss) during the period associated with the terminated agreements. We did not terminate any repurchase agreements during the three months ended September 30, 2020 or the prior year periods.</w:t>
      </w:r>
    </w:p>
    <w:p>
      <w:pPr>
        <w:spacing w:after="0" w:line="133"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increase in our interest rate swap periodic cost for the three and nine months ended September 30, 2020 was due to declines in the average rate received on our interest rate swaps as the receive leg of our pay-fixed interest rate swaps reset to lower prevailing rates, which were partially offset by a decline in our average pay-rate. The following table presents a summary of the ratio of our average interest rates swaps outstanding, excluding forward starting swaps, to our average mortgage borrowings and the weighted average pay-fixed / receive-floating rates on our interest rate swaps for the three and nine months ended September 30, 2020 and 2019 (dollars in millions):</w:t>
      </w:r>
    </w:p>
    <w:tbl>
      <w:tblPr>
        <w:tblLayout w:type="fixed"/>
        <w:tblInd w:w="0" w:type="dxa"/>
        <w:tblCellMar>
          <w:top w:w="0" w:type="dxa"/>
          <w:left w:w="0" w:type="dxa"/>
          <w:bottom w:w="0" w:type="dxa"/>
          <w:right w:w="0" w:type="dxa"/>
        </w:tblCellMar>
      </w:tblPr>
      <w:tr>
        <w:trPr>
          <w:trHeight w:val="148"/>
        </w:trPr>
        <w:tc>
          <w:tcPr>
            <w:tcW w:w="6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160" w:type="dxa"/>
            <w:vAlign w:val="bottom"/>
            <w:gridSpan w:val="5"/>
          </w:tcPr>
          <w:p>
            <w:pPr>
              <w:ind w:left="240"/>
              <w:spacing w:after="0" w:line="148" w:lineRule="exact"/>
              <w:rPr>
                <w:sz w:val="20"/>
                <w:szCs w:val="20"/>
                <w:color w:val="auto"/>
              </w:rPr>
            </w:pPr>
            <w:r>
              <w:rPr>
                <w:rFonts w:ascii="Arial" w:cs="Arial" w:eastAsia="Arial" w:hAnsi="Arial"/>
                <w:sz w:val="14"/>
                <w:szCs w:val="14"/>
                <w:b w:val="1"/>
                <w:bCs w:val="1"/>
                <w:color w:val="auto"/>
              </w:rPr>
              <w:t>Three Months Ended</w:t>
            </w:r>
          </w:p>
        </w:tc>
        <w:tc>
          <w:tcPr>
            <w:tcW w:w="240" w:type="dxa"/>
            <w:vAlign w:val="bottom"/>
          </w:tcPr>
          <w:p>
            <w:pPr>
              <w:spacing w:after="0"/>
              <w:rPr>
                <w:sz w:val="12"/>
                <w:szCs w:val="12"/>
                <w:color w:val="auto"/>
              </w:rPr>
            </w:pPr>
          </w:p>
        </w:tc>
        <w:tc>
          <w:tcPr>
            <w:tcW w:w="2080" w:type="dxa"/>
            <w:vAlign w:val="bottom"/>
            <w:gridSpan w:val="4"/>
          </w:tcPr>
          <w:p>
            <w:pPr>
              <w:jc w:val="right"/>
              <w:ind w:right="388"/>
              <w:spacing w:after="0" w:line="148" w:lineRule="exact"/>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6"/>
        </w:trPr>
        <w:tc>
          <w:tcPr>
            <w:tcW w:w="6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4"/>
          </w:tcPr>
          <w:p>
            <w:pPr>
              <w:jc w:val="right"/>
              <w:ind w:right="56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18"/>
        </w:trPr>
        <w:tc>
          <w:tcPr>
            <w:tcW w:w="6500" w:type="dxa"/>
            <w:vAlign w:val="bottom"/>
            <w:gridSpan w:val="2"/>
          </w:tcPr>
          <w:p>
            <w:pPr>
              <w:ind w:left="20"/>
              <w:spacing w:after="0" w:line="118" w:lineRule="exact"/>
              <w:rPr>
                <w:sz w:val="20"/>
                <w:szCs w:val="20"/>
                <w:color w:val="auto"/>
              </w:rPr>
            </w:pPr>
            <w:r>
              <w:rPr>
                <w:rFonts w:ascii="Arial" w:cs="Arial" w:eastAsia="Arial" w:hAnsi="Arial"/>
                <w:sz w:val="13"/>
                <w:szCs w:val="13"/>
                <w:b w:val="1"/>
                <w:bCs w:val="1"/>
                <w:color w:val="auto"/>
              </w:rPr>
              <w:t>Average Ratio of Interest Rate Swaps (Excluding Forward Starting Swaps) to Mortgage Borrowings</w:t>
            </w:r>
          </w:p>
        </w:tc>
        <w:tc>
          <w:tcPr>
            <w:tcW w:w="260" w:type="dxa"/>
            <w:vAlign w:val="bottom"/>
          </w:tcPr>
          <w:p>
            <w:pPr>
              <w:spacing w:after="0"/>
              <w:rPr>
                <w:sz w:val="10"/>
                <w:szCs w:val="10"/>
                <w:color w:val="auto"/>
              </w:rPr>
            </w:pPr>
          </w:p>
        </w:tc>
        <w:tc>
          <w:tcPr>
            <w:tcW w:w="84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70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w w:val="89"/>
              </w:rPr>
              <w:t>2019</w:t>
            </w: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6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88"/>
        </w:trPr>
        <w:tc>
          <w:tcPr>
            <w:tcW w:w="6500" w:type="dxa"/>
            <w:vAlign w:val="bottom"/>
            <w:gridSpan w:val="2"/>
          </w:tcPr>
          <w:p>
            <w:pPr>
              <w:ind w:left="20"/>
              <w:spacing w:after="0"/>
              <w:rPr>
                <w:sz w:val="20"/>
                <w:szCs w:val="20"/>
                <w:color w:val="auto"/>
              </w:rPr>
            </w:pPr>
            <w:r>
              <w:rPr>
                <w:rFonts w:ascii="Arial" w:cs="Arial" w:eastAsia="Arial" w:hAnsi="Arial"/>
                <w:sz w:val="14"/>
                <w:szCs w:val="14"/>
                <w:b w:val="1"/>
                <w:bCs w:val="1"/>
                <w:color w:val="auto"/>
              </w:rPr>
              <w:t>Outstanding</w:t>
            </w:r>
          </w:p>
        </w:tc>
        <w:tc>
          <w:tcPr>
            <w:tcW w:w="26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64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Agency repo and other debt outstanding</w:t>
            </w:r>
          </w:p>
        </w:tc>
        <w:tc>
          <w:tcPr>
            <w:tcW w:w="10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61,008</w:t>
            </w:r>
          </w:p>
        </w:tc>
        <w:tc>
          <w:tcPr>
            <w:tcW w:w="100" w:type="dxa"/>
            <w:vAlign w:val="bottom"/>
            <w:tcBorders>
              <w:top w:val="single" w:sz="8" w:color="CCEEFF"/>
            </w:tcBorders>
            <w:shd w:val="clear" w:color="auto" w:fill="CCEEFF"/>
          </w:tcPr>
          <w:p>
            <w:pPr>
              <w:spacing w:after="0"/>
              <w:rPr>
                <w:sz w:val="15"/>
                <w:szCs w:val="15"/>
                <w:color w:val="auto"/>
              </w:rPr>
            </w:pPr>
          </w:p>
        </w:tc>
        <w:tc>
          <w:tcPr>
            <w:tcW w:w="400" w:type="dxa"/>
            <w:vAlign w:val="bottom"/>
            <w:tcBorders>
              <w:top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87,938</w:t>
            </w:r>
          </w:p>
        </w:tc>
        <w:tc>
          <w:tcPr>
            <w:tcW w:w="1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74,649</w:t>
            </w:r>
          </w:p>
        </w:tc>
        <w:tc>
          <w:tcPr>
            <w:tcW w:w="1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85,406</w:t>
            </w:r>
          </w:p>
        </w:tc>
        <w:tc>
          <w:tcPr>
            <w:tcW w:w="0" w:type="dxa"/>
            <w:vAlign w:val="bottom"/>
          </w:tcPr>
          <w:p>
            <w:pPr>
              <w:spacing w:after="0"/>
              <w:rPr>
                <w:sz w:val="1"/>
                <w:szCs w:val="1"/>
                <w:color w:val="auto"/>
              </w:rPr>
            </w:pPr>
          </w:p>
        </w:tc>
      </w:tr>
      <w:tr>
        <w:trPr>
          <w:trHeight w:val="186"/>
        </w:trPr>
        <w:tc>
          <w:tcPr>
            <w:tcW w:w="65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net TBA portfolio outstanding - at cost</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27,785</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10,146</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17,017</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10,012</w:t>
            </w:r>
          </w:p>
        </w:tc>
        <w:tc>
          <w:tcPr>
            <w:tcW w:w="0" w:type="dxa"/>
            <w:vAlign w:val="bottom"/>
          </w:tcPr>
          <w:p>
            <w:pPr>
              <w:spacing w:after="0"/>
              <w:rPr>
                <w:sz w:val="1"/>
                <w:szCs w:val="1"/>
                <w:color w:val="auto"/>
              </w:rPr>
            </w:pPr>
          </w:p>
        </w:tc>
      </w:tr>
      <w:tr>
        <w:trPr>
          <w:trHeight w:val="186"/>
        </w:trPr>
        <w:tc>
          <w:tcPr>
            <w:tcW w:w="65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 outstanding</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88,793</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98,084</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91,666</w:t>
            </w: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95,418</w:t>
            </w:r>
          </w:p>
        </w:tc>
        <w:tc>
          <w:tcPr>
            <w:tcW w:w="0" w:type="dxa"/>
            <w:vAlign w:val="bottom"/>
          </w:tcPr>
          <w:p>
            <w:pPr>
              <w:spacing w:after="0"/>
              <w:rPr>
                <w:sz w:val="1"/>
                <w:szCs w:val="1"/>
                <w:color w:val="auto"/>
              </w:rPr>
            </w:pPr>
          </w:p>
        </w:tc>
      </w:tr>
      <w:tr>
        <w:trPr>
          <w:trHeight w:val="182"/>
        </w:trPr>
        <w:tc>
          <w:tcPr>
            <w:tcW w:w="6500" w:type="dxa"/>
            <w:vAlign w:val="bottom"/>
            <w:gridSpan w:val="2"/>
          </w:tcPr>
          <w:p>
            <w:pPr>
              <w:ind w:left="20"/>
              <w:spacing w:after="0"/>
              <w:rPr>
                <w:sz w:val="20"/>
                <w:szCs w:val="20"/>
                <w:color w:val="auto"/>
              </w:rPr>
            </w:pPr>
            <w:r>
              <w:rPr>
                <w:rFonts w:ascii="Arial" w:cs="Arial" w:eastAsia="Arial" w:hAnsi="Arial"/>
                <w:sz w:val="14"/>
                <w:szCs w:val="14"/>
                <w:color w:val="auto"/>
              </w:rPr>
              <w:t>Average notional amount of interest rate swaps outstanding (excluding forward starting swaps)</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108"/>
              <w:spacing w:after="0"/>
              <w:rPr>
                <w:sz w:val="20"/>
                <w:szCs w:val="20"/>
                <w:color w:val="auto"/>
              </w:rPr>
            </w:pPr>
            <w:r>
              <w:rPr>
                <w:rFonts w:ascii="Arial" w:cs="Arial" w:eastAsia="Arial" w:hAnsi="Arial"/>
                <w:sz w:val="14"/>
                <w:szCs w:val="14"/>
                <w:color w:val="auto"/>
              </w:rPr>
              <w:t>41,094</w:t>
            </w:r>
          </w:p>
        </w:tc>
        <w:tc>
          <w:tcPr>
            <w:tcW w:w="100" w:type="dxa"/>
            <w:vAlign w:val="bottom"/>
          </w:tcPr>
          <w:p>
            <w:pPr>
              <w:spacing w:after="0"/>
              <w:rPr>
                <w:sz w:val="15"/>
                <w:szCs w:val="15"/>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08"/>
              <w:spacing w:after="0"/>
              <w:rPr>
                <w:sz w:val="20"/>
                <w:szCs w:val="20"/>
                <w:color w:val="auto"/>
              </w:rPr>
            </w:pPr>
            <w:r>
              <w:rPr>
                <w:rFonts w:ascii="Arial" w:cs="Arial" w:eastAsia="Arial" w:hAnsi="Arial"/>
                <w:sz w:val="14"/>
                <w:szCs w:val="14"/>
                <w:color w:val="auto"/>
              </w:rPr>
              <w:t>77,824</w:t>
            </w:r>
          </w:p>
        </w:tc>
        <w:tc>
          <w:tcPr>
            <w:tcW w:w="120" w:type="dxa"/>
            <w:vAlign w:val="bottom"/>
          </w:tcPr>
          <w:p>
            <w:pPr>
              <w:spacing w:after="0"/>
              <w:rPr>
                <w:sz w:val="15"/>
                <w:szCs w:val="15"/>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ind w:right="108"/>
              <w:spacing w:after="0"/>
              <w:rPr>
                <w:sz w:val="20"/>
                <w:szCs w:val="20"/>
                <w:color w:val="auto"/>
              </w:rPr>
            </w:pPr>
            <w:r>
              <w:rPr>
                <w:rFonts w:ascii="Arial" w:cs="Arial" w:eastAsia="Arial" w:hAnsi="Arial"/>
                <w:sz w:val="14"/>
                <w:szCs w:val="14"/>
                <w:color w:val="auto"/>
              </w:rPr>
              <w:t>52,268</w:t>
            </w:r>
          </w:p>
        </w:tc>
        <w:tc>
          <w:tcPr>
            <w:tcW w:w="120" w:type="dxa"/>
            <w:vAlign w:val="bottom"/>
          </w:tcPr>
          <w:p>
            <w:pPr>
              <w:spacing w:after="0"/>
              <w:rPr>
                <w:sz w:val="15"/>
                <w:szCs w:val="15"/>
                <w:color w:val="auto"/>
              </w:rPr>
            </w:pPr>
          </w:p>
        </w:tc>
        <w:tc>
          <w:tcPr>
            <w:tcW w:w="240" w:type="dxa"/>
            <w:vAlign w:val="bottom"/>
          </w:tcPr>
          <w:p>
            <w:pPr>
              <w:jc w:val="right"/>
              <w:ind w:right="88"/>
              <w:spacing w:after="0"/>
              <w:rPr>
                <w:sz w:val="20"/>
                <w:szCs w:val="20"/>
                <w:color w:val="auto"/>
              </w:rPr>
            </w:pPr>
            <w:r>
              <w:rPr>
                <w:rFonts w:ascii="Arial" w:cs="Arial" w:eastAsia="Arial" w:hAnsi="Arial"/>
                <w:sz w:val="14"/>
                <w:szCs w:val="14"/>
                <w:color w:val="auto"/>
                <w:w w:val="76"/>
              </w:rPr>
              <w:t>$</w:t>
            </w:r>
          </w:p>
        </w:tc>
        <w:tc>
          <w:tcPr>
            <w:tcW w:w="860" w:type="dxa"/>
            <w:vAlign w:val="bottom"/>
          </w:tcPr>
          <w:p>
            <w:pPr>
              <w:jc w:val="right"/>
              <w:ind w:right="108"/>
              <w:spacing w:after="0"/>
              <w:rPr>
                <w:sz w:val="20"/>
                <w:szCs w:val="20"/>
                <w:color w:val="auto"/>
              </w:rPr>
            </w:pPr>
            <w:r>
              <w:rPr>
                <w:rFonts w:ascii="Arial" w:cs="Arial" w:eastAsia="Arial" w:hAnsi="Arial"/>
                <w:sz w:val="14"/>
                <w:szCs w:val="14"/>
                <w:color w:val="auto"/>
              </w:rPr>
              <w:t>58,459</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65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46 %</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79 %</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57 %</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61 %</w:t>
            </w:r>
          </w:p>
        </w:tc>
      </w:tr>
      <w:tr>
        <w:trPr>
          <w:trHeight w:val="20"/>
        </w:trPr>
        <w:tc>
          <w:tcPr>
            <w:tcW w:w="65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204"/>
        </w:trPr>
        <w:tc>
          <w:tcPr>
            <w:tcW w:w="65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189"/>
        </w:trPr>
        <w:tc>
          <w:tcPr>
            <w:tcW w:w="6500" w:type="dxa"/>
            <w:vAlign w:val="bottom"/>
            <w:shd w:val="clear" w:color="auto" w:fill="CCEEFF"/>
          </w:tcPr>
          <w:p>
            <w:pPr>
              <w:ind w:left="20"/>
              <w:spacing w:after="0"/>
              <w:rPr>
                <w:sz w:val="20"/>
                <w:szCs w:val="20"/>
                <w:color w:val="auto"/>
              </w:rPr>
            </w:pPr>
            <w:r>
              <w:rPr>
                <w:rFonts w:ascii="Arial" w:cs="Arial" w:eastAsia="Arial" w:hAnsi="Arial"/>
                <w:sz w:val="14"/>
                <w:szCs w:val="14"/>
                <w:color w:val="auto"/>
              </w:rPr>
              <w:t>Average interest rate swap pay-fixed rate (excluding forward starting swaps)</w:t>
            </w: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0.22 %</w:t>
            </w:r>
          </w:p>
        </w:tc>
        <w:tc>
          <w:tcPr>
            <w:tcW w:w="10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1.52 %</w:t>
            </w: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0.80 %</w:t>
            </w: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1.75 %</w:t>
            </w:r>
          </w:p>
        </w:tc>
      </w:tr>
      <w:tr>
        <w:trPr>
          <w:trHeight w:val="186"/>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Average interest rate swap receive-floating rate</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(0.09)%</w:t>
            </w:r>
          </w:p>
        </w:tc>
        <w:tc>
          <w:tcPr>
            <w:tcW w:w="10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(2.26)%</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(0.70)%</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(2.48)%</w:t>
            </w:r>
          </w:p>
        </w:tc>
      </w:tr>
      <w:tr>
        <w:trPr>
          <w:trHeight w:val="211"/>
        </w:trPr>
        <w:tc>
          <w:tcPr>
            <w:tcW w:w="6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Average interest rate swap net pay/(receive) rate</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0.13 %</w:t>
            </w:r>
          </w:p>
        </w:tc>
        <w:tc>
          <w:tcPr>
            <w:tcW w:w="10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(0.74)%</w:t>
            </w:r>
          </w:p>
        </w:tc>
        <w:tc>
          <w:tcPr>
            <w:tcW w:w="1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0.10 %</w:t>
            </w:r>
          </w:p>
        </w:tc>
        <w:tc>
          <w:tcPr>
            <w:tcW w:w="120" w:type="dxa"/>
            <w:vAlign w:val="bottom"/>
            <w:tcBorders>
              <w:bottom w:val="single" w:sz="8" w:color="CCEEFF"/>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(0.73)%</w:t>
            </w:r>
          </w:p>
        </w:tc>
      </w:tr>
      <w:tr>
        <w:trPr>
          <w:trHeight w:val="20"/>
        </w:trPr>
        <w:tc>
          <w:tcPr>
            <w:tcW w:w="65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For the three and nine months ended September 30, 2020, we had an average forward starting swap balance of $0.7 billion and $1.0 billion, respectively. For the three and nine months ended September 30, 2019, we had an average forward starting swap balance of $2.4 billion and $3.7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for the three and nine months ended September 30, 2020 was 47% and 58%, respectively, and 82% and 65%, respectively, for the corresponding prior year periods.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27" w:right="33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i w:val="1"/>
          <w:iCs w:val="1"/>
          <w:color w:val="auto"/>
        </w:rPr>
        <w:t>Net Interest Spread</w:t>
      </w:r>
    </w:p>
    <w:p>
      <w:pPr>
        <w:spacing w:after="0" w:line="17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The following table presents a summary of our net interest spread (including the impact of TBA dollar roll income, interest rate swaps and excluding "catch-up" premium amortization) for the three and nine months ended September 30, 2020 and 2019:</w:t>
      </w:r>
    </w:p>
    <w:p>
      <w:pPr>
        <w:spacing w:after="0" w:line="132" w:lineRule="exact"/>
        <w:rPr>
          <w:sz w:val="20"/>
          <w:szCs w:val="20"/>
          <w:color w:val="auto"/>
        </w:rPr>
      </w:pPr>
    </w:p>
    <w:tbl>
      <w:tblPr>
        <w:tblLayout w:type="fixed"/>
        <w:tblInd w:w="720" w:type="dxa"/>
        <w:tblCellMar>
          <w:top w:w="0" w:type="dxa"/>
          <w:left w:w="0" w:type="dxa"/>
          <w:bottom w:w="0" w:type="dxa"/>
          <w:right w:w="0" w:type="dxa"/>
        </w:tblCellMar>
      </w:tblPr>
      <w:tr>
        <w:trPr>
          <w:trHeight w:val="161"/>
        </w:trPr>
        <w:tc>
          <w:tcPr>
            <w:tcW w:w="5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40" w:type="dxa"/>
            <w:vAlign w:val="bottom"/>
            <w:gridSpan w:val="5"/>
          </w:tcPr>
          <w:p>
            <w:pPr>
              <w:jc w:val="center"/>
              <w:ind w:right="120"/>
              <w:spacing w:after="0"/>
              <w:rPr>
                <w:sz w:val="20"/>
                <w:szCs w:val="20"/>
                <w:color w:val="auto"/>
              </w:rPr>
            </w:pPr>
            <w:r>
              <w:rPr>
                <w:rFonts w:ascii="Arial" w:cs="Arial" w:eastAsia="Arial" w:hAnsi="Arial"/>
                <w:sz w:val="14"/>
                <w:szCs w:val="14"/>
                <w:b w:val="1"/>
                <w:bCs w:val="1"/>
                <w:color w:val="auto"/>
                <w:w w:val="93"/>
              </w:rPr>
              <w:t>Three Months Ended September</w:t>
            </w:r>
          </w:p>
        </w:tc>
        <w:tc>
          <w:tcPr>
            <w:tcW w:w="2120" w:type="dxa"/>
            <w:vAlign w:val="bottom"/>
            <w:gridSpan w:val="3"/>
          </w:tcPr>
          <w:p>
            <w:pPr>
              <w:jc w:val="right"/>
              <w:ind w:right="368"/>
              <w:spacing w:after="0"/>
              <w:rPr>
                <w:sz w:val="20"/>
                <w:szCs w:val="20"/>
                <w:color w:val="auto"/>
              </w:rPr>
            </w:pPr>
            <w:r>
              <w:rPr>
                <w:rFonts w:ascii="Arial" w:cs="Arial" w:eastAsia="Arial" w:hAnsi="Arial"/>
                <w:sz w:val="14"/>
                <w:szCs w:val="14"/>
                <w:b w:val="1"/>
                <w:bCs w:val="1"/>
                <w:color w:val="auto"/>
              </w:rPr>
              <w:t>Nine Months Ended</w:t>
            </w:r>
          </w:p>
        </w:tc>
      </w:tr>
      <w:tr>
        <w:trPr>
          <w:trHeight w:val="186"/>
        </w:trPr>
        <w:tc>
          <w:tcPr>
            <w:tcW w:w="5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30,</w:t>
            </w:r>
          </w:p>
        </w:tc>
        <w:tc>
          <w:tcPr>
            <w:tcW w:w="8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120" w:type="dxa"/>
            <w:vAlign w:val="bottom"/>
            <w:tcBorders>
              <w:bottom w:val="single" w:sz="8" w:color="auto"/>
            </w:tcBorders>
            <w:gridSpan w:val="3"/>
          </w:tcPr>
          <w:p>
            <w:pPr>
              <w:jc w:val="right"/>
              <w:ind w:right="548"/>
              <w:spacing w:after="0"/>
              <w:rPr>
                <w:sz w:val="20"/>
                <w:szCs w:val="20"/>
                <w:color w:val="auto"/>
              </w:rPr>
            </w:pPr>
            <w:r>
              <w:rPr>
                <w:rFonts w:ascii="Arial" w:cs="Arial" w:eastAsia="Arial" w:hAnsi="Arial"/>
                <w:sz w:val="14"/>
                <w:szCs w:val="14"/>
                <w:b w:val="1"/>
                <w:bCs w:val="1"/>
                <w:color w:val="auto"/>
              </w:rPr>
              <w:t>September 30,</w:t>
            </w:r>
          </w:p>
        </w:tc>
      </w:tr>
      <w:tr>
        <w:trPr>
          <w:trHeight w:val="184"/>
        </w:trPr>
        <w:tc>
          <w:tcPr>
            <w:tcW w:w="5440" w:type="dxa"/>
            <w:vAlign w:val="bottom"/>
            <w:gridSpan w:val="2"/>
          </w:tcPr>
          <w:p>
            <w:pPr>
              <w:ind w:left="2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020" w:type="dxa"/>
            <w:vAlign w:val="bottom"/>
          </w:tcPr>
          <w:p>
            <w:pPr>
              <w:jc w:val="right"/>
              <w:ind w:right="28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jc w:val="right"/>
              <w:ind w:right="28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15"/>
                <w:szCs w:val="15"/>
                <w:color w:val="auto"/>
              </w:rPr>
            </w:pPr>
          </w:p>
        </w:tc>
        <w:tc>
          <w:tcPr>
            <w:tcW w:w="1000" w:type="dxa"/>
            <w:vAlign w:val="bottom"/>
          </w:tcPr>
          <w:p>
            <w:pPr>
              <w:jc w:val="right"/>
              <w:ind w:right="288"/>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5"/>
                <w:szCs w:val="15"/>
                <w:color w:val="auto"/>
              </w:rPr>
            </w:pPr>
          </w:p>
        </w:tc>
        <w:tc>
          <w:tcPr>
            <w:tcW w:w="1000" w:type="dxa"/>
            <w:vAlign w:val="bottom"/>
          </w:tcPr>
          <w:p>
            <w:pPr>
              <w:jc w:val="right"/>
              <w:ind w:right="288"/>
              <w:spacing w:after="0"/>
              <w:rPr>
                <w:sz w:val="20"/>
                <w:szCs w:val="20"/>
                <w:color w:val="auto"/>
              </w:rPr>
            </w:pPr>
            <w:r>
              <w:rPr>
                <w:rFonts w:ascii="Arial" w:cs="Arial" w:eastAsia="Arial" w:hAnsi="Arial"/>
                <w:sz w:val="14"/>
                <w:szCs w:val="14"/>
                <w:b w:val="1"/>
                <w:bCs w:val="1"/>
                <w:color w:val="auto"/>
              </w:rPr>
              <w:t>2019</w:t>
            </w:r>
          </w:p>
        </w:tc>
      </w:tr>
      <w:tr>
        <w:trPr>
          <w:trHeight w:val="184"/>
        </w:trPr>
        <w:tc>
          <w:tcPr>
            <w:tcW w:w="5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asset yield, excluding "catch-up" premium amortization</w:t>
            </w:r>
          </w:p>
        </w:tc>
        <w:tc>
          <w:tcPr>
            <w:tcW w:w="100" w:type="dxa"/>
            <w:vAlign w:val="bottom"/>
            <w:tcBorders>
              <w:top w:val="single" w:sz="8" w:color="CCEEFF"/>
            </w:tcBorders>
            <w:shd w:val="clear" w:color="auto" w:fill="CCEEFF"/>
          </w:tcPr>
          <w:p>
            <w:pPr>
              <w:spacing w:after="0"/>
              <w:rPr>
                <w:sz w:val="15"/>
                <w:szCs w:val="15"/>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2.30 %</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3.16 %</w:t>
            </w:r>
          </w:p>
        </w:tc>
        <w:tc>
          <w:tcPr>
            <w:tcW w:w="12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2.63 %</w:t>
            </w:r>
          </w:p>
        </w:tc>
        <w:tc>
          <w:tcPr>
            <w:tcW w:w="12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3.24 %</w:t>
            </w:r>
          </w:p>
        </w:tc>
      </w:tr>
      <w:tr>
        <w:trPr>
          <w:trHeight w:val="186"/>
        </w:trPr>
        <w:tc>
          <w:tcPr>
            <w:tcW w:w="54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aggregate cost of funds</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(0.93)%</w:t>
            </w:r>
          </w:p>
        </w:tc>
        <w:tc>
          <w:tcPr>
            <w:tcW w:w="1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(2.11)%</w:t>
            </w:r>
          </w:p>
        </w:tc>
      </w:tr>
      <w:tr>
        <w:trPr>
          <w:trHeight w:val="211"/>
        </w:trPr>
        <w:tc>
          <w:tcPr>
            <w:tcW w:w="54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1.31 %</w:t>
            </w:r>
          </w:p>
        </w:tc>
        <w:tc>
          <w:tcPr>
            <w:tcW w:w="12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1.70 %</w:t>
            </w:r>
          </w:p>
        </w:tc>
        <w:tc>
          <w:tcPr>
            <w:tcW w:w="120" w:type="dxa"/>
            <w:vAlign w:val="bottom"/>
            <w:tcBorders>
              <w:bottom w:val="single" w:sz="8" w:color="CCEEFF"/>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1.13 %</w:t>
            </w:r>
          </w:p>
        </w:tc>
      </w:tr>
      <w:tr>
        <w:trPr>
          <w:trHeight w:val="20"/>
        </w:trPr>
        <w:tc>
          <w:tcPr>
            <w:tcW w:w="5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Spread and Dollar Roll Income</w:t>
      </w:r>
    </w:p>
    <w:p>
      <w:pPr>
        <w:spacing w:after="0" w:line="171" w:lineRule="exact"/>
        <w:rPr>
          <w:sz w:val="20"/>
          <w:szCs w:val="20"/>
          <w:color w:val="auto"/>
        </w:rPr>
      </w:pPr>
    </w:p>
    <w:p>
      <w:pPr>
        <w:jc w:val="both"/>
        <w:ind w:firstLine="405"/>
        <w:spacing w:after="0" w:line="263" w:lineRule="auto"/>
        <w:rPr>
          <w:sz w:val="20"/>
          <w:szCs w:val="20"/>
          <w:color w:val="auto"/>
        </w:rPr>
      </w:pPr>
      <w:r>
        <w:rPr>
          <w:rFonts w:ascii="Arial" w:cs="Arial" w:eastAsia="Arial" w:hAnsi="Arial"/>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and nine months ended September 30, 2020 and 2019 (dollars in millions):</w:t>
      </w:r>
    </w:p>
    <w:p>
      <w:pPr>
        <w:spacing w:after="0" w:line="77"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7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20" w:type="dxa"/>
            <w:vAlign w:val="bottom"/>
            <w:gridSpan w:val="5"/>
          </w:tcPr>
          <w:p>
            <w:pPr>
              <w:ind w:left="10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40" w:type="dxa"/>
            <w:vAlign w:val="bottom"/>
            <w:gridSpan w:val="4"/>
          </w:tcPr>
          <w:p>
            <w:pPr>
              <w:jc w:val="right"/>
              <w:ind w:right="268"/>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7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2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40" w:type="dxa"/>
            <w:vAlign w:val="bottom"/>
            <w:gridSpan w:val="4"/>
          </w:tcPr>
          <w:p>
            <w:pPr>
              <w:jc w:val="right"/>
              <w:ind w:right="44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83"/>
        </w:trPr>
        <w:tc>
          <w:tcPr>
            <w:tcW w:w="724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184"/>
        </w:trPr>
        <w:tc>
          <w:tcPr>
            <w:tcW w:w="7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interest income (GAAP measure)</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662</w:t>
            </w:r>
          </w:p>
        </w:tc>
        <w:tc>
          <w:tcPr>
            <w:tcW w:w="14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406</w:t>
            </w:r>
          </w:p>
        </w:tc>
        <w:tc>
          <w:tcPr>
            <w:tcW w:w="0" w:type="dxa"/>
            <w:vAlign w:val="bottom"/>
          </w:tcPr>
          <w:p>
            <w:pPr>
              <w:spacing w:after="0"/>
              <w:rPr>
                <w:sz w:val="1"/>
                <w:szCs w:val="1"/>
                <w:color w:val="auto"/>
              </w:rPr>
            </w:pPr>
          </w:p>
        </w:tc>
      </w:tr>
      <w:tr>
        <w:trPr>
          <w:trHeight w:val="189"/>
        </w:trPr>
        <w:tc>
          <w:tcPr>
            <w:tcW w:w="7240" w:type="dxa"/>
            <w:vAlign w:val="bottom"/>
          </w:tcPr>
          <w:p>
            <w:pPr>
              <w:ind w:left="140"/>
              <w:spacing w:after="0" w:line="189" w:lineRule="exact"/>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18"/>
                <w:szCs w:val="18"/>
                <w:color w:val="auto"/>
                <w:vertAlign w:val="superscript"/>
              </w:rPr>
              <w:t>1</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249</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70</w:t>
            </w:r>
          </w:p>
        </w:tc>
        <w:tc>
          <w:tcPr>
            <w:tcW w:w="0" w:type="dxa"/>
            <w:vAlign w:val="bottom"/>
          </w:tcPr>
          <w:p>
            <w:pPr>
              <w:spacing w:after="0"/>
              <w:rPr>
                <w:sz w:val="1"/>
                <w:szCs w:val="1"/>
                <w:color w:val="auto"/>
              </w:rPr>
            </w:pPr>
          </w:p>
        </w:tc>
      </w:tr>
      <w:tr>
        <w:trPr>
          <w:trHeight w:val="189"/>
        </w:trPr>
        <w:tc>
          <w:tcPr>
            <w:tcW w:w="7240" w:type="dxa"/>
            <w:vAlign w:val="bottom"/>
            <w:shd w:val="clear" w:color="auto" w:fill="CCEEFF"/>
          </w:tcPr>
          <w:p>
            <w:pPr>
              <w:ind w:left="140"/>
              <w:spacing w:after="0" w:line="189" w:lineRule="exact"/>
              <w:rPr>
                <w:sz w:val="20"/>
                <w:szCs w:val="20"/>
                <w:color w:val="auto"/>
              </w:rPr>
            </w:pPr>
            <w:r>
              <w:rPr>
                <w:rFonts w:ascii="Arial" w:cs="Arial" w:eastAsia="Arial" w:hAnsi="Arial"/>
                <w:sz w:val="14"/>
                <w:szCs w:val="14"/>
                <w:color w:val="auto"/>
              </w:rPr>
              <w:t xml:space="preserve">Interest rate swap periodic interest (cost) income, net </w:t>
            </w:r>
            <w:r>
              <w:rPr>
                <w:rFonts w:ascii="Arial" w:cs="Arial" w:eastAsia="Arial" w:hAnsi="Arial"/>
                <w:sz w:val="18"/>
                <w:szCs w:val="18"/>
                <w:color w:val="auto"/>
                <w:vertAlign w:val="superscript"/>
              </w:rPr>
              <w:t>1</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317</w:t>
            </w:r>
          </w:p>
        </w:tc>
        <w:tc>
          <w:tcPr>
            <w:tcW w:w="0" w:type="dxa"/>
            <w:vAlign w:val="bottom"/>
          </w:tcPr>
          <w:p>
            <w:pPr>
              <w:spacing w:after="0"/>
              <w:rPr>
                <w:sz w:val="1"/>
                <w:szCs w:val="1"/>
                <w:color w:val="auto"/>
              </w:rPr>
            </w:pPr>
          </w:p>
        </w:tc>
      </w:tr>
      <w:tr>
        <w:trPr>
          <w:trHeight w:val="189"/>
        </w:trPr>
        <w:tc>
          <w:tcPr>
            <w:tcW w:w="7240" w:type="dxa"/>
            <w:vAlign w:val="bottom"/>
          </w:tcPr>
          <w:p>
            <w:pPr>
              <w:ind w:left="140"/>
              <w:spacing w:after="0" w:line="189" w:lineRule="exact"/>
              <w:rPr>
                <w:sz w:val="20"/>
                <w:szCs w:val="20"/>
                <w:color w:val="auto"/>
              </w:rPr>
            </w:pPr>
            <w:r>
              <w:rPr>
                <w:rFonts w:ascii="Arial" w:cs="Arial" w:eastAsia="Arial" w:hAnsi="Arial"/>
                <w:sz w:val="14"/>
                <w:szCs w:val="14"/>
                <w:color w:val="auto"/>
              </w:rPr>
              <w:t xml:space="preserve">Other interest and dividend income </w:t>
            </w:r>
            <w:r>
              <w:rPr>
                <w:rFonts w:ascii="Arial" w:cs="Arial" w:eastAsia="Arial" w:hAnsi="Arial"/>
                <w:sz w:val="18"/>
                <w:szCs w:val="18"/>
                <w:color w:val="auto"/>
                <w:vertAlign w:val="superscript"/>
              </w:rPr>
              <w:t>1</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83"/>
        </w:trPr>
        <w:tc>
          <w:tcPr>
            <w:tcW w:w="7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Adjusted net interest and dollar roll income</w:t>
            </w:r>
          </w:p>
        </w:tc>
        <w:tc>
          <w:tcPr>
            <w:tcW w:w="20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444</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298</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873</w:t>
            </w:r>
          </w:p>
        </w:tc>
        <w:tc>
          <w:tcPr>
            <w:tcW w:w="14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804</w:t>
            </w:r>
          </w:p>
        </w:tc>
        <w:tc>
          <w:tcPr>
            <w:tcW w:w="0" w:type="dxa"/>
            <w:vAlign w:val="bottom"/>
          </w:tcPr>
          <w:p>
            <w:pPr>
              <w:spacing w:after="0"/>
              <w:rPr>
                <w:sz w:val="1"/>
                <w:szCs w:val="1"/>
                <w:color w:val="auto"/>
              </w:rPr>
            </w:pPr>
          </w:p>
        </w:tc>
      </w:tr>
      <w:tr>
        <w:trPr>
          <w:trHeight w:val="186"/>
        </w:trPr>
        <w:tc>
          <w:tcPr>
            <w:tcW w:w="72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Operating expense</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(68)</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186"/>
        </w:trPr>
        <w:tc>
          <w:tcPr>
            <w:tcW w:w="7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279</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805</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746</w:t>
            </w:r>
          </w:p>
        </w:tc>
        <w:tc>
          <w:tcPr>
            <w:tcW w:w="0" w:type="dxa"/>
            <w:vAlign w:val="bottom"/>
          </w:tcPr>
          <w:p>
            <w:pPr>
              <w:spacing w:after="0"/>
              <w:rPr>
                <w:sz w:val="1"/>
                <w:szCs w:val="1"/>
                <w:color w:val="auto"/>
              </w:rPr>
            </w:pPr>
          </w:p>
        </w:tc>
      </w:tr>
      <w:tr>
        <w:trPr>
          <w:trHeight w:val="186"/>
        </w:trPr>
        <w:tc>
          <w:tcPr>
            <w:tcW w:w="72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Dividend on preferred stock</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86"/>
        </w:trPr>
        <w:tc>
          <w:tcPr>
            <w:tcW w:w="7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available to common stockholders (non-GAAP measure)</w:t>
            </w: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398</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734</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710</w:t>
            </w:r>
          </w:p>
        </w:tc>
        <w:tc>
          <w:tcPr>
            <w:tcW w:w="0" w:type="dxa"/>
            <w:vAlign w:val="bottom"/>
          </w:tcPr>
          <w:p>
            <w:pPr>
              <w:spacing w:after="0"/>
              <w:rPr>
                <w:sz w:val="1"/>
                <w:szCs w:val="1"/>
                <w:color w:val="auto"/>
              </w:rPr>
            </w:pPr>
          </w:p>
        </w:tc>
      </w:tr>
      <w:tr>
        <w:trPr>
          <w:trHeight w:val="186"/>
        </w:trPr>
        <w:tc>
          <w:tcPr>
            <w:tcW w:w="72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Estimated "catch-up" premium amortization cost due to change in CPR forecast</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350</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152</w:t>
            </w:r>
          </w:p>
        </w:tc>
        <w:tc>
          <w:tcPr>
            <w:tcW w:w="0" w:type="dxa"/>
            <w:vAlign w:val="bottom"/>
          </w:tcPr>
          <w:p>
            <w:pPr>
              <w:spacing w:after="0"/>
              <w:rPr>
                <w:sz w:val="1"/>
                <w:szCs w:val="1"/>
                <w:color w:val="auto"/>
              </w:rPr>
            </w:pPr>
          </w:p>
        </w:tc>
      </w:tr>
      <w:tr>
        <w:trPr>
          <w:trHeight w:val="118"/>
        </w:trPr>
        <w:tc>
          <w:tcPr>
            <w:tcW w:w="7240" w:type="dxa"/>
            <w:vAlign w:val="bottom"/>
            <w:shd w:val="clear" w:color="auto" w:fill="CCEEFF"/>
          </w:tcPr>
          <w:p>
            <w:pPr>
              <w:ind w:left="20"/>
              <w:spacing w:after="0" w:line="119" w:lineRule="exact"/>
              <w:rPr>
                <w:sz w:val="20"/>
                <w:szCs w:val="20"/>
                <w:color w:val="auto"/>
              </w:rPr>
            </w:pPr>
            <w:r>
              <w:rPr>
                <w:rFonts w:ascii="Arial" w:cs="Arial" w:eastAsia="Arial" w:hAnsi="Arial"/>
                <w:sz w:val="13"/>
                <w:szCs w:val="13"/>
                <w:color w:val="auto"/>
              </w:rPr>
              <w:t>Net spread and dollar roll income, excluding "catch-up" premium amortization, available to common stockholders (non-</w:t>
            </w:r>
          </w:p>
        </w:tc>
        <w:tc>
          <w:tcPr>
            <w:tcW w:w="20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448</w:t>
            </w:r>
          </w:p>
        </w:tc>
        <w:tc>
          <w:tcPr>
            <w:tcW w:w="100" w:type="dxa"/>
            <w:vAlign w:val="bottom"/>
            <w:shd w:val="clear" w:color="auto" w:fill="CCEEFF"/>
          </w:tcPr>
          <w:p>
            <w:pPr>
              <w:spacing w:after="0"/>
              <w:rPr>
                <w:sz w:val="10"/>
                <w:szCs w:val="10"/>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spacing w:after="0"/>
              <w:rPr>
                <w:sz w:val="10"/>
                <w:szCs w:val="10"/>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1,084</w:t>
            </w:r>
          </w:p>
        </w:tc>
        <w:tc>
          <w:tcPr>
            <w:tcW w:w="140" w:type="dxa"/>
            <w:vAlign w:val="bottom"/>
            <w:shd w:val="clear" w:color="auto" w:fill="CCEEFF"/>
          </w:tcPr>
          <w:p>
            <w:pPr>
              <w:spacing w:after="0"/>
              <w:rPr>
                <w:sz w:val="10"/>
                <w:szCs w:val="10"/>
                <w:color w:val="auto"/>
              </w:rPr>
            </w:pPr>
          </w:p>
        </w:tc>
        <w:tc>
          <w:tcPr>
            <w:tcW w:w="2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862</w:t>
            </w:r>
          </w:p>
        </w:tc>
        <w:tc>
          <w:tcPr>
            <w:tcW w:w="0" w:type="dxa"/>
            <w:vAlign w:val="bottom"/>
          </w:tcPr>
          <w:p>
            <w:pPr>
              <w:spacing w:after="0"/>
              <w:rPr>
                <w:sz w:val="1"/>
                <w:szCs w:val="1"/>
                <w:color w:val="auto"/>
              </w:rPr>
            </w:pPr>
          </w:p>
        </w:tc>
      </w:tr>
      <w:tr>
        <w:trPr>
          <w:trHeight w:val="182"/>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GAAP measure)</w:t>
            </w: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7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auto"/>
            </w:tcBorders>
            <w:vMerge w:val="continue"/>
            <w:shd w:val="clear" w:color="auto" w:fill="CCEEFF"/>
          </w:tcPr>
          <w:p>
            <w:pPr>
              <w:spacing w:after="0"/>
              <w:rPr>
                <w:sz w:val="15"/>
                <w:szCs w:val="15"/>
                <w:color w:val="auto"/>
              </w:rPr>
            </w:pPr>
          </w:p>
        </w:tc>
        <w:tc>
          <w:tcPr>
            <w:tcW w:w="70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553.2</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546.4</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553.8</w:t>
            </w:r>
          </w:p>
        </w:tc>
        <w:tc>
          <w:tcPr>
            <w:tcW w:w="1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540.3</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24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554.3</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547.1</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554.8</w:t>
            </w:r>
          </w:p>
        </w:tc>
        <w:tc>
          <w:tcPr>
            <w:tcW w:w="1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540.9</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0.72</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0.49</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240" w:type="dxa"/>
            <w:vAlign w:val="bottom"/>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0.72</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0.49</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w:t>
            </w:r>
          </w:p>
        </w:tc>
        <w:tc>
          <w:tcPr>
            <w:tcW w:w="14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1.31</w:t>
            </w:r>
          </w:p>
        </w:tc>
        <w:tc>
          <w:tcPr>
            <w:tcW w:w="0" w:type="dxa"/>
            <w:vAlign w:val="bottom"/>
          </w:tcPr>
          <w:p>
            <w:pPr>
              <w:spacing w:after="0"/>
              <w:rPr>
                <w:sz w:val="1"/>
                <w:szCs w:val="1"/>
                <w:color w:val="auto"/>
              </w:rPr>
            </w:pPr>
          </w:p>
        </w:tc>
      </w:tr>
      <w:tr>
        <w:trPr>
          <w:trHeight w:val="20"/>
        </w:trPr>
        <w:tc>
          <w:tcPr>
            <w:tcW w:w="72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7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basic</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0.81</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0.59</w:t>
            </w:r>
          </w:p>
        </w:tc>
        <w:tc>
          <w:tcPr>
            <w:tcW w:w="1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w:t>
            </w:r>
          </w:p>
        </w:tc>
        <w:tc>
          <w:tcPr>
            <w:tcW w:w="1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0" w:type="dxa"/>
            <w:vAlign w:val="bottom"/>
          </w:tcPr>
          <w:p>
            <w:pPr>
              <w:spacing w:after="0"/>
              <w:rPr>
                <w:sz w:val="1"/>
                <w:szCs w:val="1"/>
                <w:color w:val="auto"/>
              </w:rPr>
            </w:pPr>
          </w:p>
        </w:tc>
      </w:tr>
      <w:tr>
        <w:trPr>
          <w:trHeight w:val="20"/>
        </w:trPr>
        <w:tc>
          <w:tcPr>
            <w:tcW w:w="7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240" w:type="dxa"/>
            <w:vAlign w:val="bottom"/>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diluted</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0.81</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0.59</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1.95</w:t>
            </w:r>
          </w:p>
        </w:tc>
        <w:tc>
          <w:tcPr>
            <w:tcW w:w="14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1.59</w:t>
            </w:r>
          </w:p>
        </w:tc>
        <w:tc>
          <w:tcPr>
            <w:tcW w:w="0" w:type="dxa"/>
            <w:vAlign w:val="bottom"/>
          </w:tcPr>
          <w:p>
            <w:pPr>
              <w:spacing w:after="0"/>
              <w:rPr>
                <w:sz w:val="1"/>
                <w:szCs w:val="1"/>
                <w:color w:val="auto"/>
              </w:rPr>
            </w:pPr>
          </w:p>
        </w:tc>
      </w:tr>
      <w:tr>
        <w:trPr>
          <w:trHeight w:val="21"/>
        </w:trPr>
        <w:tc>
          <w:tcPr>
            <w:tcW w:w="7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tabs>
          <w:tab w:leader="none" w:pos="6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Investment Securities, Net</w:t>
      </w:r>
    </w:p>
    <w:p>
      <w:pPr>
        <w:spacing w:after="0" w:line="171"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The following table is a summary of our net gain (loss) on investment securities for the three and nine months ended September 30, 2020 and 2019 (in millions):</w:t>
      </w:r>
    </w:p>
    <w:p>
      <w:pPr>
        <w:spacing w:after="0" w:line="132"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7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20" w:type="dxa"/>
            <w:vAlign w:val="bottom"/>
            <w:gridSpan w:val="3"/>
          </w:tcPr>
          <w:p>
            <w:pPr>
              <w:jc w:val="right"/>
              <w:spacing w:after="0"/>
              <w:rPr>
                <w:sz w:val="20"/>
                <w:szCs w:val="20"/>
                <w:color w:val="auto"/>
              </w:rPr>
            </w:pPr>
            <w:r>
              <w:rPr>
                <w:rFonts w:ascii="Arial" w:cs="Arial" w:eastAsia="Arial" w:hAnsi="Arial"/>
                <w:sz w:val="14"/>
                <w:szCs w:val="14"/>
                <w:b w:val="1"/>
                <w:bCs w:val="1"/>
                <w:color w:val="auto"/>
                <w:w w:val="99"/>
              </w:rPr>
              <w:t>Three Months Ended</w:t>
            </w: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4"/>
          </w:tcPr>
          <w:p>
            <w:pPr>
              <w:jc w:val="right"/>
              <w:ind w:right="288"/>
              <w:spacing w:after="0"/>
              <w:rPr>
                <w:sz w:val="20"/>
                <w:szCs w:val="20"/>
                <w:color w:val="auto"/>
              </w:rPr>
            </w:pPr>
            <w:r>
              <w:rPr>
                <w:rFonts w:ascii="Arial" w:cs="Arial" w:eastAsia="Arial" w:hAnsi="Arial"/>
                <w:sz w:val="14"/>
                <w:szCs w:val="14"/>
                <w:b w:val="1"/>
                <w:bCs w:val="1"/>
                <w:color w:val="auto"/>
              </w:rPr>
              <w:t>Nine Months Ended</w:t>
            </w:r>
          </w:p>
        </w:tc>
      </w:tr>
      <w:tr>
        <w:trPr>
          <w:trHeight w:val="186"/>
        </w:trPr>
        <w:tc>
          <w:tcPr>
            <w:tcW w:w="7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148"/>
              <w:spacing w:after="0"/>
              <w:rPr>
                <w:sz w:val="20"/>
                <w:szCs w:val="20"/>
                <w:color w:val="auto"/>
              </w:rPr>
            </w:pPr>
            <w:r>
              <w:rPr>
                <w:rFonts w:ascii="Arial" w:cs="Arial" w:eastAsia="Arial" w:hAnsi="Arial"/>
                <w:sz w:val="14"/>
                <w:szCs w:val="14"/>
                <w:b w:val="1"/>
                <w:bCs w:val="1"/>
                <w:color w:val="auto"/>
              </w:rPr>
              <w:t>September 30,</w:t>
            </w:r>
          </w:p>
        </w:tc>
        <w:tc>
          <w:tcPr>
            <w:tcW w:w="3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September 30,</w:t>
            </w:r>
          </w:p>
        </w:tc>
      </w:tr>
      <w:tr>
        <w:trPr>
          <w:trHeight w:val="185"/>
        </w:trPr>
        <w:tc>
          <w:tcPr>
            <w:tcW w:w="7160" w:type="dxa"/>
            <w:vAlign w:val="bottom"/>
            <w:gridSpan w:val="2"/>
          </w:tcPr>
          <w:p>
            <w:pPr>
              <w:ind w:left="20"/>
              <w:spacing w:after="0" w:line="185" w:lineRule="exact"/>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18"/>
                <w:szCs w:val="18"/>
                <w:b w:val="1"/>
                <w:bCs w:val="1"/>
                <w:color w:val="auto"/>
                <w:vertAlign w:val="superscript"/>
              </w:rPr>
              <w:t>1</w:t>
            </w:r>
          </w:p>
        </w:tc>
        <w:tc>
          <w:tcPr>
            <w:tcW w:w="200" w:type="dxa"/>
            <w:vAlign w:val="bottom"/>
          </w:tcPr>
          <w:p>
            <w:pPr>
              <w:spacing w:after="0"/>
              <w:rPr>
                <w:sz w:val="16"/>
                <w:szCs w:val="16"/>
                <w:color w:val="auto"/>
              </w:rPr>
            </w:pPr>
          </w:p>
        </w:tc>
        <w:tc>
          <w:tcPr>
            <w:tcW w:w="720" w:type="dxa"/>
            <w:vAlign w:val="bottom"/>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2019</w:t>
            </w:r>
          </w:p>
        </w:tc>
        <w:tc>
          <w:tcPr>
            <w:tcW w:w="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248"/>
              <w:spacing w:after="0"/>
              <w:rPr>
                <w:sz w:val="20"/>
                <w:szCs w:val="20"/>
                <w:color w:val="auto"/>
              </w:rPr>
            </w:pPr>
            <w:r>
              <w:rPr>
                <w:rFonts w:ascii="Arial" w:cs="Arial" w:eastAsia="Arial" w:hAnsi="Arial"/>
                <w:sz w:val="14"/>
                <w:szCs w:val="14"/>
                <w:b w:val="1"/>
                <w:bCs w:val="1"/>
                <w:color w:val="auto"/>
              </w:rPr>
              <w:t>2019</w:t>
            </w:r>
          </w:p>
        </w:tc>
      </w:tr>
      <w:tr>
        <w:trPr>
          <w:trHeight w:val="183"/>
        </w:trPr>
        <w:tc>
          <w:tcPr>
            <w:tcW w:w="70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Gain on sale of investment securities, net</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346</w:t>
            </w:r>
          </w:p>
        </w:tc>
        <w:tc>
          <w:tcPr>
            <w:tcW w:w="80" w:type="dxa"/>
            <w:vAlign w:val="bottom"/>
            <w:tcBorders>
              <w:top w:val="single" w:sz="8" w:color="CCEEFF"/>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jc w:val="right"/>
              <w:ind w:right="448"/>
              <w:spacing w:after="0"/>
              <w:rPr>
                <w:sz w:val="20"/>
                <w:szCs w:val="20"/>
                <w:color w:val="auto"/>
              </w:rPr>
            </w:pPr>
            <w:r>
              <w:rPr>
                <w:rFonts w:ascii="Arial" w:cs="Arial" w:eastAsia="Arial" w:hAnsi="Arial"/>
                <w:sz w:val="14"/>
                <w:szCs w:val="14"/>
                <w:color w:val="auto"/>
              </w:rPr>
              <w:t>$</w:t>
            </w:r>
          </w:p>
        </w:tc>
        <w:tc>
          <w:tcPr>
            <w:tcW w:w="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w:t>
            </w:r>
          </w:p>
        </w:tc>
        <w:tc>
          <w:tcPr>
            <w:tcW w:w="12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993</w:t>
            </w:r>
          </w:p>
        </w:tc>
        <w:tc>
          <w:tcPr>
            <w:tcW w:w="10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281</w:t>
            </w:r>
          </w:p>
        </w:tc>
      </w:tr>
      <w:tr>
        <w:trPr>
          <w:trHeight w:val="189"/>
        </w:trPr>
        <w:tc>
          <w:tcPr>
            <w:tcW w:w="7160" w:type="dxa"/>
            <w:vAlign w:val="bottom"/>
            <w:gridSpan w:val="2"/>
          </w:tcPr>
          <w:p>
            <w:pPr>
              <w:ind w:left="20"/>
              <w:spacing w:after="0" w:line="189" w:lineRule="exact"/>
              <w:rPr>
                <w:sz w:val="20"/>
                <w:szCs w:val="20"/>
                <w:color w:val="auto"/>
              </w:rPr>
            </w:pPr>
            <w:r>
              <w:rPr>
                <w:rFonts w:ascii="Arial" w:cs="Arial" w:eastAsia="Arial" w:hAnsi="Arial"/>
                <w:sz w:val="14"/>
                <w:szCs w:val="14"/>
                <w:color w:val="auto"/>
              </w:rPr>
              <w:t xml:space="preserve">Unrealized gain (loss) on investment securities measured at fair value through net income, net </w:t>
            </w:r>
            <w:r>
              <w:rPr>
                <w:rFonts w:ascii="Arial" w:cs="Arial" w:eastAsia="Arial" w:hAnsi="Arial"/>
                <w:sz w:val="18"/>
                <w:szCs w:val="18"/>
                <w:color w:val="auto"/>
                <w:vertAlign w:val="superscript"/>
              </w:rPr>
              <w:t>2</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(365)</w:t>
            </w: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jc w:val="right"/>
              <w:spacing w:after="0"/>
              <w:rPr>
                <w:sz w:val="20"/>
                <w:szCs w:val="20"/>
                <w:color w:val="auto"/>
              </w:rPr>
            </w:pPr>
            <w:r>
              <w:rPr>
                <w:rFonts w:ascii="Arial" w:cs="Arial" w:eastAsia="Arial" w:hAnsi="Arial"/>
                <w:sz w:val="14"/>
                <w:szCs w:val="14"/>
                <w:color w:val="auto"/>
                <w:w w:val="94"/>
              </w:rPr>
              <w:t>355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511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2,174</w:t>
            </w:r>
          </w:p>
        </w:tc>
      </w:tr>
      <w:tr>
        <w:trPr>
          <w:trHeight w:val="186"/>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Unrealized gain (loss) on investment securities measured at fair value through other comprehensive income, net</w:t>
            </w: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70</w:t>
            </w:r>
          </w:p>
        </w:tc>
        <w:tc>
          <w:tcPr>
            <w:tcW w:w="80" w:type="dxa"/>
            <w:vAlign w:val="bottom"/>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4"/>
              </w:rPr>
              <w:t>246</w:t>
            </w:r>
          </w:p>
        </w:tc>
        <w:tc>
          <w:tcPr>
            <w:tcW w:w="12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737</w:t>
            </w: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1,025</w:t>
            </w:r>
          </w:p>
        </w:tc>
      </w:tr>
      <w:tr>
        <w:trPr>
          <w:trHeight w:val="186"/>
        </w:trPr>
        <w:tc>
          <w:tcPr>
            <w:tcW w:w="7160" w:type="dxa"/>
            <w:vAlign w:val="bottom"/>
            <w:gridSpan w:val="2"/>
          </w:tcPr>
          <w:p>
            <w:pPr>
              <w:ind w:left="20"/>
              <w:spacing w:after="0"/>
              <w:rPr>
                <w:sz w:val="20"/>
                <w:szCs w:val="20"/>
                <w:color w:val="auto"/>
              </w:rPr>
            </w:pPr>
            <w:r>
              <w:rPr>
                <w:rFonts w:ascii="Arial" w:cs="Arial" w:eastAsia="Arial" w:hAnsi="Arial"/>
                <w:sz w:val="14"/>
                <w:szCs w:val="14"/>
                <w:color w:val="auto"/>
              </w:rPr>
              <w:t>Total gain (loss) on investment securities, net</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51</w:t>
            </w:r>
          </w:p>
        </w:tc>
        <w:tc>
          <w:tcPr>
            <w:tcW w:w="80" w:type="dxa"/>
            <w:vAlign w:val="bottom"/>
          </w:tcPr>
          <w:p>
            <w:pPr>
              <w:spacing w:after="0"/>
              <w:rPr>
                <w:sz w:val="16"/>
                <w:szCs w:val="16"/>
                <w:color w:val="auto"/>
              </w:rPr>
            </w:pPr>
          </w:p>
        </w:tc>
        <w:tc>
          <w:tcPr>
            <w:tcW w:w="6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4"/>
              </w:rPr>
              <w:t>690</w:t>
            </w:r>
          </w:p>
        </w:tc>
        <w:tc>
          <w:tcPr>
            <w:tcW w:w="120" w:type="dxa"/>
            <w:vAlign w:val="bottom"/>
          </w:tcPr>
          <w:p>
            <w:pPr>
              <w:spacing w:after="0"/>
              <w:rPr>
                <w:sz w:val="16"/>
                <w:szCs w:val="16"/>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2,241</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3,480</w:t>
            </w:r>
          </w:p>
        </w:tc>
      </w:tr>
      <w:tr>
        <w:trPr>
          <w:trHeight w:val="20"/>
        </w:trPr>
        <w:tc>
          <w:tcPr>
            <w:tcW w:w="7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98"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37" w:name="page38"/>
    <w:bookmarkEnd w:id="37"/>
    <w:p>
      <w:pPr>
        <w:ind w:left="660" w:hanging="328"/>
        <w:spacing w:after="0" w:line="250" w:lineRule="auto"/>
        <w:tabs>
          <w:tab w:leader="none" w:pos="6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27"/>
        </w:numPr>
        <w:rPr>
          <w:rFonts w:ascii="Arial" w:cs="Arial" w:eastAsia="Arial" w:hAnsi="Arial"/>
          <w:sz w:val="13"/>
          <w:szCs w:val="13"/>
          <w:color w:val="auto"/>
        </w:rPr>
      </w:pPr>
      <w:r>
        <w:rPr>
          <w:rFonts w:ascii="Arial" w:cs="Arial" w:eastAsia="Arial" w:hAnsi="Arial"/>
          <w:sz w:val="13"/>
          <w:szCs w:val="13"/>
          <w:color w:val="auto"/>
        </w:rPr>
        <w:t>Investment securities acquired after fiscal year 2016 are measured at fair value through net income (see Note 3 of our Consolidated Financial Statements in this Form 10-Q).</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Other Securities, Net</w:t>
      </w:r>
    </w:p>
    <w:p>
      <w:pPr>
        <w:spacing w:after="0" w:line="171"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The following table is a summary of our gain (loss) on derivative instruments and other securities, net for the three and nine months ended September 30, 2020 and 2019 (in millions):</w:t>
      </w:r>
    </w:p>
    <w:p>
      <w:pPr>
        <w:spacing w:after="0" w:line="64"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7040" w:type="dxa"/>
            <w:vAlign w:val="bottom"/>
          </w:tcPr>
          <w:p>
            <w:pPr>
              <w:spacing w:after="0"/>
              <w:rPr>
                <w:sz w:val="14"/>
                <w:szCs w:val="14"/>
                <w:color w:val="auto"/>
              </w:rPr>
            </w:pPr>
          </w:p>
        </w:tc>
        <w:tc>
          <w:tcPr>
            <w:tcW w:w="2040" w:type="dxa"/>
            <w:vAlign w:val="bottom"/>
            <w:gridSpan w:val="6"/>
          </w:tcPr>
          <w:p>
            <w:pPr>
              <w:ind w:left="320"/>
              <w:spacing w:after="0"/>
              <w:rPr>
                <w:sz w:val="20"/>
                <w:szCs w:val="20"/>
                <w:color w:val="auto"/>
              </w:rPr>
            </w:pPr>
            <w:r>
              <w:rPr>
                <w:rFonts w:ascii="Arial" w:cs="Arial" w:eastAsia="Arial" w:hAnsi="Arial"/>
                <w:sz w:val="14"/>
                <w:szCs w:val="14"/>
                <w:b w:val="1"/>
                <w:bCs w:val="1"/>
                <w:color w:val="auto"/>
              </w:rPr>
              <w:t>Three Months Ended</w:t>
            </w:r>
          </w:p>
        </w:tc>
        <w:tc>
          <w:tcPr>
            <w:tcW w:w="220" w:type="dxa"/>
            <w:vAlign w:val="bottom"/>
          </w:tcPr>
          <w:p>
            <w:pPr>
              <w:spacing w:after="0"/>
              <w:rPr>
                <w:sz w:val="14"/>
                <w:szCs w:val="14"/>
                <w:color w:val="auto"/>
              </w:rPr>
            </w:pPr>
          </w:p>
        </w:tc>
        <w:tc>
          <w:tcPr>
            <w:tcW w:w="1820" w:type="dxa"/>
            <w:vAlign w:val="bottom"/>
            <w:gridSpan w:val="4"/>
          </w:tcPr>
          <w:p>
            <w:pPr>
              <w:jc w:val="right"/>
              <w:ind w:right="248"/>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7040" w:type="dxa"/>
            <w:vAlign w:val="bottom"/>
          </w:tcPr>
          <w:p>
            <w:pPr>
              <w:spacing w:after="0"/>
              <w:rPr>
                <w:sz w:val="16"/>
                <w:szCs w:val="16"/>
                <w:color w:val="auto"/>
              </w:rPr>
            </w:pPr>
          </w:p>
        </w:tc>
        <w:tc>
          <w:tcPr>
            <w:tcW w:w="2040" w:type="dxa"/>
            <w:vAlign w:val="bottom"/>
            <w:gridSpan w:val="6"/>
          </w:tcPr>
          <w:p>
            <w:pPr>
              <w:ind w:left="540"/>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16"/>
                <w:szCs w:val="16"/>
                <w:color w:val="auto"/>
              </w:rPr>
            </w:pPr>
          </w:p>
        </w:tc>
        <w:tc>
          <w:tcPr>
            <w:tcW w:w="1820" w:type="dxa"/>
            <w:vAlign w:val="bottom"/>
            <w:gridSpan w:val="4"/>
          </w:tcPr>
          <w:p>
            <w:pPr>
              <w:jc w:val="right"/>
              <w:ind w:right="428"/>
              <w:spacing w:after="0"/>
              <w:rPr>
                <w:sz w:val="20"/>
                <w:szCs w:val="20"/>
                <w:color w:val="auto"/>
              </w:rPr>
            </w:pPr>
            <w:r>
              <w:rPr>
                <w:rFonts w:ascii="Arial" w:cs="Arial" w:eastAsia="Arial" w:hAnsi="Arial"/>
                <w:sz w:val="14"/>
                <w:szCs w:val="14"/>
                <w:b w:val="1"/>
                <w:bCs w:val="1"/>
                <w:color w:val="auto"/>
              </w:rPr>
              <w:t>September 30,</w:t>
            </w:r>
          </w:p>
        </w:tc>
      </w:tr>
      <w:tr>
        <w:trPr>
          <w:trHeight w:val="183"/>
        </w:trPr>
        <w:tc>
          <w:tcPr>
            <w:tcW w:w="7040" w:type="dxa"/>
            <w:vAlign w:val="bottom"/>
            <w:tcBorders>
              <w:bottom w:val="single" w:sz="8" w:color="CCEEFF"/>
            </w:tcBorders>
          </w:tcPr>
          <w:p>
            <w:pPr>
              <w:spacing w:after="0"/>
              <w:rPr>
                <w:sz w:val="15"/>
                <w:szCs w:val="15"/>
                <w:color w:val="auto"/>
              </w:rPr>
            </w:pPr>
          </w:p>
        </w:tc>
        <w:tc>
          <w:tcPr>
            <w:tcW w:w="64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4"/>
                <w:szCs w:val="14"/>
                <w:b w:val="1"/>
                <w:bCs w:val="1"/>
                <w:color w:val="auto"/>
                <w:w w:val="96"/>
              </w:rPr>
              <w:t>2020</w:t>
            </w:r>
          </w:p>
        </w:tc>
        <w:tc>
          <w:tcPr>
            <w:tcW w:w="280" w:type="dxa"/>
            <w:vAlign w:val="bottom"/>
            <w:tcBorders>
              <w:top w:val="single" w:sz="8" w:color="auto"/>
              <w:bottom w:val="single" w:sz="8" w:color="auto"/>
            </w:tcBorders>
          </w:tcPr>
          <w:p>
            <w:pPr>
              <w:spacing w:after="0"/>
              <w:rPr>
                <w:sz w:val="15"/>
                <w:szCs w:val="15"/>
                <w:color w:val="auto"/>
              </w:rPr>
            </w:pPr>
          </w:p>
        </w:tc>
        <w:tc>
          <w:tcPr>
            <w:tcW w:w="10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top w:val="single" w:sz="8" w:color="auto"/>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2019</w:t>
            </w:r>
          </w:p>
        </w:tc>
      </w:tr>
      <w:tr>
        <w:trPr>
          <w:trHeight w:val="184"/>
        </w:trPr>
        <w:tc>
          <w:tcPr>
            <w:tcW w:w="7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swap periodic interest income (cost), net</w:t>
            </w:r>
          </w:p>
        </w:tc>
        <w:tc>
          <w:tcPr>
            <w:tcW w:w="640" w:type="dxa"/>
            <w:vAlign w:val="bottom"/>
            <w:tcBorders>
              <w:bottom w:val="single" w:sz="8" w:color="auto"/>
            </w:tcBorders>
            <w:shd w:val="clear" w:color="auto" w:fill="CCEEFF"/>
          </w:tcPr>
          <w:p>
            <w:pPr>
              <w:jc w:val="right"/>
              <w:ind w:right="46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(13)</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317</w:t>
            </w:r>
          </w:p>
        </w:tc>
      </w:tr>
      <w:tr>
        <w:trPr>
          <w:trHeight w:val="166"/>
        </w:trPr>
        <w:tc>
          <w:tcPr>
            <w:tcW w:w="7040" w:type="dxa"/>
            <w:vAlign w:val="bottom"/>
          </w:tcPr>
          <w:p>
            <w:pPr>
              <w:ind w:left="20"/>
              <w:spacing w:after="0"/>
              <w:rPr>
                <w:sz w:val="20"/>
                <w:szCs w:val="20"/>
                <w:color w:val="auto"/>
              </w:rPr>
            </w:pPr>
            <w:r>
              <w:rPr>
                <w:rFonts w:ascii="Arial" w:cs="Arial" w:eastAsia="Arial" w:hAnsi="Arial"/>
                <w:sz w:val="14"/>
                <w:szCs w:val="14"/>
                <w:color w:val="auto"/>
              </w:rPr>
              <w:t>Realized gain (loss) on derivative instruments and other securities, net:</w:t>
            </w:r>
          </w:p>
        </w:tc>
        <w:tc>
          <w:tcPr>
            <w:tcW w:w="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TBA securities - dollar roll income, net</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155</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249</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TBA securities - mark-to-market net gain (loss)</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w w:val="85"/>
              </w:rPr>
              <w:t>183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896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342</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Payer swaptions</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(33)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U.S. Treasury securities - long position</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7</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 Treasury securities - short position</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(32)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(820)</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U.S. Treasury futures - short position</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(97)</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(189)</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rate swaps - termination fees and variation margin settlements, net</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113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(3,013)</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(2,292)</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Losses on debt extinguishment</w:t>
            </w:r>
          </w:p>
        </w:tc>
        <w:tc>
          <w:tcPr>
            <w:tcW w:w="640" w:type="dxa"/>
            <w:vAlign w:val="bottom"/>
          </w:tcPr>
          <w:p>
            <w:pPr>
              <w:spacing w:after="0"/>
              <w:rPr>
                <w:sz w:val="16"/>
                <w:szCs w:val="16"/>
                <w:color w:val="auto"/>
              </w:rPr>
            </w:pPr>
          </w:p>
        </w:tc>
        <w:tc>
          <w:tcPr>
            <w:tcW w:w="3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(146)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Other</w:t>
            </w:r>
          </w:p>
        </w:tc>
        <w:tc>
          <w:tcPr>
            <w:tcW w:w="640" w:type="dxa"/>
            <w:vAlign w:val="bottom"/>
            <w:shd w:val="clear" w:color="auto" w:fill="CCEEFF"/>
          </w:tcPr>
          <w:p>
            <w:pPr>
              <w:spacing w:after="0"/>
              <w:rPr>
                <w:sz w:val="16"/>
                <w:szCs w:val="16"/>
                <w:color w:val="auto"/>
              </w:rPr>
            </w:pPr>
          </w:p>
        </w:tc>
        <w:tc>
          <w:tcPr>
            <w:tcW w:w="3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r>
      <w:tr>
        <w:trPr>
          <w:trHeight w:val="179"/>
        </w:trPr>
        <w:tc>
          <w:tcPr>
            <w:tcW w:w="70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Total realized gain (loss) on derivative instruments and other securities, net</w:t>
            </w:r>
          </w:p>
        </w:tc>
        <w:tc>
          <w:tcPr>
            <w:tcW w:w="640" w:type="dxa"/>
            <w:vAlign w:val="bottom"/>
            <w:tcBorders>
              <w:top w:val="single" w:sz="8" w:color="auto"/>
              <w:bottom w:val="single" w:sz="8" w:color="auto"/>
            </w:tcBorders>
          </w:tcPr>
          <w:p>
            <w:pPr>
              <w:spacing w:after="0"/>
              <w:rPr>
                <w:sz w:val="15"/>
                <w:szCs w:val="15"/>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85"/>
              </w:rPr>
              <w:t>402</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(767)</w:t>
            </w:r>
          </w:p>
        </w:tc>
        <w:tc>
          <w:tcPr>
            <w:tcW w:w="100" w:type="dxa"/>
            <w:vAlign w:val="bottom"/>
            <w:tcBorders>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(2,787)</w:t>
            </w:r>
          </w:p>
        </w:tc>
        <w:tc>
          <w:tcPr>
            <w:tcW w:w="100" w:type="dxa"/>
            <w:vAlign w:val="bottom"/>
            <w:tcBorders>
              <w:bottom w:val="single" w:sz="8" w:color="CCEEFF"/>
            </w:tcBorders>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(2,920)</w:t>
            </w:r>
          </w:p>
        </w:tc>
      </w:tr>
      <w:tr>
        <w:trPr>
          <w:trHeight w:val="172"/>
        </w:trPr>
        <w:tc>
          <w:tcPr>
            <w:tcW w:w="7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(loss) on derivative instruments and other securities, net:</w:t>
            </w:r>
          </w:p>
        </w:tc>
        <w:tc>
          <w:tcPr>
            <w:tcW w:w="6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TBA securities - mark-to-market net gain (loss)</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w w:val="96"/>
              </w:rPr>
              <w:t>(55)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(22)</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Interest rate swaps</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Payer swaptions</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32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(86)</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(41)</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 Treasury securities - long position</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(17)</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r>
      <w:tr>
        <w:trPr>
          <w:trHeight w:val="186"/>
        </w:trPr>
        <w:tc>
          <w:tcPr>
            <w:tcW w:w="7040" w:type="dxa"/>
            <w:vAlign w:val="bottom"/>
          </w:tcPr>
          <w:p>
            <w:pPr>
              <w:ind w:left="180"/>
              <w:spacing w:after="0"/>
              <w:rPr>
                <w:sz w:val="20"/>
                <w:szCs w:val="20"/>
                <w:color w:val="auto"/>
              </w:rPr>
            </w:pPr>
            <w:r>
              <w:rPr>
                <w:rFonts w:ascii="Arial" w:cs="Arial" w:eastAsia="Arial" w:hAnsi="Arial"/>
                <w:sz w:val="14"/>
                <w:szCs w:val="14"/>
                <w:color w:val="auto"/>
              </w:rPr>
              <w:t>U.S. Treasury securities - short position</w:t>
            </w:r>
          </w:p>
        </w:tc>
        <w:tc>
          <w:tcPr>
            <w:tcW w:w="64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49</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(267)</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(264)</w:t>
            </w:r>
          </w:p>
        </w:tc>
      </w:tr>
      <w:tr>
        <w:trPr>
          <w:trHeight w:val="192"/>
        </w:trPr>
        <w:tc>
          <w:tcPr>
            <w:tcW w:w="70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 Treasury futures - short position</w:t>
            </w:r>
          </w:p>
        </w:tc>
        <w:tc>
          <w:tcPr>
            <w:tcW w:w="640" w:type="dxa"/>
            <w:vAlign w:val="bottom"/>
            <w:shd w:val="clear" w:color="auto" w:fill="CCEEFF"/>
          </w:tcPr>
          <w:p>
            <w:pPr>
              <w:spacing w:after="0"/>
              <w:rPr>
                <w:sz w:val="16"/>
                <w:szCs w:val="16"/>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w:t>
            </w:r>
          </w:p>
        </w:tc>
      </w:tr>
      <w:tr>
        <w:trPr>
          <w:trHeight w:val="186"/>
        </w:trPr>
        <w:tc>
          <w:tcPr>
            <w:tcW w:w="704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Other</w:t>
            </w:r>
          </w:p>
        </w:tc>
        <w:tc>
          <w:tcPr>
            <w:tcW w:w="6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r>
      <w:tr>
        <w:trPr>
          <w:trHeight w:val="183"/>
        </w:trPr>
        <w:tc>
          <w:tcPr>
            <w:tcW w:w="7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unrealized gain (loss) on derivative instruments and other securities, net</w:t>
            </w:r>
          </w:p>
        </w:tc>
        <w:tc>
          <w:tcPr>
            <w:tcW w:w="640" w:type="dxa"/>
            <w:vAlign w:val="bottom"/>
            <w:tcBorders>
              <w:bottom w:val="single" w:sz="8" w:color="auto"/>
            </w:tcBorders>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(383)</w:t>
            </w:r>
          </w:p>
        </w:tc>
      </w:tr>
      <w:tr>
        <w:trPr>
          <w:trHeight w:val="186"/>
        </w:trPr>
        <w:tc>
          <w:tcPr>
            <w:tcW w:w="7040" w:type="dxa"/>
            <w:vAlign w:val="bottom"/>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6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color w:val="auto"/>
              </w:rPr>
              <w:t>$</w:t>
            </w: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5"/>
              </w:rPr>
              <w:t>400</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(548)</w:t>
            </w:r>
          </w:p>
        </w:tc>
        <w:tc>
          <w:tcPr>
            <w:tcW w:w="100" w:type="dxa"/>
            <w:vAlign w:val="bottom"/>
          </w:tcPr>
          <w:p>
            <w:pPr>
              <w:spacing w:after="0"/>
              <w:rPr>
                <w:sz w:val="16"/>
                <w:szCs w:val="16"/>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(3,139)</w:t>
            </w:r>
          </w:p>
        </w:tc>
        <w:tc>
          <w:tcPr>
            <w:tcW w:w="100" w:type="dxa"/>
            <w:vAlign w:val="bottom"/>
          </w:tcPr>
          <w:p>
            <w:pPr>
              <w:spacing w:after="0"/>
              <w:rPr>
                <w:sz w:val="16"/>
                <w:szCs w:val="16"/>
                <w:color w:val="auto"/>
              </w:rPr>
            </w:pPr>
          </w:p>
        </w:tc>
        <w:tc>
          <w:tcPr>
            <w:tcW w:w="2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(2,986)</w:t>
            </w:r>
          </w:p>
        </w:tc>
      </w:tr>
      <w:tr>
        <w:trPr>
          <w:trHeight w:val="20"/>
        </w:trPr>
        <w:tc>
          <w:tcPr>
            <w:tcW w:w="70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jc w:val="both"/>
        <w:ind w:firstLine="445"/>
        <w:spacing w:after="0" w:line="277" w:lineRule="auto"/>
        <w:rPr>
          <w:sz w:val="20"/>
          <w:szCs w:val="20"/>
          <w:color w:val="auto"/>
        </w:rPr>
      </w:pPr>
      <w:r>
        <w:rPr>
          <w:rFonts w:ascii="Arial" w:cs="Arial" w:eastAsia="Arial" w:hAnsi="Arial"/>
          <w:sz w:val="18"/>
          <w:szCs w:val="18"/>
          <w:color w:val="auto"/>
        </w:rPr>
        <w:t>For further details regarding our use of derivative instruments and related activity refer to Notes 3 and 6 of our Consolidated Financial Statements in this Form 10-Q.</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Estimated Taxable Income</w:t>
      </w:r>
    </w:p>
    <w:p>
      <w:pPr>
        <w:spacing w:after="0" w:line="171" w:lineRule="exact"/>
        <w:rPr>
          <w:sz w:val="20"/>
          <w:szCs w:val="20"/>
          <w:color w:val="auto"/>
        </w:rPr>
      </w:pPr>
    </w:p>
    <w:p>
      <w:pPr>
        <w:jc w:val="both"/>
        <w:ind w:firstLine="445"/>
        <w:spacing w:after="0" w:line="284" w:lineRule="auto"/>
        <w:rPr>
          <w:sz w:val="20"/>
          <w:szCs w:val="20"/>
          <w:color w:val="auto"/>
        </w:rPr>
      </w:pPr>
      <w:r>
        <w:rPr>
          <w:rFonts w:ascii="Arial" w:cs="Arial" w:eastAsia="Arial" w:hAnsi="Arial"/>
          <w:sz w:val="16"/>
          <w:szCs w:val="16"/>
          <w:color w:val="auto"/>
        </w:rPr>
        <w:t>For the three months ended September 30, 2020 and 2019, we had estimated taxable income (loss) available (attributable) to common stockholders of $508 million and $156 million, or $0.92 and $0.29 per diluted common share, respectively. For the nine months ended September 30, 2020 and 2019, we had estimated taxable income available to common stockholders of $615 million and $523 million, or $1.11 and $0.97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investment securities and derivative instruments marked-to-market in current income for GAAP purposes, but excluded from taxable income until realized, settled or amortized over the instrument's original term, (ii) timing differences, both temporary and potentially permanent, in the recognition of certain realized gains and losses and</w:t>
      </w:r>
    </w:p>
    <w:p>
      <w:pPr>
        <w:spacing w:after="0" w:line="2" w:lineRule="exact"/>
        <w:rPr>
          <w:sz w:val="20"/>
          <w:szCs w:val="20"/>
          <w:color w:val="auto"/>
        </w:rPr>
      </w:pPr>
    </w:p>
    <w:p>
      <w:pPr>
        <w:jc w:val="both"/>
        <w:ind w:firstLine="8"/>
        <w:spacing w:after="0" w:line="253" w:lineRule="auto"/>
        <w:tabs>
          <w:tab w:leader="none" w:pos="323" w:val="left"/>
        </w:tabs>
        <w:numPr>
          <w:ilvl w:val="0"/>
          <w:numId w:val="28"/>
        </w:numPr>
        <w:rPr>
          <w:rFonts w:ascii="Arial" w:cs="Arial" w:eastAsia="Arial" w:hAnsi="Arial"/>
          <w:sz w:val="18"/>
          <w:szCs w:val="18"/>
          <w:color w:val="auto"/>
        </w:rPr>
      </w:pPr>
      <w:r>
        <w:rPr>
          <w:rFonts w:ascii="Arial" w:cs="Arial" w:eastAsia="Arial" w:hAnsi="Arial"/>
          <w:sz w:val="18"/>
          <w:szCs w:val="18"/>
          <w:color w:val="auto"/>
        </w:rPr>
        <w:t>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 reconciliation of our GAAP net income to our estimated taxable income for the three and nine months ended September 30, 2020 and 2019 (dollars in millions, except per share amounts):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0" w:right="339" w:bottom="1440" w:gutter="0" w:footer="0" w:header="0"/>
        </w:sectPr>
      </w:pPr>
    </w:p>
    <w:bookmarkStart w:id="38" w:name="page39"/>
    <w:bookmarkEnd w:id="38"/>
    <w:tbl>
      <w:tblPr>
        <w:tblLayout w:type="fixed"/>
        <w:tblInd w:w="0" w:type="dxa"/>
        <w:tblCellMar>
          <w:top w:w="0" w:type="dxa"/>
          <w:left w:w="0" w:type="dxa"/>
          <w:bottom w:w="0" w:type="dxa"/>
          <w:right w:w="0" w:type="dxa"/>
        </w:tblCellMar>
      </w:tblPr>
      <w:tr>
        <w:trPr>
          <w:trHeight w:val="161"/>
        </w:trPr>
        <w:tc>
          <w:tcPr>
            <w:tcW w:w="6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4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Three Months Ended</w:t>
            </w:r>
          </w:p>
        </w:tc>
        <w:tc>
          <w:tcPr>
            <w:tcW w:w="200" w:type="dxa"/>
            <w:vAlign w:val="bottom"/>
          </w:tcPr>
          <w:p>
            <w:pPr>
              <w:spacing w:after="0"/>
              <w:rPr>
                <w:sz w:val="14"/>
                <w:szCs w:val="14"/>
                <w:color w:val="auto"/>
              </w:rPr>
            </w:pPr>
          </w:p>
        </w:tc>
        <w:tc>
          <w:tcPr>
            <w:tcW w:w="1740" w:type="dxa"/>
            <w:vAlign w:val="bottom"/>
            <w:gridSpan w:val="4"/>
          </w:tcPr>
          <w:p>
            <w:pPr>
              <w:jc w:val="right"/>
              <w:ind w:right="288"/>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40" w:type="dxa"/>
            <w:vAlign w:val="bottom"/>
            <w:gridSpan w:val="5"/>
          </w:tcPr>
          <w:p>
            <w:pPr>
              <w:ind w:left="320"/>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6"/>
                <w:szCs w:val="16"/>
                <w:color w:val="auto"/>
              </w:rPr>
            </w:pPr>
          </w:p>
        </w:tc>
        <w:tc>
          <w:tcPr>
            <w:tcW w:w="1740" w:type="dxa"/>
            <w:vAlign w:val="bottom"/>
            <w:gridSpan w:val="4"/>
          </w:tcPr>
          <w:p>
            <w:pPr>
              <w:jc w:val="right"/>
              <w:ind w:right="468"/>
              <w:spacing w:after="0"/>
              <w:rPr>
                <w:sz w:val="20"/>
                <w:szCs w:val="20"/>
                <w:color w:val="auto"/>
              </w:rPr>
            </w:pPr>
            <w:r>
              <w:rPr>
                <w:rFonts w:ascii="Arial" w:cs="Arial" w:eastAsia="Arial" w:hAnsi="Arial"/>
                <w:sz w:val="14"/>
                <w:szCs w:val="14"/>
                <w:b w:val="1"/>
                <w:bCs w:val="1"/>
                <w:color w:val="auto"/>
              </w:rPr>
              <w:t>September 30,</w:t>
            </w:r>
          </w:p>
        </w:tc>
      </w:tr>
      <w:tr>
        <w:trPr>
          <w:trHeight w:val="183"/>
        </w:trPr>
        <w:tc>
          <w:tcPr>
            <w:tcW w:w="644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r>
      <w:tr>
        <w:trPr>
          <w:trHeight w:val="184"/>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662</w:t>
            </w: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(1,041)</w:t>
            </w: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w:t>
            </w:r>
          </w:p>
        </w:tc>
      </w:tr>
      <w:tr>
        <w:trPr>
          <w:trHeight w:val="186"/>
        </w:trPr>
        <w:tc>
          <w:tcPr>
            <w:tcW w:w="6440" w:type="dxa"/>
            <w:vAlign w:val="bottom"/>
          </w:tcPr>
          <w:p>
            <w:pPr>
              <w:ind w:left="20"/>
              <w:spacing w:after="0"/>
              <w:rPr>
                <w:sz w:val="20"/>
                <w:szCs w:val="20"/>
                <w:color w:val="auto"/>
              </w:rPr>
            </w:pPr>
            <w:r>
              <w:rPr>
                <w:rFonts w:ascii="Arial" w:cs="Arial" w:eastAsia="Arial" w:hAnsi="Arial"/>
                <w:sz w:val="14"/>
                <w:szCs w:val="14"/>
                <w:color w:val="auto"/>
              </w:rPr>
              <w:t>Estimated book to tax differences:</w:t>
            </w: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192"/>
        </w:trPr>
        <w:tc>
          <w:tcPr>
            <w:tcW w:w="6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Premium amortization, net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w:t>
            </w:r>
          </w:p>
        </w:tc>
      </w:tr>
      <w:tr>
        <w:trPr>
          <w:trHeight w:val="186"/>
        </w:trPr>
        <w:tc>
          <w:tcPr>
            <w:tcW w:w="6440" w:type="dxa"/>
            <w:vAlign w:val="bottom"/>
          </w:tcPr>
          <w:p>
            <w:pPr>
              <w:ind w:left="120"/>
              <w:spacing w:after="0"/>
              <w:rPr>
                <w:sz w:val="20"/>
                <w:szCs w:val="20"/>
                <w:color w:val="auto"/>
              </w:rPr>
            </w:pPr>
            <w:r>
              <w:rPr>
                <w:rFonts w:ascii="Arial" w:cs="Arial" w:eastAsia="Arial" w:hAnsi="Arial"/>
                <w:sz w:val="14"/>
                <w:szCs w:val="14"/>
                <w:color w:val="auto"/>
              </w:rPr>
              <w:t>Realized gain/loss, net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(472)</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521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2,083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2,034</w:t>
            </w:r>
          </w:p>
        </w:tc>
      </w:tr>
      <w:tr>
        <w:trPr>
          <w:trHeight w:val="192"/>
        </w:trPr>
        <w:tc>
          <w:tcPr>
            <w:tcW w:w="6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capital loss/(utilization of net capital loss carryforward)</w:t>
            </w:r>
          </w:p>
        </w:tc>
        <w:tc>
          <w:tcPr>
            <w:tcW w:w="20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w:t>
            </w:r>
          </w:p>
        </w:tc>
      </w:tr>
      <w:tr>
        <w:trPr>
          <w:trHeight w:val="186"/>
        </w:trPr>
        <w:tc>
          <w:tcPr>
            <w:tcW w:w="6440" w:type="dxa"/>
            <w:vAlign w:val="bottom"/>
          </w:tcPr>
          <w:p>
            <w:pPr>
              <w:ind w:left="120"/>
              <w:spacing w:after="0"/>
              <w:rPr>
                <w:sz w:val="20"/>
                <w:szCs w:val="20"/>
                <w:color w:val="auto"/>
              </w:rPr>
            </w:pPr>
            <w:r>
              <w:rPr>
                <w:rFonts w:ascii="Arial" w:cs="Arial" w:eastAsia="Arial" w:hAnsi="Arial"/>
                <w:sz w:val="14"/>
                <w:szCs w:val="14"/>
                <w:color w:val="auto"/>
              </w:rPr>
              <w:t>Unrealized (gain)/loss, net</w:t>
            </w:r>
          </w:p>
        </w:tc>
        <w:tc>
          <w:tcPr>
            <w:tcW w:w="200" w:type="dxa"/>
            <w:vAlign w:val="bottom"/>
          </w:tcPr>
          <w:p>
            <w:pPr>
              <w:spacing w:after="0"/>
              <w:rPr>
                <w:sz w:val="16"/>
                <w:szCs w:val="16"/>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354</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(428)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(200)</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(1,791)</w:t>
            </w:r>
          </w:p>
        </w:tc>
      </w:tr>
      <w:tr>
        <w:trPr>
          <w:trHeight w:val="192"/>
        </w:trPr>
        <w:tc>
          <w:tcPr>
            <w:tcW w:w="64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Other</w:t>
            </w:r>
          </w:p>
        </w:tc>
        <w:tc>
          <w:tcPr>
            <w:tcW w:w="20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79"/>
        </w:trPr>
        <w:tc>
          <w:tcPr>
            <w:tcW w:w="64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Total book to tax differences</w:t>
            </w: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(129)</w:t>
            </w:r>
          </w:p>
        </w:tc>
        <w:tc>
          <w:tcPr>
            <w:tcW w:w="8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173</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1,727</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742</w:t>
            </w:r>
          </w:p>
        </w:tc>
      </w:tr>
      <w:tr>
        <w:trPr>
          <w:trHeight w:val="186"/>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Estimated REIT taxable income</w:t>
            </w: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533</w:t>
            </w: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686</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559</w:t>
            </w:r>
          </w:p>
        </w:tc>
      </w:tr>
      <w:tr>
        <w:trPr>
          <w:trHeight w:val="186"/>
        </w:trPr>
        <w:tc>
          <w:tcPr>
            <w:tcW w:w="64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Dividends on preferred stock</w:t>
            </w: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25</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r>
      <w:tr>
        <w:trPr>
          <w:trHeight w:val="211"/>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(loss) available (attributable) to common stockholders</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508</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156</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615</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523</w:t>
            </w: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44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553.2</w:t>
            </w:r>
          </w:p>
        </w:tc>
        <w:tc>
          <w:tcPr>
            <w:tcW w:w="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546.4</w:t>
            </w:r>
          </w:p>
        </w:tc>
        <w:tc>
          <w:tcPr>
            <w:tcW w:w="1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553.8</w:t>
            </w:r>
          </w:p>
        </w:tc>
        <w:tc>
          <w:tcPr>
            <w:tcW w:w="1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540.3</w:t>
            </w:r>
          </w:p>
        </w:tc>
      </w:tr>
      <w:tr>
        <w:trPr>
          <w:trHeight w:val="20"/>
        </w:trPr>
        <w:tc>
          <w:tcPr>
            <w:tcW w:w="64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08"/>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554.3</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547.1</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554.8</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540.9</w:t>
            </w: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440" w:type="dxa"/>
            <w:vAlign w:val="bottom"/>
          </w:tcPr>
          <w:p>
            <w:pPr>
              <w:ind w:left="20"/>
              <w:spacing w:after="0"/>
              <w:rPr>
                <w:sz w:val="20"/>
                <w:szCs w:val="20"/>
                <w:color w:val="auto"/>
              </w:rPr>
            </w:pPr>
            <w:r>
              <w:rPr>
                <w:rFonts w:ascii="Arial" w:cs="Arial" w:eastAsia="Arial" w:hAnsi="Arial"/>
                <w:sz w:val="14"/>
                <w:szCs w:val="14"/>
                <w:color w:val="auto"/>
              </w:rPr>
              <w:t>Estimated REIT taxable income (loss) per common share - basic</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0.92</w:t>
            </w:r>
          </w:p>
        </w:tc>
        <w:tc>
          <w:tcPr>
            <w:tcW w:w="80" w:type="dxa"/>
            <w:vAlign w:val="bottom"/>
          </w:tcPr>
          <w:p>
            <w:pPr>
              <w:spacing w:after="0"/>
              <w:rPr>
                <w:sz w:val="14"/>
                <w:szCs w:val="14"/>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0.29</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w:t>
            </w:r>
          </w:p>
        </w:tc>
        <w:tc>
          <w:tcPr>
            <w:tcW w:w="120" w:type="dxa"/>
            <w:vAlign w:val="bottom"/>
          </w:tcPr>
          <w:p>
            <w:pPr>
              <w:spacing w:after="0"/>
              <w:rPr>
                <w:sz w:val="14"/>
                <w:szCs w:val="14"/>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0.97</w:t>
            </w:r>
          </w:p>
        </w:tc>
      </w:tr>
      <w:tr>
        <w:trPr>
          <w:trHeight w:val="20"/>
        </w:trPr>
        <w:tc>
          <w:tcPr>
            <w:tcW w:w="64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08"/>
        </w:trPr>
        <w:tc>
          <w:tcPr>
            <w:tcW w:w="6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Estimated REIT taxable income (loss) per common share - diluted</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0.92</w:t>
            </w:r>
          </w:p>
        </w:tc>
        <w:tc>
          <w:tcPr>
            <w:tcW w:w="8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0.29</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1.11</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0.97</w:t>
            </w:r>
          </w:p>
        </w:tc>
      </w:tr>
      <w:tr>
        <w:trPr>
          <w:trHeight w:val="20"/>
        </w:trPr>
        <w:tc>
          <w:tcPr>
            <w:tcW w:w="64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r>
      <w:tr>
        <w:trPr>
          <w:trHeight w:val="189"/>
        </w:trPr>
        <w:tc>
          <w:tcPr>
            <w:tcW w:w="6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cumulative non-deductible net capital loss</w:t>
            </w: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490</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182</w:t>
            </w:r>
          </w:p>
        </w:tc>
      </w:tr>
      <w:tr>
        <w:trPr>
          <w:trHeight w:val="186"/>
        </w:trPr>
        <w:tc>
          <w:tcPr>
            <w:tcW w:w="6440" w:type="dxa"/>
            <w:vAlign w:val="bottom"/>
          </w:tcPr>
          <w:p>
            <w:pPr>
              <w:ind w:left="20"/>
              <w:spacing w:after="0"/>
              <w:rPr>
                <w:sz w:val="20"/>
                <w:szCs w:val="20"/>
                <w:color w:val="auto"/>
              </w:rPr>
            </w:pPr>
            <w:r>
              <w:rPr>
                <w:rFonts w:ascii="Arial" w:cs="Arial" w:eastAsia="Arial" w:hAnsi="Arial"/>
                <w:sz w:val="14"/>
                <w:szCs w:val="14"/>
                <w:color w:val="auto"/>
              </w:rPr>
              <w:t>Increase (decrease) in net capital loss carryforward</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(394)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342</w:t>
            </w:r>
          </w:p>
        </w:tc>
      </w:tr>
      <w:tr>
        <w:trPr>
          <w:trHeight w:val="186"/>
        </w:trPr>
        <w:tc>
          <w:tcPr>
            <w:tcW w:w="64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cumulative non-deductible net capital loss</w:t>
            </w: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524</w:t>
            </w:r>
          </w:p>
        </w:tc>
      </w:tr>
      <w:tr>
        <w:trPr>
          <w:trHeight w:val="183"/>
        </w:trPr>
        <w:tc>
          <w:tcPr>
            <w:tcW w:w="6440" w:type="dxa"/>
            <w:vAlign w:val="bottom"/>
          </w:tcPr>
          <w:p>
            <w:pPr>
              <w:ind w:left="20"/>
              <w:spacing w:after="0"/>
              <w:rPr>
                <w:sz w:val="20"/>
                <w:szCs w:val="20"/>
                <w:color w:val="auto"/>
              </w:rPr>
            </w:pPr>
            <w:r>
              <w:rPr>
                <w:rFonts w:ascii="Arial" w:cs="Arial" w:eastAsia="Arial" w:hAnsi="Arial"/>
                <w:sz w:val="14"/>
                <w:szCs w:val="14"/>
                <w:color w:val="auto"/>
              </w:rPr>
              <w:t>Ending cumulative non-deductible net capital loss per common share</w:t>
            </w: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2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0.97</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2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0.97</w:t>
            </w:r>
          </w:p>
        </w:tc>
      </w:tr>
      <w:tr>
        <w:trPr>
          <w:trHeight w:val="21"/>
        </w:trPr>
        <w:tc>
          <w:tcPr>
            <w:tcW w:w="64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-260985</wp:posOffset>
            </wp:positionH>
            <wp:positionV relativeFrom="paragraph">
              <wp:posOffset>83185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20"/>
          </w:cols>
          <w:pgMar w:left="740" w:top="1005" w:right="7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Our business is dependent on our ability to maintain adequate levels of liquidity and capital resources to fund day-to-day operations, fulfill collateral requirements under our funding and derivative agreements, and to satisfy our dividend distribution requirement of at least 90% of our taxable income to maintain our qualification as a REIT. Our primary sources of liquidity are unencumbered cash and securities, borrowings available under repurchase agreements, TBA dollar roll financing and monthly receipts of principal and interest payments. We may also conduct asset sales, change our asset or funding mix, issue equity or undertake other capital enhancing actions to maintain adequate levels of liquidity and capital resources.</w:t>
      </w:r>
    </w:p>
    <w:p>
      <w:pPr>
        <w:spacing w:after="0" w:line="107"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 xml:space="preserve">We believe that we have sufficient liquidity and capital resources available to meet our obligations and execute our business strategy. In assessing our liquidity, we consider a number of factors, including our current leverage, haircut and minimum collateral levels, access to capital markets, overall market conditions, and the sensitivity of our tangible net book value over a range of scenarios. However, these and other factors impacting our liquidity are subject to numerous risks and uncertainties, including as described in the </w:t>
      </w:r>
      <w:r>
        <w:rPr>
          <w:rFonts w:ascii="Arial" w:cs="Arial" w:eastAsia="Arial" w:hAnsi="Arial"/>
          <w:sz w:val="16"/>
          <w:szCs w:val="16"/>
          <w:i w:val="1"/>
          <w:iCs w:val="1"/>
          <w:color w:val="auto"/>
        </w:rPr>
        <w:t>Quantitative and Qualitative Disclosures of Market Risks</w:t>
      </w:r>
      <w:r>
        <w:rPr>
          <w:rFonts w:ascii="Arial" w:cs="Arial" w:eastAsia="Arial" w:hAnsi="Arial"/>
          <w:sz w:val="16"/>
          <w:szCs w:val="16"/>
          <w:color w:val="auto"/>
        </w:rPr>
        <w:t xml:space="preserve"> and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sections of our Annual Report on Form 10-K for the year ended December 31, 2019, as amended (our "2019 Form 10-K") and this Form 10-Q.</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171"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Our leverage will vary depending on market conditions and our assessment of relative risks and returns, but we generally would expect our leverage to be between six and twelve times the amount of our tangible stockholders' equity, measured as the sum of our total mortgage borrowings and net payable / (receivable) for unsettled investment securities, divided by the sum of our total stockholders' equity adjusted to exclude goodwill. Our tangible net book value "at risk" leverage ratio was 8.8x and 9.4x as of September 30, 2020 and December 31, 2019, respectively. The following table includes a summary of our mortgage borrowings outstanding as of September 30, 2020 and December 31, 2019 (dollars in millions). For additional details of our mortgage borrowings refer to Notes 3, 5 and 6 to our Consolidated Financial Statements in this Form 10-Q.</w:t>
      </w:r>
    </w:p>
    <w:p>
      <w:pPr>
        <w:spacing w:after="0" w:line="89"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5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3"/>
          </w:tcPr>
          <w:p>
            <w:pPr>
              <w:jc w:val="right"/>
              <w:ind w:right="148"/>
              <w:spacing w:after="0"/>
              <w:rPr>
                <w:sz w:val="20"/>
                <w:szCs w:val="20"/>
                <w:color w:val="auto"/>
              </w:rPr>
            </w:pPr>
            <w:r>
              <w:rPr>
                <w:rFonts w:ascii="Arial" w:cs="Arial" w:eastAsia="Arial" w:hAnsi="Arial"/>
                <w:sz w:val="14"/>
                <w:szCs w:val="14"/>
                <w:b w:val="1"/>
                <w:bCs w:val="1"/>
                <w:color w:val="auto"/>
              </w:rPr>
              <w:t>September 30, 2020</w:t>
            </w:r>
          </w:p>
        </w:tc>
        <w:tc>
          <w:tcPr>
            <w:tcW w:w="5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ind w:left="500"/>
              <w:spacing w:after="0"/>
              <w:rPr>
                <w:sz w:val="20"/>
                <w:szCs w:val="20"/>
                <w:color w:val="auto"/>
              </w:rPr>
            </w:pPr>
            <w:r>
              <w:rPr>
                <w:rFonts w:ascii="Arial" w:cs="Arial" w:eastAsia="Arial" w:hAnsi="Arial"/>
                <w:sz w:val="14"/>
                <w:szCs w:val="14"/>
                <w:b w:val="1"/>
                <w:bCs w:val="1"/>
                <w:color w:val="auto"/>
                <w:w w:val="90"/>
              </w:rPr>
              <w:t>December 31, 2019</w:t>
            </w:r>
          </w:p>
        </w:tc>
        <w:tc>
          <w:tcPr>
            <w:tcW w:w="720" w:type="dxa"/>
            <w:vAlign w:val="bottom"/>
            <w:tcBorders>
              <w:bottom w:val="single" w:sz="8" w:color="auto"/>
            </w:tcBorders>
          </w:tcPr>
          <w:p>
            <w:pPr>
              <w:spacing w:after="0"/>
              <w:rPr>
                <w:sz w:val="16"/>
                <w:szCs w:val="16"/>
                <w:color w:val="auto"/>
              </w:rPr>
            </w:pPr>
          </w:p>
        </w:tc>
      </w:tr>
      <w:tr>
        <w:trPr>
          <w:trHeight w:val="188"/>
        </w:trPr>
        <w:tc>
          <w:tcPr>
            <w:tcW w:w="5800" w:type="dxa"/>
            <w:vAlign w:val="bottom"/>
            <w:gridSpan w:val="2"/>
          </w:tcPr>
          <w:p>
            <w:pPr>
              <w:ind w:left="20"/>
              <w:spacing w:after="0"/>
              <w:rPr>
                <w:sz w:val="20"/>
                <w:szCs w:val="20"/>
                <w:color w:val="auto"/>
              </w:rPr>
            </w:pPr>
            <w:r>
              <w:rPr>
                <w:rFonts w:ascii="Arial" w:cs="Arial" w:eastAsia="Arial" w:hAnsi="Arial"/>
                <w:sz w:val="14"/>
                <w:szCs w:val="14"/>
                <w:b w:val="1"/>
                <w:bCs w:val="1"/>
                <w:color w:val="auto"/>
              </w:rPr>
              <w:t>Mortgage Borrowings</w:t>
            </w:r>
          </w:p>
        </w:tc>
        <w:tc>
          <w:tcPr>
            <w:tcW w:w="220" w:type="dxa"/>
            <w:vAlign w:val="bottom"/>
          </w:tcPr>
          <w:p>
            <w:pPr>
              <w:spacing w:after="0"/>
              <w:rPr>
                <w:sz w:val="16"/>
                <w:szCs w:val="16"/>
                <w:color w:val="auto"/>
              </w:rPr>
            </w:pPr>
          </w:p>
        </w:tc>
        <w:tc>
          <w:tcPr>
            <w:tcW w:w="1100" w:type="dxa"/>
            <w:vAlign w:val="bottom"/>
            <w:gridSpan w:val="2"/>
          </w:tcPr>
          <w:p>
            <w:pPr>
              <w:ind w:left="120"/>
              <w:spacing w:after="0"/>
              <w:rPr>
                <w:sz w:val="20"/>
                <w:szCs w:val="20"/>
                <w:color w:val="auto"/>
              </w:rPr>
            </w:pPr>
            <w:r>
              <w:rPr>
                <w:rFonts w:ascii="Arial" w:cs="Arial" w:eastAsia="Arial" w:hAnsi="Arial"/>
                <w:sz w:val="14"/>
                <w:szCs w:val="14"/>
                <w:b w:val="1"/>
                <w:bCs w:val="1"/>
                <w:color w:val="auto"/>
              </w:rPr>
              <w:t>Amount</w:t>
            </w:r>
          </w:p>
        </w:tc>
        <w:tc>
          <w:tcPr>
            <w:tcW w:w="80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gridSpan w:val="3"/>
          </w:tcPr>
          <w:p>
            <w:pPr>
              <w:ind w:left="120"/>
              <w:spacing w:after="0"/>
              <w:rPr>
                <w:sz w:val="20"/>
                <w:szCs w:val="20"/>
                <w:color w:val="auto"/>
              </w:rPr>
            </w:pPr>
            <w:r>
              <w:rPr>
                <w:rFonts w:ascii="Arial" w:cs="Arial" w:eastAsia="Arial" w:hAnsi="Arial"/>
                <w:sz w:val="14"/>
                <w:szCs w:val="14"/>
                <w:b w:val="1"/>
                <w:bCs w:val="1"/>
                <w:color w:val="auto"/>
              </w:rPr>
              <w:t>Amount</w:t>
            </w:r>
          </w:p>
        </w:tc>
        <w:tc>
          <w:tcPr>
            <w:tcW w:w="720" w:type="dxa"/>
            <w:vAlign w:val="bottom"/>
          </w:tcPr>
          <w:p>
            <w:pPr>
              <w:jc w:val="right"/>
              <w:ind w:right="488"/>
              <w:spacing w:after="0"/>
              <w:rPr>
                <w:sz w:val="20"/>
                <w:szCs w:val="20"/>
                <w:color w:val="auto"/>
              </w:rPr>
            </w:pPr>
            <w:r>
              <w:rPr>
                <w:rFonts w:ascii="Arial" w:cs="Arial" w:eastAsia="Arial" w:hAnsi="Arial"/>
                <w:sz w:val="14"/>
                <w:szCs w:val="14"/>
                <w:b w:val="1"/>
                <w:bCs w:val="1"/>
                <w:color w:val="auto"/>
              </w:rPr>
              <w:t>%</w:t>
            </w:r>
          </w:p>
        </w:tc>
      </w:tr>
      <w:tr>
        <w:trPr>
          <w:trHeight w:val="184"/>
        </w:trPr>
        <w:tc>
          <w:tcPr>
            <w:tcW w:w="5680" w:type="dxa"/>
            <w:vAlign w:val="bottom"/>
            <w:tcBorders>
              <w:top w:val="single" w:sz="8" w:color="auto"/>
            </w:tcBorders>
            <w:shd w:val="clear" w:color="auto" w:fill="CCEEFF"/>
          </w:tcPr>
          <w:p>
            <w:pPr>
              <w:ind w:left="20"/>
              <w:spacing w:after="0" w:line="184" w:lineRule="exact"/>
              <w:rPr>
                <w:sz w:val="20"/>
                <w:szCs w:val="20"/>
                <w:color w:val="auto"/>
              </w:rPr>
            </w:pPr>
            <w:r>
              <w:rPr>
                <w:rFonts w:ascii="Arial" w:cs="Arial" w:eastAsia="Arial" w:hAnsi="Arial"/>
                <w:sz w:val="14"/>
                <w:szCs w:val="14"/>
                <w:color w:val="auto"/>
              </w:rPr>
              <w:t xml:space="preserve">Repurchase agreements </w:t>
            </w:r>
            <w:r>
              <w:rPr>
                <w:rFonts w:ascii="Arial" w:cs="Arial" w:eastAsia="Arial" w:hAnsi="Arial"/>
                <w:sz w:val="18"/>
                <w:szCs w:val="18"/>
                <w:color w:val="auto"/>
                <w:vertAlign w:val="superscript"/>
              </w:rPr>
              <w:t>1</w:t>
            </w:r>
          </w:p>
        </w:tc>
        <w:tc>
          <w:tcPr>
            <w:tcW w:w="1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54,366</w:t>
            </w:r>
          </w:p>
        </w:tc>
        <w:tc>
          <w:tcPr>
            <w:tcW w:w="120" w:type="dxa"/>
            <w:vAlign w:val="bottom"/>
            <w:tcBorders>
              <w:top w:val="single" w:sz="8" w:color="CCEEFF"/>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65 %</w:t>
            </w:r>
          </w:p>
        </w:tc>
        <w:tc>
          <w:tcPr>
            <w:tcW w:w="1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89,085</w:t>
            </w:r>
          </w:p>
        </w:tc>
        <w:tc>
          <w:tcPr>
            <w:tcW w:w="12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92 %</w:t>
            </w:r>
          </w:p>
        </w:tc>
      </w:tr>
      <w:tr>
        <w:trPr>
          <w:trHeight w:val="186"/>
        </w:trPr>
        <w:tc>
          <w:tcPr>
            <w:tcW w:w="5800" w:type="dxa"/>
            <w:vAlign w:val="bottom"/>
            <w:gridSpan w:val="2"/>
          </w:tcPr>
          <w:p>
            <w:pPr>
              <w:ind w:left="20"/>
              <w:spacing w:after="0"/>
              <w:rPr>
                <w:sz w:val="20"/>
                <w:szCs w:val="20"/>
                <w:color w:val="auto"/>
              </w:rPr>
            </w:pPr>
            <w:r>
              <w:rPr>
                <w:rFonts w:ascii="Arial" w:cs="Arial" w:eastAsia="Arial" w:hAnsi="Arial"/>
                <w:sz w:val="14"/>
                <w:szCs w:val="14"/>
                <w:color w:val="auto"/>
              </w:rPr>
              <w:t>Debt of consolidated variable interest entities, at fair value</w:t>
            </w:r>
          </w:p>
        </w:tc>
        <w:tc>
          <w:tcPr>
            <w:tcW w:w="22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192</w:t>
            </w: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228</w:t>
            </w: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 %</w:t>
            </w:r>
          </w:p>
        </w:tc>
      </w:tr>
      <w:tr>
        <w:trPr>
          <w:trHeight w:val="186"/>
        </w:trPr>
        <w:tc>
          <w:tcPr>
            <w:tcW w:w="580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debt</w:t>
            </w:r>
          </w:p>
        </w:tc>
        <w:tc>
          <w:tcPr>
            <w:tcW w:w="22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54,558</w:t>
            </w:r>
          </w:p>
        </w:tc>
        <w:tc>
          <w:tcPr>
            <w:tcW w:w="120" w:type="dxa"/>
            <w:vAlign w:val="bottom"/>
            <w:tcBorders>
              <w:top w:val="single" w:sz="8" w:color="CCEEFF"/>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65 %</w:t>
            </w:r>
          </w:p>
        </w:tc>
        <w:tc>
          <w:tcPr>
            <w:tcW w:w="16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89,313</w:t>
            </w:r>
          </w:p>
        </w:tc>
        <w:tc>
          <w:tcPr>
            <w:tcW w:w="120" w:type="dxa"/>
            <w:vAlign w:val="bottom"/>
            <w:tcBorders>
              <w:top w:val="single" w:sz="8" w:color="CCEEFF"/>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92 %</w:t>
            </w:r>
          </w:p>
        </w:tc>
      </w:tr>
      <w:tr>
        <w:trPr>
          <w:trHeight w:val="186"/>
        </w:trPr>
        <w:tc>
          <w:tcPr>
            <w:tcW w:w="58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Net TBA position, at cost</w:t>
            </w: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29,460</w:t>
            </w:r>
          </w:p>
        </w:tc>
        <w:tc>
          <w:tcPr>
            <w:tcW w:w="12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35 %</w:t>
            </w:r>
          </w:p>
        </w:tc>
        <w:tc>
          <w:tcPr>
            <w:tcW w:w="16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7,404</w:t>
            </w:r>
          </w:p>
        </w:tc>
        <w:tc>
          <w:tcPr>
            <w:tcW w:w="12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8 %</w:t>
            </w:r>
          </w:p>
        </w:tc>
      </w:tr>
      <w:tr>
        <w:trPr>
          <w:trHeight w:val="211"/>
        </w:trPr>
        <w:tc>
          <w:tcPr>
            <w:tcW w:w="58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mortgage borrowings</w:t>
            </w: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84,018</w:t>
            </w:r>
          </w:p>
        </w:tc>
        <w:tc>
          <w:tcPr>
            <w:tcW w:w="12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96,717</w:t>
            </w:r>
          </w:p>
        </w:tc>
        <w:tc>
          <w:tcPr>
            <w:tcW w:w="120" w:type="dxa"/>
            <w:vAlign w:val="bottom"/>
            <w:tcBorders>
              <w:bottom w:val="single" w:sz="8" w:color="CCEEFF"/>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r>
      <w:tr>
        <w:trPr>
          <w:trHeight w:val="20"/>
        </w:trPr>
        <w:tc>
          <w:tcPr>
            <w:tcW w:w="5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55" w:lineRule="auto"/>
        <w:tabs>
          <w:tab w:leader="none" w:pos="6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Amount excludes $200 million and $97 million of repurchase agreements used to fund purchases of U.S. Treasury securities as of September 30, 2020 and December 31, 2019, respectively.</w:t>
      </w:r>
    </w:p>
    <w:p>
      <w:pPr>
        <w:spacing w:after="0" w:line="136" w:lineRule="exact"/>
        <w:rPr>
          <w:sz w:val="20"/>
          <w:szCs w:val="20"/>
          <w:color w:val="auto"/>
        </w:rPr>
      </w:pPr>
    </w:p>
    <w:p>
      <w:pPr>
        <w:jc w:val="both"/>
        <w:ind w:right="20" w:firstLine="445"/>
        <w:spacing w:after="0" w:line="263" w:lineRule="auto"/>
        <w:rPr>
          <w:sz w:val="20"/>
          <w:szCs w:val="20"/>
          <w:color w:val="auto"/>
        </w:rPr>
      </w:pPr>
      <w:r>
        <w:rPr>
          <w:rFonts w:ascii="Arial" w:cs="Arial" w:eastAsia="Arial" w:hAnsi="Arial"/>
          <w:sz w:val="18"/>
          <w:szCs w:val="18"/>
          <w:color w:val="auto"/>
        </w:rPr>
        <w:t>Repurchase arrangements involve the sale and a simultaneous agreement to repurchase the transferred assets at a future date and are accounted for as collateralized financing transactions. We maintain a beneficial interest in the specific securities pledged during the term of each repurchase arrangement and we receive the related principal and interest payments.</w:t>
      </w:r>
    </w:p>
    <w:p>
      <w:pPr>
        <w:spacing w:after="0" w:line="130" w:lineRule="exact"/>
        <w:rPr>
          <w:sz w:val="20"/>
          <w:szCs w:val="20"/>
          <w:color w:val="auto"/>
        </w:rPr>
      </w:pPr>
    </w:p>
    <w:p>
      <w:pPr>
        <w:jc w:val="both"/>
        <w:ind w:firstLine="445"/>
        <w:spacing w:after="0" w:line="271" w:lineRule="auto"/>
        <w:rPr>
          <w:sz w:val="20"/>
          <w:szCs w:val="20"/>
          <w:color w:val="auto"/>
        </w:rPr>
      </w:pPr>
      <w:r>
        <w:rPr>
          <w:rFonts w:ascii="Arial" w:cs="Arial" w:eastAsia="Arial" w:hAnsi="Arial"/>
          <w:sz w:val="17"/>
          <w:szCs w:val="17"/>
          <w:color w:val="auto"/>
        </w:rPr>
        <w:t>The terms and conditions of secured borrowings are negotiated on a transaction-by-transaction basis when each such borrowing is initiated or renewed. The amount borrowed is generally equal to the fair value of the securities pledged, as determined by the lending counterparty, less an agreed-upon discount, referred to as a "haircut." This haircut reflects the underlying risk of the specific collateral and protects our counterparty against a change in its value, but conversely subjects us to counterparty credit risk and limits the amount we can borrow against our investment securities. Interest rates are generally fixed based on prevailing rates corresponding to the terms of the borrowings. Interest may be paid monthly or at the termination of a borrowing at which time we may enter into a new borrowing at prevailing haircuts and rates with the same lending counterparty or repay that counterparty and negotiate financing with a different lending counterparty. None of our repo counterparties are obligated to renew or otherwise enter into new borrowings at the conclusion of our existing borrowings.</w:t>
      </w:r>
    </w:p>
    <w:p>
      <w:pPr>
        <w:spacing w:after="0" w:line="124"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The use of TBA dollar roll transactions increases our funding diversification, expands our available pool of assets, and increases our overall liquidity position, as TBA contracts have lower implied haircuts relative to Agency RMBS pools held on balance sheet funded with repo financing. However, if it were to become uneconomical to roll our TBA contracts into future months it may be necessary to take physical delivery of the underlying securities and fund those assets with cash or other financing sources, which could reduce our liquidity position. The collateral requirements under our TBA contracts are governed by the Mortgage-Backed Securities Division ("MBSD") of the FICC and by our brokerage agreements, which may establish margin levels in excess of the MBSD.</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40" w:name="page41"/>
    <w:bookmarkEnd w:id="40"/>
    <w:p>
      <w:pPr>
        <w:jc w:val="both"/>
        <w:ind w:firstLine="445"/>
        <w:spacing w:after="0" w:line="255" w:lineRule="auto"/>
        <w:rPr>
          <w:sz w:val="20"/>
          <w:szCs w:val="20"/>
          <w:color w:val="auto"/>
        </w:rPr>
      </w:pPr>
      <w:r>
        <w:rPr>
          <w:rFonts w:ascii="Arial" w:cs="Arial" w:eastAsia="Arial" w:hAnsi="Arial"/>
          <w:sz w:val="18"/>
          <w:szCs w:val="18"/>
          <w:color w:val="auto"/>
        </w:rPr>
        <w:t>To help manage the adverse impact of interest rate changes on the value of our investment portfolio as well as our cash flows, we utilize an interest rate risk management strategy involving the use of derivative financial instruments. In particular, we attempt to mitigate the risk of the cost of our variable rate liabilities increasing at a faster rate than the earnings of our long-term fixed rate assets during a period of rising interest rates. Collateral levels for interest rate derivative agreements are typically governed by the central clearing exchange and the associated futures commission merchants ("FCMs"), which may establish margin levels in excess of the clearing exchange. Collateral levels for interest rate derivative agreements not subject to central clearing are established by the counterparty financial institution.</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Collateral Requirements and Unencumbered Assets</w:t>
      </w:r>
    </w:p>
    <w:p>
      <w:pPr>
        <w:spacing w:after="0" w:line="171"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If the fair value of our collateral declines due to changes in market conditions or the publishing of monthly security pay-down factors, our counterparties will typically require that we post additional collateral to re-establish the agreed-upon collateral requirements, referred to as "margin calls." Similarly, if the estimated fair value of our investment securities increases due to changes in interest rates or other factors, we may request that counterparties release collateral back to us. Our derivative agreements also require that we maintain a minimum collateral balance regardless of the value of the derivative instrument based on our counterparties' assessment of risk specific to the derivative instrument and clearing exchange rules.</w:t>
      </w:r>
    </w:p>
    <w:p>
      <w:pPr>
        <w:spacing w:after="0" w:line="138" w:lineRule="exact"/>
        <w:rPr>
          <w:sz w:val="20"/>
          <w:szCs w:val="20"/>
          <w:color w:val="auto"/>
        </w:rPr>
      </w:pPr>
    </w:p>
    <w:p>
      <w:pPr>
        <w:jc w:val="both"/>
        <w:ind w:firstLine="445"/>
        <w:spacing w:after="0" w:line="269" w:lineRule="auto"/>
        <w:rPr>
          <w:sz w:val="20"/>
          <w:szCs w:val="20"/>
          <w:color w:val="auto"/>
        </w:rPr>
      </w:pPr>
      <w:r>
        <w:rPr>
          <w:rFonts w:ascii="Arial" w:cs="Arial" w:eastAsia="Arial" w:hAnsi="Arial"/>
          <w:sz w:val="17"/>
          <w:szCs w:val="17"/>
          <w:color w:val="auto"/>
        </w:rPr>
        <w:t>Collateral requirements under our repurchase and derivative agreements are dependent on our counterparties' determination of the fair value of securities pledged and the "haircut" levels they apply against the value of our securities. Haircuts under repo agreements are typically determined on an individual transaction basis and reflect our counterparties' assessment of the underlying risk associated with the specific collateral. Haircut levels and minimum margin requirements can change overtime and could be expected to increase during periods of elevated market volatility. We are also subject to daily variation margin requirements based on changes in the value of our collateral and, in the case of derivative agreements, changes in the value of the derivative instrument. Daily variation margin requirements under our interest rate derivative agreements also entitle us to receive collateral if the value of amounts owed to us under the derivative instrument exceeds a minimum margin requirement. Our agreements may provide that the valuations of securities securing our obligations under the agreement are to be obtained from a generally recognized source agreed to by both parties to the agreement. Other agreements provide that our counterparty has the sole discretion to determine the value of pledged collateral, but is required to act in good faith in making determinations of value. Our agreements generally provide that in the event of a margin call, collateral must be posted on the same business day, subject to notice requirements. As of September 30, 2020, we had met all our margin requirements.</w:t>
      </w:r>
    </w:p>
    <w:p>
      <w:pPr>
        <w:spacing w:after="0" w:line="128" w:lineRule="exact"/>
        <w:rPr>
          <w:sz w:val="20"/>
          <w:szCs w:val="20"/>
          <w:color w:val="auto"/>
        </w:rPr>
      </w:pPr>
    </w:p>
    <w:p>
      <w:pPr>
        <w:jc w:val="both"/>
        <w:ind w:firstLine="445"/>
        <w:spacing w:after="0" w:line="253" w:lineRule="auto"/>
        <w:rPr>
          <w:sz w:val="20"/>
          <w:szCs w:val="20"/>
          <w:color w:val="auto"/>
        </w:rPr>
      </w:pPr>
      <w:r>
        <w:rPr>
          <w:rFonts w:ascii="Arial" w:cs="Arial" w:eastAsia="Arial" w:hAnsi="Arial"/>
          <w:sz w:val="18"/>
          <w:szCs w:val="18"/>
          <w:color w:val="auto"/>
        </w:rPr>
        <w:t>The value of Agency RMBS is reduced by principal pay-downs on the mortgage pools underlying them. Fannie Mae and Freddie Mac publish monthly security pay-down factors for their mortgage pools on the fifth day after month-end and remit payment based on these factors generally on the 25th day after month-end. Counterparties to our bi-lateral repurchase agreements typically assess margin to account for these principal pay-downs prior to our receipt of the principal repayment when pool level principal payment data becomes available. The FICC assesses margin based on its internally projected pay-down rates on the last day of each month (referred to as the "blackout period exposure adjustment" or "blackout margin"). On the fifth day of the month, the blackout margin is released and collateralization requirements are adjusted to the actual published factor data. Consequently, our liquidity is temporarily reduced each month until we receive payment of the pay-down amounts. We attempt to manage the liquidity risk associated with principal pay-downs by monitoring conditions impacting prepayment rates and through asset selection. As of September 30, 2020, given the current market conditions and elevated prepayment risk associated with historically low interest rates, our portfolio largely consisted of higher coupon specified pool securities, which have a lower risk of prepayment compared to generic Agency RMBS, and TBA securities, which do not expose us to margin calls due to prepayments.</w:t>
      </w:r>
    </w:p>
    <w:p>
      <w:pPr>
        <w:spacing w:after="0" w:line="138" w:lineRule="exact"/>
        <w:rPr>
          <w:sz w:val="20"/>
          <w:szCs w:val="20"/>
          <w:color w:val="auto"/>
        </w:rPr>
      </w:pPr>
    </w:p>
    <w:p>
      <w:pPr>
        <w:jc w:val="both"/>
        <w:ind w:firstLine="445"/>
        <w:spacing w:after="0" w:line="296" w:lineRule="auto"/>
        <w:rPr>
          <w:sz w:val="20"/>
          <w:szCs w:val="20"/>
          <w:color w:val="auto"/>
        </w:rPr>
      </w:pPr>
      <w:r>
        <w:rPr>
          <w:rFonts w:ascii="Arial" w:cs="Arial" w:eastAsia="Arial" w:hAnsi="Arial"/>
          <w:sz w:val="16"/>
          <w:szCs w:val="16"/>
          <w:color w:val="auto"/>
        </w:rPr>
        <w:t>Haircut levels and minimum margin requirements imposed by counterparties reduce the amount of our unencumbered assets and limit the amount we can borrow against our investment securities. For the nine months ended September 30, 2020, haircuts on Agency RMBS collateral remained stable. Haircuts and funding levels for our less liquid, credit-oriented securities, however, were adversely impacted by the dislocation in the financial markets in the first quarter, but have since improved to more normal levels. As of September 30, 2020, the weighted average haircut on our repurchase agreements was approximately 4.4% of the value of our collateral, inclusive of collateral funded through BES, largely unchanged from December 31, 2019.</w:t>
      </w:r>
    </w:p>
    <w:p>
      <w:pPr>
        <w:spacing w:after="0" w:line="107" w:lineRule="exact"/>
        <w:rPr>
          <w:sz w:val="20"/>
          <w:szCs w:val="20"/>
          <w:color w:val="auto"/>
        </w:rPr>
      </w:pPr>
    </w:p>
    <w:p>
      <w:pPr>
        <w:jc w:val="both"/>
        <w:ind w:firstLine="445"/>
        <w:spacing w:after="0" w:line="279" w:lineRule="auto"/>
        <w:rPr>
          <w:sz w:val="20"/>
          <w:szCs w:val="20"/>
          <w:color w:val="auto"/>
        </w:rPr>
      </w:pPr>
      <w:r>
        <w:rPr>
          <w:rFonts w:ascii="Arial" w:cs="Arial" w:eastAsia="Arial" w:hAnsi="Arial"/>
          <w:sz w:val="17"/>
          <w:szCs w:val="17"/>
          <w:color w:val="auto"/>
        </w:rPr>
        <w:t>As of September 30, 2020, our unencumbered assets totaled 60% of our tangible net equity, compared to 54% as of December 31, 2019. The majority of our liquidity is held at AGNC, but we also maintain capital and excess liquidity at BES for regulatory standards, risk management purposes, and to meet expectations of its counterparties, clearing banks and clearing organizations. As of September 30, 2020, we had cash and unencumbered Agency RMBS totaling $5.2 billion, which excludes unencumbered CRT securities, non-Agency securities and assets held at BES.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1" w:name="page42"/>
    <w:bookmarkEnd w:id="41"/>
    <w:p>
      <w:pPr>
        <w:jc w:val="both"/>
        <w:ind w:firstLine="445"/>
        <w:spacing w:after="0" w:line="255" w:lineRule="auto"/>
        <w:rPr>
          <w:sz w:val="20"/>
          <w:szCs w:val="20"/>
          <w:color w:val="auto"/>
        </w:rPr>
      </w:pPr>
      <w:r>
        <w:rPr>
          <w:rFonts w:ascii="Arial" w:cs="Arial" w:eastAsia="Arial" w:hAnsi="Arial"/>
          <w:sz w:val="18"/>
          <w:szCs w:val="18"/>
          <w:color w:val="auto"/>
        </w:rPr>
        <w:t>Collateral haircuts and minimum margin requirements imposed by counterparties subject us to counterparty credit risk. We attempt to manage this risk by monitoring our collateral positions and limiting our counterparties to registered clearinghouses and major financial institutions with acceptable credit ratings. We also diversify our funding across multiple counterparties and by region. Additionally, BES' direct access to the General Collateral Finance Repo service offered by the FICC and other triparty and bi-lateral repo funding provides us greater depth and diversity of funding at favorable terms relative to traditional bilateral repurchase agreement funding. As of September 30, 2020, $26.2 billion of our repurchase agreement funding was sourced through BES.</w:t>
      </w:r>
    </w:p>
    <w:p>
      <w:pPr>
        <w:spacing w:after="0" w:line="138" w:lineRule="exact"/>
        <w:rPr>
          <w:sz w:val="20"/>
          <w:szCs w:val="20"/>
          <w:color w:val="auto"/>
        </w:rPr>
      </w:pPr>
    </w:p>
    <w:p>
      <w:pPr>
        <w:jc w:val="both"/>
        <w:ind w:firstLine="445"/>
        <w:spacing w:after="0" w:line="257" w:lineRule="auto"/>
        <w:rPr>
          <w:sz w:val="20"/>
          <w:szCs w:val="20"/>
          <w:color w:val="auto"/>
        </w:rPr>
      </w:pPr>
      <w:r>
        <w:rPr>
          <w:rFonts w:ascii="Arial" w:cs="Arial" w:eastAsia="Arial" w:hAnsi="Arial"/>
          <w:sz w:val="18"/>
          <w:szCs w:val="18"/>
          <w:color w:val="auto"/>
        </w:rPr>
        <w:t>As of September 30, 2020, our maximum amount at risk (or the excess value of collateral pledged over our repurchase liabilities) with any of our repurchase agreement counterparties, excluding the FICC, was less than 2% of our tangible stockholders' equity, with our top five repo counterparties, excluding the FICC, representing less than 6% of our tangible stockholders' equity. As of September 30, 2020, approximately 10% of our tangible stockholder's equity was at risk with the FICC. Excluding central clearing exchanges, as of September 30, 2020, our amount at risk with any counterparty to our derivative agreements was less than 1% of our stockholders' equity.</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Sales</w:t>
      </w:r>
    </w:p>
    <w:p>
      <w:pPr>
        <w:spacing w:after="0" w:line="171"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Agency RMBS securities are among the most liquid fixed income securities, and the TBA market is the second most liquid market (after the U.S. Treasury market). The vitality of these markets enables us to sell assets under most market conditions to generate liquidity through direct sales or delivery into TBA contracts, subject to "good delivery" provisions promulgated by the Securities Industry and Financial Markets Association ("SIFMA"). Under certain market conditions, however, we may be unable to realize the full "pay-up" value, or premium relative to generic Agency RMBS, of our specified pool securities; consequently, we seek to operate with a minimum level of securities that trade at or near TBA values that in our estimation enhances our portfolio liquidity across a wide range of market conditions.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Markets</w:t>
      </w:r>
    </w:p>
    <w:p>
      <w:pPr>
        <w:spacing w:after="0" w:line="171"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The equity capital markets serve as a source of capital to grow our business and to meet potential liquidity needs of our business. The availability of equity capital is dependent on market conditions and investor demand for our common and preferred stock. We will typically not issue common stock when the price of our common stock trades below our tangible net book value or issue preferred equity when its cost exceeds acceptable hurdle rates of return on our equity. There can be no assurance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Notes 10 and 11 of our Consolidated Financial Statements in this Form 10-Q for further details regarding our recent equity capital transactions and our stock repurchase plan.</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As of September 30, 2020,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September 30, 2020, we had not guaranteed obligations of unconsolidated entities or entered into a commitment or intent to provide funding to such entities.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75"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statements contained in this Quarterly Report that are not historical facts, including estimates, projections, beliefs, expectations concerning conditions, events, or the outlook for our business, strategy, performance, operations or the markets or industries in which we operate, are forward-looking statements within the meaning of the Private Securities Litigation Reform Act. Forward-looking statements are typically identified by words such as “believe,” “plan,” “expect,” “anticipate,” “see,” “intend,” “outlook,” “potential,” “forecast,” “estimate,” “will,” “could,” “should,” “likely” and other similar, correlative or comparable words and expressions.</w:t>
      </w:r>
    </w:p>
    <w:p>
      <w:pPr>
        <w:spacing w:after="0" w:line="134" w:lineRule="exact"/>
        <w:rPr>
          <w:sz w:val="20"/>
          <w:szCs w:val="20"/>
          <w:color w:val="auto"/>
        </w:rPr>
      </w:pPr>
    </w:p>
    <w:p>
      <w:pPr>
        <w:jc w:val="both"/>
        <w:ind w:firstLine="405"/>
        <w:spacing w:after="0" w:line="311" w:lineRule="auto"/>
        <w:rPr>
          <w:sz w:val="20"/>
          <w:szCs w:val="20"/>
          <w:color w:val="auto"/>
        </w:rPr>
      </w:pPr>
      <w:r>
        <w:rPr>
          <w:rFonts w:ascii="Arial" w:cs="Arial" w:eastAsia="Arial" w:hAnsi="Arial"/>
          <w:sz w:val="16"/>
          <w:szCs w:val="16"/>
          <w:color w:val="auto"/>
        </w:rPr>
        <w:t>Forward looking statements are based on management’s assumptions, projections and beliefs as of the date of this Quarterly Report, but they involve a number of risks and uncertainties. Actual results may differ materially from those anticipated in forward-looking statements, as well as from historical performance. Factors that could cause actual results to vary from our forward-looking statements include, but are not limited to, the following:</w:t>
      </w:r>
    </w:p>
    <w:p>
      <w:pPr>
        <w:spacing w:after="0" w:line="95" w:lineRule="exact"/>
        <w:rPr>
          <w:sz w:val="20"/>
          <w:szCs w:val="20"/>
          <w:color w:val="auto"/>
        </w:rPr>
      </w:pPr>
    </w:p>
    <w:p>
      <w:pPr>
        <w:ind w:left="660" w:hanging="247"/>
        <w:spacing w:after="0" w:line="277" w:lineRule="auto"/>
        <w:tabs>
          <w:tab w:leader="none" w:pos="655"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impact of the COVID-19 pandemic and of measures taken in response to the COVID-19 pandemic by various governmental authorities, businesses and other third parties;</w:t>
      </w:r>
    </w:p>
    <w:p>
      <w:pPr>
        <w:spacing w:after="0" w:line="8" w:lineRule="exact"/>
        <w:rPr>
          <w:rFonts w:ascii="Arial" w:cs="Arial" w:eastAsia="Arial" w:hAnsi="Arial"/>
          <w:sz w:val="18"/>
          <w:szCs w:val="18"/>
          <w:color w:val="auto"/>
        </w:rPr>
      </w:pPr>
    </w:p>
    <w:p>
      <w:pPr>
        <w:ind w:left="660" w:hanging="247"/>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actions by the federal, state, or local governments to stabilize the economy, the housing sector or financial markets;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2" w:name="page43"/>
    <w:bookmarkEnd w:id="42"/>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changes in U.S. monetary policy or interest rates;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fluctuations in the yield curve;</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fluctuations in mortgage prepayment rates on the loans underlying our Agency RMBS;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availability and terms of financing;</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changes in the market value of our assets, including from changes in net interest spreads, and changes in market liquidity or depth;</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effectiveness of our risk mitigation strategies;</w:t>
      </w:r>
    </w:p>
    <w:p>
      <w:pPr>
        <w:spacing w:after="0" w:line="63"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conditions in the market for Agency RMBS and other mortgage securities;</w:t>
      </w:r>
    </w:p>
    <w:p>
      <w:pPr>
        <w:spacing w:after="0" w:line="63" w:lineRule="exact"/>
        <w:rPr>
          <w:rFonts w:ascii="Arial" w:cs="Arial" w:eastAsia="Arial" w:hAnsi="Arial"/>
          <w:sz w:val="18"/>
          <w:szCs w:val="18"/>
          <w:color w:val="auto"/>
        </w:rPr>
      </w:pPr>
    </w:p>
    <w:p>
      <w:pPr>
        <w:ind w:left="660" w:hanging="247"/>
        <w:spacing w:after="0" w:line="277" w:lineRule="auto"/>
        <w:tabs>
          <w:tab w:leader="none" w:pos="655" w:val="left"/>
        </w:tabs>
        <w:numPr>
          <w:ilvl w:val="0"/>
          <w:numId w:val="31"/>
        </w:numPr>
        <w:rPr>
          <w:rFonts w:ascii="Arial" w:cs="Arial" w:eastAsia="Arial" w:hAnsi="Arial"/>
          <w:sz w:val="18"/>
          <w:szCs w:val="18"/>
          <w:color w:val="auto"/>
        </w:rPr>
      </w:pPr>
      <w:r>
        <w:rPr>
          <w:rFonts w:ascii="Arial" w:cs="Arial" w:eastAsia="Arial" w:hAnsi="Arial"/>
          <w:sz w:val="18"/>
          <w:szCs w:val="18"/>
          <w:color w:val="auto"/>
        </w:rPr>
        <w:t>legislative or regulatory changes that affect our status as a REIT, our exemption from the Investment Company Act of 1940 or the mortgage markets in which we participate; and</w:t>
      </w:r>
    </w:p>
    <w:p>
      <w:pPr>
        <w:spacing w:after="0" w:line="8" w:lineRule="exact"/>
        <w:rPr>
          <w:rFonts w:ascii="Arial" w:cs="Arial" w:eastAsia="Arial" w:hAnsi="Arial"/>
          <w:sz w:val="18"/>
          <w:szCs w:val="18"/>
          <w:color w:val="auto"/>
        </w:rPr>
      </w:pPr>
    </w:p>
    <w:p>
      <w:pPr>
        <w:ind w:left="660" w:hanging="247"/>
        <w:spacing w:after="0"/>
        <w:tabs>
          <w:tab w:leader="none" w:pos="6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other risks discussed under the heading “Risk Factors” herein and in our Annual Report on Form 10-K.</w:t>
      </w:r>
    </w:p>
    <w:p>
      <w:pPr>
        <w:spacing w:after="0" w:line="171"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 xml:space="preserve">Forward-looking statements speak only as of the date made, and we do not assume any duty and do not undertake to update forward-looking statements. A further discussion of risks and uncertainties that could cause actual results to differ from any of our forward-looking statements is included in our most recent Annual Report on Form 10-K and this document under Item 1A. </w:t>
      </w:r>
      <w:r>
        <w:rPr>
          <w:rFonts w:ascii="Arial" w:cs="Arial" w:eastAsia="Arial" w:hAnsi="Arial"/>
          <w:sz w:val="18"/>
          <w:szCs w:val="18"/>
          <w:i w:val="1"/>
          <w:iCs w:val="1"/>
          <w:color w:val="auto"/>
        </w:rPr>
        <w:t>Risk Factors</w:t>
      </w:r>
      <w:r>
        <w:rPr>
          <w:rFonts w:ascii="Arial" w:cs="Arial" w:eastAsia="Arial" w:hAnsi="Arial"/>
          <w:sz w:val="18"/>
          <w:szCs w:val="18"/>
          <w:color w:val="auto"/>
        </w:rPr>
        <w:t>. We caution readers not to place undue reliance on our forward-looking statements.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45"/>
        <w:spacing w:after="0" w:line="30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w:t>
      </w:r>
    </w:p>
    <w:p>
      <w:pPr>
        <w:spacing w:after="0" w:line="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71"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38" w:lineRule="exact"/>
        <w:rPr>
          <w:sz w:val="20"/>
          <w:szCs w:val="20"/>
          <w:color w:val="auto"/>
        </w:rPr>
      </w:pPr>
    </w:p>
    <w:p>
      <w:pPr>
        <w:jc w:val="both"/>
        <w:ind w:firstLine="445"/>
        <w:spacing w:after="0" w:line="272"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our investments will also differ from our expectations, which could reduce the effectiveness of our hedging strategies and may cause losses on such transactions and adversely affect our cash flow.</w:t>
      </w:r>
    </w:p>
    <w:p>
      <w:pPr>
        <w:spacing w:after="0" w:line="123" w:lineRule="exact"/>
        <w:rPr>
          <w:sz w:val="20"/>
          <w:szCs w:val="20"/>
          <w:color w:val="auto"/>
        </w:rPr>
      </w:pPr>
    </w:p>
    <w:p>
      <w:pPr>
        <w:jc w:val="both"/>
        <w:ind w:firstLine="445"/>
        <w:spacing w:after="0" w:line="255" w:lineRule="auto"/>
        <w:rPr>
          <w:sz w:val="20"/>
          <w:szCs w:val="20"/>
          <w:color w:val="auto"/>
        </w:rPr>
      </w:pPr>
      <w:r>
        <w:rPr>
          <w:rFonts w:ascii="Arial" w:cs="Arial" w:eastAsia="Arial" w:hAnsi="Arial"/>
          <w:sz w:val="18"/>
          <w:szCs w:val="18"/>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8"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estimate the duration and convexity of our assets using a third-party risk management system and market data. We review the duration estimates from the third-party model and may make adjustments based on our judgment to better reflect any unique characteristics and market trading conventions associated with certain types of securities.</w:t>
      </w:r>
    </w:p>
    <w:p>
      <w:pPr>
        <w:spacing w:after="0" w:line="130"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 table below quantifies the estimated changes in the fair value of our investment portfolio (including derivatives and other securities used for hedging purposes) and in our tangible net book value per common share as of September 30, 2020 and December 31, 2019 should interest rates go up or down by 50, 75 and 100 basis points, assuming instantaneous parallel shifts in the yield curve and including the impact of both duration and convexity. All values in the table below are measured as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49" w:right="339" w:bottom="1440" w:gutter="0" w:footer="0" w:header="0"/>
        </w:sectPr>
      </w:pPr>
    </w:p>
    <w:bookmarkStart w:id="43" w:name="page44"/>
    <w:bookmarkEnd w:id="43"/>
    <w:p>
      <w:pPr>
        <w:jc w:val="both"/>
        <w:spacing w:after="0" w:line="277" w:lineRule="auto"/>
        <w:rPr>
          <w:sz w:val="20"/>
          <w:szCs w:val="20"/>
          <w:color w:val="auto"/>
        </w:rPr>
      </w:pPr>
      <w:r>
        <w:rPr>
          <w:rFonts w:ascii="Arial" w:cs="Arial" w:eastAsia="Arial" w:hAnsi="Arial"/>
          <w:sz w:val="18"/>
          <w:szCs w:val="18"/>
          <w:color w:val="auto"/>
        </w:rPr>
        <w:t>percentage changes from the base interest rate scenario. The base interest rate scenario assumes interest rates and prepayment projections as of September 30, 2020 and December 31, 2019.</w:t>
      </w:r>
    </w:p>
    <w:p>
      <w:pPr>
        <w:spacing w:after="0" w:line="116"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To the extent that these estimates or other assumptions do not hold true, which is likely in a period of high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8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1,2</w:t>
      </w:r>
    </w:p>
    <w:tbl>
      <w:tblPr>
        <w:tblLayout w:type="fixed"/>
        <w:tblInd w:w="1240" w:type="dxa"/>
        <w:tblCellMar>
          <w:top w:w="0" w:type="dxa"/>
          <w:left w:w="0" w:type="dxa"/>
          <w:bottom w:w="0" w:type="dxa"/>
          <w:right w:w="0" w:type="dxa"/>
        </w:tblCellMar>
      </w:tblPr>
      <w:tr>
        <w:trPr>
          <w:trHeight w:val="183"/>
        </w:trPr>
        <w:tc>
          <w:tcPr>
            <w:tcW w:w="294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80" w:type="dxa"/>
            <w:vAlign w:val="bottom"/>
            <w:tcBorders>
              <w:top w:val="single" w:sz="8" w:color="auto"/>
            </w:tcBorders>
            <w:gridSpan w:val="4"/>
          </w:tcPr>
          <w:p>
            <w:pPr>
              <w:ind w:left="760"/>
              <w:spacing w:after="0"/>
              <w:rPr>
                <w:sz w:val="20"/>
                <w:szCs w:val="20"/>
                <w:color w:val="auto"/>
              </w:rPr>
            </w:pPr>
            <w:r>
              <w:rPr>
                <w:rFonts w:ascii="Arial" w:cs="Arial" w:eastAsia="Arial" w:hAnsi="Arial"/>
                <w:sz w:val="14"/>
                <w:szCs w:val="14"/>
                <w:b w:val="1"/>
                <w:bCs w:val="1"/>
                <w:color w:val="auto"/>
              </w:rPr>
              <w:t>September 30, 2020</w:t>
            </w:r>
          </w:p>
        </w:tc>
        <w:tc>
          <w:tcPr>
            <w:tcW w:w="2780" w:type="dxa"/>
            <w:vAlign w:val="bottom"/>
            <w:tcBorders>
              <w:top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2019</w:t>
            </w:r>
          </w:p>
        </w:tc>
        <w:tc>
          <w:tcPr>
            <w:tcW w:w="0" w:type="dxa"/>
            <w:vAlign w:val="bottom"/>
          </w:tcPr>
          <w:p>
            <w:pPr>
              <w:spacing w:after="0"/>
              <w:rPr>
                <w:sz w:val="1"/>
                <w:szCs w:val="1"/>
                <w:color w:val="auto"/>
              </w:rPr>
            </w:pPr>
          </w:p>
        </w:tc>
      </w:tr>
      <w:tr>
        <w:trPr>
          <w:trHeight w:val="128"/>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1"/>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160" w:type="dxa"/>
            <w:vAlign w:val="bottom"/>
          </w:tcPr>
          <w:p>
            <w:pPr>
              <w:spacing w:after="0"/>
              <w:rPr>
                <w:sz w:val="11"/>
                <w:szCs w:val="11"/>
                <w:color w:val="auto"/>
              </w:rPr>
            </w:pPr>
          </w:p>
        </w:tc>
        <w:tc>
          <w:tcPr>
            <w:tcW w:w="142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Estimated Change in</w:t>
            </w:r>
          </w:p>
        </w:tc>
        <w:tc>
          <w:tcPr>
            <w:tcW w:w="136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35"/>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48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1420" w:type="dxa"/>
            <w:vAlign w:val="bottom"/>
            <w:gridSpan w:val="2"/>
            <w:vMerge w:val="continue"/>
          </w:tcPr>
          <w:p>
            <w:pPr>
              <w:spacing w:after="0"/>
              <w:rPr>
                <w:sz w:val="11"/>
                <w:szCs w:val="11"/>
                <w:color w:val="auto"/>
              </w:rPr>
            </w:pP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35"/>
        </w:trPr>
        <w:tc>
          <w:tcPr>
            <w:tcW w:w="31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4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7"/>
              </w:rPr>
              <w:t>in Portfolio Market</w:t>
            </w:r>
          </w:p>
        </w:tc>
        <w:tc>
          <w:tcPr>
            <w:tcW w:w="148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142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7"/>
              </w:rPr>
              <w:t>Portfolio Market</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88"/>
        </w:trPr>
        <w:tc>
          <w:tcPr>
            <w:tcW w:w="3100" w:type="dxa"/>
            <w:vAlign w:val="bottom"/>
            <w:gridSpan w:val="2"/>
            <w:vMerge w:val="continue"/>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Value</w:t>
            </w:r>
          </w:p>
        </w:tc>
        <w:tc>
          <w:tcPr>
            <w:tcW w:w="14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Share</w:t>
            </w:r>
          </w:p>
        </w:tc>
        <w:tc>
          <w:tcPr>
            <w:tcW w:w="14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Value</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184"/>
        </w:trPr>
        <w:tc>
          <w:tcPr>
            <w:tcW w:w="2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2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-0.1%</w:t>
            </w:r>
          </w:p>
        </w:tc>
        <w:tc>
          <w:tcPr>
            <w:tcW w:w="16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-0.5%</w:t>
            </w:r>
          </w:p>
        </w:tc>
        <w:tc>
          <w:tcPr>
            <w:tcW w:w="100" w:type="dxa"/>
            <w:vAlign w:val="bottom"/>
            <w:tcBorders>
              <w:top w:val="single" w:sz="8" w:color="CCEEFF"/>
            </w:tcBorders>
            <w:shd w:val="clear" w:color="auto" w:fill="CCEEFF"/>
          </w:tcPr>
          <w:p>
            <w:pPr>
              <w:spacing w:after="0"/>
              <w:rPr>
                <w:sz w:val="15"/>
                <w:szCs w:val="15"/>
                <w:color w:val="auto"/>
              </w:rPr>
            </w:pPr>
          </w:p>
        </w:tc>
        <w:tc>
          <w:tcPr>
            <w:tcW w:w="13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8"/>
              </w:rPr>
              <w:t>-6.0%</w:t>
            </w:r>
          </w:p>
        </w:tc>
        <w:tc>
          <w:tcPr>
            <w:tcW w:w="0" w:type="dxa"/>
            <w:vAlign w:val="bottom"/>
          </w:tcPr>
          <w:p>
            <w:pPr>
              <w:spacing w:after="0"/>
              <w:rPr>
                <w:sz w:val="1"/>
                <w:szCs w:val="1"/>
                <w:color w:val="auto"/>
              </w:rPr>
            </w:pPr>
          </w:p>
        </w:tc>
      </w:tr>
      <w:tr>
        <w:trPr>
          <w:trHeight w:val="186"/>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0.0%</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+0.6%</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-0.3%</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8"/>
              </w:rPr>
              <w:t>-3.0%</w:t>
            </w:r>
          </w:p>
        </w:tc>
        <w:tc>
          <w:tcPr>
            <w:tcW w:w="0" w:type="dxa"/>
            <w:vAlign w:val="bottom"/>
          </w:tcPr>
          <w:p>
            <w:pPr>
              <w:spacing w:after="0"/>
              <w:rPr>
                <w:sz w:val="1"/>
                <w:szCs w:val="1"/>
                <w:color w:val="auto"/>
              </w:rPr>
            </w:pPr>
          </w:p>
        </w:tc>
      </w:tr>
      <w:tr>
        <w:trPr>
          <w:trHeight w:val="192"/>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+0.1%</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+0.8%</w:t>
            </w:r>
          </w:p>
        </w:tc>
        <w:tc>
          <w:tcPr>
            <w:tcW w:w="16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-0.1%</w:t>
            </w: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-0.9%</w:t>
            </w:r>
          </w:p>
        </w:tc>
        <w:tc>
          <w:tcPr>
            <w:tcW w:w="0" w:type="dxa"/>
            <w:vAlign w:val="bottom"/>
          </w:tcPr>
          <w:p>
            <w:pPr>
              <w:spacing w:after="0"/>
              <w:rPr>
                <w:sz w:val="1"/>
                <w:szCs w:val="1"/>
                <w:color w:val="auto"/>
              </w:rPr>
            </w:pPr>
          </w:p>
        </w:tc>
      </w:tr>
      <w:tr>
        <w:trPr>
          <w:trHeight w:val="186"/>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8"/>
              </w:rPr>
              <w:t>-0.3%</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-3.3%</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-0.4%</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8"/>
              </w:rPr>
              <w:t>-4.7%</w:t>
            </w:r>
          </w:p>
        </w:tc>
        <w:tc>
          <w:tcPr>
            <w:tcW w:w="0" w:type="dxa"/>
            <w:vAlign w:val="bottom"/>
          </w:tcPr>
          <w:p>
            <w:pPr>
              <w:spacing w:after="0"/>
              <w:rPr>
                <w:sz w:val="1"/>
                <w:szCs w:val="1"/>
                <w:color w:val="auto"/>
              </w:rPr>
            </w:pPr>
          </w:p>
        </w:tc>
      </w:tr>
      <w:tr>
        <w:trPr>
          <w:trHeight w:val="192"/>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-0.6%</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-7.2%</w:t>
            </w:r>
          </w:p>
        </w:tc>
        <w:tc>
          <w:tcPr>
            <w:tcW w:w="16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-0.8%</w:t>
            </w: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-9.1%</w:t>
            </w:r>
          </w:p>
        </w:tc>
        <w:tc>
          <w:tcPr>
            <w:tcW w:w="0" w:type="dxa"/>
            <w:vAlign w:val="bottom"/>
          </w:tcPr>
          <w:p>
            <w:pPr>
              <w:spacing w:after="0"/>
              <w:rPr>
                <w:sz w:val="1"/>
                <w:szCs w:val="1"/>
                <w:color w:val="auto"/>
              </w:rPr>
            </w:pPr>
          </w:p>
        </w:tc>
      </w:tr>
      <w:tr>
        <w:trPr>
          <w:trHeight w:val="182"/>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+100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8"/>
              </w:rPr>
              <w:t>-1.1%</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-12.6%</w:t>
            </w:r>
          </w:p>
        </w:tc>
        <w:tc>
          <w:tcPr>
            <w:tcW w:w="16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-1.3%</w:t>
            </w:r>
          </w:p>
        </w:tc>
        <w:tc>
          <w:tcPr>
            <w:tcW w:w="10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4"/>
              </w:rPr>
              <w:t>-14.8%</w:t>
            </w: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assumes there are no changes in mortgage spreads and assumes a static portfolio. Actual results could differ materially from these estimates.</w:t>
      </w:r>
    </w:p>
    <w:p>
      <w:pPr>
        <w:ind w:left="660" w:hanging="328"/>
        <w:spacing w:after="0"/>
        <w:tabs>
          <w:tab w:leader="none" w:pos="660" w:val="left"/>
        </w:tabs>
        <w:numPr>
          <w:ilvl w:val="0"/>
          <w:numId w:val="32"/>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 Interest rates are assumed to be floored at 0% in down rate scenarios.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171" w:lineRule="exact"/>
        <w:rPr>
          <w:sz w:val="20"/>
          <w:szCs w:val="20"/>
          <w:color w:val="auto"/>
        </w:rPr>
      </w:pPr>
    </w:p>
    <w:p>
      <w:pPr>
        <w:jc w:val="both"/>
        <w:ind w:firstLine="486"/>
        <w:spacing w:after="0" w:line="259" w:lineRule="auto"/>
        <w:rPr>
          <w:sz w:val="20"/>
          <w:szCs w:val="20"/>
          <w:color w:val="auto"/>
        </w:rPr>
      </w:pPr>
      <w:r>
        <w:rPr>
          <w:rFonts w:ascii="Arial" w:cs="Arial" w:eastAsia="Arial" w:hAnsi="Arial"/>
          <w:sz w:val="18"/>
          <w:szCs w:val="18"/>
          <w:color w:val="auto"/>
        </w:rPr>
        <w:t>Prepayment risk is the risk that our assets will be repaid at a faster rate than anticipated. Interest rates and numerous other factors affect the rate of prepayments, such as housing prices, general economic conditions, loan age, size and loan-to-value ratios, and GSE buyouts of delinquent loans underlying our securities among. Generally, prepayments increase during periods of falling mortgage interest rates and decrease during periods of rising mortgage interest rates. However, this may not always be the case.</w:t>
      </w:r>
    </w:p>
    <w:p>
      <w:pPr>
        <w:spacing w:after="0" w:line="133" w:lineRule="exact"/>
        <w:rPr>
          <w:sz w:val="20"/>
          <w:szCs w:val="20"/>
          <w:color w:val="auto"/>
        </w:rPr>
      </w:pPr>
    </w:p>
    <w:p>
      <w:pPr>
        <w:jc w:val="both"/>
        <w:ind w:firstLine="486"/>
        <w:spacing w:after="0" w:line="257" w:lineRule="auto"/>
        <w:rPr>
          <w:sz w:val="20"/>
          <w:szCs w:val="20"/>
          <w:color w:val="auto"/>
        </w:rPr>
      </w:pPr>
      <w:r>
        <w:rPr>
          <w:rFonts w:ascii="Arial" w:cs="Arial" w:eastAsia="Arial" w:hAnsi="Arial"/>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171"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Extension risk is the risk that our assets will be repaid at a slower rate than anticipated and generally increases when interest rates rise. In which case, we may have to finance our investments at potentially higher costs without the ability to reinvest principal into higher yielding securities because borrowers prepay their mortgages at a slower pace than originally expected, adversely impacting our net interest spread, and thus our net interest income.</w:t>
      </w:r>
    </w:p>
    <w:p>
      <w:pPr>
        <w:spacing w:after="0" w:line="95" w:lineRule="exact"/>
        <w:rPr>
          <w:sz w:val="20"/>
          <w:szCs w:val="20"/>
          <w:color w:val="auto"/>
        </w:rPr>
      </w:pPr>
    </w:p>
    <w:p>
      <w:pPr>
        <w:jc w:val="both"/>
        <w:ind w:firstLine="445"/>
        <w:spacing w:after="0" w:line="301" w:lineRule="auto"/>
        <w:rPr>
          <w:sz w:val="20"/>
          <w:szCs w:val="20"/>
          <w:color w:val="auto"/>
        </w:rPr>
      </w:pPr>
      <w:r>
        <w:rPr>
          <w:rFonts w:ascii="Arial" w:cs="Arial" w:eastAsia="Arial" w:hAnsi="Arial"/>
          <w:sz w:val="16"/>
          <w:szCs w:val="16"/>
          <w:color w:val="auto"/>
        </w:rPr>
        <w:t>As of September 30, 2020 and December 31, 2019, our investment securities (excluding TBAs) had a weighted average projected CPR of 15.9% and 10.8%, respectively, and a weighted average yield of 2.56% and 3.07%, respectively. The table below presents estimated weighted average projected CPRs and yields for our investment securities should interest rates go up or down instantaneously by 50, 75 and 100 basis points. Estimated yields exclude the impact of retroactive "catch-up" premium amortization adjustments from prior periods due to changes in the projected CPR assumption.</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4" w:name="page45"/>
    <w:bookmarkEnd w:id="44"/>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w:t>
      </w:r>
    </w:p>
    <w:tbl>
      <w:tblPr>
        <w:tblLayout w:type="fixed"/>
        <w:tblInd w:w="1280" w:type="dxa"/>
        <w:tblCellMar>
          <w:top w:w="0" w:type="dxa"/>
          <w:left w:w="0" w:type="dxa"/>
          <w:bottom w:w="0" w:type="dxa"/>
          <w:right w:w="0" w:type="dxa"/>
        </w:tblCellMar>
      </w:tblPr>
      <w:tr>
        <w:trPr>
          <w:trHeight w:val="183"/>
        </w:trPr>
        <w:tc>
          <w:tcPr>
            <w:tcW w:w="302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40" w:type="dxa"/>
            <w:vAlign w:val="bottom"/>
            <w:tcBorders>
              <w:top w:val="single" w:sz="8" w:color="auto"/>
            </w:tcBorders>
            <w:gridSpan w:val="4"/>
          </w:tcPr>
          <w:p>
            <w:pPr>
              <w:ind w:left="740"/>
              <w:spacing w:after="0"/>
              <w:rPr>
                <w:sz w:val="20"/>
                <w:szCs w:val="20"/>
                <w:color w:val="auto"/>
              </w:rPr>
            </w:pPr>
            <w:r>
              <w:rPr>
                <w:rFonts w:ascii="Arial" w:cs="Arial" w:eastAsia="Arial" w:hAnsi="Arial"/>
                <w:sz w:val="14"/>
                <w:szCs w:val="14"/>
                <w:b w:val="1"/>
                <w:bCs w:val="1"/>
                <w:color w:val="auto"/>
              </w:rPr>
              <w:t>September 30, 2020</w:t>
            </w:r>
          </w:p>
        </w:tc>
        <w:tc>
          <w:tcPr>
            <w:tcW w:w="2680" w:type="dxa"/>
            <w:vAlign w:val="bottom"/>
            <w:tcBorders>
              <w:top w:val="single" w:sz="8" w:color="auto"/>
            </w:tcBorders>
            <w:gridSpan w:val="3"/>
          </w:tcPr>
          <w:p>
            <w:pPr>
              <w:ind w:left="760"/>
              <w:spacing w:after="0"/>
              <w:rPr>
                <w:sz w:val="20"/>
                <w:szCs w:val="20"/>
                <w:color w:val="auto"/>
              </w:rPr>
            </w:pPr>
            <w:r>
              <w:rPr>
                <w:rFonts w:ascii="Arial" w:cs="Arial" w:eastAsia="Arial" w:hAnsi="Arial"/>
                <w:sz w:val="14"/>
                <w:szCs w:val="14"/>
                <w:b w:val="1"/>
                <w:bCs w:val="1"/>
                <w:color w:val="auto"/>
              </w:rPr>
              <w:t>December 31, 2019</w:t>
            </w:r>
          </w:p>
        </w:tc>
        <w:tc>
          <w:tcPr>
            <w:tcW w:w="0" w:type="dxa"/>
            <w:vAlign w:val="bottom"/>
          </w:tcPr>
          <w:p>
            <w:pPr>
              <w:spacing w:after="0"/>
              <w:rPr>
                <w:sz w:val="1"/>
                <w:szCs w:val="1"/>
                <w:color w:val="auto"/>
              </w:rPr>
            </w:pPr>
          </w:p>
        </w:tc>
      </w:tr>
      <w:tr>
        <w:trPr>
          <w:trHeight w:val="128"/>
        </w:trPr>
        <w:tc>
          <w:tcPr>
            <w:tcW w:w="31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400" w:type="dxa"/>
            <w:vAlign w:val="bottom"/>
            <w:tcBorders>
              <w:top w:val="single" w:sz="8" w:color="auto"/>
            </w:tcBorders>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2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60" w:type="dxa"/>
            <w:vAlign w:val="bottom"/>
          </w:tcPr>
          <w:p>
            <w:pPr>
              <w:spacing w:after="0"/>
              <w:rPr>
                <w:sz w:val="11"/>
                <w:szCs w:val="11"/>
                <w:color w:val="auto"/>
              </w:rPr>
            </w:pPr>
          </w:p>
        </w:tc>
        <w:tc>
          <w:tcPr>
            <w:tcW w:w="1380" w:type="dxa"/>
            <w:vAlign w:val="bottom"/>
            <w:tcBorders>
              <w:top w:val="single" w:sz="8" w:color="auto"/>
            </w:tcBorders>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13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89"/>
        </w:trPr>
        <w:tc>
          <w:tcPr>
            <w:tcW w:w="3180" w:type="dxa"/>
            <w:vAlign w:val="bottom"/>
            <w:gridSpan w:val="2"/>
            <w:vMerge w:val="continue"/>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Projected CPR</w:t>
            </w:r>
          </w:p>
        </w:tc>
        <w:tc>
          <w:tcPr>
            <w:tcW w:w="1440" w:type="dxa"/>
            <w:vAlign w:val="bottom"/>
            <w:gridSpan w:val="2"/>
          </w:tcPr>
          <w:p>
            <w:pPr>
              <w:jc w:val="center"/>
              <w:ind w:right="160"/>
              <w:spacing w:after="0" w:line="189" w:lineRule="exact"/>
              <w:rPr>
                <w:sz w:val="20"/>
                <w:szCs w:val="20"/>
                <w:color w:val="auto"/>
              </w:rPr>
            </w:pPr>
            <w:r>
              <w:rPr>
                <w:rFonts w:ascii="Arial" w:cs="Arial" w:eastAsia="Arial" w:hAnsi="Arial"/>
                <w:sz w:val="14"/>
                <w:szCs w:val="14"/>
                <w:b w:val="1"/>
                <w:bCs w:val="1"/>
                <w:color w:val="auto"/>
                <w:w w:val="88"/>
              </w:rPr>
              <w:t xml:space="preserve">Asset Yield </w:t>
            </w:r>
            <w:r>
              <w:rPr>
                <w:rFonts w:ascii="Arial" w:cs="Arial" w:eastAsia="Arial" w:hAnsi="Arial"/>
                <w:sz w:val="18"/>
                <w:szCs w:val="18"/>
                <w:b w:val="1"/>
                <w:bCs w:val="1"/>
                <w:color w:val="auto"/>
                <w:w w:val="88"/>
                <w:vertAlign w:val="superscript"/>
              </w:rPr>
              <w:t>2</w:t>
            </w:r>
          </w:p>
        </w:tc>
        <w:tc>
          <w:tcPr>
            <w:tcW w:w="13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Projected CPR</w:t>
            </w:r>
          </w:p>
        </w:tc>
        <w:tc>
          <w:tcPr>
            <w:tcW w:w="1300" w:type="dxa"/>
            <w:vAlign w:val="bottom"/>
          </w:tcPr>
          <w:p>
            <w:pPr>
              <w:jc w:val="center"/>
              <w:spacing w:after="0" w:line="189" w:lineRule="exact"/>
              <w:rPr>
                <w:sz w:val="20"/>
                <w:szCs w:val="20"/>
                <w:color w:val="auto"/>
              </w:rPr>
            </w:pPr>
            <w:r>
              <w:rPr>
                <w:rFonts w:ascii="Arial" w:cs="Arial" w:eastAsia="Arial" w:hAnsi="Arial"/>
                <w:sz w:val="14"/>
                <w:szCs w:val="14"/>
                <w:b w:val="1"/>
                <w:bCs w:val="1"/>
                <w:color w:val="auto"/>
                <w:w w:val="90"/>
              </w:rPr>
              <w:t xml:space="preserve">Asset Yield </w:t>
            </w:r>
            <w:r>
              <w:rPr>
                <w:rFonts w:ascii="Arial" w:cs="Arial" w:eastAsia="Arial" w:hAnsi="Arial"/>
                <w:sz w:val="18"/>
                <w:szCs w:val="18"/>
                <w:b w:val="1"/>
                <w:bCs w:val="1"/>
                <w:color w:val="auto"/>
                <w:w w:val="90"/>
                <w:vertAlign w:val="superscript"/>
              </w:rPr>
              <w:t>2</w:t>
            </w:r>
          </w:p>
        </w:tc>
        <w:tc>
          <w:tcPr>
            <w:tcW w:w="0" w:type="dxa"/>
            <w:vAlign w:val="bottom"/>
          </w:tcPr>
          <w:p>
            <w:pPr>
              <w:spacing w:after="0"/>
              <w:rPr>
                <w:sz w:val="1"/>
                <w:szCs w:val="1"/>
                <w:color w:val="auto"/>
              </w:rPr>
            </w:pPr>
          </w:p>
        </w:tc>
      </w:tr>
      <w:tr>
        <w:trPr>
          <w:trHeight w:val="183"/>
        </w:trPr>
        <w:tc>
          <w:tcPr>
            <w:tcW w:w="3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21.8%</w:t>
            </w:r>
          </w:p>
        </w:tc>
        <w:tc>
          <w:tcPr>
            <w:tcW w:w="12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2.26%</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20.3%</w:t>
            </w:r>
          </w:p>
        </w:tc>
        <w:tc>
          <w:tcPr>
            <w:tcW w:w="10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5"/>
              </w:rPr>
              <w:t>2.73%</w:t>
            </w:r>
          </w:p>
        </w:tc>
        <w:tc>
          <w:tcPr>
            <w:tcW w:w="0" w:type="dxa"/>
            <w:vAlign w:val="bottom"/>
          </w:tcPr>
          <w:p>
            <w:pPr>
              <w:spacing w:after="0"/>
              <w:rPr>
                <w:sz w:val="1"/>
                <w:szCs w:val="1"/>
                <w:color w:val="auto"/>
              </w:rPr>
            </w:pPr>
          </w:p>
        </w:tc>
      </w:tr>
      <w:tr>
        <w:trPr>
          <w:trHeight w:val="186"/>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20.9%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2.30%</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17.7%</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2.82%</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19.4%</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2.37%</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15.0%</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2.90%</w:t>
            </w:r>
          </w:p>
        </w:tc>
        <w:tc>
          <w:tcPr>
            <w:tcW w:w="0" w:type="dxa"/>
            <w:vAlign w:val="bottom"/>
          </w:tcPr>
          <w:p>
            <w:pPr>
              <w:spacing w:after="0"/>
              <w:rPr>
                <w:sz w:val="1"/>
                <w:szCs w:val="1"/>
                <w:color w:val="auto"/>
              </w:rPr>
            </w:pPr>
          </w:p>
        </w:tc>
      </w:tr>
      <w:tr>
        <w:trPr>
          <w:trHeight w:val="186"/>
        </w:trPr>
        <w:tc>
          <w:tcPr>
            <w:tcW w:w="3180" w:type="dxa"/>
            <w:vAlign w:val="bottom"/>
            <w:gridSpan w:val="2"/>
          </w:tcPr>
          <w:p>
            <w:pPr>
              <w:ind w:left="80"/>
              <w:spacing w:after="0"/>
              <w:rPr>
                <w:sz w:val="20"/>
                <w:szCs w:val="20"/>
                <w:color w:val="auto"/>
              </w:rPr>
            </w:pPr>
            <w:r>
              <w:rPr>
                <w:rFonts w:ascii="Arial" w:cs="Arial" w:eastAsia="Arial" w:hAnsi="Arial"/>
                <w:sz w:val="14"/>
                <w:szCs w:val="14"/>
                <w:color w:val="auto"/>
              </w:rPr>
              <w:t>Actual as of Period End</w:t>
            </w: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15.9%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2.56%</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10.8%</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3.07%</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12.8%</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2.68%</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8.1%</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3.12%</w:t>
            </w:r>
          </w:p>
        </w:tc>
        <w:tc>
          <w:tcPr>
            <w:tcW w:w="0" w:type="dxa"/>
            <w:vAlign w:val="bottom"/>
          </w:tcPr>
          <w:p>
            <w:pPr>
              <w:spacing w:after="0"/>
              <w:rPr>
                <w:sz w:val="1"/>
                <w:szCs w:val="1"/>
                <w:color w:val="auto"/>
              </w:rPr>
            </w:pPr>
          </w:p>
        </w:tc>
      </w:tr>
      <w:tr>
        <w:trPr>
          <w:trHeight w:val="186"/>
        </w:trPr>
        <w:tc>
          <w:tcPr>
            <w:tcW w:w="3180" w:type="dxa"/>
            <w:vAlign w:val="bottom"/>
            <w:gridSpan w:val="2"/>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11.5%</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5"/>
              </w:rPr>
              <w:t>2.74%</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7.5%</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5"/>
              </w:rPr>
              <w:t>3.15%</w:t>
            </w:r>
          </w:p>
        </w:tc>
        <w:tc>
          <w:tcPr>
            <w:tcW w:w="0" w:type="dxa"/>
            <w:vAlign w:val="bottom"/>
          </w:tcPr>
          <w:p>
            <w:pPr>
              <w:spacing w:after="0"/>
              <w:rPr>
                <w:sz w:val="1"/>
                <w:szCs w:val="1"/>
                <w:color w:val="auto"/>
              </w:rPr>
            </w:pPr>
          </w:p>
        </w:tc>
      </w:tr>
      <w:tr>
        <w:trPr>
          <w:trHeight w:val="192"/>
        </w:trPr>
        <w:tc>
          <w:tcPr>
            <w:tcW w:w="31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10.4%</w:t>
            </w:r>
          </w:p>
        </w:tc>
        <w:tc>
          <w:tcPr>
            <w:tcW w:w="12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2.80%</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6.8%</w:t>
            </w:r>
          </w:p>
        </w:tc>
        <w:tc>
          <w:tcPr>
            <w:tcW w:w="100" w:type="dxa"/>
            <w:vAlign w:val="bottom"/>
            <w:shd w:val="clear" w:color="auto" w:fill="CCEEFF"/>
          </w:tcPr>
          <w:p>
            <w:pPr>
              <w:spacing w:after="0"/>
              <w:rPr>
                <w:sz w:val="16"/>
                <w:szCs w:val="16"/>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5"/>
              </w:rPr>
              <w:t>3.16%</w:t>
            </w:r>
          </w:p>
        </w:tc>
        <w:tc>
          <w:tcPr>
            <w:tcW w:w="0" w:type="dxa"/>
            <w:vAlign w:val="bottom"/>
          </w:tcPr>
          <w:p>
            <w:pPr>
              <w:spacing w:after="0"/>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provided by third parties and assumes a static portfolio. Actual results could differ materially from these estimates. Table excludes TBA securities.</w:t>
      </w:r>
    </w:p>
    <w:p>
      <w:pPr>
        <w:ind w:left="660" w:hanging="328"/>
        <w:spacing w:after="0"/>
        <w:tabs>
          <w:tab w:leader="none" w:pos="660" w:val="left"/>
        </w:tabs>
        <w:numPr>
          <w:ilvl w:val="0"/>
          <w:numId w:val="33"/>
        </w:numPr>
        <w:rPr>
          <w:rFonts w:ascii="Arial" w:cs="Arial" w:eastAsia="Arial" w:hAnsi="Arial"/>
          <w:sz w:val="14"/>
          <w:szCs w:val="14"/>
          <w:color w:val="auto"/>
        </w:rPr>
      </w:pPr>
      <w:r>
        <w:rPr>
          <w:rFonts w:ascii="Arial" w:cs="Arial" w:eastAsia="Arial" w:hAnsi="Arial"/>
          <w:sz w:val="14"/>
          <w:szCs w:val="14"/>
          <w:color w:val="auto"/>
        </w:rPr>
        <w:t>Asset yield based on historical cost basis and does not include the impact of retroactive "catch-up" premium amortization adjustments due to changes in projected CPR.</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171" w:lineRule="exact"/>
        <w:rPr>
          <w:sz w:val="20"/>
          <w:szCs w:val="20"/>
          <w:color w:val="auto"/>
        </w:rPr>
      </w:pPr>
    </w:p>
    <w:p>
      <w:pPr>
        <w:jc w:val="both"/>
        <w:ind w:firstLine="486"/>
        <w:spacing w:after="0" w:line="279"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As a levered investor in mortgage-backed securities, spread risk is an inherent component of our investment strategy. Consequently, although we use hedging instruments to attempt to protect against moves in interest rates, our hedges are generally not designed to protect against spread risk, and our tangible net book value could decline if spreads widen.</w:t>
      </w:r>
    </w:p>
    <w:p>
      <w:pPr>
        <w:spacing w:after="0" w:line="117" w:lineRule="exact"/>
        <w:rPr>
          <w:sz w:val="20"/>
          <w:szCs w:val="20"/>
          <w:color w:val="auto"/>
        </w:rPr>
      </w:pPr>
    </w:p>
    <w:p>
      <w:pPr>
        <w:jc w:val="both"/>
        <w:ind w:firstLine="486"/>
        <w:spacing w:after="0" w:line="271" w:lineRule="auto"/>
        <w:rPr>
          <w:sz w:val="20"/>
          <w:szCs w:val="20"/>
          <w:color w:val="auto"/>
        </w:rPr>
      </w:pPr>
      <w:r>
        <w:rPr>
          <w:rFonts w:ascii="Arial" w:cs="Arial" w:eastAsia="Arial" w:hAnsi="Arial"/>
          <w:sz w:val="17"/>
          <w:szCs w:val="17"/>
          <w:color w:val="auto"/>
        </w:rPr>
        <w:t>Fluctuations in mortgage spreads can occur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The table below quantifies the estimated changes in the fair value of our assets, net of hedges, and our tangible net book value per common share as of September 30, 2020 and December 31, 2019 should spreads widen or tighten by 10, 25 and 50 basis points. The estimated impact of changes in spreads is in addition to our interest rate shock sensitivity included in the interest rate shock table above. The table below assumes a spread duration of 4.5 and 5.0 years as of September 30, 2020 and December 31, 2019, respectively, based on interest rates and prices as of such dates; however, our portfolio's sensitivity to mortgage spread changes will vary with changes in interest rates and in the size and composition of our portfolio. Therefore, actual results could differ materially from our estimates.</w:t>
      </w:r>
    </w:p>
    <w:p>
      <w:pPr>
        <w:spacing w:after="0" w:line="14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18"/>
          <w:szCs w:val="18"/>
          <w:b w:val="1"/>
          <w:bCs w:val="1"/>
          <w:color w:val="auto"/>
          <w:vertAlign w:val="superscript"/>
        </w:rPr>
        <w:t>1,2</w:t>
      </w:r>
    </w:p>
    <w:tbl>
      <w:tblPr>
        <w:tblLayout w:type="fixed"/>
        <w:tblInd w:w="1240" w:type="dxa"/>
        <w:tblCellMar>
          <w:top w:w="0" w:type="dxa"/>
          <w:left w:w="0" w:type="dxa"/>
          <w:bottom w:w="0" w:type="dxa"/>
          <w:right w:w="0" w:type="dxa"/>
        </w:tblCellMar>
      </w:tblPr>
      <w:tr>
        <w:trPr>
          <w:trHeight w:val="183"/>
        </w:trPr>
        <w:tc>
          <w:tcPr>
            <w:tcW w:w="300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spacing w:after="0"/>
              <w:rPr>
                <w:sz w:val="15"/>
                <w:szCs w:val="15"/>
                <w:color w:val="auto"/>
              </w:rPr>
            </w:pPr>
          </w:p>
        </w:tc>
        <w:tc>
          <w:tcPr>
            <w:tcW w:w="2880" w:type="dxa"/>
            <w:vAlign w:val="bottom"/>
            <w:tcBorders>
              <w:top w:val="single" w:sz="8" w:color="auto"/>
            </w:tcBorders>
            <w:gridSpan w:val="4"/>
          </w:tcPr>
          <w:p>
            <w:pPr>
              <w:ind w:left="760"/>
              <w:spacing w:after="0"/>
              <w:rPr>
                <w:sz w:val="20"/>
                <w:szCs w:val="20"/>
                <w:color w:val="auto"/>
              </w:rPr>
            </w:pPr>
            <w:r>
              <w:rPr>
                <w:rFonts w:ascii="Arial" w:cs="Arial" w:eastAsia="Arial" w:hAnsi="Arial"/>
                <w:sz w:val="14"/>
                <w:szCs w:val="14"/>
                <w:b w:val="1"/>
                <w:bCs w:val="1"/>
                <w:color w:val="auto"/>
              </w:rPr>
              <w:t>September 30, 2020</w:t>
            </w:r>
          </w:p>
        </w:tc>
        <w:tc>
          <w:tcPr>
            <w:tcW w:w="2720" w:type="dxa"/>
            <w:vAlign w:val="bottom"/>
            <w:tcBorders>
              <w:top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December 31, 2019</w:t>
            </w:r>
          </w:p>
        </w:tc>
        <w:tc>
          <w:tcPr>
            <w:tcW w:w="0" w:type="dxa"/>
            <w:vAlign w:val="bottom"/>
          </w:tcPr>
          <w:p>
            <w:pPr>
              <w:spacing w:after="0"/>
              <w:rPr>
                <w:sz w:val="1"/>
                <w:szCs w:val="1"/>
                <w:color w:val="auto"/>
              </w:rPr>
            </w:pPr>
          </w:p>
        </w:tc>
      </w:tr>
      <w:tr>
        <w:trPr>
          <w:trHeight w:val="129"/>
        </w:trPr>
        <w:tc>
          <w:tcPr>
            <w:tcW w:w="3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Estimated Change</w:t>
            </w:r>
          </w:p>
        </w:tc>
        <w:tc>
          <w:tcPr>
            <w:tcW w:w="13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Estimated Change in</w:t>
            </w:r>
          </w:p>
        </w:tc>
        <w:tc>
          <w:tcPr>
            <w:tcW w:w="0" w:type="dxa"/>
            <w:vAlign w:val="bottom"/>
          </w:tcPr>
          <w:p>
            <w:pPr>
              <w:spacing w:after="0"/>
              <w:rPr>
                <w:sz w:val="1"/>
                <w:szCs w:val="1"/>
                <w:color w:val="auto"/>
              </w:rPr>
            </w:pPr>
          </w:p>
        </w:tc>
      </w:tr>
      <w:tr>
        <w:trPr>
          <w:trHeight w:val="135"/>
        </w:trPr>
        <w:tc>
          <w:tcPr>
            <w:tcW w:w="3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4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1400" w:type="dxa"/>
            <w:vAlign w:val="bottom"/>
            <w:gridSpan w:val="2"/>
            <w:vMerge w:val="continue"/>
          </w:tcPr>
          <w:p>
            <w:pPr>
              <w:spacing w:after="0"/>
              <w:rPr>
                <w:sz w:val="11"/>
                <w:szCs w:val="11"/>
                <w:color w:val="auto"/>
              </w:rPr>
            </w:pPr>
          </w:p>
        </w:tc>
        <w:tc>
          <w:tcPr>
            <w:tcW w:w="13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Tangible Net Book</w:t>
            </w:r>
          </w:p>
        </w:tc>
        <w:tc>
          <w:tcPr>
            <w:tcW w:w="0" w:type="dxa"/>
            <w:vAlign w:val="bottom"/>
          </w:tcPr>
          <w:p>
            <w:pPr>
              <w:spacing w:after="0"/>
              <w:rPr>
                <w:sz w:val="1"/>
                <w:szCs w:val="1"/>
                <w:color w:val="auto"/>
              </w:rPr>
            </w:pPr>
          </w:p>
        </w:tc>
      </w:tr>
      <w:tr>
        <w:trPr>
          <w:trHeight w:val="135"/>
        </w:trPr>
        <w:tc>
          <w:tcPr>
            <w:tcW w:w="31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40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in Portfolio Market</w:t>
            </w:r>
          </w:p>
        </w:tc>
        <w:tc>
          <w:tcPr>
            <w:tcW w:w="148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14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7"/>
              </w:rPr>
              <w:t>in Portfolio Market</w:t>
            </w:r>
          </w:p>
        </w:tc>
        <w:tc>
          <w:tcPr>
            <w:tcW w:w="13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Value Per Common</w:t>
            </w:r>
          </w:p>
        </w:tc>
        <w:tc>
          <w:tcPr>
            <w:tcW w:w="0" w:type="dxa"/>
            <w:vAlign w:val="bottom"/>
          </w:tcPr>
          <w:p>
            <w:pPr>
              <w:spacing w:after="0"/>
              <w:rPr>
                <w:sz w:val="1"/>
                <w:szCs w:val="1"/>
                <w:color w:val="auto"/>
              </w:rPr>
            </w:pPr>
          </w:p>
        </w:tc>
      </w:tr>
      <w:tr>
        <w:trPr>
          <w:trHeight w:val="188"/>
        </w:trPr>
        <w:tc>
          <w:tcPr>
            <w:tcW w:w="3160" w:type="dxa"/>
            <w:vAlign w:val="bottom"/>
            <w:gridSpan w:val="2"/>
            <w:vMerge w:val="continue"/>
          </w:tcPr>
          <w:p>
            <w:pPr>
              <w:spacing w:after="0"/>
              <w:rPr>
                <w:sz w:val="16"/>
                <w:szCs w:val="16"/>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4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Share</w:t>
            </w: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320" w:type="dxa"/>
            <w:vAlign w:val="bottom"/>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184"/>
        </w:trPr>
        <w:tc>
          <w:tcPr>
            <w:tcW w:w="30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60" w:type="dxa"/>
            <w:vAlign w:val="bottom"/>
            <w:tcBorders>
              <w:top w:val="single" w:sz="8" w:color="CCEEFF"/>
            </w:tcBorders>
            <w:shd w:val="clear" w:color="auto" w:fill="CCEEFF"/>
          </w:tcPr>
          <w:p>
            <w:pPr>
              <w:spacing w:after="0"/>
              <w:rPr>
                <w:sz w:val="15"/>
                <w:szCs w:val="15"/>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+2.3%</w:t>
            </w:r>
          </w:p>
        </w:tc>
        <w:tc>
          <w:tcPr>
            <w:tcW w:w="10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+25.4%</w:t>
            </w:r>
          </w:p>
        </w:tc>
        <w:tc>
          <w:tcPr>
            <w:tcW w:w="160" w:type="dxa"/>
            <w:vAlign w:val="bottom"/>
            <w:tcBorders>
              <w:top w:val="single" w:sz="8" w:color="CCEEFF"/>
            </w:tcBorders>
            <w:shd w:val="clear" w:color="auto" w:fill="CCEEFF"/>
          </w:tcPr>
          <w:p>
            <w:pPr>
              <w:spacing w:after="0"/>
              <w:rPr>
                <w:sz w:val="15"/>
                <w:szCs w:val="15"/>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+2.5%</w:t>
            </w:r>
          </w:p>
        </w:tc>
        <w:tc>
          <w:tcPr>
            <w:tcW w:w="120" w:type="dxa"/>
            <w:vAlign w:val="bottom"/>
            <w:tcBorders>
              <w:top w:val="single" w:sz="8" w:color="CCEEFF"/>
            </w:tcBorders>
            <w:shd w:val="clear" w:color="auto" w:fill="CCEEFF"/>
          </w:tcPr>
          <w:p>
            <w:pPr>
              <w:spacing w:after="0"/>
              <w:rPr>
                <w:sz w:val="15"/>
                <w:szCs w:val="15"/>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+28.0%</w:t>
            </w:r>
          </w:p>
        </w:tc>
        <w:tc>
          <w:tcPr>
            <w:tcW w:w="0" w:type="dxa"/>
            <w:vAlign w:val="bottom"/>
          </w:tcPr>
          <w:p>
            <w:pPr>
              <w:spacing w:after="0"/>
              <w:rPr>
                <w:sz w:val="1"/>
                <w:szCs w:val="1"/>
                <w:color w:val="auto"/>
              </w:rPr>
            </w:pPr>
          </w:p>
        </w:tc>
      </w:tr>
      <w:tr>
        <w:trPr>
          <w:trHeight w:val="186"/>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4"/>
              </w:rPr>
              <w:t>+1.1%</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1"/>
              </w:rPr>
              <w:t>+12.7%</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4"/>
              </w:rPr>
              <w:t>+1.2%</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1"/>
              </w:rPr>
              <w:t>+14.0%</w:t>
            </w:r>
          </w:p>
        </w:tc>
        <w:tc>
          <w:tcPr>
            <w:tcW w:w="0" w:type="dxa"/>
            <w:vAlign w:val="bottom"/>
          </w:tcPr>
          <w:p>
            <w:pPr>
              <w:spacing w:after="0"/>
              <w:rPr>
                <w:sz w:val="1"/>
                <w:szCs w:val="1"/>
                <w:color w:val="auto"/>
              </w:rPr>
            </w:pPr>
          </w:p>
        </w:tc>
      </w:tr>
      <w:tr>
        <w:trPr>
          <w:trHeight w:val="192"/>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+5.1%</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+0.5%</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+5.6%</w:t>
            </w:r>
          </w:p>
        </w:tc>
        <w:tc>
          <w:tcPr>
            <w:tcW w:w="0" w:type="dxa"/>
            <w:vAlign w:val="bottom"/>
          </w:tcPr>
          <w:p>
            <w:pPr>
              <w:spacing w:after="0"/>
              <w:rPr>
                <w:sz w:val="1"/>
                <w:szCs w:val="1"/>
                <w:color w:val="auto"/>
              </w:rPr>
            </w:pPr>
          </w:p>
        </w:tc>
      </w:tr>
      <w:tr>
        <w:trPr>
          <w:trHeight w:val="186"/>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-5.1%</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8"/>
              </w:rPr>
              <w:t>-5.6%</w:t>
            </w:r>
          </w:p>
        </w:tc>
        <w:tc>
          <w:tcPr>
            <w:tcW w:w="0" w:type="dxa"/>
            <w:vAlign w:val="bottom"/>
          </w:tcPr>
          <w:p>
            <w:pPr>
              <w:spacing w:after="0"/>
              <w:rPr>
                <w:sz w:val="1"/>
                <w:szCs w:val="1"/>
                <w:color w:val="auto"/>
              </w:rPr>
            </w:pPr>
          </w:p>
        </w:tc>
      </w:tr>
      <w:tr>
        <w:trPr>
          <w:trHeight w:val="192"/>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-12.7%</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-14.0%</w:t>
            </w:r>
          </w:p>
        </w:tc>
        <w:tc>
          <w:tcPr>
            <w:tcW w:w="0" w:type="dxa"/>
            <w:vAlign w:val="bottom"/>
          </w:tcPr>
          <w:p>
            <w:pPr>
              <w:spacing w:after="0"/>
              <w:rPr>
                <w:sz w:val="1"/>
                <w:szCs w:val="1"/>
                <w:color w:val="auto"/>
              </w:rPr>
            </w:pPr>
          </w:p>
        </w:tc>
      </w:tr>
      <w:tr>
        <w:trPr>
          <w:trHeight w:val="182"/>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300" w:type="dxa"/>
            <w:vAlign w:val="bottom"/>
          </w:tcPr>
          <w:p>
            <w:pPr>
              <w:jc w:val="center"/>
              <w:spacing w:after="0"/>
              <w:rPr>
                <w:sz w:val="20"/>
                <w:szCs w:val="20"/>
                <w:color w:val="auto"/>
              </w:rPr>
            </w:pPr>
            <w:r>
              <w:rPr>
                <w:rFonts w:ascii="Arial" w:cs="Arial" w:eastAsia="Arial" w:hAnsi="Arial"/>
                <w:sz w:val="14"/>
                <w:szCs w:val="14"/>
                <w:color w:val="auto"/>
                <w:w w:val="92"/>
              </w:rPr>
              <w:t>-2.3%</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-25.4%</w:t>
            </w:r>
          </w:p>
        </w:tc>
        <w:tc>
          <w:tcPr>
            <w:tcW w:w="16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-2.5%</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-28.0%</w:t>
            </w: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________________________________</w:t>
      </w:r>
    </w:p>
    <w:p>
      <w:pPr>
        <w:ind w:left="660" w:hanging="328"/>
        <w:spacing w:after="0" w:line="241" w:lineRule="auto"/>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provided by third parties, assumes there are no changes in interest rates and assumes a static portfolio. Actual results could differ materially from these estimates.</w:t>
      </w:r>
    </w:p>
    <w:p>
      <w:pPr>
        <w:ind w:left="660" w:hanging="328"/>
        <w:spacing w:after="0"/>
        <w:tabs>
          <w:tab w:leader="none" w:pos="660" w:val="left"/>
        </w:tabs>
        <w:numPr>
          <w:ilvl w:val="0"/>
          <w:numId w:val="34"/>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171" w:lineRule="exact"/>
        <w:rPr>
          <w:sz w:val="20"/>
          <w:szCs w:val="20"/>
          <w:color w:val="auto"/>
        </w:rPr>
      </w:pPr>
    </w:p>
    <w:p>
      <w:pPr>
        <w:ind w:firstLine="445"/>
        <w:spacing w:after="0" w:line="277" w:lineRule="auto"/>
        <w:rPr>
          <w:sz w:val="20"/>
          <w:szCs w:val="20"/>
          <w:color w:val="auto"/>
        </w:rPr>
      </w:pPr>
      <w:r>
        <w:rPr>
          <w:rFonts w:ascii="Arial" w:cs="Arial" w:eastAsia="Arial" w:hAnsi="Arial"/>
          <w:sz w:val="18"/>
          <w:szCs w:val="18"/>
          <w:color w:val="auto"/>
        </w:rPr>
        <w:t>Our liquidity risk principally arises from financing long-term fixed rate assets with shorter-term variable rate borrowings. Future borrowings are dependent upon the willingness of lenders to finance our investments, lender collateral requirements and</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sectPr>
      </w:pPr>
    </w:p>
    <w:bookmarkStart w:id="45" w:name="page46"/>
    <w:bookmarkEnd w:id="45"/>
    <w:p>
      <w:pPr>
        <w:jc w:val="both"/>
        <w:spacing w:after="0" w:line="277" w:lineRule="auto"/>
        <w:rPr>
          <w:sz w:val="20"/>
          <w:szCs w:val="20"/>
          <w:color w:val="auto"/>
        </w:rPr>
      </w:pPr>
      <w:r>
        <w:rPr>
          <w:rFonts w:ascii="Arial" w:cs="Arial" w:eastAsia="Arial" w:hAnsi="Arial"/>
          <w:sz w:val="18"/>
          <w:szCs w:val="18"/>
          <w:color w:val="auto"/>
        </w:rPr>
        <w:t>the lenders’ determination of the fair value of the securities pledged as collateral, which fluctuates with changes in interest rates and liquidity conditions within the commercial banking and mortgage finance industries.</w:t>
      </w:r>
    </w:p>
    <w:p>
      <w:pPr>
        <w:spacing w:after="0" w:line="116" w:lineRule="exact"/>
        <w:rPr>
          <w:sz w:val="20"/>
          <w:szCs w:val="20"/>
          <w:color w:val="auto"/>
        </w:rPr>
      </w:pPr>
    </w:p>
    <w:p>
      <w:pPr>
        <w:jc w:val="both"/>
        <w:ind w:firstLine="445"/>
        <w:spacing w:after="0" w:line="291" w:lineRule="auto"/>
        <w:rPr>
          <w:sz w:val="20"/>
          <w:szCs w:val="20"/>
          <w:color w:val="auto"/>
        </w:rPr>
      </w:pPr>
      <w:r>
        <w:rPr>
          <w:rFonts w:ascii="Arial" w:cs="Arial" w:eastAsia="Arial" w:hAnsi="Arial"/>
          <w:sz w:val="16"/>
          <w:szCs w:val="16"/>
          <w:color w:val="auto"/>
        </w:rPr>
        <w:t xml:space="preserve">As of September 30, 2020, we believe that we have sufficient liquidity and capital resources available to execute our business strategy (see </w:t>
      </w:r>
      <w:r>
        <w:rPr>
          <w:rFonts w:ascii="Arial" w:cs="Arial" w:eastAsia="Arial" w:hAnsi="Arial"/>
          <w:sz w:val="16"/>
          <w:szCs w:val="16"/>
          <w:i w:val="1"/>
          <w:iCs w:val="1"/>
          <w:color w:val="auto"/>
        </w:rPr>
        <w:t>Liquidity</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and Capital Resources </w:t>
      </w:r>
      <w:r>
        <w:rPr>
          <w:rFonts w:ascii="Arial" w:cs="Arial" w:eastAsia="Arial" w:hAnsi="Arial"/>
          <w:sz w:val="16"/>
          <w:szCs w:val="16"/>
          <w:color w:val="auto"/>
        </w:rPr>
        <w:t>in this Form 10-Q for additional details). However, should the value of our collateral or the value of our derivative instruments</w:t>
      </w:r>
      <w:r>
        <w:rPr>
          <w:rFonts w:ascii="Arial" w:cs="Arial" w:eastAsia="Arial" w:hAnsi="Arial"/>
          <w:sz w:val="16"/>
          <w:szCs w:val="16"/>
          <w:i w:val="1"/>
          <w:iCs w:val="1"/>
          <w:color w:val="auto"/>
        </w:rPr>
        <w:t xml:space="preserve"> </w:t>
      </w:r>
      <w:r>
        <w:rPr>
          <w:rFonts w:ascii="Arial" w:cs="Arial" w:eastAsia="Arial" w:hAnsi="Arial"/>
          <w:sz w:val="16"/>
          <w:szCs w:val="16"/>
          <w:color w:val="auto"/>
        </w:rPr>
        <w:t>suddenly 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even force us to sell assets, especially if correlated with asset price declines or faster prepayment rates on our assets.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w:t>
      </w:r>
    </w:p>
    <w:p>
      <w:pPr>
        <w:spacing w:after="0" w:line="171"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133" w:lineRule="exact"/>
        <w:rPr>
          <w:sz w:val="20"/>
          <w:szCs w:val="20"/>
          <w:color w:val="auto"/>
        </w:rPr>
      </w:pPr>
    </w:p>
    <w:p>
      <w:pPr>
        <w:jc w:val="both"/>
        <w:ind w:firstLine="445"/>
        <w:spacing w:after="0" w:line="271" w:lineRule="auto"/>
        <w:rPr>
          <w:sz w:val="20"/>
          <w:szCs w:val="20"/>
          <w:color w:val="auto"/>
        </w:rPr>
      </w:pPr>
      <w:r>
        <w:rPr>
          <w:rFonts w:ascii="Arial" w:cs="Arial" w:eastAsia="Arial" w:hAnsi="Arial"/>
          <w:sz w:val="17"/>
          <w:szCs w:val="17"/>
          <w:color w:val="auto"/>
        </w:rPr>
        <w:t>We accept credit exposure related to our credit sensitive assets at levels we deem to be prudent within the context of our overall investment strategy. We attempt to manage this risk through careful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continuously monitor and adjust the amount of collateral pledged based on changes in market value.</w:t>
      </w:r>
    </w:p>
    <w:p>
      <w:pPr>
        <w:spacing w:after="0" w:line="124"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18"/>
          <w:szCs w:val="18"/>
          <w:color w:val="auto"/>
        </w:rPr>
        <w:t>There is no guarantee that our efforts to manage credit risk will be successful and we could suffer losses if credit performance is worse than our expectations or our counterparties default on their obligations. Excluding central clearing exchanges, as of September 30, 2020, our maximum amount at risk with any counterparty related to our repurchase agreements was less than 2% of tangible stockholders' equity and related to our derivative agreements was less than 1% of tangible stockholders' equity.</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Controls and Procedures</w:t>
      </w:r>
    </w:p>
    <w:p>
      <w:pPr>
        <w:spacing w:after="0" w:line="121" w:lineRule="exact"/>
        <w:rPr>
          <w:sz w:val="20"/>
          <w:szCs w:val="20"/>
          <w:color w:val="auto"/>
        </w:rPr>
      </w:pPr>
    </w:p>
    <w:p>
      <w:pPr>
        <w:jc w:val="both"/>
        <w:ind w:firstLine="445"/>
        <w:spacing w:after="0" w:line="254" w:lineRule="auto"/>
        <w:rPr>
          <w:sz w:val="20"/>
          <w:szCs w:val="20"/>
          <w:color w:val="auto"/>
        </w:rPr>
      </w:pPr>
      <w:r>
        <w:rPr>
          <w:rFonts w:ascii="Arial" w:cs="Arial" w:eastAsia="Arial" w:hAnsi="Arial"/>
          <w:sz w:val="18"/>
          <w:szCs w:val="18"/>
          <w:color w:val="auto"/>
        </w:rPr>
        <w:t>We maintain disclosure controls and procedures that are designed to ensure that information required to be disclosed in our Securities Exchange Act of 1934, as amended (the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84"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September 30, 2020. Based on the foregoing, our Chief Executive Officer and Chief Financial Officer concluded that our disclosure controls and procedures were effective.</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117" w:lineRule="exact"/>
        <w:rPr>
          <w:sz w:val="20"/>
          <w:szCs w:val="20"/>
          <w:color w:val="auto"/>
        </w:rPr>
      </w:pPr>
    </w:p>
    <w:p>
      <w:pPr>
        <w:jc w:val="both"/>
        <w:ind w:firstLine="405"/>
        <w:spacing w:after="0" w:line="30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Legal Proceedings</w:t>
      </w:r>
    </w:p>
    <w:p>
      <w:pPr>
        <w:spacing w:after="0" w:line="121" w:lineRule="exact"/>
        <w:rPr>
          <w:sz w:val="20"/>
          <w:szCs w:val="20"/>
          <w:color w:val="auto"/>
        </w:rPr>
      </w:pPr>
    </w:p>
    <w:p>
      <w:pPr>
        <w:jc w:val="both"/>
        <w:ind w:firstLine="445"/>
        <w:spacing w:after="0" w:line="311" w:lineRule="auto"/>
        <w:rPr>
          <w:sz w:val="20"/>
          <w:szCs w:val="20"/>
          <w:color w:val="auto"/>
        </w:rPr>
      </w:pPr>
      <w:r>
        <w:rPr>
          <w:rFonts w:ascii="Arial" w:cs="Arial" w:eastAsia="Arial" w:hAnsi="Arial"/>
          <w:sz w:val="16"/>
          <w:szCs w:val="16"/>
          <w:color w:val="auto"/>
        </w:rPr>
        <w:t>Neither we, nor any of our consolidated subsidiaries, are currently subject to any material litigation nor, to our knowledge, is any litigation threatened against us or any consolidated subsidiary, in each case, that is expected to have a material adverse effect on our business, financial condition or operations. You may refer to Part I. Item 3 of our 2019 Form 10-K concerning the resolution and dismissal of litigation involving the Company.</w:t>
      </w:r>
    </w:p>
    <w:p>
      <w:pPr>
        <w:spacing w:after="0" w:line="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121"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color w:val="auto"/>
        </w:rPr>
        <w:t>Except provided below, there have been no material updates to the risk factors previously disclosed in our 2019 Form 10-K. The following supplement should be read in conjunction with the "Risk Factors" identified in Part I, Item 1A of our 2019 Form 10-K.</w:t>
      </w:r>
    </w:p>
    <w:p>
      <w:pPr>
        <w:spacing w:after="0" w:line="62"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color w:val="auto"/>
        </w:rPr>
        <w:t>The risks we face could materially adversely affect our business, results of operations, financial condition, liquidity and tangible net book value, and could cause our actual results to differ materially from our past results or the results contemplated by any forward-looking statements we make. The risks described in this report and our 2019 Form 10-K are not the only risks we face. Additional risks and uncertainties not presently known to us, or not presently deemed material by us, may also impair our operations and performance.</w:t>
      </w:r>
    </w:p>
    <w:p>
      <w:pPr>
        <w:spacing w:after="0" w:line="79" w:lineRule="exact"/>
        <w:rPr>
          <w:sz w:val="20"/>
          <w:szCs w:val="20"/>
          <w:color w:val="auto"/>
        </w:rPr>
      </w:pPr>
    </w:p>
    <w:p>
      <w:pPr>
        <w:jc w:val="both"/>
        <w:ind w:firstLine="405"/>
        <w:spacing w:after="0" w:line="277" w:lineRule="auto"/>
        <w:rPr>
          <w:sz w:val="20"/>
          <w:szCs w:val="20"/>
          <w:color w:val="auto"/>
        </w:rPr>
      </w:pPr>
      <w:r>
        <w:rPr>
          <w:rFonts w:ascii="Arial" w:cs="Arial" w:eastAsia="Arial" w:hAnsi="Arial"/>
          <w:sz w:val="18"/>
          <w:szCs w:val="18"/>
          <w:b w:val="1"/>
          <w:bCs w:val="1"/>
          <w:i w:val="1"/>
          <w:iCs w:val="1"/>
          <w:color w:val="auto"/>
        </w:rPr>
        <w:t>The economic and financial market turbulence resulting from the COVID-19 pandemic (the "Pandemic") has adversely affected our financial results and financial position and could continue to negatively impact our business.</w:t>
      </w:r>
    </w:p>
    <w:p>
      <w:pPr>
        <w:spacing w:after="0" w:line="62" w:lineRule="exact"/>
        <w:rPr>
          <w:sz w:val="20"/>
          <w:szCs w:val="20"/>
          <w:color w:val="auto"/>
        </w:rPr>
      </w:pPr>
    </w:p>
    <w:p>
      <w:pPr>
        <w:jc w:val="both"/>
        <w:ind w:firstLine="405"/>
        <w:spacing w:after="0" w:line="288" w:lineRule="auto"/>
        <w:rPr>
          <w:sz w:val="20"/>
          <w:szCs w:val="20"/>
          <w:color w:val="auto"/>
        </w:rPr>
      </w:pPr>
      <w:r>
        <w:rPr>
          <w:rFonts w:ascii="Arial" w:cs="Arial" w:eastAsia="Arial" w:hAnsi="Arial"/>
          <w:sz w:val="16"/>
          <w:szCs w:val="16"/>
          <w:color w:val="auto"/>
        </w:rPr>
        <w:t>The rapid global outbreak of COVID-19, a respiratory disease caused by a novel coronavirus, has led to substantial financial market volatility and has significantly adversely affected both the U.S. and global economies. On March 11, 2020, the World Health Organization characterized COVID-19 as a pandemic, and on, March 13, 2020, President Trump declared the COVID-19 outbreak in the United States a national emergency. The COVID-19 outbreak in the United States has resulted in stay-at-home orders, school closures and widespread business shutdowns across the country. These shutdowns and other reductions in business activity have resulted in a contraction of U.S. GDP for the first quarter of 2020 and substantially increased current and projected unemployment levels. While the U.S. federal government and the Federal Reserve (the "Fed") have taken actions to reduce the negative economic impact of the Pandemic, the extent to which these actions will mitigate the short-term and long-term negative impacts of the Pandemic on the U.S. economy, financial markets and our business is unclear, and the drop in the level of U.S. economic activity from these events could be sustained. The sudden and dramatic change to U.S. and global economic activity due to the Pandemic has resulted in severe financial market dislocations, varying degrees of illiquidity among fixed income assets, and a significant increase in market volatility, and such events may recur, persist or worsen.</w:t>
      </w:r>
    </w:p>
    <w:p>
      <w:pPr>
        <w:spacing w:after="0" w:line="60" w:lineRule="exact"/>
        <w:rPr>
          <w:sz w:val="20"/>
          <w:szCs w:val="20"/>
          <w:color w:val="auto"/>
        </w:rPr>
      </w:pPr>
    </w:p>
    <w:p>
      <w:pPr>
        <w:jc w:val="both"/>
        <w:ind w:firstLine="405"/>
        <w:spacing w:after="0" w:line="257" w:lineRule="auto"/>
        <w:rPr>
          <w:sz w:val="20"/>
          <w:szCs w:val="20"/>
          <w:color w:val="auto"/>
        </w:rPr>
      </w:pPr>
      <w:r>
        <w:rPr>
          <w:rFonts w:ascii="Arial" w:cs="Arial" w:eastAsia="Arial" w:hAnsi="Arial"/>
          <w:sz w:val="18"/>
          <w:szCs w:val="18"/>
          <w:color w:val="auto"/>
        </w:rPr>
        <w:t>The economic and financial market turbulence resulting from the Pandemic negatively impacted our results of operations and our tangible net book value and could continue to negatively impact our business. Each of the "Risk Factors" described in our 2019 Form 10-K could be materially impacted by conditions resulting from the Pandemic. Risks that we believe may be heightened during and following the Pandemic and related developments are described below; however, you should review each of the risk factors described in our 2019 Form 10-K carefully in light of the Pandemic and related developments. Because</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7" w:name="page48"/>
    <w:bookmarkEnd w:id="47"/>
    <w:p>
      <w:pPr>
        <w:jc w:val="both"/>
        <w:spacing w:after="0" w:line="277" w:lineRule="auto"/>
        <w:rPr>
          <w:sz w:val="20"/>
          <w:szCs w:val="20"/>
          <w:color w:val="auto"/>
        </w:rPr>
      </w:pPr>
      <w:r>
        <w:rPr>
          <w:rFonts w:ascii="Arial" w:cs="Arial" w:eastAsia="Arial" w:hAnsi="Arial"/>
          <w:sz w:val="18"/>
          <w:szCs w:val="18"/>
          <w:color w:val="auto"/>
        </w:rPr>
        <w:t>the direct and indirect impacts of the Pandemic and related developments are uncertain and depend on future events, they may also affect our operating and financial results in a manner that is not presently known to us or that we currently do not expect to present significant risks.</w:t>
      </w:r>
    </w:p>
    <w:p>
      <w:pPr>
        <w:spacing w:after="0" w:line="62"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i w:val="1"/>
          <w:iCs w:val="1"/>
          <w:color w:val="auto"/>
        </w:rPr>
        <w:t xml:space="preserve">Model and forecast risks </w:t>
      </w:r>
      <w:r>
        <w:rPr>
          <w:rFonts w:ascii="Arial" w:cs="Arial" w:eastAsia="Arial" w:hAnsi="Arial"/>
          <w:sz w:val="16"/>
          <w:szCs w:val="16"/>
          <w:color w:val="auto"/>
        </w:rPr>
        <w:t>- The Pandemic and its impact on the U.S. and global economies, and the related governmental responses, have been</w:t>
      </w:r>
      <w:r>
        <w:rPr>
          <w:rFonts w:ascii="Arial" w:cs="Arial" w:eastAsia="Arial" w:hAnsi="Arial"/>
          <w:sz w:val="16"/>
          <w:szCs w:val="16"/>
          <w:i w:val="1"/>
          <w:iCs w:val="1"/>
          <w:color w:val="auto"/>
        </w:rPr>
        <w:t xml:space="preserve"> </w:t>
      </w:r>
      <w:r>
        <w:rPr>
          <w:rFonts w:ascii="Arial" w:cs="Arial" w:eastAsia="Arial" w:hAnsi="Arial"/>
          <w:sz w:val="16"/>
          <w:szCs w:val="16"/>
          <w:color w:val="auto"/>
        </w:rPr>
        <w:t>unprecedented. It is difficult to assess or predict the impact of unprecedented events on our business, financial results and condition. Our forecasts and expectations relating to these developments are subject to many uncertainties and may change, perhaps substantially, from our current forecasts and expectations. Furthermore, our analytical models were not designed to incorporate the unique circumstances associated with the Pandemic and related developments. We use analytical models (both those supplied by third parties and proprietary models developed by us) and information supplied by our third-party vendors to value assets; forecast prepayment, default and foreclosure rates; and to manage risk. These predictive models are usually constructed based on historical trends, and the success of relying on such models depends heavily on the correlation between the reported historical data and future events or behavior. As such, the unprecedented economic and financial market events associated with the Pandemic reduce the ability of our models to predict future outcomes and could even render them invalid. Consequently, actual results could differ materially from our projections.</w:t>
      </w:r>
    </w:p>
    <w:p>
      <w:pPr>
        <w:spacing w:after="0" w:line="58" w:lineRule="exact"/>
        <w:rPr>
          <w:sz w:val="20"/>
          <w:szCs w:val="20"/>
          <w:color w:val="auto"/>
        </w:rPr>
      </w:pPr>
    </w:p>
    <w:p>
      <w:pPr>
        <w:jc w:val="both"/>
        <w:ind w:firstLine="405"/>
        <w:spacing w:after="0" w:line="267" w:lineRule="auto"/>
        <w:rPr>
          <w:sz w:val="20"/>
          <w:szCs w:val="20"/>
          <w:color w:val="auto"/>
        </w:rPr>
      </w:pPr>
      <w:r>
        <w:rPr>
          <w:rFonts w:ascii="Arial" w:cs="Arial" w:eastAsia="Arial" w:hAnsi="Arial"/>
          <w:sz w:val="17"/>
          <w:szCs w:val="17"/>
          <w:i w:val="1"/>
          <w:iCs w:val="1"/>
          <w:color w:val="auto"/>
        </w:rPr>
        <w:t xml:space="preserve">Spread and credit risks </w:t>
      </w:r>
      <w:r>
        <w:rPr>
          <w:rFonts w:ascii="Arial" w:cs="Arial" w:eastAsia="Arial" w:hAnsi="Arial"/>
          <w:sz w:val="17"/>
          <w:szCs w:val="17"/>
          <w:color w:val="auto"/>
        </w:rPr>
        <w:t>- Spread risk is an inherent component of our business and is increased by the use of leverage. Our hedging strategies are not</w:t>
      </w:r>
      <w:r>
        <w:rPr>
          <w:rFonts w:ascii="Arial" w:cs="Arial" w:eastAsia="Arial" w:hAnsi="Arial"/>
          <w:sz w:val="17"/>
          <w:szCs w:val="17"/>
          <w:i w:val="1"/>
          <w:iCs w:val="1"/>
          <w:color w:val="auto"/>
        </w:rPr>
        <w:t xml:space="preserve"> </w:t>
      </w:r>
      <w:r>
        <w:rPr>
          <w:rFonts w:ascii="Arial" w:cs="Arial" w:eastAsia="Arial" w:hAnsi="Arial"/>
          <w:sz w:val="17"/>
          <w:szCs w:val="17"/>
          <w:color w:val="auto"/>
        </w:rPr>
        <w:t>designed to mitigate spread risk, and, thus, wider spreads negatively impact our tangible net book value. Spreads can widen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nearly all of which have been impacted by the Pandemic and related developments and are likely to continue to be impacted over at least the short to intermediate term as markets continue to grapple with their effects. The unprecedented decline in interest rates, extreme market volatility, and illiquidity across the fixed income markets stemming from these developments resulted in historically wide and volatile spread movements during the first quarter of 2020. The Fed's unprecedented purchases of Agency RMBS and U.S. Treasury securities that began in March have eased conditions somewhat, but markets remain fragile. The Fed has committed its continued support of the U.S. Treasury and Agency RMBS markets and to the liquidity of repo funding markets backed by U.S. Treasury and Agency collateral. However, should the Fed fail to maintain an adequate level of support, prematurely reduce its support or stop its support altogether any number of adverse market reactions could occur, including materially wider spread movements. It is also possible that despite substantial Fed support, the funding market for Agency MBS could still deteriorate if primary dealers are unwilling to pass along the liquidity provided by the Fed to broader market participants. Additionally, an unwinding of the Fed's purchases of Agency and U.S. Treasury securities could severely disrupt the fixed income markets, resulting in interest rate volatility and wider spreads. Should any of these events occur, our tangible net book value and our financial position could be materially adversely impacted. In addition to spread risks, our investments in CRT and non-agency RMBS and CMBS are subject to credit risk, and the Pandemic and related developments may adversely impact the credit quality of those investments and result in our experiencing a loss on these investments.</w:t>
      </w:r>
    </w:p>
    <w:p>
      <w:pPr>
        <w:spacing w:after="0" w:line="83"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i w:val="1"/>
          <w:iCs w:val="1"/>
          <w:color w:val="auto"/>
        </w:rPr>
        <w:t xml:space="preserve">Prepayment risk </w:t>
      </w:r>
      <w:r>
        <w:rPr>
          <w:rFonts w:ascii="Arial" w:cs="Arial" w:eastAsia="Arial" w:hAnsi="Arial"/>
          <w:sz w:val="18"/>
          <w:szCs w:val="18"/>
          <w:color w:val="auto"/>
        </w:rPr>
        <w:t>- The Pandemic has led to historically low interest rates. Prepayments on our investment securities typically increase when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rates fall. An increase in prepayments can negatively impact our net interest margin and tangible net book value, which could be material. Mortgage rates have declined to historic lows and could continue to decline. It is also possible that after the Pandemic induced extended forbearance periods offered by the GSEs, which may extend up to 12 months, borrowers may be unable to resume monthly payments leading to a large scale buyouts of delinquent loans from mortgage pools by the GSE's. Additionally, technological advances throughout origination channels and changes to GSE underwriting requirements, potentially implemented in part or in whole in response to the Pandemic, could increase and/or accelerate the pace of mortgage origination activity. Any one of these factors could lead to materially faster prepayments. Furthermore, since prepayment models were not designed to incorporate the unique circumstances associated with the Pandemic, they may be less predictive of prepayment activity, hindering our ability to accurately forecast prepayment rates.</w:t>
      </w:r>
    </w:p>
    <w:p>
      <w:pPr>
        <w:spacing w:after="0" w:line="88" w:lineRule="exact"/>
        <w:rPr>
          <w:sz w:val="20"/>
          <w:szCs w:val="20"/>
          <w:color w:val="auto"/>
        </w:rPr>
      </w:pPr>
    </w:p>
    <w:p>
      <w:pPr>
        <w:jc w:val="both"/>
        <w:ind w:firstLine="405"/>
        <w:spacing w:after="0" w:line="293" w:lineRule="auto"/>
        <w:rPr>
          <w:sz w:val="20"/>
          <w:szCs w:val="20"/>
          <w:color w:val="auto"/>
        </w:rPr>
      </w:pPr>
      <w:r>
        <w:rPr>
          <w:rFonts w:ascii="Arial" w:cs="Arial" w:eastAsia="Arial" w:hAnsi="Arial"/>
          <w:sz w:val="16"/>
          <w:szCs w:val="16"/>
          <w:i w:val="1"/>
          <w:iCs w:val="1"/>
          <w:color w:val="auto"/>
        </w:rPr>
        <w:t xml:space="preserve">Extension risk </w:t>
      </w:r>
      <w:r>
        <w:rPr>
          <w:rFonts w:ascii="Arial" w:cs="Arial" w:eastAsia="Arial" w:hAnsi="Arial"/>
          <w:sz w:val="16"/>
          <w:szCs w:val="16"/>
          <w:color w:val="auto"/>
        </w:rPr>
        <w:t>- The social distancing measures instituted to combat the Pandemic have resulted in curtailed or ceased activity in many parts of the</w:t>
      </w:r>
      <w:r>
        <w:rPr>
          <w:rFonts w:ascii="Arial" w:cs="Arial" w:eastAsia="Arial" w:hAnsi="Arial"/>
          <w:sz w:val="16"/>
          <w:szCs w:val="16"/>
          <w:i w:val="1"/>
          <w:iCs w:val="1"/>
          <w:color w:val="auto"/>
        </w:rPr>
        <w:t xml:space="preserve"> </w:t>
      </w:r>
      <w:r>
        <w:rPr>
          <w:rFonts w:ascii="Arial" w:cs="Arial" w:eastAsia="Arial" w:hAnsi="Arial"/>
          <w:sz w:val="16"/>
          <w:szCs w:val="16"/>
          <w:color w:val="auto"/>
        </w:rPr>
        <w:t>economy and have raised fears that the U.S. and global economies will enter a deep and protracted recession, or even depression. These fears have led to a historic decline in interest rates; however, should the U.S. economy recover faster than anticipated, interest rates could rise rapidly. Should this occur, the duration of our mortgage portfolio could extend faster than we expect and negatively impact our net book value. Although we expect to hedge against an increase in interest rates and manage our net duration gap, we cannot guarantee that our hedges or other funding and liability management activities will adequately protect us against extension risk and, thus, our tangible net book value could be materially adversely impacted should this occur.</w:t>
      </w:r>
    </w:p>
    <w:p>
      <w:pPr>
        <w:spacing w:after="0" w:line="56" w:lineRule="exact"/>
        <w:rPr>
          <w:sz w:val="20"/>
          <w:szCs w:val="20"/>
          <w:color w:val="auto"/>
        </w:rPr>
      </w:pPr>
    </w:p>
    <w:p>
      <w:pPr>
        <w:jc w:val="both"/>
        <w:ind w:firstLine="405"/>
        <w:spacing w:after="0" w:line="259" w:lineRule="auto"/>
        <w:rPr>
          <w:sz w:val="20"/>
          <w:szCs w:val="20"/>
          <w:color w:val="auto"/>
        </w:rPr>
      </w:pPr>
      <w:r>
        <w:rPr>
          <w:rFonts w:ascii="Arial" w:cs="Arial" w:eastAsia="Arial" w:hAnsi="Arial"/>
          <w:sz w:val="18"/>
          <w:szCs w:val="18"/>
          <w:i w:val="1"/>
          <w:iCs w:val="1"/>
          <w:color w:val="auto"/>
        </w:rPr>
        <w:t xml:space="preserve">Hedging and interest rate risks </w:t>
      </w:r>
      <w:r>
        <w:rPr>
          <w:rFonts w:ascii="Arial" w:cs="Arial" w:eastAsia="Arial" w:hAnsi="Arial"/>
          <w:sz w:val="18"/>
          <w:szCs w:val="18"/>
          <w:color w:val="auto"/>
        </w:rPr>
        <w:t>- Our hedges are intended to limit the adverse effect of changes in interest rates on our assets and cost of funds.</w:t>
      </w:r>
      <w:r>
        <w:rPr>
          <w:rFonts w:ascii="Arial" w:cs="Arial" w:eastAsia="Arial" w:hAnsi="Arial"/>
          <w:sz w:val="18"/>
          <w:szCs w:val="18"/>
          <w:i w:val="1"/>
          <w:iCs w:val="1"/>
          <w:color w:val="auto"/>
        </w:rPr>
        <w:t xml:space="preserve"> </w:t>
      </w:r>
      <w:r>
        <w:rPr>
          <w:rFonts w:ascii="Arial" w:cs="Arial" w:eastAsia="Arial" w:hAnsi="Arial"/>
          <w:sz w:val="18"/>
          <w:szCs w:val="18"/>
          <w:color w:val="auto"/>
        </w:rPr>
        <w:t>Hedging strategies are complex and we use analytical models to help manage our risk. Since analytical models may be less reliable given the unprecedented events stemming from the Pandemic, there is an increased risk that our hedging strategies may be less effective, or even ineffective, which could materially adversely affect our financial</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03" w:right="339" w:bottom="1440" w:gutter="0" w:footer="0" w:header="0"/>
        </w:sectPr>
      </w:pPr>
    </w:p>
    <w:bookmarkStart w:id="48" w:name="page49"/>
    <w:bookmarkEnd w:id="48"/>
    <w:p>
      <w:pPr>
        <w:jc w:val="both"/>
        <w:spacing w:after="0" w:line="275" w:lineRule="auto"/>
        <w:rPr>
          <w:sz w:val="20"/>
          <w:szCs w:val="20"/>
          <w:color w:val="auto"/>
        </w:rPr>
      </w:pPr>
      <w:r>
        <w:rPr>
          <w:rFonts w:ascii="Arial" w:cs="Arial" w:eastAsia="Arial" w:hAnsi="Arial"/>
          <w:sz w:val="17"/>
          <w:szCs w:val="17"/>
          <w:color w:val="auto"/>
        </w:rPr>
        <w:t>position and tangible net book value. There are also many uncertainties associated with the Pandemic and the short and long-term economic and fiscal tolls are difficult to predict. With interest rates at or near their zero-bound range, an actual or anticipated severe economic recession or depression could cause interest rates to fall below zero. Negative rates could result in material losses on our interest rate hedges and negatively impact our net interest margin, adversely affecting our net income and tangible net book value. Although we expect that the Fed would use all its monetary policy tools to prevent negative rates, there is no guarantee that it will do so or that it would be successful at keeping rates above zero.</w:t>
      </w:r>
    </w:p>
    <w:p>
      <w:pPr>
        <w:spacing w:after="0" w:line="68" w:lineRule="exact"/>
        <w:rPr>
          <w:sz w:val="20"/>
          <w:szCs w:val="20"/>
          <w:color w:val="auto"/>
        </w:rPr>
      </w:pPr>
    </w:p>
    <w:p>
      <w:pPr>
        <w:jc w:val="both"/>
        <w:ind w:firstLine="405"/>
        <w:spacing w:after="0" w:line="289" w:lineRule="auto"/>
        <w:rPr>
          <w:sz w:val="20"/>
          <w:szCs w:val="20"/>
          <w:color w:val="auto"/>
        </w:rPr>
      </w:pPr>
      <w:r>
        <w:rPr>
          <w:rFonts w:ascii="Arial" w:cs="Arial" w:eastAsia="Arial" w:hAnsi="Arial"/>
          <w:sz w:val="16"/>
          <w:szCs w:val="16"/>
          <w:i w:val="1"/>
          <w:iCs w:val="1"/>
          <w:color w:val="auto"/>
        </w:rPr>
        <w:t xml:space="preserve">Liquidity risks - </w:t>
      </w:r>
      <w:r>
        <w:rPr>
          <w:rFonts w:ascii="Arial" w:cs="Arial" w:eastAsia="Arial" w:hAnsi="Arial"/>
          <w:sz w:val="16"/>
          <w:szCs w:val="16"/>
          <w:color w:val="auto"/>
        </w:rPr>
        <w:t>Turbulent market conditions resulting from the Pandemic increase the risk of margin calls under our funding and derivative</w:t>
      </w:r>
      <w:r>
        <w:rPr>
          <w:rFonts w:ascii="Arial" w:cs="Arial" w:eastAsia="Arial" w:hAnsi="Arial"/>
          <w:sz w:val="16"/>
          <w:szCs w:val="16"/>
          <w:i w:val="1"/>
          <w:iCs w:val="1"/>
          <w:color w:val="auto"/>
        </w:rPr>
        <w:t xml:space="preserve"> </w:t>
      </w:r>
      <w:r>
        <w:rPr>
          <w:rFonts w:ascii="Arial" w:cs="Arial" w:eastAsia="Arial" w:hAnsi="Arial"/>
          <w:sz w:val="16"/>
          <w:szCs w:val="16"/>
          <w:color w:val="auto"/>
        </w:rPr>
        <w:t>agreements. If the value of our pledged collateral or if the value of our interest rate hedges declines, we will be required to post additional collateral. Counterparties may also increase haircut levels or overall margin requirements and generally have the right to unilaterally value our collateral. Counterparties to certain agreements, such as TBA clearing agreements, may only post collateral to us up to certain limits, resulting in our inability to receive collateral when it would otherwise have been due. Certain assets, such as credit assets, may not be financeable, or haircuts and pricing for such assets could increase substantially, particularly in periods of market volatility. Lastly, to the extent we are entitled to receive collateral from counterparties, they may be unwilling or unable to return collateral in a timely manner. If conditions result in our inability to meet margin calls, we could default on our obligations and be forced to sell assets under adverse conditions. In addition, if counterparties fail to fulfill their obligations to us, we could experience a loss. We may be unable to raise additional equity capital or procure funding, at all or on favorable terms, to address liquidity or other needs.</w:t>
      </w:r>
    </w:p>
    <w:p>
      <w:pPr>
        <w:spacing w:after="0" w:line="58" w:lineRule="exact"/>
        <w:rPr>
          <w:sz w:val="20"/>
          <w:szCs w:val="20"/>
          <w:color w:val="auto"/>
        </w:rPr>
      </w:pPr>
    </w:p>
    <w:p>
      <w:pPr>
        <w:jc w:val="both"/>
        <w:ind w:firstLine="405"/>
        <w:spacing w:after="0" w:line="253" w:lineRule="auto"/>
        <w:rPr>
          <w:sz w:val="20"/>
          <w:szCs w:val="20"/>
          <w:color w:val="auto"/>
        </w:rPr>
      </w:pPr>
      <w:r>
        <w:rPr>
          <w:rFonts w:ascii="Arial" w:cs="Arial" w:eastAsia="Arial" w:hAnsi="Arial"/>
          <w:sz w:val="18"/>
          <w:szCs w:val="18"/>
          <w:i w:val="1"/>
          <w:iCs w:val="1"/>
          <w:color w:val="auto"/>
        </w:rPr>
        <w:t xml:space="preserve">Human capital and business resiliency risks </w:t>
      </w:r>
      <w:r>
        <w:rPr>
          <w:rFonts w:ascii="Arial" w:cs="Arial" w:eastAsia="Arial" w:hAnsi="Arial"/>
          <w:sz w:val="18"/>
          <w:szCs w:val="18"/>
          <w:color w:val="auto"/>
        </w:rPr>
        <w:t>- Since mid-March, all of our workforce has been working remotely consistent with our business</w:t>
      </w:r>
      <w:r>
        <w:rPr>
          <w:rFonts w:ascii="Arial" w:cs="Arial" w:eastAsia="Arial" w:hAnsi="Arial"/>
          <w:sz w:val="18"/>
          <w:szCs w:val="18"/>
          <w:i w:val="1"/>
          <w:iCs w:val="1"/>
          <w:color w:val="auto"/>
        </w:rPr>
        <w:t xml:space="preserve"> </w:t>
      </w:r>
      <w:r>
        <w:rPr>
          <w:rFonts w:ascii="Arial" w:cs="Arial" w:eastAsia="Arial" w:hAnsi="Arial"/>
          <w:sz w:val="18"/>
          <w:szCs w:val="18"/>
          <w:color w:val="auto"/>
        </w:rPr>
        <w:t>continuity plan. Stay-at-home orders and other Pandemic related restrictions in effect in the states and localities where our workforce is located may be extended in whole or in part for several additional months. The strain on our workforce and our business operations caused by this shift in our operating environment may result in business interruptions, reduced productivity and other adverse impacts on our operations. While our technological systems to date have continued to function with our workforce working remotely, this telework arrangement increases the risk of technological or cybersecurity incidents that could negatively affect our business operations. This telework arrangement, the risk that our employees or their family members could contract COVID-19 and our reliance for some services and functions on third parties, which are largely working under similar conditions, could also adversely affect our ability to maintain effective controls and procedures, which could result in material errors in our reported results or disclosures that are not complete or accurate.</w:t>
      </w:r>
    </w:p>
    <w:p>
      <w:pPr>
        <w:spacing w:after="0" w:line="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Unregistered Sales of Equity Securities and Use of Proceeds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Repurchase Program</w:t>
      </w:r>
    </w:p>
    <w:p>
      <w:pPr>
        <w:spacing w:after="0" w:line="117" w:lineRule="exact"/>
        <w:rPr>
          <w:sz w:val="20"/>
          <w:szCs w:val="20"/>
          <w:color w:val="auto"/>
        </w:rPr>
      </w:pPr>
    </w:p>
    <w:p>
      <w:pPr>
        <w:jc w:val="both"/>
        <w:ind w:firstLine="445"/>
        <w:spacing w:after="0" w:line="273" w:lineRule="auto"/>
        <w:rPr>
          <w:sz w:val="20"/>
          <w:szCs w:val="20"/>
          <w:color w:val="auto"/>
        </w:rPr>
      </w:pPr>
      <w:r>
        <w:rPr>
          <w:rFonts w:ascii="Arial" w:cs="Arial" w:eastAsia="Arial" w:hAnsi="Arial"/>
          <w:sz w:val="17"/>
          <w:szCs w:val="17"/>
          <w:color w:val="auto"/>
        </w:rPr>
        <w:t xml:space="preserve">In July of 2019, our Board of Directors authorized the repurchase of up to $1 billion of our outstanding shares of common stock through December 31, 2020. As of September 30, 2020, the Company has repurchased shares at an aggregate amount of $403 million under the program. As of September 30, 2020, $597 million of common stock remained available for repurchase under the program. See also Note 11. </w:t>
      </w:r>
      <w:r>
        <w:rPr>
          <w:rFonts w:ascii="Arial" w:cs="Arial" w:eastAsia="Arial" w:hAnsi="Arial"/>
          <w:sz w:val="17"/>
          <w:szCs w:val="17"/>
          <w:i w:val="1"/>
          <w:iCs w:val="1"/>
          <w:color w:val="auto"/>
        </w:rPr>
        <w:t>Subsequent Events</w:t>
      </w:r>
      <w:r>
        <w:rPr>
          <w:rFonts w:ascii="Arial" w:cs="Arial" w:eastAsia="Arial" w:hAnsi="Arial"/>
          <w:sz w:val="17"/>
          <w:szCs w:val="17"/>
          <w:color w:val="auto"/>
        </w:rPr>
        <w:t xml:space="preserve"> of our Consolidated Financial Statements in this Form 10-Q for additional information pertaining to our common stock repurchase program. The following table presents information with respect to purchases of our common stock made during the three months ended September 30, 2020 by us or any "affiliated purchaser" of us, as defined in Rule 10b-18(a)(3) under the Exchange Act (in millions, except per share amounts):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97"/>
              </w:rPr>
              <w:t>Maximum Number (or</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Approximate Dollar Value) of</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940" w:type="dxa"/>
            <w:vAlign w:val="bottom"/>
            <w:vMerge w:val="restart"/>
          </w:tcPr>
          <w:p>
            <w:pPr>
              <w:jc w:val="right"/>
              <w:ind w:right="128"/>
              <w:spacing w:after="0"/>
              <w:rPr>
                <w:sz w:val="20"/>
                <w:szCs w:val="20"/>
                <w:color w:val="auto"/>
              </w:rPr>
            </w:pPr>
            <w:r>
              <w:rPr>
                <w:rFonts w:ascii="Arial" w:cs="Arial" w:eastAsia="Arial" w:hAnsi="Arial"/>
                <w:sz w:val="14"/>
                <w:szCs w:val="14"/>
                <w:b w:val="1"/>
                <w:bCs w:val="1"/>
                <w:color w:val="auto"/>
              </w:rPr>
              <w:t>Total Number of Shares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Shares That May Yet Be</w:t>
            </w:r>
          </w:p>
        </w:tc>
        <w:tc>
          <w:tcPr>
            <w:tcW w:w="0" w:type="dxa"/>
            <w:vAlign w:val="bottom"/>
          </w:tcPr>
          <w:p>
            <w:pPr>
              <w:spacing w:after="0"/>
              <w:rPr>
                <w:sz w:val="1"/>
                <w:szCs w:val="1"/>
                <w:color w:val="auto"/>
              </w:rPr>
            </w:pPr>
          </w:p>
        </w:tc>
      </w:tr>
      <w:tr>
        <w:trPr>
          <w:trHeight w:val="135"/>
        </w:trPr>
        <w:tc>
          <w:tcPr>
            <w:tcW w:w="4080" w:type="dxa"/>
            <w:vAlign w:val="bottom"/>
          </w:tcPr>
          <w:p>
            <w:pPr>
              <w:spacing w:after="0"/>
              <w:rPr>
                <w:sz w:val="11"/>
                <w:szCs w:val="11"/>
                <w:color w:val="auto"/>
              </w:rPr>
            </w:pPr>
          </w:p>
        </w:tc>
        <w:tc>
          <w:tcPr>
            <w:tcW w:w="15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7"/>
              </w:rPr>
              <w:t>Total Number</w:t>
            </w:r>
          </w:p>
        </w:tc>
        <w:tc>
          <w:tcPr>
            <w:tcW w:w="15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Average Net Price</w:t>
            </w:r>
          </w:p>
        </w:tc>
        <w:tc>
          <w:tcPr>
            <w:tcW w:w="19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Purchased Under the Publicly</w:t>
            </w:r>
          </w:p>
        </w:tc>
        <w:tc>
          <w:tcPr>
            <w:tcW w:w="0" w:type="dxa"/>
            <w:vAlign w:val="bottom"/>
          </w:tcPr>
          <w:p>
            <w:pPr>
              <w:spacing w:after="0"/>
              <w:rPr>
                <w:sz w:val="1"/>
                <w:szCs w:val="1"/>
                <w:color w:val="auto"/>
              </w:rPr>
            </w:pPr>
          </w:p>
        </w:tc>
      </w:tr>
      <w:tr>
        <w:trPr>
          <w:trHeight w:val="135"/>
        </w:trPr>
        <w:tc>
          <w:tcPr>
            <w:tcW w:w="4080" w:type="dxa"/>
            <w:vAlign w:val="bottom"/>
            <w:vMerge w:val="restart"/>
          </w:tcPr>
          <w:p>
            <w:pPr>
              <w:ind w:left="1840"/>
              <w:spacing w:after="0"/>
              <w:rPr>
                <w:sz w:val="20"/>
                <w:szCs w:val="20"/>
                <w:color w:val="auto"/>
              </w:rPr>
            </w:pPr>
            <w:r>
              <w:rPr>
                <w:rFonts w:ascii="Arial" w:cs="Arial" w:eastAsia="Arial" w:hAnsi="Arial"/>
                <w:sz w:val="14"/>
                <w:szCs w:val="14"/>
                <w:b w:val="1"/>
                <w:bCs w:val="1"/>
                <w:color w:val="auto"/>
              </w:rPr>
              <w:t>Period</w:t>
            </w:r>
          </w:p>
        </w:tc>
        <w:tc>
          <w:tcPr>
            <w:tcW w:w="1540" w:type="dxa"/>
            <w:vAlign w:val="bottom"/>
            <w:gridSpan w:val="2"/>
            <w:vMerge w:val="continue"/>
          </w:tcPr>
          <w:p>
            <w:pPr>
              <w:spacing w:after="0"/>
              <w:rPr>
                <w:sz w:val="11"/>
                <w:szCs w:val="11"/>
                <w:color w:val="auto"/>
              </w:rPr>
            </w:pPr>
          </w:p>
        </w:tc>
        <w:tc>
          <w:tcPr>
            <w:tcW w:w="1500" w:type="dxa"/>
            <w:vAlign w:val="bottom"/>
            <w:gridSpan w:val="2"/>
            <w:vMerge w:val="continue"/>
          </w:tcPr>
          <w:p>
            <w:pPr>
              <w:spacing w:after="0"/>
              <w:rPr>
                <w:sz w:val="11"/>
                <w:szCs w:val="11"/>
                <w:color w:val="auto"/>
              </w:rPr>
            </w:pPr>
          </w:p>
        </w:tc>
        <w:tc>
          <w:tcPr>
            <w:tcW w:w="1940" w:type="dxa"/>
            <w:vAlign w:val="bottom"/>
          </w:tcPr>
          <w:p>
            <w:pPr>
              <w:jc w:val="right"/>
              <w:spacing w:after="0" w:line="135" w:lineRule="exact"/>
              <w:rPr>
                <w:sz w:val="20"/>
                <w:szCs w:val="20"/>
                <w:color w:val="auto"/>
              </w:rPr>
            </w:pPr>
            <w:r>
              <w:rPr>
                <w:rFonts w:ascii="Arial" w:cs="Arial" w:eastAsia="Arial" w:hAnsi="Arial"/>
                <w:sz w:val="14"/>
                <w:szCs w:val="14"/>
                <w:b w:val="1"/>
                <w:bCs w:val="1"/>
                <w:color w:val="auto"/>
                <w:w w:val="96"/>
              </w:rPr>
              <w:t>Purchased as Part of Publicly</w:t>
            </w:r>
          </w:p>
        </w:tc>
        <w:tc>
          <w:tcPr>
            <w:tcW w:w="80" w:type="dxa"/>
            <w:vAlign w:val="bottom"/>
            <w:vMerge w:val="restart"/>
          </w:tcPr>
          <w:p>
            <w:pPr>
              <w:jc w:val="right"/>
              <w:spacing w:after="0"/>
              <w:rPr>
                <w:sz w:val="20"/>
                <w:szCs w:val="20"/>
                <w:color w:val="auto"/>
              </w:rPr>
            </w:pPr>
            <w:r>
              <w:rPr>
                <w:rFonts w:ascii="Arial" w:cs="Arial" w:eastAsia="Arial" w:hAnsi="Arial"/>
                <w:sz w:val="9"/>
                <w:szCs w:val="9"/>
                <w:b w:val="1"/>
                <w:bCs w:val="1"/>
                <w:color w:val="auto"/>
                <w:w w:val="78"/>
              </w:rPr>
              <w:t>1</w:t>
            </w:r>
          </w:p>
        </w:tc>
        <w:tc>
          <w:tcPr>
            <w:tcW w:w="80" w:type="dxa"/>
            <w:vAlign w:val="bottom"/>
          </w:tcPr>
          <w:p>
            <w:pPr>
              <w:spacing w:after="0"/>
              <w:rPr>
                <w:sz w:val="11"/>
                <w:szCs w:val="11"/>
                <w:color w:val="auto"/>
              </w:rPr>
            </w:pPr>
          </w:p>
        </w:tc>
        <w:tc>
          <w:tcPr>
            <w:tcW w:w="20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Announced Plans or Programs</w:t>
            </w:r>
          </w:p>
        </w:tc>
        <w:tc>
          <w:tcPr>
            <w:tcW w:w="0" w:type="dxa"/>
            <w:vAlign w:val="bottom"/>
          </w:tcPr>
          <w:p>
            <w:pPr>
              <w:spacing w:after="0"/>
              <w:rPr>
                <w:sz w:val="1"/>
                <w:szCs w:val="1"/>
                <w:color w:val="auto"/>
              </w:rPr>
            </w:pPr>
          </w:p>
        </w:tc>
      </w:tr>
      <w:tr>
        <w:trPr>
          <w:trHeight w:val="188"/>
        </w:trPr>
        <w:tc>
          <w:tcPr>
            <w:tcW w:w="4080" w:type="dxa"/>
            <w:vAlign w:val="bottom"/>
            <w:tcBorders>
              <w:bottom w:val="single" w:sz="8" w:color="auto"/>
            </w:tcBorders>
            <w:vMerge w:val="continue"/>
          </w:tcPr>
          <w:p>
            <w:pPr>
              <w:spacing w:after="0"/>
              <w:rPr>
                <w:sz w:val="16"/>
                <w:szCs w:val="16"/>
                <w:color w:val="auto"/>
              </w:rPr>
            </w:pPr>
          </w:p>
        </w:tc>
        <w:tc>
          <w:tcPr>
            <w:tcW w:w="154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89"/>
              </w:rPr>
              <w:t>of Shares Purchased</w:t>
            </w:r>
          </w:p>
        </w:tc>
        <w:tc>
          <w:tcPr>
            <w:tcW w:w="15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3"/>
              </w:rPr>
              <w:t>Paid Per Share</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Announced Plans or Programs</w:t>
            </w:r>
          </w:p>
        </w:tc>
        <w:tc>
          <w:tcPr>
            <w:tcW w:w="80" w:type="dxa"/>
            <w:vAlign w:val="bottom"/>
            <w:tcBorders>
              <w:bottom w:val="single" w:sz="8" w:color="auto"/>
            </w:tcBorders>
            <w:vMerge w:val="continue"/>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(in millions)</w:t>
            </w:r>
          </w:p>
        </w:tc>
        <w:tc>
          <w:tcPr>
            <w:tcW w:w="0" w:type="dxa"/>
            <w:vAlign w:val="bottom"/>
          </w:tcPr>
          <w:p>
            <w:pPr>
              <w:spacing w:after="0"/>
              <w:rPr>
                <w:sz w:val="1"/>
                <w:szCs w:val="1"/>
                <w:color w:val="auto"/>
              </w:rPr>
            </w:pPr>
          </w:p>
        </w:tc>
      </w:tr>
      <w:tr>
        <w:trPr>
          <w:trHeight w:val="184"/>
        </w:trPr>
        <w:tc>
          <w:tcPr>
            <w:tcW w:w="4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July 1, 2020 - July 31, 2020</w:t>
            </w:r>
          </w:p>
        </w:tc>
        <w:tc>
          <w:tcPr>
            <w:tcW w:w="14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0.0</w:t>
            </w:r>
          </w:p>
        </w:tc>
        <w:tc>
          <w:tcPr>
            <w:tcW w:w="100" w:type="dxa"/>
            <w:vAlign w:val="bottom"/>
            <w:shd w:val="clear" w:color="auto" w:fill="CCEEFF"/>
          </w:tcPr>
          <w:p>
            <w:pPr>
              <w:spacing w:after="0"/>
              <w:rPr>
                <w:sz w:val="15"/>
                <w:szCs w:val="15"/>
                <w:color w:val="auto"/>
              </w:rPr>
            </w:pPr>
          </w:p>
        </w:tc>
        <w:tc>
          <w:tcPr>
            <w:tcW w:w="150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1"/>
              </w:rPr>
              <w:t>$—</w:t>
            </w:r>
          </w:p>
        </w:tc>
        <w:tc>
          <w:tcPr>
            <w:tcW w:w="194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2"/>
              </w:rPr>
              <w:t>0.0</w:t>
            </w: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$750</w:t>
            </w:r>
          </w:p>
        </w:tc>
        <w:tc>
          <w:tcPr>
            <w:tcW w:w="0" w:type="dxa"/>
            <w:vAlign w:val="bottom"/>
          </w:tcPr>
          <w:p>
            <w:pPr>
              <w:spacing w:after="0"/>
              <w:rPr>
                <w:sz w:val="1"/>
                <w:szCs w:val="1"/>
                <w:color w:val="auto"/>
              </w:rPr>
            </w:pPr>
          </w:p>
        </w:tc>
      </w:tr>
      <w:tr>
        <w:trPr>
          <w:trHeight w:val="186"/>
        </w:trPr>
        <w:tc>
          <w:tcPr>
            <w:tcW w:w="4080" w:type="dxa"/>
            <w:vAlign w:val="bottom"/>
          </w:tcPr>
          <w:p>
            <w:pPr>
              <w:ind w:left="20"/>
              <w:spacing w:after="0"/>
              <w:rPr>
                <w:sz w:val="20"/>
                <w:szCs w:val="20"/>
                <w:color w:val="auto"/>
              </w:rPr>
            </w:pPr>
            <w:r>
              <w:rPr>
                <w:rFonts w:ascii="Arial" w:cs="Arial" w:eastAsia="Arial" w:hAnsi="Arial"/>
                <w:sz w:val="14"/>
                <w:szCs w:val="14"/>
                <w:color w:val="auto"/>
              </w:rPr>
              <w:t>August 1, 2020 - August 31, 2020</w:t>
            </w:r>
          </w:p>
        </w:tc>
        <w:tc>
          <w:tcPr>
            <w:tcW w:w="1440" w:type="dxa"/>
            <w:vAlign w:val="bottom"/>
          </w:tcPr>
          <w:p>
            <w:pPr>
              <w:jc w:val="center"/>
              <w:spacing w:after="0"/>
              <w:rPr>
                <w:sz w:val="20"/>
                <w:szCs w:val="20"/>
                <w:color w:val="auto"/>
              </w:rPr>
            </w:pPr>
            <w:r>
              <w:rPr>
                <w:rFonts w:ascii="Arial" w:cs="Arial" w:eastAsia="Arial" w:hAnsi="Arial"/>
                <w:sz w:val="14"/>
                <w:szCs w:val="14"/>
                <w:color w:val="auto"/>
                <w:w w:val="92"/>
              </w:rPr>
              <w:t>5.9</w:t>
            </w:r>
          </w:p>
        </w:tc>
        <w:tc>
          <w:tcPr>
            <w:tcW w:w="100" w:type="dxa"/>
            <w:vAlign w:val="bottom"/>
          </w:tcPr>
          <w:p>
            <w:pPr>
              <w:spacing w:after="0"/>
              <w:rPr>
                <w:sz w:val="16"/>
                <w:szCs w:val="16"/>
                <w:color w:val="auto"/>
              </w:rPr>
            </w:pPr>
          </w:p>
        </w:tc>
        <w:tc>
          <w:tcPr>
            <w:tcW w:w="1400" w:type="dxa"/>
            <w:vAlign w:val="bottom"/>
          </w:tcPr>
          <w:p>
            <w:pPr>
              <w:jc w:val="center"/>
              <w:spacing w:after="0"/>
              <w:rPr>
                <w:sz w:val="20"/>
                <w:szCs w:val="20"/>
                <w:color w:val="auto"/>
              </w:rPr>
            </w:pPr>
            <w:r>
              <w:rPr>
                <w:rFonts w:ascii="Arial" w:cs="Arial" w:eastAsia="Arial" w:hAnsi="Arial"/>
                <w:sz w:val="14"/>
                <w:szCs w:val="14"/>
                <w:color w:val="auto"/>
                <w:w w:val="93"/>
              </w:rPr>
              <w:t>$13.92</w:t>
            </w:r>
          </w:p>
        </w:tc>
        <w:tc>
          <w:tcPr>
            <w:tcW w:w="100" w:type="dxa"/>
            <w:vAlign w:val="bottom"/>
          </w:tcPr>
          <w:p>
            <w:pPr>
              <w:spacing w:after="0"/>
              <w:rPr>
                <w:sz w:val="16"/>
                <w:szCs w:val="16"/>
                <w:color w:val="auto"/>
              </w:rPr>
            </w:pPr>
          </w:p>
        </w:tc>
        <w:tc>
          <w:tcPr>
            <w:tcW w:w="1940" w:type="dxa"/>
            <w:vAlign w:val="bottom"/>
          </w:tcPr>
          <w:p>
            <w:pPr>
              <w:jc w:val="center"/>
              <w:ind w:left="8"/>
              <w:spacing w:after="0"/>
              <w:rPr>
                <w:sz w:val="20"/>
                <w:szCs w:val="20"/>
                <w:color w:val="auto"/>
              </w:rPr>
            </w:pPr>
            <w:r>
              <w:rPr>
                <w:rFonts w:ascii="Arial" w:cs="Arial" w:eastAsia="Arial" w:hAnsi="Arial"/>
                <w:sz w:val="14"/>
                <w:szCs w:val="14"/>
                <w:color w:val="auto"/>
                <w:w w:val="92"/>
              </w:rPr>
              <w:t>5.9</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20" w:type="dxa"/>
            <w:vAlign w:val="bottom"/>
          </w:tcPr>
          <w:p>
            <w:pPr>
              <w:jc w:val="center"/>
              <w:spacing w:after="0"/>
              <w:rPr>
                <w:sz w:val="20"/>
                <w:szCs w:val="20"/>
                <w:color w:val="auto"/>
              </w:rPr>
            </w:pPr>
            <w:r>
              <w:rPr>
                <w:rFonts w:ascii="Arial" w:cs="Arial" w:eastAsia="Arial" w:hAnsi="Arial"/>
                <w:sz w:val="14"/>
                <w:szCs w:val="14"/>
                <w:color w:val="auto"/>
                <w:w w:val="94"/>
              </w:rPr>
              <w:t>669</w:t>
            </w:r>
          </w:p>
        </w:tc>
        <w:tc>
          <w:tcPr>
            <w:tcW w:w="0" w:type="dxa"/>
            <w:vAlign w:val="bottom"/>
          </w:tcPr>
          <w:p>
            <w:pPr>
              <w:spacing w:after="0"/>
              <w:rPr>
                <w:sz w:val="1"/>
                <w:szCs w:val="1"/>
                <w:color w:val="auto"/>
              </w:rPr>
            </w:pPr>
          </w:p>
        </w:tc>
      </w:tr>
      <w:tr>
        <w:trPr>
          <w:trHeight w:val="189"/>
        </w:trPr>
        <w:tc>
          <w:tcPr>
            <w:tcW w:w="4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September 1, 2020 - September 30, 2020</w:t>
            </w:r>
          </w:p>
        </w:tc>
        <w:tc>
          <w:tcPr>
            <w:tcW w:w="14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5.1</w:t>
            </w:r>
          </w:p>
        </w:tc>
        <w:tc>
          <w:tcPr>
            <w:tcW w:w="100" w:type="dxa"/>
            <w:vAlign w:val="bottom"/>
            <w:shd w:val="clear" w:color="auto" w:fill="CCEEFF"/>
          </w:tcPr>
          <w:p>
            <w:pPr>
              <w:spacing w:after="0"/>
              <w:rPr>
                <w:sz w:val="16"/>
                <w:szCs w:val="16"/>
                <w:color w:val="auto"/>
              </w:rPr>
            </w:pPr>
          </w:p>
        </w:tc>
        <w:tc>
          <w:tcPr>
            <w:tcW w:w="14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$13.98</w:t>
            </w:r>
          </w:p>
        </w:tc>
        <w:tc>
          <w:tcPr>
            <w:tcW w:w="100" w:type="dxa"/>
            <w:vAlign w:val="bottom"/>
            <w:shd w:val="clear" w:color="auto" w:fill="CCEEFF"/>
          </w:tcPr>
          <w:p>
            <w:pPr>
              <w:spacing w:after="0"/>
              <w:rPr>
                <w:sz w:val="16"/>
                <w:szCs w:val="16"/>
                <w:color w:val="auto"/>
              </w:rPr>
            </w:pPr>
          </w:p>
        </w:tc>
        <w:tc>
          <w:tcPr>
            <w:tcW w:w="1940" w:type="dxa"/>
            <w:vAlign w:val="bottom"/>
            <w:tcBorders>
              <w:bottom w:val="single" w:sz="8" w:color="auto"/>
            </w:tcBorders>
            <w:shd w:val="clear" w:color="auto" w:fill="CCEEFF"/>
          </w:tcPr>
          <w:p>
            <w:pPr>
              <w:jc w:val="center"/>
              <w:ind w:left="8"/>
              <w:spacing w:after="0"/>
              <w:rPr>
                <w:sz w:val="20"/>
                <w:szCs w:val="20"/>
                <w:color w:val="auto"/>
              </w:rPr>
            </w:pPr>
            <w:r>
              <w:rPr>
                <w:rFonts w:ascii="Arial" w:cs="Arial" w:eastAsia="Arial" w:hAnsi="Arial"/>
                <w:sz w:val="14"/>
                <w:szCs w:val="14"/>
                <w:color w:val="auto"/>
                <w:w w:val="92"/>
              </w:rPr>
              <w:t>5.1</w:t>
            </w:r>
          </w:p>
        </w:tc>
        <w:tc>
          <w:tcPr>
            <w:tcW w:w="80" w:type="dxa"/>
            <w:vAlign w:val="bottom"/>
            <w:tcBorders>
              <w:bottom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597</w:t>
            </w:r>
          </w:p>
        </w:tc>
        <w:tc>
          <w:tcPr>
            <w:tcW w:w="0" w:type="dxa"/>
            <w:vAlign w:val="bottom"/>
          </w:tcPr>
          <w:p>
            <w:pPr>
              <w:spacing w:after="0"/>
              <w:rPr>
                <w:sz w:val="1"/>
                <w:szCs w:val="1"/>
                <w:color w:val="auto"/>
              </w:rPr>
            </w:pPr>
          </w:p>
        </w:tc>
      </w:tr>
      <w:tr>
        <w:trPr>
          <w:trHeight w:val="186"/>
        </w:trPr>
        <w:tc>
          <w:tcPr>
            <w:tcW w:w="4080" w:type="dxa"/>
            <w:vAlign w:val="bottom"/>
          </w:tcPr>
          <w:p>
            <w:pPr>
              <w:ind w:left="20"/>
              <w:spacing w:after="0"/>
              <w:rPr>
                <w:sz w:val="20"/>
                <w:szCs w:val="20"/>
                <w:color w:val="auto"/>
              </w:rPr>
            </w:pPr>
            <w:r>
              <w:rPr>
                <w:rFonts w:ascii="Arial" w:cs="Arial" w:eastAsia="Arial" w:hAnsi="Arial"/>
                <w:sz w:val="14"/>
                <w:szCs w:val="14"/>
                <w:color w:val="auto"/>
              </w:rPr>
              <w:t>Total</w:t>
            </w: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7"/>
              </w:rPr>
              <w:t>11.0</w:t>
            </w:r>
          </w:p>
        </w:tc>
        <w:tc>
          <w:tcPr>
            <w:tcW w:w="100" w:type="dxa"/>
            <w:vAlign w:val="bottom"/>
          </w:tcPr>
          <w:p>
            <w:pPr>
              <w:spacing w:after="0"/>
              <w:rPr>
                <w:sz w:val="16"/>
                <w:szCs w:val="16"/>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$13.95</w:t>
            </w:r>
          </w:p>
        </w:tc>
        <w:tc>
          <w:tcPr>
            <w:tcW w:w="100" w:type="dxa"/>
            <w:vAlign w:val="bottom"/>
          </w:tcPr>
          <w:p>
            <w:pPr>
              <w:spacing w:after="0"/>
              <w:rPr>
                <w:sz w:val="16"/>
                <w:szCs w:val="16"/>
                <w:color w:val="auto"/>
              </w:rPr>
            </w:pPr>
          </w:p>
        </w:tc>
        <w:tc>
          <w:tcPr>
            <w:tcW w:w="1940" w:type="dxa"/>
            <w:vAlign w:val="bottom"/>
            <w:tcBorders>
              <w:bottom w:val="single" w:sz="8" w:color="auto"/>
            </w:tcBorders>
          </w:tcPr>
          <w:p>
            <w:pPr>
              <w:jc w:val="center"/>
              <w:ind w:left="8"/>
              <w:spacing w:after="0"/>
              <w:rPr>
                <w:sz w:val="20"/>
                <w:szCs w:val="20"/>
                <w:color w:val="auto"/>
              </w:rPr>
            </w:pPr>
            <w:r>
              <w:rPr>
                <w:rFonts w:ascii="Arial" w:cs="Arial" w:eastAsia="Arial" w:hAnsi="Arial"/>
                <w:sz w:val="14"/>
                <w:szCs w:val="14"/>
                <w:color w:val="auto"/>
                <w:w w:val="95"/>
              </w:rPr>
              <w:t>11.0</w:t>
            </w:r>
          </w:p>
        </w:tc>
        <w:tc>
          <w:tcPr>
            <w:tcW w:w="8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$597</w:t>
            </w: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w:t>
      </w:r>
    </w:p>
    <w:p>
      <w:pPr>
        <w:spacing w:after="0" w:line="17" w:lineRule="exact"/>
        <w:rPr>
          <w:sz w:val="20"/>
          <w:szCs w:val="20"/>
          <w:color w:val="auto"/>
        </w:rPr>
      </w:pPr>
    </w:p>
    <w:p>
      <w:pPr>
        <w:ind w:left="340" w:hanging="332"/>
        <w:spacing w:after="0"/>
        <w:tabs>
          <w:tab w:leader="none" w:pos="340" w:val="left"/>
        </w:tabs>
        <w:numPr>
          <w:ilvl w:val="0"/>
          <w:numId w:val="35"/>
        </w:numPr>
        <w:rPr>
          <w:rFonts w:ascii="Arial" w:cs="Arial" w:eastAsia="Arial" w:hAnsi="Arial"/>
          <w:sz w:val="13"/>
          <w:szCs w:val="13"/>
          <w:color w:val="auto"/>
        </w:rPr>
      </w:pPr>
      <w:r>
        <w:rPr>
          <w:rFonts w:ascii="Arial" w:cs="Arial" w:eastAsia="Arial" w:hAnsi="Arial"/>
          <w:sz w:val="13"/>
          <w:szCs w:val="13"/>
          <w:color w:val="auto"/>
        </w:rPr>
        <w:t>All shares purchased by the Company were pursuant to the stock repurchase program described in Note 10 of our accompanying Consolidated Financial Statements in this Form 10-Q.</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Defaults upon Senior Securities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Mine Safety Disclosures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03" w:right="3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Other Information</w:t>
      </w:r>
    </w:p>
    <w:p>
      <w:pPr>
        <w:spacing w:after="0" w:line="121"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999" w:right="1440" w:bottom="1440" w:gutter="0" w:footer="0" w:header="0"/>
        </w:sectPr>
      </w:pPr>
    </w:p>
    <w:bookmarkStart w:id="50" w:name="page51"/>
    <w:bookmarkEnd w:id="50"/>
    <w:p>
      <w:pPr>
        <w:spacing w:after="0"/>
        <w:tabs>
          <w:tab w:leader="none" w:pos="8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5" w:lineRule="exact"/>
        <w:rPr>
          <w:sz w:val="20"/>
          <w:szCs w:val="20"/>
          <w:color w:val="auto"/>
        </w:rPr>
      </w:pPr>
    </w:p>
    <w:p>
      <w:pPr>
        <w:spacing w:after="0"/>
        <w:tabs>
          <w:tab w:leader="none" w:pos="36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7"/>
          <w:szCs w:val="17"/>
          <w:color w:val="auto"/>
        </w:rPr>
        <w:t>Exhibit Index</w:t>
      </w:r>
    </w:p>
    <w:p>
      <w:pPr>
        <w:spacing w:after="0" w:line="163" w:lineRule="exact"/>
        <w:rPr>
          <w:sz w:val="20"/>
          <w:szCs w:val="20"/>
          <w:color w:val="auto"/>
        </w:rPr>
      </w:pPr>
    </w:p>
    <w:p>
      <w:pPr>
        <w:spacing w:after="0"/>
        <w:tabs>
          <w:tab w:leader="none" w:pos="84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1" w:lineRule="exact"/>
        <w:rPr>
          <w:sz w:val="20"/>
          <w:szCs w:val="20"/>
          <w:color w:val="auto"/>
        </w:rPr>
      </w:pPr>
    </w:p>
    <w:p>
      <w:pPr>
        <w:jc w:val="both"/>
        <w:ind w:left="500" w:right="20" w:hanging="1295"/>
        <w:spacing w:after="0" w:line="277" w:lineRule="auto"/>
        <w:tabs>
          <w:tab w:leader="none" w:pos="480" w:val="left"/>
        </w:tabs>
        <w:rPr>
          <w:rFonts w:ascii="Arial" w:cs="Arial" w:eastAsia="Arial" w:hAnsi="Arial"/>
          <w:sz w:val="18"/>
          <w:szCs w:val="18"/>
          <w:color w:val="auto"/>
        </w:rPr>
      </w:pPr>
      <w:hyperlink r:id="rId67">
        <w:r>
          <w:rPr>
            <w:rFonts w:ascii="Arial" w:cs="Arial" w:eastAsia="Arial" w:hAnsi="Arial"/>
            <w:sz w:val="18"/>
            <w:szCs w:val="18"/>
            <w:color w:val="auto"/>
          </w:rPr>
          <w:t>*3.1</w:t>
        </w:r>
      </w:hyperlink>
      <w:r>
        <w:rPr>
          <w:rFonts w:ascii="Arial" w:cs="Arial" w:eastAsia="Arial" w:hAnsi="Arial"/>
          <w:sz w:val="18"/>
          <w:szCs w:val="18"/>
          <w:color w:val="auto"/>
        </w:rPr>
        <w:tab/>
      </w:r>
      <w:hyperlink r:id="rId67">
        <w:r>
          <w:rPr>
            <w:rFonts w:ascii="Arial" w:cs="Arial" w:eastAsia="Arial" w:hAnsi="Arial"/>
            <w:sz w:val="18"/>
            <w:szCs w:val="18"/>
            <w:color w:val="auto"/>
          </w:rPr>
          <w:t>AGNC Investment Corp. Amended and Restated Certificate of Incorporation, as amended, incorporated by reference from Exhibit 3.1 of Form 10-Q</w:t>
        </w:r>
      </w:hyperlink>
      <w:r>
        <w:rPr>
          <w:rFonts w:ascii="Arial" w:cs="Arial" w:eastAsia="Arial" w:hAnsi="Arial"/>
          <w:sz w:val="18"/>
          <w:szCs w:val="18"/>
          <w:color w:val="auto"/>
        </w:rPr>
        <w:t xml:space="preserve"> </w:t>
      </w:r>
      <w:hyperlink r:id="rId67">
        <w:r>
          <w:rPr>
            <w:rFonts w:ascii="Arial" w:cs="Arial" w:eastAsia="Arial" w:hAnsi="Arial"/>
            <w:sz w:val="18"/>
            <w:szCs w:val="18"/>
            <w:color w:val="auto"/>
          </w:rPr>
          <w:t>for the quarter ended March 31, 2020 (File No. 001-34057), filed May 11, 2020.</w:t>
        </w:r>
      </w:hyperlink>
    </w:p>
    <w:p>
      <w:pPr>
        <w:spacing w:after="0" w:line="116" w:lineRule="exact"/>
        <w:rPr>
          <w:rFonts w:ascii="Arial" w:cs="Arial" w:eastAsia="Arial" w:hAnsi="Arial"/>
          <w:sz w:val="18"/>
          <w:szCs w:val="18"/>
          <w:color w:val="auto"/>
        </w:rPr>
      </w:pPr>
    </w:p>
    <w:p>
      <w:pPr>
        <w:jc w:val="both"/>
        <w:ind w:left="520" w:hanging="1295"/>
        <w:spacing w:after="0" w:line="277" w:lineRule="auto"/>
        <w:tabs>
          <w:tab w:leader="none" w:pos="500" w:val="left"/>
        </w:tabs>
        <w:rPr>
          <w:rFonts w:ascii="Arial" w:cs="Arial" w:eastAsia="Arial" w:hAnsi="Arial"/>
          <w:sz w:val="18"/>
          <w:szCs w:val="18"/>
          <w:color w:val="auto"/>
        </w:rPr>
      </w:pPr>
      <w:hyperlink r:id="rId68">
        <w:r>
          <w:rPr>
            <w:rFonts w:ascii="Arial" w:cs="Arial" w:eastAsia="Arial" w:hAnsi="Arial"/>
            <w:sz w:val="18"/>
            <w:szCs w:val="18"/>
            <w:color w:val="auto"/>
          </w:rPr>
          <w:t>*3.2</w:t>
        </w:r>
      </w:hyperlink>
      <w:r>
        <w:rPr>
          <w:rFonts w:ascii="Arial" w:cs="Arial" w:eastAsia="Arial" w:hAnsi="Arial"/>
          <w:sz w:val="18"/>
          <w:szCs w:val="18"/>
          <w:color w:val="auto"/>
        </w:rPr>
        <w:tab/>
      </w:r>
      <w:hyperlink r:id="rId68">
        <w:r>
          <w:rPr>
            <w:rFonts w:ascii="Arial" w:cs="Arial" w:eastAsia="Arial" w:hAnsi="Arial"/>
            <w:sz w:val="18"/>
            <w:szCs w:val="18"/>
            <w:color w:val="auto"/>
          </w:rPr>
          <w:t>AGNC Investment Corp. Third Amended and Restated Bylaws, as amended, incorporated herein by reference to Exhibit 3.2 of Form 10-Q for the</w:t>
        </w:r>
      </w:hyperlink>
      <w:r>
        <w:rPr>
          <w:rFonts w:ascii="Arial" w:cs="Arial" w:eastAsia="Arial" w:hAnsi="Arial"/>
          <w:sz w:val="18"/>
          <w:szCs w:val="18"/>
          <w:color w:val="auto"/>
        </w:rPr>
        <w:t xml:space="preserve"> </w:t>
      </w:r>
      <w:hyperlink r:id="rId68">
        <w:r>
          <w:rPr>
            <w:rFonts w:ascii="Arial" w:cs="Arial" w:eastAsia="Arial" w:hAnsi="Arial"/>
            <w:sz w:val="18"/>
            <w:szCs w:val="18"/>
            <w:color w:val="auto"/>
          </w:rPr>
          <w:t>quarter ended September 30, 2016 (File No. 001-34057), filed November 7, 2016.</w:t>
        </w:r>
      </w:hyperlink>
    </w:p>
    <w:p>
      <w:pPr>
        <w:spacing w:after="0" w:line="116" w:lineRule="exact"/>
        <w:rPr>
          <w:rFonts w:ascii="Arial" w:cs="Arial" w:eastAsia="Arial" w:hAnsi="Arial"/>
          <w:sz w:val="18"/>
          <w:szCs w:val="18"/>
          <w:color w:val="auto"/>
        </w:rPr>
      </w:pPr>
    </w:p>
    <w:p>
      <w:pPr>
        <w:jc w:val="both"/>
        <w:ind w:left="520" w:hanging="1295"/>
        <w:spacing w:after="0" w:line="277" w:lineRule="auto"/>
        <w:tabs>
          <w:tab w:leader="none" w:pos="500" w:val="left"/>
        </w:tabs>
        <w:rPr>
          <w:rFonts w:ascii="Arial" w:cs="Arial" w:eastAsia="Arial" w:hAnsi="Arial"/>
          <w:sz w:val="18"/>
          <w:szCs w:val="18"/>
          <w:color w:val="auto"/>
        </w:rPr>
      </w:pPr>
      <w:hyperlink r:id="rId69">
        <w:r>
          <w:rPr>
            <w:rFonts w:ascii="Arial" w:cs="Arial" w:eastAsia="Arial" w:hAnsi="Arial"/>
            <w:sz w:val="18"/>
            <w:szCs w:val="18"/>
            <w:color w:val="auto"/>
          </w:rPr>
          <w:t>*3.3</w:t>
        </w:r>
      </w:hyperlink>
      <w:r>
        <w:rPr>
          <w:rFonts w:ascii="Arial" w:cs="Arial" w:eastAsia="Arial" w:hAnsi="Arial"/>
          <w:sz w:val="18"/>
          <w:szCs w:val="18"/>
          <w:color w:val="auto"/>
        </w:rPr>
        <w:tab/>
      </w:r>
      <w:hyperlink r:id="rId69">
        <w:r>
          <w:rPr>
            <w:rFonts w:ascii="Arial" w:cs="Arial" w:eastAsia="Arial" w:hAnsi="Arial"/>
            <w:sz w:val="18"/>
            <w:szCs w:val="18"/>
            <w:color w:val="auto"/>
          </w:rPr>
          <w:t>Certificate of Designations of 7.00% Series C Fixed-to-Floating Rate Cumulative Redeemable Preferred Stock, incorporated herein by reference to</w:t>
        </w:r>
      </w:hyperlink>
      <w:r>
        <w:rPr>
          <w:rFonts w:ascii="Arial" w:cs="Arial" w:eastAsia="Arial" w:hAnsi="Arial"/>
          <w:sz w:val="18"/>
          <w:szCs w:val="18"/>
          <w:color w:val="auto"/>
        </w:rPr>
        <w:t xml:space="preserve"> </w:t>
      </w:r>
      <w:hyperlink r:id="rId69">
        <w:r>
          <w:rPr>
            <w:rFonts w:ascii="Arial" w:cs="Arial" w:eastAsia="Arial" w:hAnsi="Arial"/>
            <w:sz w:val="18"/>
            <w:szCs w:val="18"/>
            <w:color w:val="auto"/>
          </w:rPr>
          <w:t>Exhibit 3.5 of Form 8-A (File No. 001-34057), filed August 18, 2017.</w:t>
        </w:r>
      </w:hyperlink>
    </w:p>
    <w:p>
      <w:pPr>
        <w:spacing w:after="0" w:line="116" w:lineRule="exact"/>
        <w:rPr>
          <w:rFonts w:ascii="Arial" w:cs="Arial" w:eastAsia="Arial" w:hAnsi="Arial"/>
          <w:sz w:val="18"/>
          <w:szCs w:val="18"/>
          <w:color w:val="auto"/>
        </w:rPr>
      </w:pPr>
    </w:p>
    <w:p>
      <w:pPr>
        <w:jc w:val="both"/>
        <w:ind w:left="500" w:hanging="1295"/>
        <w:spacing w:after="0" w:line="277" w:lineRule="auto"/>
        <w:tabs>
          <w:tab w:leader="none" w:pos="480" w:val="left"/>
        </w:tabs>
        <w:rPr>
          <w:rFonts w:ascii="Arial" w:cs="Arial" w:eastAsia="Arial" w:hAnsi="Arial"/>
          <w:sz w:val="18"/>
          <w:szCs w:val="18"/>
          <w:color w:val="auto"/>
        </w:rPr>
      </w:pPr>
      <w:hyperlink r:id="rId70">
        <w:r>
          <w:rPr>
            <w:rFonts w:ascii="Arial" w:cs="Arial" w:eastAsia="Arial" w:hAnsi="Arial"/>
            <w:sz w:val="18"/>
            <w:szCs w:val="18"/>
            <w:color w:val="auto"/>
          </w:rPr>
          <w:t>*3.4</w:t>
        </w:r>
      </w:hyperlink>
      <w:r>
        <w:rPr>
          <w:rFonts w:ascii="Arial" w:cs="Arial" w:eastAsia="Arial" w:hAnsi="Arial"/>
          <w:sz w:val="18"/>
          <w:szCs w:val="18"/>
          <w:color w:val="auto"/>
        </w:rPr>
        <w:tab/>
      </w:r>
      <w:hyperlink r:id="rId70">
        <w:r>
          <w:rPr>
            <w:rFonts w:ascii="Arial" w:cs="Arial" w:eastAsia="Arial" w:hAnsi="Arial"/>
            <w:sz w:val="18"/>
            <w:szCs w:val="18"/>
            <w:color w:val="auto"/>
          </w:rPr>
          <w:t>Certificate of Elimination of 8.000% Series A Cumulative Redeemable Preferred Stock, incorporated herein by reference to Exhibit 3.1 of Form 8-K</w:t>
        </w:r>
      </w:hyperlink>
      <w:r>
        <w:rPr>
          <w:rFonts w:ascii="Arial" w:cs="Arial" w:eastAsia="Arial" w:hAnsi="Arial"/>
          <w:sz w:val="18"/>
          <w:szCs w:val="18"/>
          <w:color w:val="auto"/>
        </w:rPr>
        <w:t xml:space="preserve"> </w:t>
      </w:r>
      <w:hyperlink r:id="rId70">
        <w:r>
          <w:rPr>
            <w:rFonts w:ascii="Arial" w:cs="Arial" w:eastAsia="Arial" w:hAnsi="Arial"/>
            <w:sz w:val="18"/>
            <w:szCs w:val="18"/>
            <w:color w:val="auto"/>
          </w:rPr>
          <w:t>(File No 001-34057), filed October 26, 2017.</w:t>
        </w:r>
      </w:hyperlink>
    </w:p>
    <w:p>
      <w:pPr>
        <w:spacing w:after="0" w:line="116" w:lineRule="exact"/>
        <w:rPr>
          <w:rFonts w:ascii="Arial" w:cs="Arial" w:eastAsia="Arial" w:hAnsi="Arial"/>
          <w:sz w:val="18"/>
          <w:szCs w:val="18"/>
          <w:color w:val="auto"/>
        </w:rPr>
      </w:pPr>
    </w:p>
    <w:p>
      <w:pPr>
        <w:jc w:val="both"/>
        <w:ind w:left="500" w:hanging="1295"/>
        <w:spacing w:after="0" w:line="277" w:lineRule="auto"/>
        <w:tabs>
          <w:tab w:leader="none" w:pos="480" w:val="left"/>
        </w:tabs>
        <w:rPr>
          <w:rFonts w:ascii="Arial" w:cs="Arial" w:eastAsia="Arial" w:hAnsi="Arial"/>
          <w:sz w:val="18"/>
          <w:szCs w:val="18"/>
          <w:color w:val="auto"/>
        </w:rPr>
      </w:pPr>
      <w:hyperlink r:id="rId71">
        <w:r>
          <w:rPr>
            <w:rFonts w:ascii="Arial" w:cs="Arial" w:eastAsia="Arial" w:hAnsi="Arial"/>
            <w:sz w:val="18"/>
            <w:szCs w:val="18"/>
            <w:color w:val="auto"/>
          </w:rPr>
          <w:t>*3.5</w:t>
        </w:r>
      </w:hyperlink>
      <w:r>
        <w:rPr>
          <w:rFonts w:ascii="Arial" w:cs="Arial" w:eastAsia="Arial" w:hAnsi="Arial"/>
          <w:sz w:val="18"/>
          <w:szCs w:val="18"/>
          <w:color w:val="auto"/>
        </w:rPr>
        <w:tab/>
      </w:r>
      <w:hyperlink r:id="rId71">
        <w:r>
          <w:rPr>
            <w:rFonts w:ascii="Arial" w:cs="Arial" w:eastAsia="Arial" w:hAnsi="Arial"/>
            <w:sz w:val="18"/>
            <w:szCs w:val="18"/>
            <w:color w:val="auto"/>
          </w:rPr>
          <w:t>Certificate of Designations of 6.875% Series D Fixed-to-Floating Rate Cumulative Redeemable Preferred Stock, incorporated herein by reference to</w:t>
        </w:r>
      </w:hyperlink>
      <w:r>
        <w:rPr>
          <w:rFonts w:ascii="Arial" w:cs="Arial" w:eastAsia="Arial" w:hAnsi="Arial"/>
          <w:sz w:val="18"/>
          <w:szCs w:val="18"/>
          <w:color w:val="auto"/>
        </w:rPr>
        <w:t xml:space="preserve"> </w:t>
      </w:r>
      <w:hyperlink r:id="rId71">
        <w:r>
          <w:rPr>
            <w:rFonts w:ascii="Arial" w:cs="Arial" w:eastAsia="Arial" w:hAnsi="Arial"/>
            <w:sz w:val="18"/>
            <w:szCs w:val="18"/>
            <w:color w:val="auto"/>
          </w:rPr>
          <w:t>Exhibit 3.5 of Form 8-A (File No 001-34057), filed March 6, 2019.</w:t>
        </w:r>
      </w:hyperlink>
    </w:p>
    <w:p>
      <w:pPr>
        <w:spacing w:after="0" w:line="116" w:lineRule="exact"/>
        <w:rPr>
          <w:rFonts w:ascii="Arial" w:cs="Arial" w:eastAsia="Arial" w:hAnsi="Arial"/>
          <w:sz w:val="18"/>
          <w:szCs w:val="18"/>
          <w:color w:val="auto"/>
        </w:rPr>
      </w:pPr>
    </w:p>
    <w:p>
      <w:pPr>
        <w:jc w:val="both"/>
        <w:ind w:left="520" w:right="20" w:hanging="1295"/>
        <w:spacing w:after="0" w:line="277" w:lineRule="auto"/>
        <w:tabs>
          <w:tab w:leader="none" w:pos="500" w:val="left"/>
        </w:tabs>
        <w:rPr>
          <w:rFonts w:ascii="Arial" w:cs="Arial" w:eastAsia="Arial" w:hAnsi="Arial"/>
          <w:sz w:val="18"/>
          <w:szCs w:val="18"/>
          <w:color w:val="auto"/>
        </w:rPr>
      </w:pPr>
      <w:hyperlink r:id="rId72">
        <w:r>
          <w:rPr>
            <w:rFonts w:ascii="Arial" w:cs="Arial" w:eastAsia="Arial" w:hAnsi="Arial"/>
            <w:sz w:val="18"/>
            <w:szCs w:val="18"/>
            <w:color w:val="auto"/>
          </w:rPr>
          <w:t>*3.6</w:t>
        </w:r>
      </w:hyperlink>
      <w:r>
        <w:rPr>
          <w:rFonts w:ascii="Arial" w:cs="Arial" w:eastAsia="Arial" w:hAnsi="Arial"/>
          <w:sz w:val="18"/>
          <w:szCs w:val="18"/>
          <w:color w:val="auto"/>
        </w:rPr>
        <w:tab/>
      </w:r>
      <w:hyperlink r:id="rId72">
        <w:r>
          <w:rPr>
            <w:rFonts w:ascii="Arial" w:cs="Arial" w:eastAsia="Arial" w:hAnsi="Arial"/>
            <w:sz w:val="18"/>
            <w:szCs w:val="18"/>
            <w:color w:val="auto"/>
          </w:rPr>
          <w:t>Certificate of Designations of 6.50% Series E Fixed-to-Floating Rate Cumulative Redeemable Preferred Stock, incorporated herein by reference to</w:t>
        </w:r>
      </w:hyperlink>
      <w:r>
        <w:rPr>
          <w:rFonts w:ascii="Arial" w:cs="Arial" w:eastAsia="Arial" w:hAnsi="Arial"/>
          <w:sz w:val="18"/>
          <w:szCs w:val="18"/>
          <w:color w:val="auto"/>
        </w:rPr>
        <w:t xml:space="preserve"> </w:t>
      </w:r>
      <w:hyperlink r:id="rId72">
        <w:r>
          <w:rPr>
            <w:rFonts w:ascii="Arial" w:cs="Arial" w:eastAsia="Arial" w:hAnsi="Arial"/>
            <w:sz w:val="18"/>
            <w:szCs w:val="18"/>
            <w:color w:val="auto"/>
          </w:rPr>
          <w:t>Exhibit 3.6 of Form 8-A (File No 001-34057), filed October 3, 2019.</w:t>
        </w:r>
      </w:hyperlink>
    </w:p>
    <w:p>
      <w:pPr>
        <w:spacing w:after="0" w:line="116" w:lineRule="exact"/>
        <w:rPr>
          <w:rFonts w:ascii="Arial" w:cs="Arial" w:eastAsia="Arial" w:hAnsi="Arial"/>
          <w:sz w:val="18"/>
          <w:szCs w:val="18"/>
          <w:color w:val="auto"/>
        </w:rPr>
      </w:pPr>
    </w:p>
    <w:p>
      <w:pPr>
        <w:jc w:val="both"/>
        <w:ind w:left="500" w:right="20" w:hanging="1295"/>
        <w:spacing w:after="0" w:line="277" w:lineRule="auto"/>
        <w:tabs>
          <w:tab w:leader="none" w:pos="480" w:val="left"/>
        </w:tabs>
        <w:rPr>
          <w:rFonts w:ascii="Arial" w:cs="Arial" w:eastAsia="Arial" w:hAnsi="Arial"/>
          <w:sz w:val="18"/>
          <w:szCs w:val="18"/>
          <w:color w:val="auto"/>
        </w:rPr>
      </w:pPr>
      <w:hyperlink r:id="rId73">
        <w:r>
          <w:rPr>
            <w:rFonts w:ascii="Arial" w:cs="Arial" w:eastAsia="Arial" w:hAnsi="Arial"/>
            <w:sz w:val="18"/>
            <w:szCs w:val="18"/>
            <w:color w:val="auto"/>
          </w:rPr>
          <w:t>*3.7</w:t>
        </w:r>
      </w:hyperlink>
      <w:r>
        <w:rPr>
          <w:rFonts w:ascii="Arial" w:cs="Arial" w:eastAsia="Arial" w:hAnsi="Arial"/>
          <w:sz w:val="18"/>
          <w:szCs w:val="18"/>
          <w:color w:val="auto"/>
        </w:rPr>
        <w:tab/>
      </w:r>
      <w:hyperlink r:id="rId73">
        <w:r>
          <w:rPr>
            <w:rFonts w:ascii="Arial" w:cs="Arial" w:eastAsia="Arial" w:hAnsi="Arial"/>
            <w:sz w:val="18"/>
            <w:szCs w:val="18"/>
            <w:color w:val="auto"/>
          </w:rPr>
          <w:t>Certificate of Elimination of 7.750% Series B Cumulative Redeemable Preferred Stock, incorporated herein by reference to Exhibit 3.1 of Form 8-K</w:t>
        </w:r>
      </w:hyperlink>
      <w:r>
        <w:rPr>
          <w:rFonts w:ascii="Arial" w:cs="Arial" w:eastAsia="Arial" w:hAnsi="Arial"/>
          <w:sz w:val="18"/>
          <w:szCs w:val="18"/>
          <w:color w:val="auto"/>
        </w:rPr>
        <w:t xml:space="preserve"> </w:t>
      </w:r>
      <w:hyperlink r:id="rId73">
        <w:r>
          <w:rPr>
            <w:rFonts w:ascii="Arial" w:cs="Arial" w:eastAsia="Arial" w:hAnsi="Arial"/>
            <w:sz w:val="18"/>
            <w:szCs w:val="18"/>
            <w:color w:val="auto"/>
          </w:rPr>
          <w:t>(File No 001-34057), filed December 13, 2019.</w:t>
        </w:r>
      </w:hyperlink>
    </w:p>
    <w:p>
      <w:pPr>
        <w:spacing w:after="0" w:line="116" w:lineRule="exact"/>
        <w:rPr>
          <w:rFonts w:ascii="Arial" w:cs="Arial" w:eastAsia="Arial" w:hAnsi="Arial"/>
          <w:sz w:val="18"/>
          <w:szCs w:val="18"/>
          <w:color w:val="auto"/>
        </w:rPr>
      </w:pPr>
    </w:p>
    <w:p>
      <w:pPr>
        <w:jc w:val="both"/>
        <w:ind w:left="520" w:right="20" w:hanging="1295"/>
        <w:spacing w:after="0" w:line="277" w:lineRule="auto"/>
        <w:tabs>
          <w:tab w:leader="none" w:pos="500" w:val="left"/>
        </w:tabs>
        <w:rPr>
          <w:rFonts w:ascii="Arial" w:cs="Arial" w:eastAsia="Arial" w:hAnsi="Arial"/>
          <w:sz w:val="18"/>
          <w:szCs w:val="18"/>
          <w:color w:val="auto"/>
        </w:rPr>
      </w:pPr>
      <w:hyperlink r:id="rId74">
        <w:r>
          <w:rPr>
            <w:rFonts w:ascii="Arial" w:cs="Arial" w:eastAsia="Arial" w:hAnsi="Arial"/>
            <w:sz w:val="18"/>
            <w:szCs w:val="18"/>
            <w:color w:val="auto"/>
          </w:rPr>
          <w:t>*3.8</w:t>
        </w:r>
      </w:hyperlink>
      <w:r>
        <w:rPr>
          <w:rFonts w:ascii="Arial" w:cs="Arial" w:eastAsia="Arial" w:hAnsi="Arial"/>
          <w:sz w:val="18"/>
          <w:szCs w:val="18"/>
          <w:color w:val="auto"/>
        </w:rPr>
        <w:tab/>
      </w:r>
      <w:hyperlink r:id="rId74">
        <w:r>
          <w:rPr>
            <w:rFonts w:ascii="Arial" w:cs="Arial" w:eastAsia="Arial" w:hAnsi="Arial"/>
            <w:sz w:val="18"/>
            <w:szCs w:val="18"/>
            <w:color w:val="auto"/>
          </w:rPr>
          <w:t>Certificate of Designations of 6.125% Series F Fixed-to-Floating Rate Cumulative Redeemable Preferred Stock, incorporated herein by reference to</w:t>
        </w:r>
      </w:hyperlink>
      <w:r>
        <w:rPr>
          <w:rFonts w:ascii="Arial" w:cs="Arial" w:eastAsia="Arial" w:hAnsi="Arial"/>
          <w:sz w:val="18"/>
          <w:szCs w:val="18"/>
          <w:color w:val="auto"/>
        </w:rPr>
        <w:t xml:space="preserve"> </w:t>
      </w:r>
      <w:hyperlink r:id="rId74">
        <w:r>
          <w:rPr>
            <w:rFonts w:ascii="Arial" w:cs="Arial" w:eastAsia="Arial" w:hAnsi="Arial"/>
            <w:sz w:val="18"/>
            <w:szCs w:val="18"/>
            <w:color w:val="auto"/>
          </w:rPr>
          <w:t>Exhibit 3.6 of Form 8-A (File No 001-34057), filed February 11, 2020.</w:t>
        </w:r>
      </w:hyperlink>
    </w:p>
    <w:p>
      <w:pPr>
        <w:spacing w:after="0" w:line="116" w:lineRule="exact"/>
        <w:rPr>
          <w:rFonts w:ascii="Arial" w:cs="Arial" w:eastAsia="Arial" w:hAnsi="Arial"/>
          <w:sz w:val="18"/>
          <w:szCs w:val="18"/>
          <w:color w:val="auto"/>
        </w:rPr>
      </w:pPr>
    </w:p>
    <w:p>
      <w:pPr>
        <w:jc w:val="both"/>
        <w:ind w:left="580" w:hanging="1295"/>
        <w:spacing w:after="0" w:line="263" w:lineRule="auto"/>
        <w:tabs>
          <w:tab w:leader="none" w:pos="560" w:val="left"/>
        </w:tabs>
        <w:rPr>
          <w:rFonts w:ascii="Arial" w:cs="Arial" w:eastAsia="Arial" w:hAnsi="Arial"/>
          <w:sz w:val="18"/>
          <w:szCs w:val="18"/>
          <w:color w:val="auto"/>
        </w:rPr>
      </w:pPr>
      <w:hyperlink r:id="rId75">
        <w:r>
          <w:rPr>
            <w:rFonts w:ascii="Arial" w:cs="Arial" w:eastAsia="Arial" w:hAnsi="Arial"/>
            <w:sz w:val="18"/>
            <w:szCs w:val="18"/>
            <w:color w:val="auto"/>
          </w:rPr>
          <w:t>*4.1</w:t>
        </w:r>
      </w:hyperlink>
      <w:r>
        <w:rPr>
          <w:rFonts w:ascii="Arial" w:cs="Arial" w:eastAsia="Arial" w:hAnsi="Arial"/>
          <w:sz w:val="18"/>
          <w:szCs w:val="18"/>
          <w:color w:val="auto"/>
        </w:rPr>
        <w:tab/>
      </w:r>
      <w:hyperlink r:id="rId75">
        <w:r>
          <w:rPr>
            <w:rFonts w:ascii="Arial" w:cs="Arial" w:eastAsia="Arial" w:hAnsi="Arial"/>
            <w:sz w:val="18"/>
            <w:szCs w:val="18"/>
            <w:color w:val="auto"/>
          </w:rPr>
          <w:t>Instruments defining the rights of holders of securities: See Article IV of our Amended and Restated Certificate of Incorporation, as amended,</w:t>
        </w:r>
      </w:hyperlink>
      <w:r>
        <w:rPr>
          <w:rFonts w:ascii="Arial" w:cs="Arial" w:eastAsia="Arial" w:hAnsi="Arial"/>
          <w:sz w:val="18"/>
          <w:szCs w:val="18"/>
          <w:color w:val="auto"/>
        </w:rPr>
        <w:t xml:space="preserve"> </w:t>
      </w:r>
      <w:hyperlink r:id="rId75">
        <w:r>
          <w:rPr>
            <w:rFonts w:ascii="Arial" w:cs="Arial" w:eastAsia="Arial" w:hAnsi="Arial"/>
            <w:sz w:val="18"/>
            <w:szCs w:val="18"/>
            <w:color w:val="auto"/>
          </w:rPr>
          <w:t>incorporated herein by reference to Exhibit 3.1 of Form 10-Q for the quarter ended March 31, 2018 (File No. 001-34057) filed May 7,</w:t>
        </w:r>
      </w:hyperlink>
      <w:r>
        <w:rPr>
          <w:rFonts w:ascii="Arial" w:cs="Arial" w:eastAsia="Arial" w:hAnsi="Arial"/>
          <w:sz w:val="18"/>
          <w:szCs w:val="18"/>
          <w:color w:val="auto"/>
        </w:rPr>
        <w:t xml:space="preserve"> </w:t>
      </w:r>
      <w:hyperlink r:id="rId75">
        <w:r>
          <w:rPr>
            <w:rFonts w:ascii="Arial" w:cs="Arial" w:eastAsia="Arial" w:hAnsi="Arial"/>
            <w:sz w:val="18"/>
            <w:szCs w:val="18"/>
            <w:color w:val="auto"/>
          </w:rPr>
          <w:t>2018.</w:t>
        </w:r>
      </w:hyperlink>
    </w:p>
    <w:p>
      <w:pPr>
        <w:spacing w:after="0" w:line="130" w:lineRule="exact"/>
        <w:rPr>
          <w:rFonts w:ascii="Arial" w:cs="Arial" w:eastAsia="Arial" w:hAnsi="Arial"/>
          <w:sz w:val="18"/>
          <w:szCs w:val="18"/>
          <w:color w:val="auto"/>
        </w:rPr>
      </w:pPr>
    </w:p>
    <w:p>
      <w:pPr>
        <w:jc w:val="both"/>
        <w:ind w:left="500" w:right="20" w:hanging="1295"/>
        <w:spacing w:after="0" w:line="308" w:lineRule="auto"/>
        <w:tabs>
          <w:tab w:leader="none" w:pos="480" w:val="left"/>
        </w:tabs>
        <w:rPr>
          <w:rFonts w:ascii="Arial" w:cs="Arial" w:eastAsia="Arial" w:hAnsi="Arial"/>
          <w:sz w:val="17"/>
          <w:szCs w:val="17"/>
          <w:color w:val="auto"/>
        </w:rPr>
      </w:pPr>
      <w:hyperlink r:id="rId68">
        <w:r>
          <w:rPr>
            <w:rFonts w:ascii="Arial" w:cs="Arial" w:eastAsia="Arial" w:hAnsi="Arial"/>
            <w:sz w:val="18"/>
            <w:szCs w:val="18"/>
            <w:color w:val="auto"/>
          </w:rPr>
          <w:t>*4.2</w:t>
        </w:r>
      </w:hyperlink>
      <w:r>
        <w:rPr>
          <w:rFonts w:ascii="Arial" w:cs="Arial" w:eastAsia="Arial" w:hAnsi="Arial"/>
          <w:sz w:val="18"/>
          <w:szCs w:val="18"/>
          <w:color w:val="auto"/>
        </w:rPr>
        <w:tab/>
      </w:r>
      <w:hyperlink r:id="rId68">
        <w:r>
          <w:rPr>
            <w:rFonts w:ascii="Arial" w:cs="Arial" w:eastAsia="Arial" w:hAnsi="Arial"/>
            <w:sz w:val="17"/>
            <w:szCs w:val="17"/>
            <w:color w:val="auto"/>
          </w:rPr>
          <w:t>Instruments defining the rights of holders of securities: See Article VI of our Third Amended and Restated Bylaws, as amended, incorporated herein</w:t>
        </w:r>
      </w:hyperlink>
      <w:r>
        <w:rPr>
          <w:rFonts w:ascii="Arial" w:cs="Arial" w:eastAsia="Arial" w:hAnsi="Arial"/>
          <w:sz w:val="17"/>
          <w:szCs w:val="17"/>
          <w:color w:val="auto"/>
        </w:rPr>
        <w:t xml:space="preserve"> </w:t>
      </w:r>
      <w:hyperlink r:id="rId68">
        <w:r>
          <w:rPr>
            <w:rFonts w:ascii="Arial" w:cs="Arial" w:eastAsia="Arial" w:hAnsi="Arial"/>
            <w:sz w:val="17"/>
            <w:szCs w:val="17"/>
            <w:color w:val="auto"/>
          </w:rPr>
          <w:t>by reference to Exhibit 3.2 of Form 10-Q for the quarter ended September 30, 2016 (File No. 001-34057) filed November 7, 2016.</w:t>
        </w:r>
      </w:hyperlink>
    </w:p>
    <w:p>
      <w:pPr>
        <w:spacing w:after="0" w:line="92" w:lineRule="exact"/>
        <w:rPr>
          <w:rFonts w:ascii="Arial" w:cs="Arial" w:eastAsia="Arial" w:hAnsi="Arial"/>
          <w:sz w:val="18"/>
          <w:szCs w:val="18"/>
          <w:color w:val="auto"/>
        </w:rPr>
      </w:pPr>
    </w:p>
    <w:p>
      <w:pPr>
        <w:jc w:val="both"/>
        <w:ind w:left="560" w:hanging="1295"/>
        <w:spacing w:after="0" w:line="277" w:lineRule="auto"/>
        <w:tabs>
          <w:tab w:leader="none" w:pos="540" w:val="left"/>
        </w:tabs>
        <w:rPr>
          <w:rFonts w:ascii="Arial" w:cs="Arial" w:eastAsia="Arial" w:hAnsi="Arial"/>
          <w:sz w:val="18"/>
          <w:szCs w:val="18"/>
          <w:color w:val="auto"/>
        </w:rPr>
      </w:pPr>
      <w:hyperlink r:id="rId76">
        <w:r>
          <w:rPr>
            <w:rFonts w:ascii="Arial" w:cs="Arial" w:eastAsia="Arial" w:hAnsi="Arial"/>
            <w:sz w:val="18"/>
            <w:szCs w:val="18"/>
            <w:color w:val="auto"/>
          </w:rPr>
          <w:t>*4.3</w:t>
        </w:r>
      </w:hyperlink>
      <w:r>
        <w:rPr>
          <w:rFonts w:ascii="Arial" w:cs="Arial" w:eastAsia="Arial" w:hAnsi="Arial"/>
          <w:sz w:val="18"/>
          <w:szCs w:val="18"/>
          <w:color w:val="auto"/>
        </w:rPr>
        <w:tab/>
      </w:r>
      <w:hyperlink r:id="rId76">
        <w:r>
          <w:rPr>
            <w:rFonts w:ascii="Arial" w:cs="Arial" w:eastAsia="Arial" w:hAnsi="Arial"/>
            <w:sz w:val="18"/>
            <w:szCs w:val="18"/>
            <w:color w:val="auto"/>
          </w:rPr>
          <w:t>Form of Certificate for Common Stock, incorporated herein by reference to Exhibit 4.3 of Form 10-Q for the quarter ended September 30, 2016</w:t>
        </w:r>
      </w:hyperlink>
      <w:r>
        <w:rPr>
          <w:rFonts w:ascii="Arial" w:cs="Arial" w:eastAsia="Arial" w:hAnsi="Arial"/>
          <w:sz w:val="18"/>
          <w:szCs w:val="18"/>
          <w:color w:val="auto"/>
        </w:rPr>
        <w:t xml:space="preserve"> </w:t>
      </w:r>
      <w:hyperlink r:id="rId76">
        <w:r>
          <w:rPr>
            <w:rFonts w:ascii="Arial" w:cs="Arial" w:eastAsia="Arial" w:hAnsi="Arial"/>
            <w:sz w:val="18"/>
            <w:szCs w:val="18"/>
            <w:color w:val="auto"/>
          </w:rPr>
          <w:t>(File No. 001-34057), filed November 7, 2016.</w:t>
        </w:r>
      </w:hyperlink>
    </w:p>
    <w:p>
      <w:pPr>
        <w:spacing w:after="0" w:line="116" w:lineRule="exact"/>
        <w:rPr>
          <w:rFonts w:ascii="Arial" w:cs="Arial" w:eastAsia="Arial" w:hAnsi="Arial"/>
          <w:sz w:val="18"/>
          <w:szCs w:val="18"/>
          <w:color w:val="auto"/>
        </w:rPr>
      </w:pPr>
    </w:p>
    <w:p>
      <w:pPr>
        <w:spacing w:after="0"/>
        <w:tabs>
          <w:tab w:leader="none" w:pos="500" w:val="left"/>
        </w:tabs>
        <w:rPr>
          <w:rFonts w:ascii="Arial" w:cs="Arial" w:eastAsia="Arial" w:hAnsi="Arial"/>
          <w:sz w:val="16"/>
          <w:szCs w:val="16"/>
          <w:color w:val="auto"/>
        </w:rPr>
      </w:pPr>
      <w:hyperlink r:id="rId77">
        <w:r>
          <w:rPr>
            <w:rFonts w:ascii="Arial" w:cs="Arial" w:eastAsia="Arial" w:hAnsi="Arial"/>
            <w:sz w:val="18"/>
            <w:szCs w:val="18"/>
            <w:color w:val="auto"/>
          </w:rPr>
          <w:t>*4.4</w:t>
        </w:r>
      </w:hyperlink>
      <w:r>
        <w:rPr>
          <w:rFonts w:ascii="Arial" w:cs="Arial" w:eastAsia="Arial" w:hAnsi="Arial"/>
          <w:sz w:val="18"/>
          <w:szCs w:val="18"/>
          <w:color w:val="auto"/>
        </w:rPr>
        <w:tab/>
      </w:r>
      <w:hyperlink r:id="rId77">
        <w:r>
          <w:rPr>
            <w:rFonts w:ascii="Arial" w:cs="Arial" w:eastAsia="Arial" w:hAnsi="Arial"/>
            <w:sz w:val="16"/>
            <w:szCs w:val="16"/>
            <w:color w:val="auto"/>
          </w:rPr>
          <w:t>Specimen 7.00% Series C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77">
        <w:r>
          <w:rPr>
            <w:rFonts w:ascii="Arial" w:cs="Arial" w:eastAsia="Arial" w:hAnsi="Arial"/>
            <w:sz w:val="18"/>
            <w:szCs w:val="18"/>
            <w:color w:val="auto"/>
          </w:rPr>
          <w:t>4.1 of Form 8-A (File No. 001-34057), filed August 18, 2017.</w:t>
        </w:r>
      </w:hyperlink>
    </w:p>
    <w:p>
      <w:pPr>
        <w:spacing w:after="0" w:line="157" w:lineRule="exact"/>
        <w:rPr>
          <w:sz w:val="20"/>
          <w:szCs w:val="20"/>
          <w:color w:val="auto"/>
        </w:rPr>
      </w:pPr>
    </w:p>
    <w:p>
      <w:pPr>
        <w:spacing w:after="0"/>
        <w:tabs>
          <w:tab w:leader="none" w:pos="500" w:val="left"/>
        </w:tabs>
        <w:rPr>
          <w:rFonts w:ascii="Arial" w:cs="Arial" w:eastAsia="Arial" w:hAnsi="Arial"/>
          <w:sz w:val="16"/>
          <w:szCs w:val="16"/>
          <w:color w:val="auto"/>
        </w:rPr>
      </w:pPr>
      <w:hyperlink r:id="rId78">
        <w:r>
          <w:rPr>
            <w:rFonts w:ascii="Arial" w:cs="Arial" w:eastAsia="Arial" w:hAnsi="Arial"/>
            <w:sz w:val="18"/>
            <w:szCs w:val="18"/>
            <w:color w:val="auto"/>
          </w:rPr>
          <w:t>*4.5</w:t>
        </w:r>
      </w:hyperlink>
      <w:r>
        <w:rPr>
          <w:rFonts w:ascii="Arial" w:cs="Arial" w:eastAsia="Arial" w:hAnsi="Arial"/>
          <w:sz w:val="18"/>
          <w:szCs w:val="18"/>
          <w:color w:val="auto"/>
        </w:rPr>
        <w:tab/>
      </w:r>
      <w:hyperlink r:id="rId78">
        <w:r>
          <w:rPr>
            <w:rFonts w:ascii="Arial" w:cs="Arial" w:eastAsia="Arial" w:hAnsi="Arial"/>
            <w:sz w:val="16"/>
            <w:szCs w:val="16"/>
            <w:color w:val="auto"/>
          </w:rPr>
          <w:t>Specimen 6.875% Series D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78">
        <w:r>
          <w:rPr>
            <w:rFonts w:ascii="Arial" w:cs="Arial" w:eastAsia="Arial" w:hAnsi="Arial"/>
            <w:sz w:val="18"/>
            <w:szCs w:val="18"/>
            <w:color w:val="auto"/>
          </w:rPr>
          <w:t>4.1 of Form 8-A (File No. 001-34057), filed March 6, 2019.</w:t>
        </w:r>
      </w:hyperlink>
    </w:p>
    <w:p>
      <w:pPr>
        <w:spacing w:after="0" w:line="157" w:lineRule="exact"/>
        <w:rPr>
          <w:sz w:val="20"/>
          <w:szCs w:val="20"/>
          <w:color w:val="auto"/>
        </w:rPr>
      </w:pPr>
    </w:p>
    <w:p>
      <w:pPr>
        <w:spacing w:after="0"/>
        <w:tabs>
          <w:tab w:leader="none" w:pos="520" w:val="left"/>
        </w:tabs>
        <w:rPr>
          <w:rFonts w:ascii="Arial" w:cs="Arial" w:eastAsia="Arial" w:hAnsi="Arial"/>
          <w:sz w:val="16"/>
          <w:szCs w:val="16"/>
          <w:color w:val="auto"/>
        </w:rPr>
      </w:pPr>
      <w:hyperlink r:id="rId79">
        <w:r>
          <w:rPr>
            <w:rFonts w:ascii="Arial" w:cs="Arial" w:eastAsia="Arial" w:hAnsi="Arial"/>
            <w:sz w:val="18"/>
            <w:szCs w:val="18"/>
            <w:color w:val="auto"/>
          </w:rPr>
          <w:t>*4.6</w:t>
        </w:r>
      </w:hyperlink>
      <w:r>
        <w:rPr>
          <w:rFonts w:ascii="Arial" w:cs="Arial" w:eastAsia="Arial" w:hAnsi="Arial"/>
          <w:sz w:val="18"/>
          <w:szCs w:val="18"/>
          <w:color w:val="auto"/>
        </w:rPr>
        <w:tab/>
      </w:r>
      <w:hyperlink r:id="rId79">
        <w:r>
          <w:rPr>
            <w:rFonts w:ascii="Arial" w:cs="Arial" w:eastAsia="Arial" w:hAnsi="Arial"/>
            <w:sz w:val="16"/>
            <w:szCs w:val="16"/>
            <w:color w:val="auto"/>
          </w:rPr>
          <w:t>Specimen 6.50% Series E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79">
        <w:r>
          <w:rPr>
            <w:rFonts w:ascii="Arial" w:cs="Arial" w:eastAsia="Arial" w:hAnsi="Arial"/>
            <w:sz w:val="18"/>
            <w:szCs w:val="18"/>
            <w:color w:val="auto"/>
          </w:rPr>
          <w:t>4.1 of Form 8-A (File No. 001-34057), filed October 3, 2019.</w:t>
        </w:r>
      </w:hyperlink>
    </w:p>
    <w:p>
      <w:pPr>
        <w:spacing w:after="0" w:line="157" w:lineRule="exact"/>
        <w:rPr>
          <w:sz w:val="20"/>
          <w:szCs w:val="20"/>
          <w:color w:val="auto"/>
        </w:rPr>
      </w:pPr>
    </w:p>
    <w:p>
      <w:pPr>
        <w:spacing w:after="0"/>
        <w:tabs>
          <w:tab w:leader="none" w:pos="500" w:val="left"/>
        </w:tabs>
        <w:rPr>
          <w:rFonts w:ascii="Arial" w:cs="Arial" w:eastAsia="Arial" w:hAnsi="Arial"/>
          <w:sz w:val="16"/>
          <w:szCs w:val="16"/>
          <w:color w:val="auto"/>
        </w:rPr>
      </w:pPr>
      <w:hyperlink r:id="rId80">
        <w:r>
          <w:rPr>
            <w:rFonts w:ascii="Arial" w:cs="Arial" w:eastAsia="Arial" w:hAnsi="Arial"/>
            <w:sz w:val="18"/>
            <w:szCs w:val="18"/>
            <w:color w:val="auto"/>
          </w:rPr>
          <w:t>*4.7</w:t>
        </w:r>
      </w:hyperlink>
      <w:r>
        <w:rPr>
          <w:rFonts w:ascii="Arial" w:cs="Arial" w:eastAsia="Arial" w:hAnsi="Arial"/>
          <w:sz w:val="18"/>
          <w:szCs w:val="18"/>
          <w:color w:val="auto"/>
        </w:rPr>
        <w:tab/>
      </w:r>
      <w:hyperlink r:id="rId80">
        <w:r>
          <w:rPr>
            <w:rFonts w:ascii="Arial" w:cs="Arial" w:eastAsia="Arial" w:hAnsi="Arial"/>
            <w:sz w:val="16"/>
            <w:szCs w:val="16"/>
            <w:color w:val="auto"/>
          </w:rPr>
          <w:t>Specimen 6.125% Series F Fixed-to-Floating Rate Cumulative Redeemable Preferred Stock Certificate, incorporated herein by reference to Exhibit</w:t>
        </w:r>
      </w:hyperlink>
    </w:p>
    <w:p>
      <w:pPr>
        <w:spacing w:after="0" w:line="23" w:lineRule="exact"/>
        <w:rPr>
          <w:sz w:val="20"/>
          <w:szCs w:val="20"/>
          <w:color w:val="auto"/>
        </w:rPr>
      </w:pPr>
    </w:p>
    <w:p>
      <w:pPr>
        <w:ind w:left="1300"/>
        <w:spacing w:after="0"/>
        <w:rPr>
          <w:rFonts w:ascii="Arial" w:cs="Arial" w:eastAsia="Arial" w:hAnsi="Arial"/>
          <w:sz w:val="18"/>
          <w:szCs w:val="18"/>
          <w:color w:val="auto"/>
        </w:rPr>
      </w:pPr>
      <w:hyperlink r:id="rId80">
        <w:r>
          <w:rPr>
            <w:rFonts w:ascii="Arial" w:cs="Arial" w:eastAsia="Arial" w:hAnsi="Arial"/>
            <w:sz w:val="18"/>
            <w:szCs w:val="18"/>
            <w:color w:val="auto"/>
          </w:rPr>
          <w:t>4.1 of Form 8-A (File No 001-34057), filed February 11, 2020.</w:t>
        </w:r>
      </w:hyperlink>
    </w:p>
    <w:p>
      <w:pPr>
        <w:spacing w:after="0" w:line="157" w:lineRule="exact"/>
        <w:rPr>
          <w:sz w:val="20"/>
          <w:szCs w:val="20"/>
          <w:color w:val="auto"/>
        </w:rPr>
      </w:pPr>
    </w:p>
    <w:p>
      <w:pPr>
        <w:jc w:val="both"/>
        <w:ind w:left="580" w:hanging="1295"/>
        <w:spacing w:after="0" w:line="263" w:lineRule="auto"/>
        <w:tabs>
          <w:tab w:leader="none" w:pos="560" w:val="left"/>
        </w:tabs>
        <w:rPr>
          <w:rFonts w:ascii="Arial" w:cs="Arial" w:eastAsia="Arial" w:hAnsi="Arial"/>
          <w:sz w:val="18"/>
          <w:szCs w:val="18"/>
          <w:color w:val="auto"/>
        </w:rPr>
      </w:pPr>
      <w:hyperlink r:id="rId81">
        <w:r>
          <w:rPr>
            <w:rFonts w:ascii="Arial" w:cs="Arial" w:eastAsia="Arial" w:hAnsi="Arial"/>
            <w:sz w:val="18"/>
            <w:szCs w:val="18"/>
            <w:color w:val="auto"/>
          </w:rPr>
          <w:t>*4.8</w:t>
        </w:r>
      </w:hyperlink>
      <w:r>
        <w:rPr>
          <w:rFonts w:ascii="Arial" w:cs="Arial" w:eastAsia="Arial" w:hAnsi="Arial"/>
          <w:sz w:val="18"/>
          <w:szCs w:val="18"/>
          <w:color w:val="auto"/>
        </w:rPr>
        <w:tab/>
      </w:r>
      <w:hyperlink r:id="rId81">
        <w:r>
          <w:rPr>
            <w:rFonts w:ascii="Arial" w:cs="Arial" w:eastAsia="Arial" w:hAnsi="Arial"/>
            <w:sz w:val="18"/>
            <w:szCs w:val="18"/>
            <w:color w:val="auto"/>
          </w:rPr>
          <w:t>Deposit Agreement relating to 7.00% Series C Fixed-to-Floating Rate Cumulative Redeemable Preferred Stock, dated August 22, 2017, among</w:t>
        </w:r>
      </w:hyperlink>
      <w:r>
        <w:rPr>
          <w:rFonts w:ascii="Arial" w:cs="Arial" w:eastAsia="Arial" w:hAnsi="Arial"/>
          <w:sz w:val="18"/>
          <w:szCs w:val="18"/>
          <w:color w:val="auto"/>
        </w:rPr>
        <w:t xml:space="preserve"> </w:t>
      </w:r>
      <w:hyperlink r:id="rId81">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1">
        <w:r>
          <w:rPr>
            <w:rFonts w:ascii="Arial" w:cs="Arial" w:eastAsia="Arial" w:hAnsi="Arial"/>
            <w:sz w:val="18"/>
            <w:szCs w:val="18"/>
            <w:color w:val="auto"/>
          </w:rPr>
          <w:t>reference to Exhibit 4.2 of Form 8-K (File No. 001-34057) filed August 22, 2017.</w:t>
        </w:r>
      </w:hyperlink>
    </w:p>
    <w:p>
      <w:pPr>
        <w:spacing w:after="0" w:line="200" w:lineRule="exact"/>
        <w:rPr>
          <w:rFonts w:ascii="Arial" w:cs="Arial" w:eastAsia="Arial" w:hAnsi="Arial"/>
          <w:sz w:val="18"/>
          <w:szCs w:val="18"/>
          <w:color w:val="auto"/>
        </w:rPr>
      </w:pPr>
    </w:p>
    <w:p>
      <w:pPr>
        <w:spacing w:after="0" w:line="321"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1" w:name="page52"/>
    <w:bookmarkEnd w:id="51"/>
    <w:p>
      <w:pPr>
        <w:jc w:val="both"/>
        <w:ind w:left="540" w:hanging="1295"/>
        <w:spacing w:after="0" w:line="263" w:lineRule="auto"/>
        <w:tabs>
          <w:tab w:leader="none" w:pos="520" w:val="left"/>
        </w:tabs>
        <w:rPr>
          <w:rFonts w:ascii="Arial" w:cs="Arial" w:eastAsia="Arial" w:hAnsi="Arial"/>
          <w:sz w:val="18"/>
          <w:szCs w:val="18"/>
          <w:color w:val="auto"/>
        </w:rPr>
      </w:pPr>
      <w:hyperlink r:id="rId81">
        <w:r>
          <w:rPr>
            <w:rFonts w:ascii="Arial" w:cs="Arial" w:eastAsia="Arial" w:hAnsi="Arial"/>
            <w:sz w:val="18"/>
            <w:szCs w:val="18"/>
            <w:color w:val="auto"/>
          </w:rPr>
          <w:t>*4.9</w:t>
        </w:r>
      </w:hyperlink>
      <w:r>
        <w:rPr>
          <w:rFonts w:ascii="Arial" w:cs="Arial" w:eastAsia="Arial" w:hAnsi="Arial"/>
          <w:sz w:val="18"/>
          <w:szCs w:val="18"/>
          <w:color w:val="auto"/>
        </w:rPr>
        <w:tab/>
      </w:r>
      <w:hyperlink r:id="rId81">
        <w:r>
          <w:rPr>
            <w:rFonts w:ascii="Arial" w:cs="Arial" w:eastAsia="Arial" w:hAnsi="Arial"/>
            <w:sz w:val="18"/>
            <w:szCs w:val="18"/>
            <w:color w:val="auto"/>
          </w:rPr>
          <w:t>Form of Depositary Receipt representing 1/1,000th of a share of 7.00% Series C Fixed-to-Floating Rate Cumulative Redeemable Preferred Stock</w:t>
        </w:r>
      </w:hyperlink>
      <w:r>
        <w:rPr>
          <w:rFonts w:ascii="Arial" w:cs="Arial" w:eastAsia="Arial" w:hAnsi="Arial"/>
          <w:sz w:val="18"/>
          <w:szCs w:val="18"/>
          <w:color w:val="auto"/>
        </w:rPr>
        <w:t xml:space="preserve"> </w:t>
      </w:r>
      <w:hyperlink r:id="rId81">
        <w:r>
          <w:rPr>
            <w:rFonts w:ascii="Arial" w:cs="Arial" w:eastAsia="Arial" w:hAnsi="Arial"/>
            <w:sz w:val="18"/>
            <w:szCs w:val="18"/>
            <w:color w:val="auto"/>
          </w:rPr>
          <w:t>(included as part of Exhibit 4.8), incorporated herein by reference to Exhibit A of Exhibit 4.2 of Form 8-K (File No. 001-34057) filed</w:t>
        </w:r>
      </w:hyperlink>
      <w:r>
        <w:rPr>
          <w:rFonts w:ascii="Arial" w:cs="Arial" w:eastAsia="Arial" w:hAnsi="Arial"/>
          <w:sz w:val="18"/>
          <w:szCs w:val="18"/>
          <w:color w:val="auto"/>
        </w:rPr>
        <w:t xml:space="preserve"> </w:t>
      </w:r>
      <w:hyperlink r:id="rId81">
        <w:r>
          <w:rPr>
            <w:rFonts w:ascii="Arial" w:cs="Arial" w:eastAsia="Arial" w:hAnsi="Arial"/>
            <w:sz w:val="18"/>
            <w:szCs w:val="18"/>
            <w:color w:val="auto"/>
          </w:rPr>
          <w:t>August 22, 2017.</w:t>
        </w:r>
      </w:hyperlink>
    </w:p>
    <w:p>
      <w:pPr>
        <w:spacing w:after="0" w:line="130" w:lineRule="exact"/>
        <w:rPr>
          <w:rFonts w:ascii="Arial" w:cs="Arial" w:eastAsia="Arial" w:hAnsi="Arial"/>
          <w:sz w:val="18"/>
          <w:szCs w:val="18"/>
          <w:color w:val="auto"/>
        </w:rPr>
      </w:pPr>
    </w:p>
    <w:p>
      <w:pPr>
        <w:jc w:val="both"/>
        <w:ind w:left="660" w:hanging="1295"/>
        <w:spacing w:after="0" w:line="263" w:lineRule="auto"/>
        <w:tabs>
          <w:tab w:leader="none" w:pos="640" w:val="left"/>
        </w:tabs>
        <w:rPr>
          <w:rFonts w:ascii="Arial" w:cs="Arial" w:eastAsia="Arial" w:hAnsi="Arial"/>
          <w:sz w:val="18"/>
          <w:szCs w:val="18"/>
          <w:color w:val="auto"/>
        </w:rPr>
      </w:pPr>
      <w:hyperlink r:id="rId83">
        <w:r>
          <w:rPr>
            <w:rFonts w:ascii="Arial" w:cs="Arial" w:eastAsia="Arial" w:hAnsi="Arial"/>
            <w:sz w:val="18"/>
            <w:szCs w:val="18"/>
            <w:color w:val="auto"/>
          </w:rPr>
          <w:t>*4.10</w:t>
        </w:r>
      </w:hyperlink>
      <w:r>
        <w:rPr>
          <w:rFonts w:ascii="Arial" w:cs="Arial" w:eastAsia="Arial" w:hAnsi="Arial"/>
          <w:sz w:val="18"/>
          <w:szCs w:val="18"/>
          <w:color w:val="auto"/>
        </w:rPr>
        <w:tab/>
      </w:r>
      <w:hyperlink r:id="rId83">
        <w:r>
          <w:rPr>
            <w:rFonts w:ascii="Arial" w:cs="Arial" w:eastAsia="Arial" w:hAnsi="Arial"/>
            <w:sz w:val="18"/>
            <w:szCs w:val="18"/>
            <w:color w:val="auto"/>
          </w:rPr>
          <w:t>Deposit Agreement relating to 6.875% Series D Fixed-to-Floating Rate Cumulative Redeemable Preferred Stock, dated March 6, 2019, among</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reference to Exhibit 4.2 of Form 8-K (File No. 001-34057) filed March 6, 2019.</w:t>
        </w:r>
      </w:hyperlink>
    </w:p>
    <w:p>
      <w:pPr>
        <w:spacing w:after="0" w:line="130" w:lineRule="exact"/>
        <w:rPr>
          <w:rFonts w:ascii="Arial" w:cs="Arial" w:eastAsia="Arial" w:hAnsi="Arial"/>
          <w:sz w:val="18"/>
          <w:szCs w:val="18"/>
          <w:color w:val="auto"/>
        </w:rPr>
      </w:pPr>
    </w:p>
    <w:p>
      <w:pPr>
        <w:jc w:val="both"/>
        <w:ind w:left="600" w:hanging="1295"/>
        <w:spacing w:after="0" w:line="263" w:lineRule="auto"/>
        <w:tabs>
          <w:tab w:leader="none" w:pos="580" w:val="left"/>
        </w:tabs>
        <w:rPr>
          <w:rFonts w:ascii="Arial" w:cs="Arial" w:eastAsia="Arial" w:hAnsi="Arial"/>
          <w:sz w:val="18"/>
          <w:szCs w:val="18"/>
          <w:color w:val="auto"/>
        </w:rPr>
      </w:pPr>
      <w:hyperlink r:id="rId83">
        <w:r>
          <w:rPr>
            <w:rFonts w:ascii="Arial" w:cs="Arial" w:eastAsia="Arial" w:hAnsi="Arial"/>
            <w:sz w:val="18"/>
            <w:szCs w:val="18"/>
            <w:color w:val="auto"/>
          </w:rPr>
          <w:t>*4.11</w:t>
        </w:r>
      </w:hyperlink>
      <w:r>
        <w:rPr>
          <w:rFonts w:ascii="Arial" w:cs="Arial" w:eastAsia="Arial" w:hAnsi="Arial"/>
          <w:sz w:val="18"/>
          <w:szCs w:val="18"/>
          <w:color w:val="auto"/>
        </w:rPr>
        <w:tab/>
      </w:r>
      <w:hyperlink r:id="rId83">
        <w:r>
          <w:rPr>
            <w:rFonts w:ascii="Arial" w:cs="Arial" w:eastAsia="Arial" w:hAnsi="Arial"/>
            <w:sz w:val="18"/>
            <w:szCs w:val="18"/>
            <w:color w:val="auto"/>
          </w:rPr>
          <w:t>Form of Depositary Receipt representing 1/1,000th of a share of 6.875% Series D Fixed-to-Floating Rate Cumulative Redeemable Preferred Stock</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(included as part of Exhibit 4.10), incorporated herein by reference to Exhibit A of Exhibit 4.2 of Form 8-K (File No. 001-34057) filed</w:t>
        </w:r>
      </w:hyperlink>
      <w:r>
        <w:rPr>
          <w:rFonts w:ascii="Arial" w:cs="Arial" w:eastAsia="Arial" w:hAnsi="Arial"/>
          <w:sz w:val="18"/>
          <w:szCs w:val="18"/>
          <w:color w:val="auto"/>
        </w:rPr>
        <w:t xml:space="preserve"> </w:t>
      </w:r>
      <w:hyperlink r:id="rId83">
        <w:r>
          <w:rPr>
            <w:rFonts w:ascii="Arial" w:cs="Arial" w:eastAsia="Arial" w:hAnsi="Arial"/>
            <w:sz w:val="18"/>
            <w:szCs w:val="18"/>
            <w:color w:val="auto"/>
          </w:rPr>
          <w:t>March 6, 2019.</w:t>
        </w:r>
      </w:hyperlink>
    </w:p>
    <w:p>
      <w:pPr>
        <w:spacing w:after="0" w:line="130" w:lineRule="exact"/>
        <w:rPr>
          <w:rFonts w:ascii="Arial" w:cs="Arial" w:eastAsia="Arial" w:hAnsi="Arial"/>
          <w:sz w:val="18"/>
          <w:szCs w:val="18"/>
          <w:color w:val="auto"/>
        </w:rPr>
      </w:pPr>
    </w:p>
    <w:p>
      <w:pPr>
        <w:jc w:val="both"/>
        <w:ind w:left="600" w:right="320" w:hanging="1295"/>
        <w:spacing w:after="0" w:line="263" w:lineRule="auto"/>
        <w:tabs>
          <w:tab w:leader="none" w:pos="580" w:val="left"/>
        </w:tabs>
        <w:rPr>
          <w:rFonts w:ascii="Arial" w:cs="Arial" w:eastAsia="Arial" w:hAnsi="Arial"/>
          <w:sz w:val="18"/>
          <w:szCs w:val="18"/>
          <w:color w:val="auto"/>
        </w:rPr>
      </w:pPr>
      <w:hyperlink r:id="rId84">
        <w:r>
          <w:rPr>
            <w:rFonts w:ascii="Arial" w:cs="Arial" w:eastAsia="Arial" w:hAnsi="Arial"/>
            <w:sz w:val="18"/>
            <w:szCs w:val="18"/>
            <w:color w:val="auto"/>
          </w:rPr>
          <w:t>*4.12</w:t>
        </w:r>
      </w:hyperlink>
      <w:r>
        <w:rPr>
          <w:rFonts w:ascii="Arial" w:cs="Arial" w:eastAsia="Arial" w:hAnsi="Arial"/>
          <w:sz w:val="18"/>
          <w:szCs w:val="18"/>
          <w:color w:val="auto"/>
        </w:rPr>
        <w:tab/>
      </w:r>
      <w:hyperlink r:id="rId84">
        <w:r>
          <w:rPr>
            <w:rFonts w:ascii="Arial" w:cs="Arial" w:eastAsia="Arial" w:hAnsi="Arial"/>
            <w:sz w:val="18"/>
            <w:szCs w:val="18"/>
            <w:color w:val="auto"/>
          </w:rPr>
          <w:t>Deposit Agreement relating to 6.50% Series E Fixed-to-Floating Rate Cumulative Redeemable Preferred Stock, dated October 3, 2019, among</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reference to Exhibit 4.2 of Form 8-K (File No. 001-34057) filed October 3, 2019.</w:t>
        </w:r>
      </w:hyperlink>
    </w:p>
    <w:p>
      <w:pPr>
        <w:spacing w:after="0" w:line="130" w:lineRule="exact"/>
        <w:rPr>
          <w:rFonts w:ascii="Arial" w:cs="Arial" w:eastAsia="Arial" w:hAnsi="Arial"/>
          <w:sz w:val="18"/>
          <w:szCs w:val="18"/>
          <w:color w:val="auto"/>
        </w:rPr>
      </w:pPr>
    </w:p>
    <w:p>
      <w:pPr>
        <w:jc w:val="both"/>
        <w:ind w:left="600" w:right="200" w:hanging="1295"/>
        <w:spacing w:after="0" w:line="263" w:lineRule="auto"/>
        <w:tabs>
          <w:tab w:leader="none" w:pos="580" w:val="left"/>
        </w:tabs>
        <w:rPr>
          <w:rFonts w:ascii="Arial" w:cs="Arial" w:eastAsia="Arial" w:hAnsi="Arial"/>
          <w:sz w:val="18"/>
          <w:szCs w:val="18"/>
          <w:color w:val="auto"/>
        </w:rPr>
      </w:pPr>
      <w:hyperlink r:id="rId84">
        <w:r>
          <w:rPr>
            <w:rFonts w:ascii="Arial" w:cs="Arial" w:eastAsia="Arial" w:hAnsi="Arial"/>
            <w:sz w:val="18"/>
            <w:szCs w:val="18"/>
            <w:color w:val="auto"/>
          </w:rPr>
          <w:t>*4.13</w:t>
        </w:r>
      </w:hyperlink>
      <w:r>
        <w:rPr>
          <w:rFonts w:ascii="Arial" w:cs="Arial" w:eastAsia="Arial" w:hAnsi="Arial"/>
          <w:sz w:val="18"/>
          <w:szCs w:val="18"/>
          <w:color w:val="auto"/>
        </w:rPr>
        <w:tab/>
      </w:r>
      <w:hyperlink r:id="rId84">
        <w:r>
          <w:rPr>
            <w:rFonts w:ascii="Arial" w:cs="Arial" w:eastAsia="Arial" w:hAnsi="Arial"/>
            <w:sz w:val="18"/>
            <w:szCs w:val="18"/>
            <w:color w:val="auto"/>
          </w:rPr>
          <w:t>Form of Depositary Receipt representing 1/1,000th of a share of 6.50% Series E Fixed-to-Floating Rate Cumulative Redeemable Preferred Stock</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(included as part of Exhibit 4.12), incorporated herein by reference to Exhibit A of Exhibit 4.2 of Form 8-K (File No. 001-34057) filed</w:t>
        </w:r>
      </w:hyperlink>
      <w:r>
        <w:rPr>
          <w:rFonts w:ascii="Arial" w:cs="Arial" w:eastAsia="Arial" w:hAnsi="Arial"/>
          <w:sz w:val="18"/>
          <w:szCs w:val="18"/>
          <w:color w:val="auto"/>
        </w:rPr>
        <w:t xml:space="preserve"> </w:t>
      </w:r>
      <w:hyperlink r:id="rId84">
        <w:r>
          <w:rPr>
            <w:rFonts w:ascii="Arial" w:cs="Arial" w:eastAsia="Arial" w:hAnsi="Arial"/>
            <w:sz w:val="18"/>
            <w:szCs w:val="18"/>
            <w:color w:val="auto"/>
          </w:rPr>
          <w:t>October 3, 2019.</w:t>
        </w:r>
      </w:hyperlink>
    </w:p>
    <w:p>
      <w:pPr>
        <w:spacing w:after="0" w:line="130" w:lineRule="exact"/>
        <w:rPr>
          <w:rFonts w:ascii="Arial" w:cs="Arial" w:eastAsia="Arial" w:hAnsi="Arial"/>
          <w:sz w:val="18"/>
          <w:szCs w:val="18"/>
          <w:color w:val="auto"/>
        </w:rPr>
      </w:pPr>
    </w:p>
    <w:p>
      <w:pPr>
        <w:ind w:left="600" w:right="140" w:hanging="1295"/>
        <w:spacing w:after="0" w:line="263" w:lineRule="auto"/>
        <w:tabs>
          <w:tab w:leader="none" w:pos="580" w:val="left"/>
        </w:tabs>
        <w:rPr>
          <w:rFonts w:ascii="Arial" w:cs="Arial" w:eastAsia="Arial" w:hAnsi="Arial"/>
          <w:sz w:val="18"/>
          <w:szCs w:val="18"/>
          <w:color w:val="auto"/>
        </w:rPr>
      </w:pPr>
      <w:hyperlink r:id="rId85">
        <w:r>
          <w:rPr>
            <w:rFonts w:ascii="Arial" w:cs="Arial" w:eastAsia="Arial" w:hAnsi="Arial"/>
            <w:sz w:val="18"/>
            <w:szCs w:val="18"/>
            <w:color w:val="auto"/>
          </w:rPr>
          <w:t>*4.14</w:t>
        </w:r>
      </w:hyperlink>
      <w:r>
        <w:rPr>
          <w:rFonts w:ascii="Arial" w:cs="Arial" w:eastAsia="Arial" w:hAnsi="Arial"/>
          <w:sz w:val="18"/>
          <w:szCs w:val="18"/>
          <w:color w:val="auto"/>
        </w:rPr>
        <w:tab/>
      </w:r>
      <w:hyperlink r:id="rId85">
        <w:r>
          <w:rPr>
            <w:rFonts w:ascii="Arial" w:cs="Arial" w:eastAsia="Arial" w:hAnsi="Arial"/>
            <w:sz w:val="18"/>
            <w:szCs w:val="18"/>
            <w:color w:val="auto"/>
          </w:rPr>
          <w:t>Deposit Agreement relating to 6.125% Series F Fixed-to-Floating Rate Cumulative Redeemable Preferred Stock, dated February 11, 2020, among</w:t>
        </w:r>
      </w:hyperlink>
      <w:r>
        <w:rPr>
          <w:rFonts w:ascii="Arial" w:cs="Arial" w:eastAsia="Arial" w:hAnsi="Arial"/>
          <w:sz w:val="18"/>
          <w:szCs w:val="18"/>
          <w:color w:val="auto"/>
        </w:rPr>
        <w:t xml:space="preserve"> </w:t>
      </w:r>
      <w:hyperlink r:id="rId85">
        <w:r>
          <w:rPr>
            <w:rFonts w:ascii="Arial" w:cs="Arial" w:eastAsia="Arial" w:hAnsi="Arial"/>
            <w:sz w:val="18"/>
            <w:szCs w:val="18"/>
            <w:color w:val="auto"/>
          </w:rPr>
          <w:t>AGNC Investment Corp., Computershare Inc. and Computershare Trust Company, N.A., jointly as depositary, incorporated herein by</w:t>
        </w:r>
      </w:hyperlink>
      <w:r>
        <w:rPr>
          <w:rFonts w:ascii="Arial" w:cs="Arial" w:eastAsia="Arial" w:hAnsi="Arial"/>
          <w:sz w:val="18"/>
          <w:szCs w:val="18"/>
          <w:color w:val="auto"/>
        </w:rPr>
        <w:t xml:space="preserve"> </w:t>
      </w:r>
      <w:hyperlink r:id="rId85">
        <w:r>
          <w:rPr>
            <w:rFonts w:ascii="Arial" w:cs="Arial" w:eastAsia="Arial" w:hAnsi="Arial"/>
            <w:sz w:val="18"/>
            <w:szCs w:val="18"/>
            <w:color w:val="auto"/>
          </w:rPr>
          <w:t>reference to Exhibit 4.1 of Form 8-K (File No. 001-34057) filed February 11, 2020.</w:t>
        </w:r>
      </w:hyperlink>
    </w:p>
    <w:p>
      <w:pPr>
        <w:spacing w:after="0" w:line="130" w:lineRule="exact"/>
        <w:rPr>
          <w:rFonts w:ascii="Arial" w:cs="Arial" w:eastAsia="Arial" w:hAnsi="Arial"/>
          <w:sz w:val="18"/>
          <w:szCs w:val="18"/>
          <w:color w:val="auto"/>
        </w:rPr>
      </w:pPr>
    </w:p>
    <w:p>
      <w:pPr>
        <w:ind w:left="600" w:right="120" w:hanging="1295"/>
        <w:spacing w:after="0" w:line="263" w:lineRule="auto"/>
        <w:tabs>
          <w:tab w:leader="none" w:pos="580" w:val="left"/>
        </w:tabs>
        <w:rPr>
          <w:rFonts w:ascii="Arial" w:cs="Arial" w:eastAsia="Arial" w:hAnsi="Arial"/>
          <w:sz w:val="18"/>
          <w:szCs w:val="18"/>
          <w:color w:val="auto"/>
        </w:rPr>
      </w:pPr>
      <w:hyperlink r:id="rId85">
        <w:r>
          <w:rPr>
            <w:rFonts w:ascii="Arial" w:cs="Arial" w:eastAsia="Arial" w:hAnsi="Arial"/>
            <w:sz w:val="18"/>
            <w:szCs w:val="18"/>
            <w:color w:val="auto"/>
          </w:rPr>
          <w:t>*4.15</w:t>
        </w:r>
      </w:hyperlink>
      <w:r>
        <w:rPr>
          <w:rFonts w:ascii="Arial" w:cs="Arial" w:eastAsia="Arial" w:hAnsi="Arial"/>
          <w:sz w:val="18"/>
          <w:szCs w:val="18"/>
          <w:color w:val="auto"/>
        </w:rPr>
        <w:tab/>
      </w:r>
      <w:hyperlink r:id="rId85">
        <w:r>
          <w:rPr>
            <w:rFonts w:ascii="Arial" w:cs="Arial" w:eastAsia="Arial" w:hAnsi="Arial"/>
            <w:sz w:val="18"/>
            <w:szCs w:val="18"/>
            <w:color w:val="auto"/>
          </w:rPr>
          <w:t>Form of Depositary Receipt representing 1/1,000th of a share of 6.125% Series F Fixed-to-Floating Rate Cumulative Redeemable Preferred Stock</w:t>
        </w:r>
      </w:hyperlink>
      <w:r>
        <w:rPr>
          <w:rFonts w:ascii="Arial" w:cs="Arial" w:eastAsia="Arial" w:hAnsi="Arial"/>
          <w:sz w:val="18"/>
          <w:szCs w:val="18"/>
          <w:color w:val="auto"/>
        </w:rPr>
        <w:t xml:space="preserve"> </w:t>
      </w:r>
      <w:hyperlink r:id="rId85">
        <w:r>
          <w:rPr>
            <w:rFonts w:ascii="Arial" w:cs="Arial" w:eastAsia="Arial" w:hAnsi="Arial"/>
            <w:sz w:val="18"/>
            <w:szCs w:val="18"/>
            <w:color w:val="auto"/>
          </w:rPr>
          <w:t>(included as part of Exhibit 4.14), incorporated herein by reference to Exhibit A of Exhibit 4.1 of Form 8-K (File No. 001-34057) filed</w:t>
        </w:r>
      </w:hyperlink>
      <w:r>
        <w:rPr>
          <w:rFonts w:ascii="Arial" w:cs="Arial" w:eastAsia="Arial" w:hAnsi="Arial"/>
          <w:sz w:val="18"/>
          <w:szCs w:val="18"/>
          <w:color w:val="auto"/>
        </w:rPr>
        <w:t xml:space="preserve"> </w:t>
      </w:r>
      <w:hyperlink r:id="rId85">
        <w:r>
          <w:rPr>
            <w:rFonts w:ascii="Arial" w:cs="Arial" w:eastAsia="Arial" w:hAnsi="Arial"/>
            <w:sz w:val="18"/>
            <w:szCs w:val="18"/>
            <w:color w:val="auto"/>
          </w:rPr>
          <w:t>February 11, 2020.</w:t>
        </w:r>
      </w:hyperlink>
    </w:p>
    <w:p>
      <w:pPr>
        <w:spacing w:after="0" w:line="130" w:lineRule="exact"/>
        <w:rPr>
          <w:rFonts w:ascii="Arial" w:cs="Arial" w:eastAsia="Arial" w:hAnsi="Arial"/>
          <w:sz w:val="18"/>
          <w:szCs w:val="18"/>
          <w:color w:val="auto"/>
        </w:rPr>
      </w:pPr>
    </w:p>
    <w:p>
      <w:pPr>
        <w:spacing w:after="0"/>
        <w:tabs>
          <w:tab w:leader="none" w:pos="480" w:val="left"/>
        </w:tabs>
        <w:rPr>
          <w:rFonts w:ascii="Arial" w:cs="Arial" w:eastAsia="Arial" w:hAnsi="Arial"/>
          <w:sz w:val="16"/>
          <w:szCs w:val="16"/>
          <w:color w:val="auto"/>
        </w:rPr>
      </w:pPr>
      <w:hyperlink w:anchor="page54">
        <w:r>
          <w:rPr>
            <w:rFonts w:ascii="Arial" w:cs="Arial" w:eastAsia="Arial" w:hAnsi="Arial"/>
            <w:sz w:val="18"/>
            <w:szCs w:val="18"/>
            <w:color w:val="auto"/>
          </w:rPr>
          <w:t>31.1</w:t>
        </w:r>
      </w:hyperlink>
      <w:r>
        <w:rPr>
          <w:rFonts w:ascii="Arial" w:cs="Arial" w:eastAsia="Arial" w:hAnsi="Arial"/>
          <w:sz w:val="18"/>
          <w:szCs w:val="18"/>
          <w:color w:val="auto"/>
        </w:rPr>
        <w:tab/>
      </w:r>
      <w:hyperlink w:anchor="page54">
        <w:r>
          <w:rPr>
            <w:rFonts w:ascii="Arial" w:cs="Arial" w:eastAsia="Arial" w:hAnsi="Arial"/>
            <w:sz w:val="16"/>
            <w:szCs w:val="16"/>
            <w:color w:val="auto"/>
          </w:rPr>
          <w:t>Certification of CEO Pursuant to Section 302(a) of the Sarbanes-Oxley Act of 2002.</w:t>
        </w:r>
      </w:hyperlink>
    </w:p>
    <w:p>
      <w:pPr>
        <w:spacing w:after="0" w:line="171" w:lineRule="exact"/>
        <w:rPr>
          <w:sz w:val="20"/>
          <w:szCs w:val="20"/>
          <w:color w:val="auto"/>
        </w:rPr>
      </w:pPr>
    </w:p>
    <w:p>
      <w:pPr>
        <w:spacing w:after="0"/>
        <w:tabs>
          <w:tab w:leader="none" w:pos="480" w:val="left"/>
        </w:tabs>
        <w:rPr>
          <w:rFonts w:ascii="Arial" w:cs="Arial" w:eastAsia="Arial" w:hAnsi="Arial"/>
          <w:sz w:val="16"/>
          <w:szCs w:val="16"/>
          <w:color w:val="auto"/>
        </w:rPr>
      </w:pPr>
      <w:hyperlink w:anchor="page55">
        <w:r>
          <w:rPr>
            <w:rFonts w:ascii="Arial" w:cs="Arial" w:eastAsia="Arial" w:hAnsi="Arial"/>
            <w:sz w:val="18"/>
            <w:szCs w:val="18"/>
            <w:color w:val="auto"/>
          </w:rPr>
          <w:t>31.2</w:t>
        </w:r>
      </w:hyperlink>
      <w:r>
        <w:rPr>
          <w:rFonts w:ascii="Arial" w:cs="Arial" w:eastAsia="Arial" w:hAnsi="Arial"/>
          <w:sz w:val="18"/>
          <w:szCs w:val="18"/>
          <w:color w:val="auto"/>
        </w:rPr>
        <w:tab/>
      </w:r>
      <w:hyperlink w:anchor="page55">
        <w:r>
          <w:rPr>
            <w:rFonts w:ascii="Arial" w:cs="Arial" w:eastAsia="Arial" w:hAnsi="Arial"/>
            <w:sz w:val="16"/>
            <w:szCs w:val="16"/>
            <w:color w:val="auto"/>
          </w:rPr>
          <w:t>Certification of CFO Pursuant to Section 302(a) of the Sarbanes-Oxley Act of 2002.</w:t>
        </w:r>
      </w:hyperlink>
    </w:p>
    <w:p>
      <w:pPr>
        <w:spacing w:after="0" w:line="171" w:lineRule="exact"/>
        <w:rPr>
          <w:sz w:val="20"/>
          <w:szCs w:val="20"/>
          <w:color w:val="auto"/>
        </w:rPr>
      </w:pPr>
    </w:p>
    <w:p>
      <w:pPr>
        <w:spacing w:after="0"/>
        <w:tabs>
          <w:tab w:leader="none" w:pos="340" w:val="left"/>
        </w:tabs>
        <w:rPr>
          <w:rFonts w:ascii="Arial" w:cs="Arial" w:eastAsia="Arial" w:hAnsi="Arial"/>
          <w:sz w:val="16"/>
          <w:szCs w:val="16"/>
          <w:color w:val="auto"/>
        </w:rPr>
      </w:pPr>
      <w:r>
        <w:rPr>
          <w:rFonts w:ascii="Arial" w:cs="Arial" w:eastAsia="Arial" w:hAnsi="Arial"/>
          <w:sz w:val="18"/>
          <w:szCs w:val="18"/>
          <w:color w:val="auto"/>
        </w:rPr>
        <w:t>32</w:t>
      </w:r>
      <w:r>
        <w:rPr>
          <w:sz w:val="20"/>
          <w:szCs w:val="20"/>
          <w:color w:val="auto"/>
        </w:rPr>
        <w:tab/>
      </w:r>
      <w:hyperlink w:anchor="page56">
        <w:r>
          <w:rPr>
            <w:rFonts w:ascii="Arial" w:cs="Arial" w:eastAsia="Arial" w:hAnsi="Arial"/>
            <w:sz w:val="16"/>
            <w:szCs w:val="16"/>
            <w:color w:val="auto"/>
          </w:rPr>
          <w:t>Certification of CEO and CFO Pursuant to Section 906 of the Sarbanes-Oxley Act of 2002.</w:t>
        </w:r>
      </w:hyperlink>
    </w:p>
    <w:p>
      <w:pPr>
        <w:sectPr>
          <w:pgSz w:w="11900" w:h="16838" w:orient="portrait"/>
          <w:cols w:equalWidth="0" w:num="1">
            <w:col w:w="11240"/>
          </w:cols>
          <w:pgMar w:left="320" w:top="1057" w:right="339" w:bottom="1440" w:gutter="0" w:footer="0" w:header="0"/>
        </w:sectPr>
      </w:pP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color w:val="auto"/>
        </w:rPr>
        <w:t>The instance document does not appear in the interactive data file because its XBRL tags are embedded within the inline XBRL document</w:t>
      </w:r>
    </w:p>
    <w:p>
      <w:pPr>
        <w:spacing w:after="0" w:line="193" w:lineRule="exact"/>
        <w:rPr>
          <w:sz w:val="20"/>
          <w:szCs w:val="20"/>
          <w:color w:val="auto"/>
        </w:rPr>
      </w:pPr>
    </w:p>
    <w:p>
      <w:pPr>
        <w:sectPr>
          <w:pgSz w:w="11900" w:h="16838" w:orient="portrait"/>
          <w:cols w:equalWidth="0" w:num="2">
            <w:col w:w="800" w:space="160"/>
            <w:col w:w="10280"/>
          </w:cols>
          <w:pgMar w:left="320" w:top="1057"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Schema Document</w:t>
      </w:r>
    </w:p>
    <w:p>
      <w:pPr>
        <w:spacing w:after="0" w:line="194" w:lineRule="exact"/>
        <w:rPr>
          <w:sz w:val="20"/>
          <w:szCs w:val="20"/>
          <w:color w:val="auto"/>
        </w:rPr>
      </w:pPr>
    </w:p>
    <w:p>
      <w:pPr>
        <w:sectPr>
          <w:pgSz w:w="11900" w:h="16838" w:orient="portrait"/>
          <w:cols w:equalWidth="0" w:num="2">
            <w:col w:w="860" w:space="180"/>
            <w:col w:w="10200"/>
          </w:cols>
          <w:pgMar w:left="320" w:top="1057" w:right="339" w:bottom="1440" w:gutter="0" w:footer="0" w:header="0"/>
          <w:type w:val="continuous"/>
        </w:sect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93" w:lineRule="exact"/>
        <w:rPr>
          <w:sz w:val="20"/>
          <w:szCs w:val="20"/>
          <w:color w:val="auto"/>
        </w:rPr>
      </w:pPr>
    </w:p>
    <w:p>
      <w:pPr>
        <w:sectPr>
          <w:pgSz w:w="11900" w:h="16838" w:orient="portrait"/>
          <w:cols w:equalWidth="0" w:num="2">
            <w:col w:w="860" w:space="180"/>
            <w:col w:w="10200"/>
          </w:cols>
          <w:pgMar w:left="320" w:top="1057" w:right="339" w:bottom="1440" w:gutter="0" w:footer="0" w:header="0"/>
          <w:type w:val="continuous"/>
        </w:sect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93" w:lineRule="exact"/>
        <w:rPr>
          <w:sz w:val="20"/>
          <w:szCs w:val="20"/>
          <w:color w:val="auto"/>
        </w:rPr>
      </w:pPr>
    </w:p>
    <w:p>
      <w:pPr>
        <w:sectPr>
          <w:pgSz w:w="11900" w:h="16838" w:orient="portrait"/>
          <w:cols w:equalWidth="0" w:num="2">
            <w:col w:w="860" w:space="180"/>
            <w:col w:w="10200"/>
          </w:cols>
          <w:pgMar w:left="320" w:top="1057"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194" w:lineRule="exact"/>
        <w:rPr>
          <w:sz w:val="20"/>
          <w:szCs w:val="20"/>
          <w:color w:val="auto"/>
        </w:rPr>
      </w:pPr>
    </w:p>
    <w:p>
      <w:pPr>
        <w:sectPr>
          <w:pgSz w:w="11900" w:h="16838" w:orient="portrait"/>
          <w:cols w:equalWidth="0" w:num="2">
            <w:col w:w="840" w:space="180"/>
            <w:col w:w="10220"/>
          </w:cols>
          <w:pgMar w:left="320" w:top="1057"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43" w:lineRule="exact"/>
        <w:rPr>
          <w:sz w:val="20"/>
          <w:szCs w:val="20"/>
          <w:color w:val="auto"/>
        </w:rPr>
      </w:pPr>
    </w:p>
    <w:p>
      <w:pPr>
        <w:sectPr>
          <w:pgSz w:w="11900" w:h="16838" w:orient="portrait"/>
          <w:cols w:equalWidth="0" w:num="2">
            <w:col w:w="840" w:space="180"/>
            <w:col w:w="10220"/>
          </w:cols>
          <w:pgMar w:left="320" w:top="1057" w:right="339" w:bottom="1440" w:gutter="0" w:footer="0" w:header="0"/>
          <w:type w:val="continuous"/>
        </w:sectPr>
      </w:pPr>
    </w:p>
    <w:p>
      <w:pPr>
        <w:spacing w:after="0"/>
        <w:rPr>
          <w:sz w:val="20"/>
          <w:szCs w:val="20"/>
          <w:color w:val="auto"/>
        </w:rPr>
      </w:pPr>
      <w:r>
        <w:rPr>
          <w:rFonts w:ascii="Arial" w:cs="Arial" w:eastAsia="Arial" w:hAnsi="Arial"/>
          <w:sz w:val="11"/>
          <w:szCs w:val="11"/>
          <w:color w:val="auto"/>
        </w:rPr>
        <w:t>________________________________</w:t>
      </w: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Previously filed</w:t>
      </w:r>
    </w:p>
    <w:p>
      <w:pPr>
        <w:spacing w:after="0" w:line="7" w:lineRule="exact"/>
        <w:rPr>
          <w:sz w:val="20"/>
          <w:szCs w:val="20"/>
          <w:color w:val="auto"/>
        </w:rPr>
      </w:pPr>
    </w:p>
    <w:p>
      <w:pPr>
        <w:ind w:left="660" w:right="360" w:hanging="652"/>
        <w:spacing w:after="0" w:line="260" w:lineRule="auto"/>
        <w:tabs>
          <w:tab w:leader="none" w:pos="369"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This exhibit is being furnished rather than filed, and shall not be deemed incorporated by reference into any filing, in accordance with Item 601 of Regulation S-K</w:t>
      </w:r>
    </w:p>
    <w:p>
      <w:pPr>
        <w:spacing w:after="0" w:line="212" w:lineRule="exact"/>
        <w:rPr>
          <w:sz w:val="20"/>
          <w:szCs w:val="20"/>
          <w:color w:val="auto"/>
        </w:rPr>
      </w:pPr>
    </w:p>
    <w:p>
      <w:pPr>
        <w:ind w:left="460"/>
        <w:spacing w:after="0"/>
        <w:tabs>
          <w:tab w:leader="none" w:pos="820" w:val="left"/>
        </w:tabs>
        <w:rPr>
          <w:sz w:val="20"/>
          <w:szCs w:val="20"/>
          <w:color w:val="auto"/>
        </w:rPr>
      </w:pPr>
      <w:r>
        <w:rPr>
          <w:rFonts w:ascii="Arial" w:cs="Arial" w:eastAsia="Arial" w:hAnsi="Arial"/>
          <w:sz w:val="18"/>
          <w:szCs w:val="18"/>
          <w:color w:val="auto"/>
        </w:rPr>
        <w:t>(b)</w:t>
      </w:r>
      <w:r>
        <w:rPr>
          <w:sz w:val="20"/>
          <w:szCs w:val="20"/>
          <w:color w:val="auto"/>
        </w:rPr>
        <w:tab/>
      </w:r>
      <w:r>
        <w:rPr>
          <w:rFonts w:ascii="Arial" w:cs="Arial" w:eastAsia="Arial" w:hAnsi="Arial"/>
          <w:sz w:val="17"/>
          <w:szCs w:val="17"/>
          <w:color w:val="auto"/>
        </w:rPr>
        <w:t>Exhibits</w:t>
      </w:r>
    </w:p>
    <w:p>
      <w:pPr>
        <w:spacing w:after="0" w:line="23" w:lineRule="exact"/>
        <w:rPr>
          <w:sz w:val="20"/>
          <w:szCs w:val="20"/>
          <w:color w:val="auto"/>
        </w:rPr>
      </w:pPr>
    </w:p>
    <w:p>
      <w:pPr>
        <w:ind w:left="820"/>
        <w:spacing w:after="0"/>
        <w:rPr>
          <w:sz w:val="20"/>
          <w:szCs w:val="20"/>
          <w:color w:val="auto"/>
        </w:rPr>
      </w:pPr>
      <w:r>
        <w:rPr>
          <w:rFonts w:ascii="Arial" w:cs="Arial" w:eastAsia="Arial" w:hAnsi="Arial"/>
          <w:sz w:val="18"/>
          <w:szCs w:val="18"/>
          <w:color w:val="auto"/>
        </w:rPr>
        <w:t>See the exhibits filed herewith.</w:t>
      </w:r>
    </w:p>
    <w:p>
      <w:pPr>
        <w:spacing w:after="0" w:line="211" w:lineRule="exact"/>
        <w:rPr>
          <w:sz w:val="20"/>
          <w:szCs w:val="20"/>
          <w:color w:val="auto"/>
        </w:rPr>
      </w:pPr>
    </w:p>
    <w:p>
      <w:pPr>
        <w:ind w:left="680" w:right="7500" w:hanging="227"/>
        <w:spacing w:after="0" w:line="277" w:lineRule="auto"/>
        <w:tabs>
          <w:tab w:leader="none" w:pos="825"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Additional financial statement schedules None.</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type w:val="continuous"/>
        </w:sectPr>
      </w:pPr>
    </w:p>
    <w:bookmarkStart w:id="52" w:name="page53"/>
    <w:bookmarkEnd w:id="52"/>
    <w:p>
      <w:pPr>
        <w:jc w:val="center"/>
        <w:ind w:right="-5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ind w:firstLine="445"/>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84"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AGNC I</w:t>
      </w:r>
      <w:r>
        <w:rPr>
          <w:rFonts w:ascii="Arial" w:cs="Arial" w:eastAsia="Arial" w:hAnsi="Arial"/>
          <w:sz w:val="14"/>
          <w:szCs w:val="14"/>
          <w:color w:val="auto"/>
        </w:rPr>
        <w:t>NVESTMENT</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77" w:lineRule="exact"/>
        <w:rPr>
          <w:sz w:val="20"/>
          <w:szCs w:val="20"/>
          <w:color w:val="auto"/>
        </w:rPr>
      </w:pPr>
    </w:p>
    <w:p>
      <w:pPr>
        <w:ind w:left="5540"/>
        <w:spacing w:after="0"/>
        <w:tabs>
          <w:tab w:leader="none" w:pos="7900" w:val="left"/>
          <w:tab w:leader="none" w:pos="8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14605</wp:posOffset>
            </wp:positionV>
            <wp:extent cx="326580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jc w:val="center"/>
        <w:ind w:left="6020"/>
        <w:spacing w:after="0"/>
        <w:rPr>
          <w:sz w:val="20"/>
          <w:szCs w:val="20"/>
          <w:color w:val="auto"/>
        </w:rPr>
      </w:pPr>
      <w:r>
        <w:rPr>
          <w:rFonts w:ascii="Arial" w:cs="Arial" w:eastAsia="Arial" w:hAnsi="Arial"/>
          <w:sz w:val="14"/>
          <w:szCs w:val="14"/>
          <w:b w:val="1"/>
          <w:bCs w:val="1"/>
          <w:color w:val="auto"/>
        </w:rPr>
        <w:t>Gary D. Kain</w:t>
      </w:r>
    </w:p>
    <w:p>
      <w:pPr>
        <w:jc w:val="center"/>
        <w:ind w:left="5980"/>
        <w:spacing w:after="0" w:line="201" w:lineRule="auto"/>
        <w:rPr>
          <w:sz w:val="20"/>
          <w:szCs w:val="20"/>
          <w:color w:val="auto"/>
        </w:rPr>
      </w:pPr>
      <w:r>
        <w:rPr>
          <w:rFonts w:ascii="Arial" w:cs="Arial" w:eastAsia="Arial" w:hAnsi="Arial"/>
          <w:sz w:val="14"/>
          <w:szCs w:val="14"/>
          <w:b w:val="1"/>
          <w:bCs w:val="1"/>
          <w:color w:val="auto"/>
        </w:rPr>
        <w:t>Chief Executive Officer and</w:t>
      </w:r>
    </w:p>
    <w:p>
      <w:pPr>
        <w:jc w:val="center"/>
        <w:ind w:left="6020"/>
        <w:spacing w:after="0"/>
        <w:rPr>
          <w:sz w:val="20"/>
          <w:szCs w:val="20"/>
          <w:color w:val="auto"/>
        </w:rPr>
      </w:pPr>
      <w:r>
        <w:rPr>
          <w:rFonts w:ascii="Arial" w:cs="Arial" w:eastAsia="Arial" w:hAnsi="Arial"/>
          <w:sz w:val="14"/>
          <w:szCs w:val="14"/>
          <w:b w:val="1"/>
          <w:bCs w:val="1"/>
          <w:color w:val="auto"/>
        </w:rPr>
        <w:t>Chief Investment Officer (Principal Executive Officer)</w:t>
      </w:r>
    </w:p>
    <w:p>
      <w:pPr>
        <w:spacing w:after="0" w:line="20" w:lineRule="exact"/>
        <w:rPr>
          <w:sz w:val="20"/>
          <w:szCs w:val="20"/>
          <w:color w:val="auto"/>
        </w:rPr>
      </w:pPr>
    </w:p>
    <w:p>
      <w:pPr>
        <w:ind w:left="60"/>
        <w:spacing w:after="0"/>
        <w:tabs>
          <w:tab w:leader="none" w:pos="620" w:val="left"/>
        </w:tabs>
        <w:rPr>
          <w:sz w:val="20"/>
          <w:szCs w:val="20"/>
          <w:color w:val="auto"/>
        </w:rPr>
      </w:pPr>
      <w:r>
        <w:rPr>
          <w:rFonts w:ascii="Arial" w:cs="Arial" w:eastAsia="Arial" w:hAnsi="Arial"/>
          <w:sz w:val="18"/>
          <w:szCs w:val="18"/>
          <w:color w:val="auto"/>
        </w:rPr>
        <w:t>Date:</w:t>
        <w:tab/>
        <w:t>November 5, 2020</w:t>
      </w:r>
    </w:p>
    <w:p>
      <w:pPr>
        <w:spacing w:after="0" w:line="293" w:lineRule="exact"/>
        <w:rPr>
          <w:sz w:val="20"/>
          <w:szCs w:val="20"/>
          <w:color w:val="auto"/>
        </w:rPr>
      </w:pPr>
    </w:p>
    <w:p>
      <w:pPr>
        <w:ind w:left="5540"/>
        <w:spacing w:after="0"/>
        <w:tabs>
          <w:tab w:leader="none" w:pos="7820" w:val="left"/>
          <w:tab w:leader="none" w:pos="8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14605</wp:posOffset>
            </wp:positionV>
            <wp:extent cx="326580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8">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ind w:left="8180"/>
        <w:spacing w:after="0"/>
        <w:rPr>
          <w:sz w:val="20"/>
          <w:szCs w:val="20"/>
          <w:color w:val="auto"/>
        </w:rPr>
      </w:pPr>
      <w:r>
        <w:rPr>
          <w:rFonts w:ascii="Arial" w:cs="Arial" w:eastAsia="Arial" w:hAnsi="Arial"/>
          <w:sz w:val="14"/>
          <w:szCs w:val="14"/>
          <w:b w:val="1"/>
          <w:bCs w:val="1"/>
          <w:color w:val="auto"/>
        </w:rPr>
        <w:t>Bernice E. Bell</w:t>
      </w:r>
    </w:p>
    <w:p>
      <w:pPr>
        <w:ind w:left="7840"/>
        <w:spacing w:after="0" w:line="201" w:lineRule="auto"/>
        <w:rPr>
          <w:sz w:val="20"/>
          <w:szCs w:val="20"/>
          <w:color w:val="auto"/>
        </w:rPr>
      </w:pPr>
      <w:r>
        <w:rPr>
          <w:rFonts w:ascii="Arial" w:cs="Arial" w:eastAsia="Arial" w:hAnsi="Arial"/>
          <w:sz w:val="14"/>
          <w:szCs w:val="14"/>
          <w:b w:val="1"/>
          <w:bCs w:val="1"/>
          <w:color w:val="auto"/>
        </w:rPr>
        <w:t>Senior Vice President and</w:t>
      </w:r>
    </w:p>
    <w:p>
      <w:pPr>
        <w:ind w:left="6260"/>
        <w:spacing w:after="0" w:line="217" w:lineRule="auto"/>
        <w:rPr>
          <w:sz w:val="20"/>
          <w:szCs w:val="20"/>
          <w:color w:val="auto"/>
        </w:rPr>
      </w:pPr>
      <w:r>
        <w:rPr>
          <w:rFonts w:ascii="Arial" w:cs="Arial" w:eastAsia="Arial" w:hAnsi="Arial"/>
          <w:sz w:val="13"/>
          <w:szCs w:val="13"/>
          <w:b w:val="1"/>
          <w:bCs w:val="1"/>
          <w:color w:val="auto"/>
        </w:rPr>
        <w:t>Chief Financial Officer (Principal Financial Officer and Principal Accounting</w:t>
      </w:r>
    </w:p>
    <w:p>
      <w:pPr>
        <w:ind w:left="8400"/>
        <w:spacing w:after="0"/>
        <w:rPr>
          <w:sz w:val="20"/>
          <w:szCs w:val="20"/>
          <w:color w:val="auto"/>
        </w:rPr>
      </w:pPr>
      <w:r>
        <w:rPr>
          <w:rFonts w:ascii="Arial" w:cs="Arial" w:eastAsia="Arial" w:hAnsi="Arial"/>
          <w:sz w:val="14"/>
          <w:szCs w:val="14"/>
          <w:b w:val="1"/>
          <w:bCs w:val="1"/>
          <w:color w:val="auto"/>
        </w:rPr>
        <w:t>Officer)</w:t>
      </w:r>
    </w:p>
    <w:p>
      <w:pPr>
        <w:spacing w:after="0" w:line="20" w:lineRule="exact"/>
        <w:rPr>
          <w:sz w:val="20"/>
          <w:szCs w:val="20"/>
          <w:color w:val="auto"/>
        </w:rPr>
      </w:pPr>
    </w:p>
    <w:p>
      <w:pPr>
        <w:ind w:left="60"/>
        <w:spacing w:after="0"/>
        <w:tabs>
          <w:tab w:leader="none" w:pos="620" w:val="left"/>
        </w:tabs>
        <w:rPr>
          <w:sz w:val="20"/>
          <w:szCs w:val="20"/>
          <w:color w:val="auto"/>
        </w:rPr>
      </w:pPr>
      <w:r>
        <w:rPr>
          <w:rFonts w:ascii="Arial" w:cs="Arial" w:eastAsia="Arial" w:hAnsi="Arial"/>
          <w:sz w:val="18"/>
          <w:szCs w:val="18"/>
          <w:color w:val="auto"/>
        </w:rPr>
        <w:t>Date:</w:t>
        <w:tab/>
        <w:t>November 5,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180"/>
          </w:cols>
          <w:pgMar w:left="320" w:top="891" w:right="39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color w:val="auto"/>
        </w:rPr>
        <w:t>Exhibit 31.1</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I, Gary D. Kain, certify that:</w:t>
      </w:r>
    </w:p>
    <w:p>
      <w:pPr>
        <w:spacing w:after="0" w:line="158" w:lineRule="exact"/>
        <w:rPr>
          <w:sz w:val="20"/>
          <w:szCs w:val="20"/>
          <w:color w:val="auto"/>
        </w:rPr>
      </w:pPr>
    </w:p>
    <w:p>
      <w:pPr>
        <w:ind w:left="760" w:hanging="307"/>
        <w:spacing w:after="0"/>
        <w:tabs>
          <w:tab w:leader="none" w:pos="7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ind w:left="860" w:hanging="407"/>
        <w:spacing w:after="0" w:line="263" w:lineRule="auto"/>
        <w:tabs>
          <w:tab w:leader="none" w:pos="77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8"/>
          <w:szCs w:val="18"/>
          <w:color w:val="auto"/>
        </w:rPr>
      </w:pPr>
    </w:p>
    <w:p>
      <w:pPr>
        <w:ind w:left="860" w:hanging="407"/>
        <w:spacing w:after="0" w:line="308" w:lineRule="auto"/>
        <w:tabs>
          <w:tab w:leader="none" w:pos="808" w:val="left"/>
        </w:tabs>
        <w:numPr>
          <w:ilvl w:val="0"/>
          <w:numId w:val="3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8" w:lineRule="exact"/>
        <w:rPr>
          <w:rFonts w:ascii="Arial" w:cs="Arial" w:eastAsia="Arial" w:hAnsi="Arial"/>
          <w:sz w:val="17"/>
          <w:szCs w:val="17"/>
          <w:color w:val="auto"/>
        </w:rPr>
      </w:pPr>
    </w:p>
    <w:p>
      <w:pPr>
        <w:jc w:val="both"/>
        <w:ind w:left="860" w:hanging="407"/>
        <w:spacing w:after="0" w:line="291" w:lineRule="auto"/>
        <w:tabs>
          <w:tab w:leader="none" w:pos="804"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43" w:lineRule="exact"/>
        <w:rPr>
          <w:rFonts w:ascii="Arial" w:cs="Arial" w:eastAsia="Arial" w:hAnsi="Arial"/>
          <w:sz w:val="16"/>
          <w:szCs w:val="16"/>
          <w:color w:val="auto"/>
        </w:rPr>
      </w:pPr>
    </w:p>
    <w:p>
      <w:pPr>
        <w:jc w:val="both"/>
        <w:ind w:left="1420" w:hanging="400"/>
        <w:spacing w:after="0" w:line="263" w:lineRule="auto"/>
        <w:tabs>
          <w:tab w:leader="none" w:pos="1534"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6" w:lineRule="exact"/>
        <w:rPr>
          <w:rFonts w:ascii="Arial" w:cs="Arial" w:eastAsia="Arial" w:hAnsi="Arial"/>
          <w:sz w:val="18"/>
          <w:szCs w:val="18"/>
          <w:color w:val="auto"/>
        </w:rPr>
      </w:pPr>
    </w:p>
    <w:p>
      <w:pPr>
        <w:jc w:val="both"/>
        <w:ind w:left="1420" w:hanging="400"/>
        <w:spacing w:after="0" w:line="263" w:lineRule="auto"/>
        <w:tabs>
          <w:tab w:leader="none" w:pos="1407" w:val="left"/>
        </w:tabs>
        <w:numPr>
          <w:ilvl w:val="1"/>
          <w:numId w:val="3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6" w:lineRule="exact"/>
        <w:rPr>
          <w:rFonts w:ascii="Arial" w:cs="Arial" w:eastAsia="Arial" w:hAnsi="Arial"/>
          <w:sz w:val="18"/>
          <w:szCs w:val="18"/>
          <w:color w:val="auto"/>
        </w:rPr>
      </w:pPr>
    </w:p>
    <w:p>
      <w:pPr>
        <w:ind w:left="1420" w:hanging="400"/>
        <w:spacing w:after="0" w:line="342" w:lineRule="auto"/>
        <w:tabs>
          <w:tab w:leader="none" w:pos="1422" w:val="left"/>
        </w:tabs>
        <w:numPr>
          <w:ilvl w:val="1"/>
          <w:numId w:val="3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20" w:hanging="400"/>
        <w:spacing w:after="0" w:line="263" w:lineRule="auto"/>
        <w:tabs>
          <w:tab w:leader="none" w:pos="1428" w:val="left"/>
        </w:tabs>
        <w:numPr>
          <w:ilvl w:val="1"/>
          <w:numId w:val="3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6" w:lineRule="exact"/>
        <w:rPr>
          <w:rFonts w:ascii="Arial" w:cs="Arial" w:eastAsia="Arial" w:hAnsi="Arial"/>
          <w:sz w:val="18"/>
          <w:szCs w:val="18"/>
          <w:color w:val="auto"/>
        </w:rPr>
      </w:pPr>
    </w:p>
    <w:p>
      <w:pPr>
        <w:ind w:left="860" w:hanging="407"/>
        <w:spacing w:after="0" w:line="277" w:lineRule="auto"/>
        <w:tabs>
          <w:tab w:leader="none" w:pos="795"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20" w:hanging="400"/>
        <w:spacing w:after="0" w:line="308" w:lineRule="auto"/>
        <w:tabs>
          <w:tab w:leader="none" w:pos="1451" w:val="left"/>
        </w:tabs>
        <w:numPr>
          <w:ilvl w:val="1"/>
          <w:numId w:val="3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17"/>
          <w:szCs w:val="17"/>
          <w:color w:val="auto"/>
        </w:rPr>
      </w:pPr>
    </w:p>
    <w:p>
      <w:pPr>
        <w:ind w:left="1420" w:right="20" w:hanging="400"/>
        <w:spacing w:after="0" w:line="277" w:lineRule="auto"/>
        <w:tabs>
          <w:tab w:leader="none" w:pos="1404" w:val="left"/>
        </w:tabs>
        <w:numPr>
          <w:ilvl w:val="1"/>
          <w:numId w:val="3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92"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color w:val="auto"/>
        </w:rPr>
        <w:t>Date:</w:t>
        <w:tab/>
        <w:t>November 5, 2020</w:t>
      </w:r>
    </w:p>
    <w:p>
      <w:pPr>
        <w:spacing w:after="0" w:line="212"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8"/>
          <w:szCs w:val="18"/>
          <w:color w:val="auto"/>
        </w:rPr>
        <w:t>/s/</w:t>
        <w:tab/>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14605</wp:posOffset>
            </wp:positionV>
            <wp:extent cx="234886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9">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6" w:lineRule="exact"/>
        <w:rPr>
          <w:sz w:val="20"/>
          <w:szCs w:val="20"/>
          <w:color w:val="auto"/>
        </w:rPr>
      </w:pPr>
    </w:p>
    <w:p>
      <w:pPr>
        <w:ind w:left="620"/>
        <w:spacing w:after="0"/>
        <w:rPr>
          <w:sz w:val="20"/>
          <w:szCs w:val="20"/>
          <w:color w:val="auto"/>
        </w:rPr>
      </w:pPr>
      <w:r>
        <w:rPr>
          <w:rFonts w:ascii="Arial" w:cs="Arial" w:eastAsia="Arial" w:hAnsi="Arial"/>
          <w:sz w:val="18"/>
          <w:szCs w:val="18"/>
          <w:color w:val="auto"/>
        </w:rPr>
        <w:t>Gary D. Kain</w:t>
      </w:r>
    </w:p>
    <w:p>
      <w:pPr>
        <w:spacing w:after="0" w:line="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Chief Executive Officer and Chief Investment</w:t>
      </w:r>
    </w:p>
    <w:p>
      <w:pPr>
        <w:ind w:left="620"/>
        <w:spacing w:after="0"/>
        <w:rPr>
          <w:sz w:val="20"/>
          <w:szCs w:val="20"/>
          <w:color w:val="auto"/>
        </w:rPr>
      </w:pPr>
      <w:r>
        <w:rPr>
          <w:rFonts w:ascii="Arial" w:cs="Arial" w:eastAsia="Arial" w:hAnsi="Arial"/>
          <w:sz w:val="18"/>
          <w:szCs w:val="18"/>
          <w:color w:val="auto"/>
        </w:rPr>
        <w:t>Officer (Principal Executive Officer)</w:t>
      </w:r>
    </w:p>
    <w:p>
      <w:pPr>
        <w:sectPr>
          <w:pgSz w:w="11900" w:h="16838" w:orient="portrait"/>
          <w:cols w:equalWidth="0" w:num="1">
            <w:col w:w="11240"/>
          </w:cols>
          <w:pgMar w:left="320" w:top="895" w:right="3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color w:val="auto"/>
        </w:rPr>
        <w:t>Exhibit 31.2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I, Bernice E. Bell, certify that:</w:t>
      </w:r>
    </w:p>
    <w:p>
      <w:pPr>
        <w:spacing w:after="0" w:line="158" w:lineRule="exact"/>
        <w:rPr>
          <w:sz w:val="20"/>
          <w:szCs w:val="20"/>
          <w:color w:val="auto"/>
        </w:rPr>
      </w:pPr>
    </w:p>
    <w:p>
      <w:pPr>
        <w:ind w:left="760" w:hanging="307"/>
        <w:spacing w:after="0"/>
        <w:tabs>
          <w:tab w:leader="none" w:pos="7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AGNC Investment Corp;</w:t>
      </w:r>
    </w:p>
    <w:p>
      <w:pPr>
        <w:spacing w:after="0" w:line="157" w:lineRule="exact"/>
        <w:rPr>
          <w:rFonts w:ascii="Arial" w:cs="Arial" w:eastAsia="Arial" w:hAnsi="Arial"/>
          <w:sz w:val="18"/>
          <w:szCs w:val="18"/>
          <w:color w:val="auto"/>
        </w:rPr>
      </w:pPr>
    </w:p>
    <w:p>
      <w:pPr>
        <w:ind w:left="860" w:hanging="407"/>
        <w:spacing w:after="0" w:line="263" w:lineRule="auto"/>
        <w:tabs>
          <w:tab w:leader="none" w:pos="77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8"/>
          <w:szCs w:val="18"/>
          <w:color w:val="auto"/>
        </w:rPr>
      </w:pPr>
    </w:p>
    <w:p>
      <w:pPr>
        <w:ind w:left="860" w:hanging="407"/>
        <w:spacing w:after="0" w:line="308" w:lineRule="auto"/>
        <w:tabs>
          <w:tab w:leader="none" w:pos="808" w:val="left"/>
        </w:tabs>
        <w:numPr>
          <w:ilvl w:val="0"/>
          <w:numId w:val="3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8" w:lineRule="exact"/>
        <w:rPr>
          <w:rFonts w:ascii="Arial" w:cs="Arial" w:eastAsia="Arial" w:hAnsi="Arial"/>
          <w:sz w:val="17"/>
          <w:szCs w:val="17"/>
          <w:color w:val="auto"/>
        </w:rPr>
      </w:pPr>
    </w:p>
    <w:p>
      <w:pPr>
        <w:jc w:val="both"/>
        <w:ind w:left="860" w:hanging="407"/>
        <w:spacing w:after="0" w:line="291" w:lineRule="auto"/>
        <w:tabs>
          <w:tab w:leader="none" w:pos="804"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143" w:lineRule="exact"/>
        <w:rPr>
          <w:rFonts w:ascii="Arial" w:cs="Arial" w:eastAsia="Arial" w:hAnsi="Arial"/>
          <w:sz w:val="16"/>
          <w:szCs w:val="16"/>
          <w:color w:val="auto"/>
        </w:rPr>
      </w:pPr>
    </w:p>
    <w:p>
      <w:pPr>
        <w:jc w:val="both"/>
        <w:ind w:left="1420" w:hanging="400"/>
        <w:spacing w:after="0" w:line="263" w:lineRule="auto"/>
        <w:tabs>
          <w:tab w:leader="none" w:pos="1534"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16" w:lineRule="exact"/>
        <w:rPr>
          <w:rFonts w:ascii="Arial" w:cs="Arial" w:eastAsia="Arial" w:hAnsi="Arial"/>
          <w:sz w:val="18"/>
          <w:szCs w:val="18"/>
          <w:color w:val="auto"/>
        </w:rPr>
      </w:pPr>
    </w:p>
    <w:p>
      <w:pPr>
        <w:jc w:val="both"/>
        <w:ind w:left="1420" w:hanging="400"/>
        <w:spacing w:after="0" w:line="263" w:lineRule="auto"/>
        <w:tabs>
          <w:tab w:leader="none" w:pos="1407" w:val="left"/>
        </w:tabs>
        <w:numPr>
          <w:ilvl w:val="1"/>
          <w:numId w:val="3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16" w:lineRule="exact"/>
        <w:rPr>
          <w:rFonts w:ascii="Arial" w:cs="Arial" w:eastAsia="Arial" w:hAnsi="Arial"/>
          <w:sz w:val="18"/>
          <w:szCs w:val="18"/>
          <w:color w:val="auto"/>
        </w:rPr>
      </w:pPr>
    </w:p>
    <w:p>
      <w:pPr>
        <w:ind w:left="1420" w:hanging="400"/>
        <w:spacing w:after="0" w:line="342" w:lineRule="auto"/>
        <w:tabs>
          <w:tab w:leader="none" w:pos="1422" w:val="left"/>
        </w:tabs>
        <w:numPr>
          <w:ilvl w:val="1"/>
          <w:numId w:val="3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6"/>
          <w:szCs w:val="16"/>
          <w:color w:val="auto"/>
        </w:rPr>
      </w:pPr>
    </w:p>
    <w:p>
      <w:pPr>
        <w:jc w:val="both"/>
        <w:ind w:left="1420" w:hanging="400"/>
        <w:spacing w:after="0" w:line="263" w:lineRule="auto"/>
        <w:tabs>
          <w:tab w:leader="none" w:pos="1428" w:val="left"/>
        </w:tabs>
        <w:numPr>
          <w:ilvl w:val="1"/>
          <w:numId w:val="3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6" w:lineRule="exact"/>
        <w:rPr>
          <w:rFonts w:ascii="Arial" w:cs="Arial" w:eastAsia="Arial" w:hAnsi="Arial"/>
          <w:sz w:val="18"/>
          <w:szCs w:val="18"/>
          <w:color w:val="auto"/>
        </w:rPr>
      </w:pPr>
    </w:p>
    <w:p>
      <w:pPr>
        <w:ind w:left="860" w:hanging="407"/>
        <w:spacing w:after="0" w:line="277" w:lineRule="auto"/>
        <w:tabs>
          <w:tab w:leader="none" w:pos="795"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102" w:lineRule="exact"/>
        <w:rPr>
          <w:rFonts w:ascii="Arial" w:cs="Arial" w:eastAsia="Arial" w:hAnsi="Arial"/>
          <w:sz w:val="18"/>
          <w:szCs w:val="18"/>
          <w:color w:val="auto"/>
        </w:rPr>
      </w:pPr>
    </w:p>
    <w:p>
      <w:pPr>
        <w:ind w:left="1420" w:hanging="400"/>
        <w:spacing w:after="0" w:line="308" w:lineRule="auto"/>
        <w:tabs>
          <w:tab w:leader="none" w:pos="1478" w:val="left"/>
        </w:tabs>
        <w:numPr>
          <w:ilvl w:val="1"/>
          <w:numId w:val="3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17"/>
          <w:szCs w:val="17"/>
          <w:color w:val="auto"/>
        </w:rPr>
      </w:pPr>
    </w:p>
    <w:p>
      <w:pPr>
        <w:ind w:left="1420" w:right="20" w:hanging="400"/>
        <w:spacing w:after="0" w:line="277" w:lineRule="auto"/>
        <w:tabs>
          <w:tab w:leader="none" w:pos="1404" w:val="left"/>
        </w:tabs>
        <w:numPr>
          <w:ilvl w:val="1"/>
          <w:numId w:val="3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38"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color w:val="auto"/>
        </w:rPr>
        <w:t>Date:</w:t>
        <w:tab/>
        <w:t>November 5, 2020</w:t>
      </w:r>
    </w:p>
    <w:p>
      <w:pPr>
        <w:spacing w:after="0" w:line="212"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14605</wp:posOffset>
            </wp:positionV>
            <wp:extent cx="234886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16" w:lineRule="exact"/>
        <w:rPr>
          <w:sz w:val="20"/>
          <w:szCs w:val="20"/>
          <w:color w:val="auto"/>
        </w:rPr>
      </w:pPr>
    </w:p>
    <w:p>
      <w:pPr>
        <w:ind w:left="620"/>
        <w:spacing w:after="0"/>
        <w:rPr>
          <w:sz w:val="20"/>
          <w:szCs w:val="20"/>
          <w:color w:val="auto"/>
        </w:rPr>
      </w:pPr>
      <w:r>
        <w:rPr>
          <w:rFonts w:ascii="Arial" w:cs="Arial" w:eastAsia="Arial" w:hAnsi="Arial"/>
          <w:sz w:val="18"/>
          <w:szCs w:val="18"/>
          <w:color w:val="auto"/>
        </w:rPr>
        <w:t>Bernice E. Bell</w:t>
      </w:r>
    </w:p>
    <w:p>
      <w:pPr>
        <w:spacing w:after="0" w:line="7" w:lineRule="exact"/>
        <w:rPr>
          <w:sz w:val="20"/>
          <w:szCs w:val="20"/>
          <w:color w:val="auto"/>
        </w:rPr>
      </w:pPr>
    </w:p>
    <w:p>
      <w:pPr>
        <w:ind w:left="620"/>
        <w:spacing w:after="0"/>
        <w:rPr>
          <w:sz w:val="20"/>
          <w:szCs w:val="20"/>
          <w:color w:val="auto"/>
        </w:rPr>
      </w:pPr>
      <w:r>
        <w:rPr>
          <w:rFonts w:ascii="Arial" w:cs="Arial" w:eastAsia="Arial" w:hAnsi="Arial"/>
          <w:sz w:val="18"/>
          <w:szCs w:val="18"/>
          <w:color w:val="auto"/>
        </w:rPr>
        <w:t>Senior Vice President and Chief Financial Officer</w:t>
      </w:r>
    </w:p>
    <w:p>
      <w:pPr>
        <w:ind w:left="62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40"/>
          </w:cols>
          <w:pgMar w:left="320" w:top="895" w:right="339" w:bottom="1440" w:gutter="0" w:footer="0" w:header="0"/>
        </w:sectPr>
      </w:pPr>
    </w:p>
    <w:bookmarkStart w:id="55" w:name="page56"/>
    <w:bookmarkEnd w:id="55"/>
    <w:p>
      <w:pPr>
        <w:jc w:val="right"/>
        <w:spacing w:after="0"/>
        <w:rPr>
          <w:sz w:val="20"/>
          <w:szCs w:val="20"/>
          <w:color w:val="auto"/>
        </w:rPr>
      </w:pPr>
      <w:r>
        <w:rPr>
          <w:rFonts w:ascii="Arial" w:cs="Arial" w:eastAsia="Arial" w:hAnsi="Arial"/>
          <w:sz w:val="18"/>
          <w:szCs w:val="18"/>
          <w:color w:val="auto"/>
        </w:rPr>
        <w:t>Exhibit 32</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AGNC Investment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Gary D. Kain, Chief Executive Officer and Chief Investment Officer, and Bernice E. Bell, Senior Vice President and Chief Financial Officer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AGNC Investment Corp. (the “Company”), certify pursuant to Section 906 of the Sarbanes-Oxley Act of 2002, 18 U.S.C. Section 1350 that:</w:t>
      </w:r>
    </w:p>
    <w:p>
      <w:pPr>
        <w:spacing w:after="0" w:line="157" w:lineRule="exact"/>
        <w:rPr>
          <w:sz w:val="20"/>
          <w:szCs w:val="20"/>
          <w:color w:val="auto"/>
        </w:rPr>
      </w:pPr>
    </w:p>
    <w:p>
      <w:pPr>
        <w:ind w:left="660" w:right="940" w:hanging="328"/>
        <w:spacing w:after="0" w:line="277" w:lineRule="auto"/>
        <w:tabs>
          <w:tab w:leader="none" w:pos="6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September 30, 2020 (the “Report”) fully complies with the requirements of Section 13(a) of the Securities Exchange Act of 1934 (15 U.S.C. 78m); and</w:t>
      </w:r>
    </w:p>
    <w:p>
      <w:pPr>
        <w:spacing w:after="0" w:line="116" w:lineRule="exact"/>
        <w:rPr>
          <w:rFonts w:ascii="Arial" w:cs="Arial" w:eastAsia="Arial" w:hAnsi="Arial"/>
          <w:sz w:val="18"/>
          <w:szCs w:val="18"/>
          <w:color w:val="auto"/>
        </w:rPr>
      </w:pPr>
    </w:p>
    <w:p>
      <w:pPr>
        <w:ind w:left="660" w:hanging="328"/>
        <w:spacing w:after="0"/>
        <w:tabs>
          <w:tab w:leader="none" w:pos="66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70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G</w:t>
            </w:r>
            <w:r>
              <w:rPr>
                <w:rFonts w:ascii="Arial" w:cs="Arial" w:eastAsia="Arial" w:hAnsi="Arial"/>
                <w:sz w:val="14"/>
                <w:szCs w:val="14"/>
                <w:color w:val="auto"/>
              </w:rPr>
              <w:t>ARY</w:t>
            </w:r>
            <w:r>
              <w:rPr>
                <w:rFonts w:ascii="Arial" w:cs="Arial" w:eastAsia="Arial" w:hAnsi="Arial"/>
                <w:sz w:val="18"/>
                <w:szCs w:val="18"/>
                <w:color w:val="auto"/>
              </w:rPr>
              <w:t xml:space="preserve"> D. K</w:t>
            </w:r>
            <w:r>
              <w:rPr>
                <w:rFonts w:ascii="Arial" w:cs="Arial" w:eastAsia="Arial" w:hAnsi="Arial"/>
                <w:sz w:val="14"/>
                <w:szCs w:val="14"/>
                <w:color w:val="auto"/>
              </w:rPr>
              <w:t>AIN</w:t>
            </w:r>
          </w:p>
        </w:tc>
        <w:tc>
          <w:tcPr>
            <w:tcW w:w="0" w:type="dxa"/>
            <w:vAlign w:val="bottom"/>
          </w:tcPr>
          <w:p>
            <w:pPr>
              <w:spacing w:after="0"/>
              <w:rPr>
                <w:sz w:val="1"/>
                <w:szCs w:val="1"/>
                <w:color w:val="auto"/>
              </w:rPr>
            </w:pPr>
          </w:p>
        </w:tc>
      </w:tr>
      <w:tr>
        <w:trPr>
          <w:trHeight w:val="222"/>
        </w:trPr>
        <w:tc>
          <w:tcPr>
            <w:tcW w:w="700" w:type="dxa"/>
            <w:vAlign w:val="bottom"/>
            <w:vMerge w:val="continue"/>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Gary D. Kain</w:t>
            </w:r>
          </w:p>
        </w:tc>
        <w:tc>
          <w:tcPr>
            <w:tcW w:w="0" w:type="dxa"/>
            <w:vAlign w:val="bottom"/>
          </w:tcPr>
          <w:p>
            <w:pPr>
              <w:spacing w:after="0"/>
              <w:rPr>
                <w:sz w:val="1"/>
                <w:szCs w:val="1"/>
                <w:color w:val="auto"/>
              </w:rPr>
            </w:pPr>
          </w:p>
        </w:tc>
      </w:tr>
      <w:tr>
        <w:trPr>
          <w:trHeight w:val="176"/>
        </w:trPr>
        <w:tc>
          <w:tcPr>
            <w:tcW w:w="70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62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Chief Executive Officer and</w:t>
            </w:r>
          </w:p>
        </w:tc>
        <w:tc>
          <w:tcPr>
            <w:tcW w:w="0" w:type="dxa"/>
            <w:vAlign w:val="bottom"/>
          </w:tcPr>
          <w:p>
            <w:pPr>
              <w:spacing w:after="0"/>
              <w:rPr>
                <w:sz w:val="1"/>
                <w:szCs w:val="1"/>
                <w:color w:val="auto"/>
              </w:rPr>
            </w:pPr>
          </w:p>
        </w:tc>
      </w:tr>
      <w:tr>
        <w:trPr>
          <w:trHeight w:val="229"/>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Chief Investment Officer (Principal Executive Officer)</w:t>
            </w:r>
          </w:p>
        </w:tc>
        <w:tc>
          <w:tcPr>
            <w:tcW w:w="0" w:type="dxa"/>
            <w:vAlign w:val="bottom"/>
          </w:tcPr>
          <w:p>
            <w:pPr>
              <w:spacing w:after="0"/>
              <w:rPr>
                <w:sz w:val="1"/>
                <w:szCs w:val="1"/>
                <w:color w:val="auto"/>
              </w:rPr>
            </w:pP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Date:</w:t>
            </w: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November 5, 2020</w:t>
            </w:r>
          </w:p>
        </w:tc>
        <w:tc>
          <w:tcPr>
            <w:tcW w:w="0" w:type="dxa"/>
            <w:vAlign w:val="bottom"/>
          </w:tcPr>
          <w:p>
            <w:pPr>
              <w:spacing w:after="0"/>
              <w:rPr>
                <w:sz w:val="1"/>
                <w:szCs w:val="1"/>
                <w:color w:val="auto"/>
              </w:rPr>
            </w:pPr>
          </w:p>
        </w:tc>
      </w:tr>
      <w:tr>
        <w:trPr>
          <w:trHeight w:val="486"/>
        </w:trPr>
        <w:tc>
          <w:tcPr>
            <w:tcW w:w="70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B</w:t>
            </w:r>
            <w:r>
              <w:rPr>
                <w:rFonts w:ascii="Arial" w:cs="Arial" w:eastAsia="Arial" w:hAnsi="Arial"/>
                <w:sz w:val="14"/>
                <w:szCs w:val="14"/>
                <w:color w:val="auto"/>
              </w:rPr>
              <w:t>ERNICE</w:t>
            </w:r>
            <w:r>
              <w:rPr>
                <w:rFonts w:ascii="Arial" w:cs="Arial" w:eastAsia="Arial" w:hAnsi="Arial"/>
                <w:sz w:val="18"/>
                <w:szCs w:val="18"/>
                <w:color w:val="auto"/>
              </w:rPr>
              <w:t xml:space="preserve"> E. B</w:t>
            </w:r>
            <w:r>
              <w:rPr>
                <w:rFonts w:ascii="Arial" w:cs="Arial" w:eastAsia="Arial" w:hAnsi="Arial"/>
                <w:sz w:val="14"/>
                <w:szCs w:val="14"/>
                <w:color w:val="auto"/>
              </w:rPr>
              <w:t>ELL</w:t>
            </w:r>
          </w:p>
        </w:tc>
        <w:tc>
          <w:tcPr>
            <w:tcW w:w="0" w:type="dxa"/>
            <w:vAlign w:val="bottom"/>
          </w:tcPr>
          <w:p>
            <w:pPr>
              <w:spacing w:after="0"/>
              <w:rPr>
                <w:sz w:val="1"/>
                <w:szCs w:val="1"/>
                <w:color w:val="auto"/>
              </w:rPr>
            </w:pPr>
          </w:p>
        </w:tc>
      </w:tr>
      <w:tr>
        <w:trPr>
          <w:trHeight w:val="222"/>
        </w:trPr>
        <w:tc>
          <w:tcPr>
            <w:tcW w:w="700" w:type="dxa"/>
            <w:vAlign w:val="bottom"/>
            <w:vMerge w:val="continue"/>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Bernice E. Bell</w:t>
            </w:r>
          </w:p>
        </w:tc>
        <w:tc>
          <w:tcPr>
            <w:tcW w:w="0" w:type="dxa"/>
            <w:vAlign w:val="bottom"/>
          </w:tcPr>
          <w:p>
            <w:pPr>
              <w:spacing w:after="0"/>
              <w:rPr>
                <w:sz w:val="1"/>
                <w:szCs w:val="1"/>
                <w:color w:val="auto"/>
              </w:rPr>
            </w:pPr>
          </w:p>
        </w:tc>
      </w:tr>
      <w:tr>
        <w:trPr>
          <w:trHeight w:val="176"/>
        </w:trPr>
        <w:tc>
          <w:tcPr>
            <w:tcW w:w="70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62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Senior Vice President and</w:t>
            </w:r>
          </w:p>
        </w:tc>
        <w:tc>
          <w:tcPr>
            <w:tcW w:w="0" w:type="dxa"/>
            <w:vAlign w:val="bottom"/>
          </w:tcPr>
          <w:p>
            <w:pPr>
              <w:spacing w:after="0"/>
              <w:rPr>
                <w:sz w:val="1"/>
                <w:szCs w:val="1"/>
                <w:color w:val="auto"/>
              </w:rPr>
            </w:pPr>
          </w:p>
        </w:tc>
      </w:tr>
      <w:tr>
        <w:trPr>
          <w:trHeight w:val="229"/>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Chief Financial Officer (Principal Financial Officer)</w:t>
            </w:r>
          </w:p>
        </w:tc>
        <w:tc>
          <w:tcPr>
            <w:tcW w:w="0" w:type="dxa"/>
            <w:vAlign w:val="bottom"/>
          </w:tcPr>
          <w:p>
            <w:pPr>
              <w:spacing w:after="0"/>
              <w:rPr>
                <w:sz w:val="1"/>
                <w:szCs w:val="1"/>
                <w:color w:val="auto"/>
              </w:rPr>
            </w:pPr>
          </w:p>
        </w:tc>
      </w:tr>
      <w:tr>
        <w:trPr>
          <w:trHeight w:val="230"/>
        </w:trPr>
        <w:tc>
          <w:tcPr>
            <w:tcW w:w="700" w:type="dxa"/>
            <w:vAlign w:val="bottom"/>
          </w:tcPr>
          <w:p>
            <w:pPr>
              <w:spacing w:after="0"/>
              <w:rPr>
                <w:sz w:val="20"/>
                <w:szCs w:val="20"/>
                <w:color w:val="auto"/>
              </w:rPr>
            </w:pPr>
            <w:r>
              <w:rPr>
                <w:rFonts w:ascii="Arial" w:cs="Arial" w:eastAsia="Arial" w:hAnsi="Arial"/>
                <w:sz w:val="18"/>
                <w:szCs w:val="18"/>
                <w:color w:val="auto"/>
              </w:rPr>
              <w:t>Date:</w:t>
            </w:r>
          </w:p>
        </w:tc>
        <w:tc>
          <w:tcPr>
            <w:tcW w:w="6240" w:type="dxa"/>
            <w:vAlign w:val="bottom"/>
            <w:gridSpan w:val="2"/>
          </w:tcPr>
          <w:p>
            <w:pPr>
              <w:ind w:left="20"/>
              <w:spacing w:after="0"/>
              <w:rPr>
                <w:sz w:val="20"/>
                <w:szCs w:val="20"/>
                <w:color w:val="auto"/>
              </w:rPr>
            </w:pPr>
            <w:r>
              <w:rPr>
                <w:rFonts w:ascii="Arial" w:cs="Arial" w:eastAsia="Arial" w:hAnsi="Arial"/>
                <w:sz w:val="18"/>
                <w:szCs w:val="18"/>
                <w:color w:val="auto"/>
              </w:rPr>
              <w:t>November 5, 2020</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240"/>
      </w:cols>
      <w:pgMar w:left="320" w:top="89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6C6125"/>
    <w:multiLevelType w:val="hybridMultilevel"/>
    <w:lvl w:ilvl="0">
      <w:lvlJc w:val="left"/>
      <w:lvlText w:val="%1."/>
      <w:numFmt w:val="decimal"/>
      <w:start w:val="1"/>
    </w:lvl>
  </w:abstractNum>
  <w:abstractNum w:abstractNumId="1">
    <w:nsid w:val="628C895D"/>
    <w:multiLevelType w:val="hybridMultilevel"/>
    <w:lvl w:ilvl="0">
      <w:lvlJc w:val="left"/>
      <w:lvlText w:val="%1."/>
      <w:numFmt w:val="decimal"/>
      <w:start w:val="1"/>
    </w:lvl>
  </w:abstractNum>
  <w:abstractNum w:abstractNumId="2">
    <w:nsid w:val="333AB105"/>
    <w:multiLevelType w:val="hybridMultilevel"/>
    <w:lvl w:ilvl="0">
      <w:lvlJc w:val="left"/>
      <w:lvlText w:val="%1."/>
      <w:numFmt w:val="decimal"/>
      <w:start w:val="1"/>
    </w:lvl>
  </w:abstractNum>
  <w:abstractNum w:abstractNumId="3">
    <w:nsid w:val="721DA317"/>
    <w:multiLevelType w:val="hybridMultilevel"/>
    <w:lvl w:ilvl="0">
      <w:lvlJc w:val="left"/>
      <w:lvlText w:val="%1."/>
      <w:numFmt w:val="decimal"/>
      <w:start w:val="1"/>
    </w:lvl>
  </w:abstractNum>
  <w:abstractNum w:abstractNumId="4">
    <w:nsid w:val="2443A858"/>
    <w:multiLevelType w:val="hybridMultilevel"/>
    <w:lvl w:ilvl="0">
      <w:lvlJc w:val="left"/>
      <w:lvlText w:val="%1."/>
      <w:numFmt w:val="decimal"/>
      <w:start w:val="1"/>
    </w:lvl>
  </w:abstractNum>
  <w:abstractNum w:abstractNumId="5">
    <w:nsid w:val="2D1D5AE9"/>
    <w:multiLevelType w:val="hybridMultilevel"/>
    <w:lvl w:ilvl="0">
      <w:lvlJc w:val="left"/>
      <w:lvlText w:val="%1."/>
      <w:numFmt w:val="decimal"/>
      <w:start w:val="1"/>
    </w:lvl>
  </w:abstractNum>
  <w:abstractNum w:abstractNumId="6">
    <w:nsid w:val="6763845E"/>
    <w:multiLevelType w:val="hybridMultilevel"/>
    <w:lvl w:ilvl="0">
      <w:lvlJc w:val="left"/>
      <w:lvlText w:val="%1."/>
      <w:numFmt w:val="decimal"/>
      <w:start w:val="1"/>
    </w:lvl>
  </w:abstractNum>
  <w:abstractNum w:abstractNumId="7">
    <w:nsid w:val="75A2A8D4"/>
    <w:multiLevelType w:val="hybridMultilevel"/>
    <w:lvl w:ilvl="0">
      <w:lvlJc w:val="left"/>
      <w:lvlText w:val="%1."/>
      <w:numFmt w:val="decimal"/>
      <w:start w:val="1"/>
    </w:lvl>
  </w:abstractNum>
  <w:abstractNum w:abstractNumId="8">
    <w:nsid w:val="8EDBDAB"/>
    <w:multiLevelType w:val="hybridMultilevel"/>
    <w:lvl w:ilvl="0">
      <w:lvlJc w:val="left"/>
      <w:lvlText w:val="%1."/>
      <w:numFmt w:val="decimal"/>
      <w:start w:val="1"/>
    </w:lvl>
  </w:abstractNum>
  <w:abstractNum w:abstractNumId="9">
    <w:nsid w:val="79838CB2"/>
    <w:multiLevelType w:val="hybridMultilevel"/>
    <w:lvl w:ilvl="0">
      <w:lvlJc w:val="left"/>
      <w:lvlText w:val="%1."/>
      <w:numFmt w:val="decimal"/>
      <w:start w:val="1"/>
    </w:lvl>
  </w:abstractNum>
  <w:abstractNum w:abstractNumId="10">
    <w:nsid w:val="4353D0CD"/>
    <w:multiLevelType w:val="hybridMultilevel"/>
    <w:lvl w:ilvl="0">
      <w:lvlJc w:val="left"/>
      <w:lvlText w:val="%1."/>
      <w:numFmt w:val="decimal"/>
      <w:start w:val="1"/>
    </w:lvl>
  </w:abstractNum>
  <w:abstractNum w:abstractNumId="11">
    <w:nsid w:val="B03E0C6"/>
    <w:multiLevelType w:val="hybridMultilevel"/>
    <w:lvl w:ilvl="0">
      <w:lvlJc w:val="left"/>
      <w:lvlText w:val="%1."/>
      <w:numFmt w:val="decimal"/>
      <w:start w:val="1"/>
    </w:lvl>
  </w:abstractNum>
  <w:abstractNum w:abstractNumId="12">
    <w:nsid w:val="189A769B"/>
    <w:multiLevelType w:val="hybridMultilevel"/>
    <w:lvl w:ilvl="0">
      <w:lvlJc w:val="left"/>
      <w:lvlText w:val="%1."/>
      <w:numFmt w:val="decimal"/>
      <w:start w:val="1"/>
    </w:lvl>
  </w:abstractNum>
  <w:abstractNum w:abstractNumId="13">
    <w:nsid w:val="54E49EB4"/>
    <w:multiLevelType w:val="hybridMultilevel"/>
    <w:lvl w:ilvl="0">
      <w:lvlJc w:val="left"/>
      <w:lvlText w:val="•"/>
      <w:numFmt w:val="bullet"/>
      <w:start w:val="1"/>
    </w:lvl>
  </w:abstractNum>
  <w:abstractNum w:abstractNumId="14">
    <w:nsid w:val="71F32454"/>
    <w:multiLevelType w:val="hybridMultilevel"/>
    <w:lvl w:ilvl="0">
      <w:lvlJc w:val="left"/>
      <w:lvlText w:val="%1."/>
      <w:numFmt w:val="decimal"/>
      <w:start w:val="1"/>
    </w:lvl>
  </w:abstractNum>
  <w:abstractNum w:abstractNumId="15">
    <w:nsid w:val="2CA88611"/>
    <w:multiLevelType w:val="hybridMultilevel"/>
    <w:lvl w:ilvl="0">
      <w:lvlJc w:val="left"/>
      <w:lvlText w:val="•"/>
      <w:numFmt w:val="bullet"/>
      <w:start w:val="1"/>
    </w:lvl>
  </w:abstractNum>
  <w:abstractNum w:abstractNumId="16">
    <w:nsid w:val="836C40E"/>
    <w:multiLevelType w:val="hybridMultilevel"/>
    <w:lvl w:ilvl="0">
      <w:lvlJc w:val="left"/>
      <w:lvlText w:val="%1."/>
      <w:numFmt w:val="decimal"/>
      <w:start w:val="1"/>
    </w:lvl>
  </w:abstractNum>
  <w:abstractNum w:abstractNumId="17">
    <w:nsid w:val="2901D82"/>
    <w:multiLevelType w:val="hybridMultilevel"/>
    <w:lvl w:ilvl="0">
      <w:lvlJc w:val="left"/>
      <w:lvlText w:val="%1."/>
      <w:numFmt w:val="decimal"/>
      <w:start w:val="1"/>
    </w:lvl>
  </w:abstractNum>
  <w:abstractNum w:abstractNumId="18">
    <w:nsid w:val="3A95F874"/>
    <w:multiLevelType w:val="hybridMultilevel"/>
    <w:lvl w:ilvl="0">
      <w:lvlJc w:val="left"/>
      <w:lvlText w:val="%1."/>
      <w:numFmt w:val="decimal"/>
      <w:start w:val="1"/>
    </w:lvl>
  </w:abstractNum>
  <w:abstractNum w:abstractNumId="19">
    <w:nsid w:val="8138641"/>
    <w:multiLevelType w:val="hybridMultilevel"/>
    <w:lvl w:ilvl="0">
      <w:lvlJc w:val="left"/>
      <w:lvlText w:val="%1."/>
      <w:numFmt w:val="decimal"/>
      <w:start w:val="1"/>
    </w:lvl>
  </w:abstractNum>
  <w:abstractNum w:abstractNumId="20">
    <w:nsid w:val="1E7FF521"/>
    <w:multiLevelType w:val="hybridMultilevel"/>
    <w:lvl w:ilvl="0">
      <w:lvlJc w:val="left"/>
      <w:lvlText w:val="%1."/>
      <w:numFmt w:val="decimal"/>
      <w:start w:val="1"/>
    </w:lvl>
  </w:abstractNum>
  <w:abstractNum w:abstractNumId="21">
    <w:nsid w:val="7C3DBD3D"/>
    <w:multiLevelType w:val="hybridMultilevel"/>
    <w:lvl w:ilvl="0">
      <w:lvlJc w:val="left"/>
      <w:lvlText w:val="%1."/>
      <w:numFmt w:val="decimal"/>
      <w:start w:val="1"/>
    </w:lvl>
  </w:abstractNum>
  <w:abstractNum w:abstractNumId="22">
    <w:nsid w:val="737B8DDC"/>
    <w:multiLevelType w:val="hybridMultilevel"/>
    <w:lvl w:ilvl="0">
      <w:lvlJc w:val="left"/>
      <w:lvlText w:val="%1."/>
      <w:numFmt w:val="decimal"/>
      <w:start w:val="1"/>
    </w:lvl>
  </w:abstractNum>
  <w:abstractNum w:abstractNumId="23">
    <w:nsid w:val="6CEAF087"/>
    <w:multiLevelType w:val="hybridMultilevel"/>
    <w:lvl w:ilvl="0">
      <w:lvlJc w:val="left"/>
      <w:lvlText w:val="%1."/>
      <w:numFmt w:val="decimal"/>
      <w:start w:val="1"/>
    </w:lvl>
  </w:abstractNum>
  <w:abstractNum w:abstractNumId="24">
    <w:nsid w:val="22221A70"/>
    <w:multiLevelType w:val="hybridMultilevel"/>
    <w:lvl w:ilvl="0">
      <w:lvlJc w:val="left"/>
      <w:lvlText w:val="%1."/>
      <w:numFmt w:val="decimal"/>
      <w:start w:val="1"/>
    </w:lvl>
  </w:abstractNum>
  <w:abstractNum w:abstractNumId="25">
    <w:nsid w:val="4516DDE9"/>
    <w:multiLevelType w:val="hybridMultilevel"/>
    <w:lvl w:ilvl="0">
      <w:lvlJc w:val="left"/>
      <w:lvlText w:val="%1."/>
      <w:numFmt w:val="decimal"/>
      <w:start w:val="1"/>
    </w:lvl>
  </w:abstractNum>
  <w:abstractNum w:abstractNumId="26">
    <w:nsid w:val="3006C83E"/>
    <w:multiLevelType w:val="hybridMultilevel"/>
    <w:lvl w:ilvl="0">
      <w:lvlJc w:val="left"/>
      <w:lvlText w:val="%1."/>
      <w:numFmt w:val="decimal"/>
      <w:start w:val="1"/>
    </w:lvl>
  </w:abstractNum>
  <w:abstractNum w:abstractNumId="27">
    <w:nsid w:val="614FD4A1"/>
    <w:multiLevelType w:val="hybridMultilevel"/>
    <w:lvl w:ilvl="0">
      <w:lvlJc w:val="left"/>
      <w:lvlText w:val="(%1)"/>
      <w:numFmt w:val="lowerRoman"/>
      <w:start w:val="3"/>
    </w:lvl>
  </w:abstractNum>
  <w:abstractNum w:abstractNumId="28">
    <w:nsid w:val="419AC241"/>
    <w:multiLevelType w:val="hybridMultilevel"/>
    <w:lvl w:ilvl="0">
      <w:lvlJc w:val="left"/>
      <w:lvlText w:val="%1."/>
      <w:numFmt w:val="decimal"/>
      <w:start w:val="1"/>
    </w:lvl>
  </w:abstractNum>
  <w:abstractNum w:abstractNumId="29">
    <w:nsid w:val="5577F8E1"/>
    <w:multiLevelType w:val="hybridMultilevel"/>
    <w:lvl w:ilvl="0">
      <w:lvlJc w:val="left"/>
      <w:lvlText w:val="•"/>
      <w:numFmt w:val="bullet"/>
      <w:start w:val="1"/>
    </w:lvl>
  </w:abstractNum>
  <w:abstractNum w:abstractNumId="30">
    <w:nsid w:val="440BADFC"/>
    <w:multiLevelType w:val="hybridMultilevel"/>
    <w:lvl w:ilvl="0">
      <w:lvlJc w:val="left"/>
      <w:lvlText w:val="•"/>
      <w:numFmt w:val="bullet"/>
      <w:start w:val="1"/>
    </w:lvl>
  </w:abstractNum>
  <w:abstractNum w:abstractNumId="31">
    <w:nsid w:val="5072367"/>
    <w:multiLevelType w:val="hybridMultilevel"/>
    <w:lvl w:ilvl="0">
      <w:lvlJc w:val="left"/>
      <w:lvlText w:val="%1."/>
      <w:numFmt w:val="decimal"/>
      <w:start w:val="1"/>
    </w:lvl>
  </w:abstractNum>
  <w:abstractNum w:abstractNumId="32">
    <w:nsid w:val="3804823E"/>
    <w:multiLevelType w:val="hybridMultilevel"/>
    <w:lvl w:ilvl="0">
      <w:lvlJc w:val="left"/>
      <w:lvlText w:val="%1."/>
      <w:numFmt w:val="decimal"/>
      <w:start w:val="1"/>
    </w:lvl>
  </w:abstractNum>
  <w:abstractNum w:abstractNumId="33">
    <w:nsid w:val="77465F01"/>
    <w:multiLevelType w:val="hybridMultilevel"/>
    <w:lvl w:ilvl="0">
      <w:lvlJc w:val="left"/>
      <w:lvlText w:val="%1."/>
      <w:numFmt w:val="decimal"/>
      <w:start w:val="1"/>
    </w:lvl>
  </w:abstractNum>
  <w:abstractNum w:abstractNumId="34">
    <w:nsid w:val="7724C67E"/>
    <w:multiLevelType w:val="hybridMultilevel"/>
    <w:lvl w:ilvl="0">
      <w:lvlJc w:val="left"/>
      <w:lvlText w:val="%1."/>
      <w:numFmt w:val="decimal"/>
      <w:start w:val="1"/>
    </w:lvl>
  </w:abstractNum>
  <w:abstractNum w:abstractNumId="35">
    <w:nsid w:val="5C482A97"/>
    <w:multiLevelType w:val="hybridMultilevel"/>
    <w:lvl w:ilvl="0">
      <w:lvlJc w:val="left"/>
      <w:lvlText w:val="**"/>
      <w:numFmt w:val="bullet"/>
      <w:start w:val="1"/>
    </w:lvl>
  </w:abstractNum>
  <w:abstractNum w:abstractNumId="36">
    <w:nsid w:val="2463B9EA"/>
    <w:multiLevelType w:val="hybridMultilevel"/>
    <w:lvl w:ilvl="0">
      <w:lvlJc w:val="left"/>
      <w:lvlText w:val="(%1)"/>
      <w:numFmt w:val="lowerLetter"/>
      <w:start w:val="3"/>
    </w:lvl>
  </w:abstractNum>
  <w:abstractNum w:abstractNumId="37">
    <w:nsid w:val="5E884ADC"/>
    <w:multiLevelType w:val="hybridMultilevel"/>
    <w:lvl w:ilvl="0">
      <w:lvlJc w:val="left"/>
      <w:lvlText w:val="%1."/>
      <w:numFmt w:val="decimal"/>
      <w:start w:val="1"/>
    </w:lvl>
    <w:lvl w:ilvl="1">
      <w:lvlJc w:val="left"/>
      <w:lvlText w:val="(%2)"/>
      <w:numFmt w:val="lowerLetter"/>
      <w:start w:val="1"/>
    </w:lvl>
  </w:abstractNum>
  <w:abstractNum w:abstractNumId="38">
    <w:nsid w:val="51EAD36B"/>
    <w:multiLevelType w:val="hybridMultilevel"/>
    <w:lvl w:ilvl="0">
      <w:lvlJc w:val="left"/>
      <w:lvlText w:val="%1."/>
      <w:numFmt w:val="decimal"/>
      <w:start w:val="1"/>
    </w:lvl>
    <w:lvl w:ilvl="1">
      <w:lvlJc w:val="left"/>
      <w:lvlText w:val="(%2)"/>
      <w:numFmt w:val="lowerLetter"/>
      <w:start w:val="1"/>
    </w:lvl>
  </w:abstractNum>
  <w:abstractNum w:abstractNumId="39">
    <w:nsid w:val="2D51779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82" Type="http://schemas.openxmlformats.org/officeDocument/2006/relationships/image" Target="media/image60.png"/><Relationship Id="rId86" Type="http://schemas.openxmlformats.org/officeDocument/2006/relationships/image" Target="media/image61.png"/><Relationship Id="rId87" Type="http://schemas.openxmlformats.org/officeDocument/2006/relationships/image" Target="media/image62.png"/><Relationship Id="rId88" Type="http://schemas.openxmlformats.org/officeDocument/2006/relationships/image" Target="media/image63.png"/><Relationship Id="rId89" Type="http://schemas.openxmlformats.org/officeDocument/2006/relationships/image" Target="media/image64.png"/><Relationship Id="rId90" Type="http://schemas.openxmlformats.org/officeDocument/2006/relationships/image" Target="media/image65.png"/><Relationship Id="rId67" Type="http://schemas.openxmlformats.org/officeDocument/2006/relationships/hyperlink" Target="http://www.sec.gov/Archives/edgar/data/1423689/000142368920000042/agncexhibit313312010-q.htm" TargetMode="External"/><Relationship Id="rId68" Type="http://schemas.openxmlformats.org/officeDocument/2006/relationships/hyperlink" Target="http://www.sec.gov/Archives/edgar/data/1423689/000142368916000104/agncexhibit329301610-qbyla.htm" TargetMode="External"/><Relationship Id="rId69" Type="http://schemas.openxmlformats.org/officeDocument/2006/relationships/hyperlink" Target="http://www.sec.gov/Archives/edgar/data/1423689/000142368917000044/ex35certificateofdesignati.htm" TargetMode="External"/><Relationship Id="rId70" Type="http://schemas.openxmlformats.org/officeDocument/2006/relationships/hyperlink" Target="http://www.sec.gov/Archives/edgar/data/1423689/000142368917000065/certificateofelimination.htm" TargetMode="External"/><Relationship Id="rId71" Type="http://schemas.openxmlformats.org/officeDocument/2006/relationships/hyperlink" Target="http://www.sec.gov/Archives/edgar/data/1423689/000142368919000019/certificateofdesignations.htm" TargetMode="External"/><Relationship Id="rId72" Type="http://schemas.openxmlformats.org/officeDocument/2006/relationships/hyperlink" Target="http://www.sec.gov/Archives/edgar/data/1423689/000142368919000064/certofdesignations.htm" TargetMode="External"/><Relationship Id="rId73" Type="http://schemas.openxmlformats.org/officeDocument/2006/relationships/hyperlink" Target="http://www.sec.gov/Archives/edgar/data/1423689/000142368919000078/certificateofeliminati.htm" TargetMode="External"/><Relationship Id="rId74" Type="http://schemas.openxmlformats.org/officeDocument/2006/relationships/hyperlink" Target="http://www.sec.gov/Archives/edgar/data/1423689/000142368920000012/certificateofdesignations-.htm" TargetMode="External"/><Relationship Id="rId75" Type="http://schemas.openxmlformats.org/officeDocument/2006/relationships/hyperlink" Target="http://www.sec.gov/Archives/edgar/data/1423689/000142368918000016/agncexhibit313311810-q.htm" TargetMode="External"/><Relationship Id="rId76" Type="http://schemas.openxmlformats.org/officeDocument/2006/relationships/hyperlink" Target="http://www.sec.gov/Archives/edgar/data/1423689/000142368916000104/agncexhibit43.htm" TargetMode="External"/><Relationship Id="rId77" Type="http://schemas.openxmlformats.org/officeDocument/2006/relationships/hyperlink" Target="http://www.sec.gov/Archives/edgar/data/1423689/000142368917000044/exhibit41.htm" TargetMode="External"/><Relationship Id="rId78" Type="http://schemas.openxmlformats.org/officeDocument/2006/relationships/hyperlink" Target="http://www.sec.gov/Archives/edgar/data/1423689/000142368919000019/stockcertificateb98.htm" TargetMode="External"/><Relationship Id="rId79" Type="http://schemas.openxmlformats.org/officeDocument/2006/relationships/hyperlink" Target="http://www.sec.gov/Archives/edgar/data/1423689/000142368919000064/stockcertificate.htm" TargetMode="External"/><Relationship Id="rId80" Type="http://schemas.openxmlformats.org/officeDocument/2006/relationships/hyperlink" Target="http://www.sec.gov/Archives/edgar/data/1423689/000142368920000012/stockcertificate.htm" TargetMode="External"/><Relationship Id="rId81" Type="http://schemas.openxmlformats.org/officeDocument/2006/relationships/hyperlink" Target="http://www.sec.gov/Archives/edgar/data/1423689/000142368917000049/depositagreement.htm" TargetMode="External"/><Relationship Id="rId83" Type="http://schemas.openxmlformats.org/officeDocument/2006/relationships/hyperlink" Target="http://www.sec.gov/Archives/edgar/data/1423689/000142368919000021/prefddepositagmt.htm" TargetMode="External"/><Relationship Id="rId84" Type="http://schemas.openxmlformats.org/officeDocument/2006/relationships/hyperlink" Target="http://www.sec.gov/Archives/edgar/data/1423689/000142368919000068/depositagmt-prefe.htm" TargetMode="External"/><Relationship Id="rId85" Type="http://schemas.openxmlformats.org/officeDocument/2006/relationships/hyperlink" Target="http://www.sec.gov/Archives/edgar/data/1423689/000142368920000014/depositaryagmt-seriesf.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2020-11-05T17:24:24Z</dcterms:created>
  <dcterms:modified xsi:type="dcterms:W3CDTF">2020-11-05T17:24:24Z</dcterms:modified>
</cp:coreProperties>
</file>